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20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center"/>
        <w:tblInd w:w="0" w:type="dxa"/>
        <w:tblLayout w:type="fixed"/>
        <w:tblCellMar>
          <w:top w:w="28" w:type="dxa"/>
          <w:left w:w="28" w:type="dxa"/>
          <w:bottom w:w="28" w:type="dxa"/>
          <w:right w:w="28" w:type="dxa"/>
        </w:tblCellMar>
      </w:tblPr>
      <w:tblGrid>
        <w:gridCol w:w="370"/>
        <w:gridCol w:w="325"/>
        <w:gridCol w:w="327"/>
        <w:gridCol w:w="2689"/>
        <w:gridCol w:w="2689"/>
        <w:gridCol w:w="3805"/>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5"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(Mark One)</w:t>
            </w:r>
          </w:p>
        </w:tc>
        <w:tc>
          <w:tcPr>
            <w:tcW w:w="9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For the quarterly period ended September 30, 2025</w:t>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w:t>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For the transition period from     to             </w:t>
            </w:r>
          </w:p>
        </w:tc>
      </w:tr>
    </w:tbl>
    <w:p>
      <w:pPr>
        <w:pStyle w:val="TextBody"/>
        <w:bidi w:val="0"/>
        <w:spacing w:lineRule="auto" w:line="288" w:before="100" w:after="200"/>
        <w:jc w:val="center"/>
        <w:rPr>
          <w:rFonts w:ascii="Times New Roman;serif" w:hAnsi="Times New Roman;serif"/>
          <w:b/>
          <w:color w:val="000000"/>
          <w:sz w:val="18"/>
        </w:rPr>
      </w:pPr>
      <w:r>
        <w:rPr>
          <w:rFonts w:ascii="Times New Roman;serif" w:hAnsi="Times New Roman;serif"/>
          <w:b/>
          <w:color w:val="000000"/>
          <w:sz w:val="18"/>
        </w:rPr>
        <w:t>Commission file number: 001-11993</w:t>
      </w:r>
    </w:p>
    <w:p>
      <w:pPr>
        <w:pStyle w:val="TextBody"/>
        <w:bidi w:val="0"/>
        <w:spacing w:before="0" w:after="0"/>
        <w:jc w:val="center"/>
        <w:rPr/>
      </w:pPr>
      <w:r>
        <w:rPr/>
        <w:drawing>
          <wp:inline distT="0" distB="0" distL="0" distR="0">
            <wp:extent cx="190500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7715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OPTION CARE HEALTH, INC.</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(Exact name of registrant as specified in its charter)</w:t>
      </w:r>
    </w:p>
    <w:tbl>
      <w:tblPr>
        <w:tblW w:w="6852" w:type="dxa"/>
        <w:jc w:val="center"/>
        <w:tblInd w:w="0" w:type="dxa"/>
        <w:tblLayout w:type="fixed"/>
        <w:tblCellMar>
          <w:top w:w="28" w:type="dxa"/>
          <w:left w:w="28" w:type="dxa"/>
          <w:bottom w:w="28" w:type="dxa"/>
          <w:right w:w="28" w:type="dxa"/>
        </w:tblCellMar>
      </w:tblPr>
      <w:tblGrid>
        <w:gridCol w:w="1392"/>
        <w:gridCol w:w="1227"/>
        <w:gridCol w:w="1236"/>
        <w:gridCol w:w="109"/>
        <w:gridCol w:w="109"/>
        <w:gridCol w:w="109"/>
        <w:gridCol w:w="778"/>
        <w:gridCol w:w="778"/>
        <w:gridCol w:w="1114"/>
      </w:tblGrid>
      <w:tr>
        <w:trPr/>
        <w:tc>
          <w:tcPr>
            <w:tcW w:w="139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05-0489664</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 Identification No.)</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3000 Lakeside Dr. Suite 300N, Bannockburn, 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60015</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312-940-2443</w:t>
      </w:r>
    </w:p>
    <w:p>
      <w:pPr>
        <w:pStyle w:val="TextBody"/>
        <w:bidi w:val="0"/>
        <w:spacing w:lineRule="auto" w:line="288" w:before="0" w:after="200"/>
        <w:ind w:left="0" w:right="0" w:firstLine="18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007" w:type="dxa"/>
        <w:jc w:val="center"/>
        <w:tblInd w:w="0" w:type="dxa"/>
        <w:tblLayout w:type="fixed"/>
        <w:tblCellMar>
          <w:top w:w="28" w:type="dxa"/>
          <w:left w:w="28" w:type="dxa"/>
          <w:bottom w:w="28" w:type="dxa"/>
          <w:right w:w="28" w:type="dxa"/>
        </w:tblCellMar>
      </w:tblPr>
      <w:tblGrid>
        <w:gridCol w:w="1189"/>
        <w:gridCol w:w="1042"/>
        <w:gridCol w:w="1053"/>
        <w:gridCol w:w="484"/>
        <w:gridCol w:w="484"/>
        <w:gridCol w:w="486"/>
        <w:gridCol w:w="956"/>
        <w:gridCol w:w="956"/>
        <w:gridCol w:w="1357"/>
      </w:tblGrid>
      <w:tr>
        <w:trPr/>
        <w:tc>
          <w:tcPr>
            <w:tcW w:w="118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OPCH</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00" w:after="200"/>
        <w:ind w:left="0" w:right="0" w:firstLine="18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200"/>
        <w:ind w:left="0" w:right="0" w:firstLine="18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200"/>
        <w:ind w:left="0" w:right="0" w:firstLine="18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lineRule="auto" w:line="288" w:before="0" w:after="200"/>
        <w:ind w:left="0" w:right="0" w:firstLine="180"/>
        <w:jc w:val="center"/>
        <w:rPr/>
      </w:pPr>
      <w:r>
        <w:rPr>
          <w:rFonts w:ascii="Times New Roman;serif" w:hAnsi="Times New Roman;serif"/>
          <w:b w:val="false"/>
          <w:color w:val="000000"/>
          <w:sz w:val="18"/>
        </w:rPr>
        <w:t>Large accelerated filer </w:t>
      </w:r>
      <w:r>
        <w:rPr>
          <w:color w:val="000000"/>
        </w:rPr>
        <w:t>☑     </w:t>
      </w:r>
      <w:r>
        <w:rPr>
          <w:rFonts w:ascii="Times New Roman;serif" w:hAnsi="Times New Roman;serif"/>
          <w:b w:val="false"/>
          <w:color w:val="000000"/>
          <w:sz w:val="18"/>
        </w:rPr>
        <w:t>Accelerated filer </w:t>
      </w:r>
      <w:r>
        <w:rPr>
          <w:color w:val="000000"/>
        </w:rPr>
        <w:t>☐     </w:t>
      </w:r>
      <w:r>
        <w:rPr>
          <w:rFonts w:ascii="Times New Roman;serif" w:hAnsi="Times New Roman;serif"/>
          <w:b w:val="false"/>
          <w:color w:val="000000"/>
          <w:sz w:val="18"/>
        </w:rPr>
        <w:t>Non-accelerated filer </w:t>
      </w:r>
      <w:r>
        <w:rPr>
          <w:color w:val="000000"/>
        </w:rPr>
        <w:t>☐     </w:t>
      </w:r>
      <w:r>
        <w:rPr>
          <w:rFonts w:ascii="Times New Roman;serif" w:hAnsi="Times New Roman;serif"/>
          <w:b w:val="false"/>
          <w:color w:val="000000"/>
          <w:sz w:val="18"/>
        </w:rPr>
        <w:t>Smaller reporting company </w:t>
      </w:r>
      <w:r>
        <w:rPr>
          <w:color w:val="000000"/>
        </w:rPr>
        <w:t xml:space="preserve">☐ </w:t>
      </w:r>
      <w:r>
        <w:rPr>
          <w:rFonts w:ascii="Times New Roman;serif" w:hAnsi="Times New Roman;serif"/>
          <w:b w:val="false"/>
          <w:color w:val="000000"/>
          <w:sz w:val="18"/>
        </w:rPr>
        <w:t>Emerging growth company </w:t>
      </w:r>
      <w:r>
        <w:rPr>
          <w:color w:val="000000"/>
        </w:rPr>
        <w:t>☐</w:t>
      </w:r>
    </w:p>
    <w:p>
      <w:pPr>
        <w:pStyle w:val="TextBody"/>
        <w:bidi w:val="0"/>
        <w:spacing w:lineRule="auto" w:line="288" w:before="0" w:after="200"/>
        <w:ind w:left="0" w:right="0" w:firstLine="18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200"/>
        <w:ind w:left="0" w:right="0" w:firstLine="180"/>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  </w:t>
      </w:r>
    </w:p>
    <w:p>
      <w:pPr>
        <w:pStyle w:val="TextBody"/>
        <w:bidi w:val="0"/>
        <w:spacing w:lineRule="auto" w:line="288" w:before="0" w:after="200"/>
        <w:ind w:left="0" w:right="0" w:firstLine="180"/>
        <w:jc w:val="both"/>
        <w:rPr>
          <w:rFonts w:ascii="Times New Roman;serif" w:hAnsi="Times New Roman;serif"/>
          <w:b w:val="false"/>
          <w:color w:val="000000"/>
          <w:sz w:val="18"/>
        </w:rPr>
      </w:pPr>
      <w:r>
        <w:rPr>
          <w:rFonts w:ascii="Times New Roman;serif" w:hAnsi="Times New Roman;serif"/>
          <w:b w:val="false"/>
          <w:color w:val="000000"/>
          <w:sz w:val="18"/>
        </w:rPr>
        <w:t>On October 28, 2025, there were 158,732,706 shares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52" w:type="dxa"/>
        <w:jc w:val="center"/>
        <w:tblInd w:w="0" w:type="dxa"/>
        <w:tblLayout w:type="fixed"/>
        <w:tblCellMar>
          <w:top w:w="28" w:type="dxa"/>
          <w:left w:w="28" w:type="dxa"/>
          <w:bottom w:w="28" w:type="dxa"/>
          <w:right w:w="28" w:type="dxa"/>
        </w:tblCellMar>
      </w:tblPr>
      <w:tblGrid>
        <w:gridCol w:w="456"/>
        <w:gridCol w:w="399"/>
        <w:gridCol w:w="406"/>
        <w:gridCol w:w="2163"/>
        <w:gridCol w:w="2163"/>
        <w:gridCol w:w="2169"/>
        <w:gridCol w:w="233"/>
        <w:gridCol w:w="233"/>
        <w:gridCol w:w="330"/>
      </w:tblGrid>
      <w:tr>
        <w:trPr/>
        <w:tc>
          <w:tcPr>
            <w:tcW w:w="4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br/>
              <w:t>Number</w:t>
            </w:r>
          </w:p>
        </w:tc>
      </w:tr>
      <w:tr>
        <w:trPr/>
        <w:tc>
          <w:tcPr>
            <w:tcW w:w="8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PART I</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6">
              <w:r>
                <w:rPr>
                  <w:rStyle w:val="InternetLink"/>
                  <w:rFonts w:ascii="Times New Roman;serif" w:hAnsi="Times New Roman;serif"/>
                  <w:b w:val="false"/>
                  <w:color w:val="0000FF"/>
                  <w:sz w:val="18"/>
                  <w:u w:val="single"/>
                </w:rPr>
                <w:t>Item 1.</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6">
              <w:r>
                <w:rPr>
                  <w:rStyle w:val="InternetLink"/>
                  <w:rFonts w:ascii="Times New Roman;serif" w:hAnsi="Times New Roman;serif"/>
                  <w:b w:val="false"/>
                  <w:color w:val="0000FF"/>
                  <w:sz w:val="18"/>
                  <w:u w:val="single"/>
                </w:rPr>
                <w:t>Financial Statements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534ba112ab4091b059d4fc557a659a_16">
              <w:r>
                <w:rPr>
                  <w:rStyle w:val="InternetLink"/>
                  <w:rFonts w:ascii="Times New Roman;serif" w:hAnsi="Times New Roman;serif"/>
                  <w:b w:val="false"/>
                  <w:color w:val="0000FF"/>
                  <w:sz w:val="18"/>
                  <w:u w:val="single"/>
                </w:rPr>
                <w:t>4</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9">
              <w:r>
                <w:rPr>
                  <w:rStyle w:val="InternetLink"/>
                  <w:rFonts w:ascii="Times New Roman;serif" w:hAnsi="Times New Roman;serif"/>
                  <w:b w:val="false"/>
                  <w:color w:val="0000FF"/>
                  <w:sz w:val="18"/>
                  <w:u w:val="single"/>
                </w:rPr>
                <w:t>Condensed Consolidated Balance Sheets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534ba112ab4091b059d4fc557a659a_19">
              <w:r>
                <w:rPr>
                  <w:rStyle w:val="InternetLink"/>
                  <w:rFonts w:ascii="Times New Roman;serif" w:hAnsi="Times New Roman;serif"/>
                  <w:b w:val="false"/>
                  <w:color w:val="0000FF"/>
                  <w:sz w:val="18"/>
                  <w:u w:val="single"/>
                </w:rPr>
                <w:t>5</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22">
              <w:r>
                <w:rPr>
                  <w:rStyle w:val="InternetLink"/>
                  <w:rFonts w:ascii="Times New Roman;serif" w:hAnsi="Times New Roman;serif"/>
                  <w:b w:val="false"/>
                  <w:color w:val="0000FF"/>
                  <w:sz w:val="18"/>
                  <w:u w:val="single"/>
                </w:rPr>
                <w:t>Unaudited Condensed Consolidated Statements of Comprehensive Income</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534ba112ab4091b059d4fc557a659a_22">
              <w:r>
                <w:rPr>
                  <w:rStyle w:val="InternetLink"/>
                  <w:rFonts w:ascii="Times New Roman;serif" w:hAnsi="Times New Roman;serif"/>
                  <w:b w:val="false"/>
                  <w:color w:val="0000FF"/>
                  <w:sz w:val="18"/>
                  <w:u w:val="single"/>
                </w:rPr>
                <w:t>6</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25">
              <w:r>
                <w:rPr>
                  <w:rStyle w:val="InternetLink"/>
                  <w:rFonts w:ascii="Times New Roman;serif" w:hAnsi="Times New Roman;serif"/>
                  <w:b w:val="false"/>
                  <w:color w:val="0000FF"/>
                  <w:sz w:val="18"/>
                  <w:u w:val="single"/>
                </w:rPr>
                <w:t>Unaudited Condensed Consolidated Statements of Cash Flows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534ba112ab4091b059d4fc557a659a_25">
              <w:r>
                <w:rPr>
                  <w:rStyle w:val="InternetLink"/>
                  <w:rFonts w:ascii="Times New Roman;serif" w:hAnsi="Times New Roman;serif"/>
                  <w:b w:val="false"/>
                  <w:color w:val="0000FF"/>
                  <w:sz w:val="18"/>
                  <w:u w:val="single"/>
                </w:rPr>
                <w:t>7</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28">
              <w:r>
                <w:rPr>
                  <w:rStyle w:val="InternetLink"/>
                  <w:rFonts w:ascii="Times New Roman;serif" w:hAnsi="Times New Roman;serif"/>
                  <w:b w:val="false"/>
                  <w:color w:val="0000FF"/>
                  <w:sz w:val="18"/>
                  <w:u w:val="single"/>
                </w:rPr>
                <w:t>Unaudited Condensed Consolidated Statements of Stockholders’ Equity</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534ba112ab4091b059d4fc557a659a_28">
              <w:r>
                <w:rPr>
                  <w:rStyle w:val="InternetLink"/>
                  <w:rFonts w:ascii="Times New Roman;serif" w:hAnsi="Times New Roman;serif"/>
                  <w:b w:val="false"/>
                  <w:color w:val="0000FF"/>
                  <w:sz w:val="18"/>
                  <w:u w:val="single"/>
                </w:rPr>
                <w:t>8</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31">
              <w:r>
                <w:rPr>
                  <w:rStyle w:val="InternetLink"/>
                  <w:rFonts w:ascii="Times New Roman;serif" w:hAnsi="Times New Roman;serif"/>
                  <w:b w:val="false"/>
                  <w:color w:val="0000FF"/>
                  <w:sz w:val="18"/>
                  <w:u w:val="single"/>
                </w:rPr>
                <w:t>Notes to Unaudited Condensed Consolidated Financial Statements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534ba112ab4091b059d4fc557a659a_31">
              <w:r>
                <w:rPr>
                  <w:rStyle w:val="InternetLink"/>
                  <w:rFonts w:ascii="Times New Roman;serif" w:hAnsi="Times New Roman;serif"/>
                  <w:b w:val="false"/>
                  <w:color w:val="0000FF"/>
                  <w:sz w:val="18"/>
                  <w:u w:val="single"/>
                </w:rPr>
                <w:t>9</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88">
              <w:r>
                <w:rPr>
                  <w:rStyle w:val="InternetLink"/>
                  <w:rFonts w:ascii="Times New Roman;serif" w:hAnsi="Times New Roman;serif"/>
                  <w:b w:val="false"/>
                  <w:color w:val="0000FF"/>
                  <w:sz w:val="18"/>
                  <w:u w:val="single"/>
                </w:rPr>
                <w:t>Item 2.</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88">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534ba112ab4091b059d4fc557a659a_88">
              <w:r>
                <w:rPr>
                  <w:rStyle w:val="InternetLink"/>
                  <w:rFonts w:ascii="Times New Roman;serif" w:hAnsi="Times New Roman;serif"/>
                  <w:b w:val="false"/>
                  <w:color w:val="0000FF"/>
                  <w:sz w:val="18"/>
                  <w:u w:val="single"/>
                </w:rPr>
                <w:t>22</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12">
              <w:r>
                <w:rPr>
                  <w:rStyle w:val="InternetLink"/>
                  <w:rFonts w:ascii="Times New Roman;serif" w:hAnsi="Times New Roman;serif"/>
                  <w:b w:val="false"/>
                  <w:color w:val="0000FF"/>
                  <w:sz w:val="18"/>
                  <w:u w:val="single"/>
                </w:rPr>
                <w:t>Item 3.</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12">
              <w:r>
                <w:rPr>
                  <w:rStyle w:val="InternetLink"/>
                  <w:rFonts w:ascii="Times New Roman;serif" w:hAnsi="Times New Roman;serif"/>
                  <w:b w:val="false"/>
                  <w:color w:val="0000FF"/>
                  <w:sz w:val="18"/>
                  <w:u w:val="single"/>
                </w:rPr>
                <w:t>Quantitative and Qualitative Disclosures About Market Risk</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534ba112ab4091b059d4fc557a659a_112">
              <w:r>
                <w:rPr>
                  <w:rStyle w:val="InternetLink"/>
                  <w:rFonts w:ascii="Times New Roman;serif" w:hAnsi="Times New Roman;serif"/>
                  <w:b w:val="false"/>
                  <w:color w:val="0000FF"/>
                  <w:sz w:val="18"/>
                  <w:u w:val="single"/>
                </w:rPr>
                <w:t>34</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15">
              <w:r>
                <w:rPr>
                  <w:rStyle w:val="InternetLink"/>
                  <w:rFonts w:ascii="Times New Roman;serif" w:hAnsi="Times New Roman;serif"/>
                  <w:b w:val="false"/>
                  <w:color w:val="0000FF"/>
                  <w:sz w:val="18"/>
                  <w:u w:val="single"/>
                </w:rPr>
                <w:t>Item 4.</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15">
              <w:r>
                <w:rPr>
                  <w:rStyle w:val="InternetLink"/>
                  <w:rFonts w:ascii="Times New Roman;serif" w:hAnsi="Times New Roman;serif"/>
                  <w:b w:val="false"/>
                  <w:color w:val="0000FF"/>
                  <w:sz w:val="18"/>
                  <w:u w:val="single"/>
                </w:rPr>
                <w:t>Controls and Procedures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534ba112ab4091b059d4fc557a659a_115">
              <w:r>
                <w:rPr>
                  <w:rStyle w:val="InternetLink"/>
                  <w:rFonts w:ascii="Times New Roman;serif" w:hAnsi="Times New Roman;serif"/>
                  <w:b w:val="false"/>
                  <w:color w:val="0000FF"/>
                  <w:sz w:val="18"/>
                  <w:u w:val="single"/>
                </w:rPr>
                <w:t>34</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PART II</w:t>
            </w:r>
            <w:r>
              <w:rPr>
                <w:color w:val="000000"/>
              </w:rPr>
              <w:t> </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21">
              <w:r>
                <w:rPr>
                  <w:rStyle w:val="InternetLink"/>
                  <w:rFonts w:ascii="Times New Roman;serif" w:hAnsi="Times New Roman;serif"/>
                  <w:b w:val="false"/>
                  <w:color w:val="0000FF"/>
                  <w:sz w:val="18"/>
                  <w:u w:val="single"/>
                </w:rPr>
                <w:t>Item 1.</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21">
              <w:r>
                <w:rPr>
                  <w:rStyle w:val="InternetLink"/>
                  <w:rFonts w:ascii="Times New Roman;serif" w:hAnsi="Times New Roman;serif"/>
                  <w:b w:val="false"/>
                  <w:color w:val="0000FF"/>
                  <w:sz w:val="18"/>
                  <w:u w:val="single"/>
                </w:rPr>
                <w:t>Legal Proceedings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534ba112ab4091b059d4fc557a659a_121">
              <w:r>
                <w:rPr>
                  <w:rStyle w:val="InternetLink"/>
                  <w:rFonts w:ascii="Times New Roman;serif" w:hAnsi="Times New Roman;serif"/>
                  <w:b w:val="false"/>
                  <w:color w:val="0000FF"/>
                  <w:sz w:val="18"/>
                  <w:u w:val="single"/>
                </w:rPr>
                <w:t>35</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24">
              <w:r>
                <w:rPr>
                  <w:rStyle w:val="InternetLink"/>
                  <w:rFonts w:ascii="Times New Roman;serif" w:hAnsi="Times New Roman;serif"/>
                  <w:b w:val="false"/>
                  <w:color w:val="0000FF"/>
                  <w:sz w:val="18"/>
                  <w:u w:val="single"/>
                </w:rPr>
                <w:t>Item 1A.</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24">
              <w:r>
                <w:rPr>
                  <w:rStyle w:val="InternetLink"/>
                  <w:rFonts w:ascii="Times New Roman;serif" w:hAnsi="Times New Roman;serif"/>
                  <w:b w:val="false"/>
                  <w:color w:val="0000FF"/>
                  <w:sz w:val="18"/>
                  <w:u w:val="single"/>
                </w:rPr>
                <w:t>Risk Factors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534ba112ab4091b059d4fc557a659a_124">
              <w:r>
                <w:rPr>
                  <w:rStyle w:val="InternetLink"/>
                  <w:rFonts w:ascii="Times New Roman;serif" w:hAnsi="Times New Roman;serif"/>
                  <w:b w:val="false"/>
                  <w:color w:val="0000FF"/>
                  <w:sz w:val="18"/>
                  <w:u w:val="single"/>
                </w:rPr>
                <w:t>35</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27">
              <w:r>
                <w:rPr>
                  <w:rStyle w:val="InternetLink"/>
                  <w:rFonts w:ascii="Times New Roman;serif" w:hAnsi="Times New Roman;serif"/>
                  <w:b w:val="false"/>
                  <w:color w:val="0000FF"/>
                  <w:sz w:val="18"/>
                  <w:u w:val="single"/>
                </w:rPr>
                <w:t>Item 2.</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27">
              <w:r>
                <w:rPr>
                  <w:rStyle w:val="InternetLink"/>
                  <w:rFonts w:ascii="Times New Roman;serif" w:hAnsi="Times New Roman;serif"/>
                  <w:b w:val="false"/>
                  <w:color w:val="0000FF"/>
                  <w:sz w:val="18"/>
                  <w:u w:val="single"/>
                </w:rPr>
                <w:t>Unregistered Sales of Equity Securities and Use of Proceeds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534ba112ab4091b059d4fc557a659a_127">
              <w:r>
                <w:rPr>
                  <w:rStyle w:val="InternetLink"/>
                  <w:rFonts w:ascii="Times New Roman;serif" w:hAnsi="Times New Roman;serif"/>
                  <w:b w:val="false"/>
                  <w:color w:val="0000FF"/>
                  <w:sz w:val="18"/>
                  <w:u w:val="single"/>
                </w:rPr>
                <w:t>35</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30">
              <w:r>
                <w:rPr>
                  <w:rStyle w:val="InternetLink"/>
                  <w:rFonts w:ascii="Times New Roman;serif" w:hAnsi="Times New Roman;serif"/>
                  <w:b w:val="false"/>
                  <w:color w:val="0000FF"/>
                  <w:sz w:val="18"/>
                  <w:u w:val="single"/>
                </w:rPr>
                <w:t>Item 5.</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30">
              <w:r>
                <w:rPr>
                  <w:rStyle w:val="InternetLink"/>
                  <w:rFonts w:ascii="Times New Roman;serif" w:hAnsi="Times New Roman;serif"/>
                  <w:b w:val="false"/>
                  <w:color w:val="0000FF"/>
                  <w:sz w:val="18"/>
                  <w:u w:val="single"/>
                </w:rPr>
                <w:t>Other Information</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534ba112ab4091b059d4fc557a659a_130">
              <w:r>
                <w:rPr>
                  <w:rStyle w:val="InternetLink"/>
                  <w:rFonts w:ascii="Times New Roman;serif" w:hAnsi="Times New Roman;serif"/>
                  <w:b w:val="false"/>
                  <w:color w:val="0000FF"/>
                  <w:sz w:val="18"/>
                  <w:u w:val="single"/>
                </w:rPr>
                <w:t>35</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33">
              <w:r>
                <w:rPr>
                  <w:rStyle w:val="InternetLink"/>
                  <w:rFonts w:ascii="Times New Roman;serif" w:hAnsi="Times New Roman;serif"/>
                  <w:b w:val="false"/>
                  <w:color w:val="0000FF"/>
                  <w:sz w:val="18"/>
                  <w:u w:val="single"/>
                </w:rPr>
                <w:t>Item 6.</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33">
              <w:r>
                <w:rPr>
                  <w:rStyle w:val="InternetLink"/>
                  <w:rFonts w:ascii="Times New Roman;serif" w:hAnsi="Times New Roman;serif"/>
                  <w:b w:val="false"/>
                  <w:color w:val="0000FF"/>
                  <w:sz w:val="18"/>
                  <w:u w:val="single"/>
                </w:rPr>
                <w:t>Exhibits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534ba112ab4091b059d4fc557a659a_133">
              <w:r>
                <w:rPr>
                  <w:rStyle w:val="InternetLink"/>
                  <w:rFonts w:ascii="Times New Roman;serif" w:hAnsi="Times New Roman;serif"/>
                  <w:b w:val="false"/>
                  <w:color w:val="0000FF"/>
                  <w:sz w:val="18"/>
                  <w:u w:val="single"/>
                </w:rPr>
                <w:t>36</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534ba112ab4091b059d4fc557a659a_136">
              <w:r>
                <w:rPr>
                  <w:rStyle w:val="InternetLink"/>
                  <w:rFonts w:ascii="Times New Roman;serif" w:hAnsi="Times New Roman;serif"/>
                  <w:b w:val="false"/>
                  <w:color w:val="0000FF"/>
                  <w:sz w:val="18"/>
                  <w:u w:val="single"/>
                </w:rPr>
                <w:t>SIGNATURES</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534ba112ab4091b059d4fc557a659a_136">
              <w:r>
                <w:rPr>
                  <w:rStyle w:val="InternetLink"/>
                  <w:rFonts w:ascii="Times New Roman;serif" w:hAnsi="Times New Roman;serif"/>
                  <w:b w:val="false"/>
                  <w:color w:val="0000FF"/>
                  <w:sz w:val="18"/>
                  <w:u w:val="single"/>
                </w:rPr>
                <w:t>37</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Unless the context requires otherwise, references in this Quarterly Report on Form 10-Q (this “Form 10-Q”) to “Option Care Health,” the “Company,” “we,” “us” and “our” refer to Option Care Health, Inc. and its consolidated subsidiaries.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Form 10-Q includes forward-looking statements within the meaning of the safe harbor provisions of the U.S. Private Securities Litigation Reform Act of 1995, including, without limitation, statements concerning our expectations regarding industry and macroeconomic trends and our operating performance. Forward-looking statements can be identified by words such as: “anticipate,” “intend,” “plan,” “believe,” “project,” “estimate,” “expect,” “may,” “should,” “will” and similar references to future periods.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If any of these risks materialize, or if any of our assumptions underlying forward-looking statements prove incorrect, actual results and developments may differ materially from those made in or suggested by the forward-looking statements contained in this Form 10-Q. Important factors that could cause our actual results and financial condition to differ materially from those indicated in the forward-looking statements include, among others, those set forth in Item 1A, “Risk Factors,” of Part I of our Annual Report on Form 10-K for the year ended December 31, 2024 (our “Form 10-K”) filed with the U.S. Securities and Exchange Commission (the “SEC”).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Form 10-Q. We caution you against relying on any forward-looking statements, which should also be read in conjunction with the other cautionary statements that are included elsewhere in this Form 10-Q. Any forward-looking statement made by us in this Form 10-Q speaks only as of the date hereof. We undertake no obligation to publicly update or to revise any forward-looking statement, whether as a result of new information, future developments or otherwise,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pPr>
      <w:r>
        <w:rPr>
          <w:rFonts w:ascii="Times New Roman;serif" w:hAnsi="Times New Roman;serif"/>
          <w:b/>
          <w:color w:val="000000"/>
          <w:sz w:val="20"/>
        </w:rPr>
        <w:t>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CARE HEALTH,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SHARES AND PER SHARE AMOUNTS)</w:t>
      </w:r>
    </w:p>
    <w:tbl>
      <w:tblPr>
        <w:tblW w:w="10205" w:type="dxa"/>
        <w:jc w:val="center"/>
        <w:tblInd w:w="0" w:type="dxa"/>
        <w:tblLayout w:type="fixed"/>
        <w:tblCellMar>
          <w:top w:w="28" w:type="dxa"/>
          <w:left w:w="28" w:type="dxa"/>
          <w:bottom w:w="28" w:type="dxa"/>
          <w:right w:w="28" w:type="dxa"/>
        </w:tblCellMar>
      </w:tblPr>
      <w:tblGrid>
        <w:gridCol w:w="2884"/>
        <w:gridCol w:w="2151"/>
        <w:gridCol w:w="2168"/>
        <w:gridCol w:w="220"/>
        <w:gridCol w:w="981"/>
        <w:gridCol w:w="122"/>
        <w:gridCol w:w="109"/>
        <w:gridCol w:w="109"/>
        <w:gridCol w:w="109"/>
        <w:gridCol w:w="216"/>
        <w:gridCol w:w="962"/>
        <w:gridCol w:w="174"/>
      </w:tblGrid>
      <w:tr>
        <w:trPr/>
        <w:tc>
          <w:tcPr>
            <w:tcW w:w="2884"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309,822 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412,565 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474,500 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409,733 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388,131 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1,282,766 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1,322,627 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ASSETS: </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86,528 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Referral sources, net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284,017 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1,606,646 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1,540,246 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assets</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2,197,079 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2,099,116 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ASSETS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3,479,845 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3,421,743 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627,867 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610,779 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employee benefits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77,783 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liability</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823,906 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780,146 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discount, deferred financing costs and current portion</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1,155,056 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1,104,641 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net of current portion</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47,576 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1,297,280 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1,237,359 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2,121,186 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2,017,505 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STOCKHOLDERS’ EQUITY: </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12,500,000 shares authorized, no shares outstanding as of September 30, 2025 and December 31, 2024</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250,000,000 shares authorized, 184,498,929 shares issued and 160,107,695 shares outstanding as of September 30, 2025; 183,846,725 shares issued and 166,261,112 shares outstanding as of December 31, 2024</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24,391,234 and 17,585,613 shares outstanding, at cost, as of September 30, 2025 and December 31, 2024, respectively</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(722,192)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(507,598)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1,256,914 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1,231,435 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818,417 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669,336 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1,358,659 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1,404,238 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3,479,845 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3,421,743 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CARE HEALTH,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INCOME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1862"/>
        <w:gridCol w:w="1245"/>
        <w:gridCol w:w="1248"/>
        <w:gridCol w:w="201"/>
        <w:gridCol w:w="895"/>
        <w:gridCol w:w="111"/>
        <w:gridCol w:w="111"/>
        <w:gridCol w:w="111"/>
        <w:gridCol w:w="111"/>
        <w:gridCol w:w="201"/>
        <w:gridCol w:w="895"/>
        <w:gridCol w:w="111"/>
        <w:gridCol w:w="109"/>
        <w:gridCol w:w="109"/>
        <w:gridCol w:w="109"/>
        <w:gridCol w:w="199"/>
        <w:gridCol w:w="885"/>
        <w:gridCol w:w="110"/>
        <w:gridCol w:w="110"/>
        <w:gridCol w:w="110"/>
        <w:gridCol w:w="110"/>
        <w:gridCol w:w="199"/>
        <w:gridCol w:w="885"/>
        <w:gridCol w:w="168"/>
      </w:tblGrid>
      <w:tr>
        <w:trPr/>
        <w:tc>
          <w:tcPr>
            <w:tcW w:w="186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1,435,016 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1,278,546 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4,184,073 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3,651,784 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1,162,114 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1,021,797 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3,379,076 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2,907,170 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804,997 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744,614 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465,524 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188,395 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171,658 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558,592 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509,818 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85,091 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246,405 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234,796 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(41,824)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income</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(45,021)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149,081 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151,690 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unrealized (loss) gain on cash flow hedges, net of income tax benefit of $478, $1,998, $1,809 and $1,785, respectively</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COMPREHENSIVE INCOME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50,353 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143,536 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146,215 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COMMON SHARE:</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basic</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diluted</w:t>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basic</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diluted</w:t>
            </w:r>
          </w:p>
        </w:tc>
        <w:tc>
          <w:tcPr>
            <w:tcW w:w="109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163,086 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171,941 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164,602 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173,848 </w:t>
            </w:r>
          </w:p>
        </w:tc>
        <w:tc>
          <w:tcPr>
            <w:tcW w:w="1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CARE HEALTH,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tbl>
      <w:tblPr>
        <w:tblW w:w="8410" w:type="dxa"/>
        <w:jc w:val="center"/>
        <w:tblInd w:w="0" w:type="dxa"/>
        <w:tblLayout w:type="fixed"/>
        <w:tblCellMar>
          <w:top w:w="28" w:type="dxa"/>
          <w:left w:w="28" w:type="dxa"/>
          <w:bottom w:w="28" w:type="dxa"/>
          <w:right w:w="28" w:type="dxa"/>
        </w:tblCellMar>
      </w:tblPr>
      <w:tblGrid>
        <w:gridCol w:w="2017"/>
        <w:gridCol w:w="1771"/>
        <w:gridCol w:w="1776"/>
        <w:gridCol w:w="227"/>
        <w:gridCol w:w="855"/>
        <w:gridCol w:w="126"/>
        <w:gridCol w:w="126"/>
        <w:gridCol w:w="126"/>
        <w:gridCol w:w="126"/>
        <w:gridCol w:w="227"/>
        <w:gridCol w:w="855"/>
        <w:gridCol w:w="178"/>
      </w:tblGrid>
      <w:tr>
        <w:trPr/>
        <w:tc>
          <w:tcPr>
            <w:tcW w:w="201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operations:</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46,029 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incentive compensation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27,620 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from equity method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(55,430)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(51,293)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employee benefits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and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222,556 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287,270 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and equipment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(27,661)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acquisitions, net of cash acquired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(117,247)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(147,437)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(25,266)</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tax withholdings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stock and related excise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(214,887)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(160,122)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debt principal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debt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(180,239)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(177,862)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(122,827)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(102,743)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139,177 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the period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343,849 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309,822 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483,026 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48,666 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49,836 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operating leases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CARE HEALTH,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STATEMENTS OF STOCKHOLDERS’ EQUITY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tbl>
      <w:tblPr>
        <w:tblW w:w="10600" w:type="dxa"/>
        <w:jc w:val="center"/>
        <w:tblInd w:w="0" w:type="dxa"/>
        <w:tblLayout w:type="fixed"/>
        <w:tblCellMar>
          <w:top w:w="28" w:type="dxa"/>
          <w:left w:w="28" w:type="dxa"/>
          <w:bottom w:w="28" w:type="dxa"/>
          <w:right w:w="28" w:type="dxa"/>
        </w:tblCellMar>
      </w:tblPr>
      <w:tblGrid>
        <w:gridCol w:w="582"/>
        <w:gridCol w:w="301"/>
        <w:gridCol w:w="303"/>
        <w:gridCol w:w="227"/>
        <w:gridCol w:w="471"/>
        <w:gridCol w:w="128"/>
        <w:gridCol w:w="109"/>
        <w:gridCol w:w="109"/>
        <w:gridCol w:w="109"/>
        <w:gridCol w:w="254"/>
        <w:gridCol w:w="429"/>
        <w:gridCol w:w="143"/>
        <w:gridCol w:w="109"/>
        <w:gridCol w:w="109"/>
        <w:gridCol w:w="109"/>
        <w:gridCol w:w="196"/>
        <w:gridCol w:w="751"/>
        <w:gridCol w:w="109"/>
        <w:gridCol w:w="109"/>
        <w:gridCol w:w="109"/>
        <w:gridCol w:w="109"/>
        <w:gridCol w:w="196"/>
        <w:gridCol w:w="871"/>
        <w:gridCol w:w="109"/>
        <w:gridCol w:w="109"/>
        <w:gridCol w:w="109"/>
        <w:gridCol w:w="109"/>
        <w:gridCol w:w="196"/>
        <w:gridCol w:w="736"/>
        <w:gridCol w:w="109"/>
        <w:gridCol w:w="109"/>
        <w:gridCol w:w="109"/>
        <w:gridCol w:w="109"/>
        <w:gridCol w:w="269"/>
        <w:gridCol w:w="887"/>
        <w:gridCol w:w="150"/>
        <w:gridCol w:w="109"/>
        <w:gridCol w:w="109"/>
        <w:gridCol w:w="109"/>
        <w:gridCol w:w="196"/>
        <w:gridCol w:w="871"/>
        <w:gridCol w:w="154"/>
      </w:tblGrid>
      <w:tr>
        <w:trPr/>
        <w:tc>
          <w:tcPr>
            <w:tcW w:w="5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December 31, 2023</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1,421,672 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vesting of restricted stock, and related tax withholdings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incentive compensation</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stock and related tax effects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March 31, 2024</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vesting of restricted stock, and related tax withholdings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incentive compensation</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stock and related tax effects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June 30, 2024</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1,411,431 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vesting of restricted stock, and related tax withholdings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incentive compensation</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stock and related tax effects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September 30, 2024</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December 31, 2024</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vesting of restricted stock, and related tax withholdings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incentive compensation</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stock and related tax effects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March 31, 2025</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(608,711)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vesting of restricted stock, and related tax withholdings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incentive compensation</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stock and related tax effects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June 30, 2025</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1,359,948 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vesting of restricted stock, and related tax withholdings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incentive compensation</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stock and related tax effects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September 30, 2025</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(722,192)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1,358,659 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CARE HEALTH, INC.</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1. NATURE OF OPERATIONS AND PRESENTATION OF FINANCIAL STATEMENTS</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Corporate Organization and Business </w:t>
      </w:r>
      <w:r>
        <w:rPr>
          <w:color w:val="000000"/>
        </w:rPr>
        <w:t xml:space="preserve">— </w:t>
      </w:r>
      <w:r>
        <w:rPr>
          <w:rFonts w:ascii="Times New Roman;serif" w:hAnsi="Times New Roman;serif"/>
          <w:b w:val="false"/>
          <w:color w:val="000000"/>
          <w:sz w:val="20"/>
        </w:rPr>
        <w:t>Option Care Health, and its wholly-owned subsidiaries, provide infusion therapy and other ancillary healthcare services through a national network of 87 full service pharmacies, including 74 with ambulatory infusion suites. Additionally, the Company has 105 stand-alone ambulatory infusion suites, including 24 with advanced practitioner capabilities.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 The Company’s stock is listed on the Nasdaq Global Select Market as of September 30, 2025.</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Basis of Presentation </w:t>
      </w:r>
      <w:r>
        <w:rPr>
          <w:color w:val="000000"/>
        </w:rPr>
        <w:t xml:space="preserve">— </w:t>
      </w:r>
      <w:r>
        <w:rPr>
          <w:rFonts w:ascii="Times New Roman;serif" w:hAnsi="Times New Roman;serif"/>
          <w:b w:val="false"/>
          <w:color w:val="000000"/>
          <w:sz w:val="20"/>
        </w:rPr>
        <w:t>The accompanying unaudited condensed consolidated financial statements have been prepared in conformity with generally 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2024 audited consolidated financial statements, including the notes thereto, as presented in our Form 10-K.</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Principles of Consolidation </w:t>
      </w:r>
      <w:r>
        <w:rPr>
          <w:color w:val="000000"/>
        </w:rPr>
        <w:t xml:space="preserve">— </w:t>
      </w:r>
      <w:r>
        <w:rPr>
          <w:rFonts w:ascii="Times New Roman;serif" w:hAnsi="Times New Roman;serif"/>
          <w:b w:val="false"/>
          <w:color w:val="000000"/>
          <w:sz w:val="20"/>
        </w:rPr>
        <w:t>The Company’s unaudited condensed consolidated financial statements include the accounts of Option Care Health, Inc. and its subsidiaries. All intercompany transactions and balances are eliminated in consolidation.</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Company has investments in companies that are 50% owned and are accounted for as equity-method investments. The Company’s share of earnings from equity-method investments is included in the line entitled “Equity in earnings of joint ventures” in the unaudited condensed consolidated statements of comprehensive income. See Equity-Method Investments within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for further discussion of the Company’s equity-method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Cash and Cash Equivalents </w:t>
      </w:r>
      <w:r>
        <w:rPr>
          <w:color w:val="000000"/>
        </w:rPr>
        <w:t xml:space="preserve">— </w:t>
      </w:r>
      <w:r>
        <w:rPr>
          <w:rFonts w:ascii="Times New Roman;serif" w:hAnsi="Times New Roman;serif"/>
          <w:b w:val="false"/>
          <w:color w:val="000000"/>
          <w:sz w:val="20"/>
        </w:rPr>
        <w:t>The Company considers all highly liquid investments with original maturities of three months or less to be cash equivalents. As of September 30, 2025, cash equivalents consisted of money market funds.</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Prepaid Expenses and Other Current Assets </w:t>
      </w:r>
      <w:r>
        <w:rPr>
          <w:color w:val="000000"/>
        </w:rPr>
        <w:t xml:space="preserve">— </w:t>
      </w:r>
      <w:r>
        <w:rPr>
          <w:rFonts w:ascii="Times New Roman;serif" w:hAnsi="Times New Roman;serif"/>
          <w:b w:val="false"/>
          <w:color w:val="000000"/>
          <w:sz w:val="20"/>
        </w:rPr>
        <w:t>Included in prepaid expenses and other current assets are volume-based rebates receivable from pharmaceutical and medical supply manufacturers of $28.4 million and $54.4 million as of September 30, 2025 and December 31, 2024, respectively.</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Equity-Method Investments </w:t>
      </w:r>
      <w:r>
        <w:rPr>
          <w:color w:val="000000"/>
        </w:rPr>
        <w:t xml:space="preserve">— </w:t>
      </w:r>
      <w:r>
        <w:rPr>
          <w:rFonts w:ascii="Times New Roman;serif" w:hAnsi="Times New Roman;serif"/>
          <w:b w:val="false"/>
          <w:color w:val="000000"/>
          <w:sz w:val="20"/>
        </w:rPr>
        <w:t xml:space="preserve">The Company’s investments in certain unconsolidated entities are accounted for under the equity method. The balance of these investments is included in other noncurrent assets in the accompanying condensed consolidated balance sheets. As of September 30, 2025 and December 31, 2024, the balance of the investments was $27.7 million and $24.5 million, respectively. The balance of these investments is increased to reflect the Company’s capital contributions and equity in earnings of the investees. The balance of these investments is decreased to reflect the Company’s equity in losses of the investees and for distributions received that are not in excess of the carrying amount of the investments. The Company’s proportionate share of earnings or losses of the investees is recorded in equity in earnings of joint ventures in the accompanying unaudited condensed consolidated statements of comprehensive income. The Company’s proportionate share of earnings was $2.2 million and $5.3 million for the three and nine months ended September 30, 2025, respectively. The Company’s proportionate share of earnings was $1.4 million and $3.9 million for the three and nine months ended September 30, 2024, respectively. Distributions from the investees are treated as cash inflows from operating activities in the unaudited condensed consolidated statements of cash flows. During the three and nine months ended September 30, 2025, the Company received distributions from the investees of $0.5 million and $2.1 million, respectively. During the three and nine months ended September 30, 2024, the Company received distributions from the investees of $0.5 million and $1.3 million, respectively. See Note 16, </w:t>
      </w:r>
      <w:r>
        <w:rPr>
          <w:rFonts w:ascii="Times New Roman;serif" w:hAnsi="Times New Roman;serif"/>
          <w:b w:val="false"/>
          <w:i/>
          <w:color w:val="000000"/>
          <w:sz w:val="20"/>
        </w:rPr>
        <w:t>Related-Party Transactions</w:t>
      </w:r>
      <w:r>
        <w:rPr>
          <w:rFonts w:ascii="Times New Roman;serif" w:hAnsi="Times New Roman;serif"/>
          <w:b w:val="false"/>
          <w:color w:val="000000"/>
          <w:sz w:val="20"/>
        </w:rPr>
        <w:t>, for discussion of related-party transactions with these investees.</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Concentrations of Business Risk </w:t>
      </w:r>
      <w:r>
        <w:rPr>
          <w:color w:val="000000"/>
        </w:rPr>
        <w:t xml:space="preserve">— </w:t>
      </w:r>
      <w:r>
        <w:rPr>
          <w:rFonts w:ascii="Times New Roman;serif" w:hAnsi="Times New Roman;serif"/>
          <w:b w:val="false"/>
          <w:color w:val="000000"/>
          <w:sz w:val="20"/>
        </w:rPr>
        <w:t>The Company generates revenue from managed care contracts and other agreements with commercial third-party payers. Revenue related to the Company’s largest payer was approximately 14% for the three and nine months ended September 30, 2025. Revenue related to the Company’s largest payer was approximately 15% for the three and nine months ended September 30, 2024. There were no other managed care contracts that represent greater than 10% of revenue for the periods presented.</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and nine months ended September 30, 2025, approximately 12% of the Company’s revenue was reimbursable through direct government healthcare programs, such as Medicare and Medicaid. For the three and nine months ended September 30, 2024, approximately 11% and 12%, respectively, of the Company’s revenue was reimbursable through direct government healthcare programs, such as Medicare and Medicaid. </w:t>
      </w:r>
      <w:r>
        <w:rPr>
          <w:rFonts w:ascii="Times New Roman;serif" w:hAnsi="Times New Roman;serif"/>
          <w:b w:val="false"/>
          <w:color w:val="000000"/>
          <w:sz w:val="20"/>
          <w:shd w:fill="FFFFFF" w:val="clear"/>
        </w:rPr>
        <w:t>As of September 30, 2025 and December 31, 2024, approximately</w:t>
      </w:r>
      <w:r>
        <w:rPr>
          <w:color w:val="000000"/>
        </w:rPr>
        <w:t xml:space="preserve"> </w:t>
      </w:r>
      <w:r>
        <w:rPr>
          <w:rFonts w:ascii="Times New Roman;serif" w:hAnsi="Times New Roman;serif"/>
          <w:b w:val="false"/>
          <w:color w:val="000000"/>
          <w:sz w:val="20"/>
        </w:rPr>
        <w:t>11%</w:t>
      </w:r>
      <w:r>
        <w:rPr>
          <w:color w:val="000000"/>
          <w:shd w:fill="FFFFFF" w:val="clear"/>
        </w:rPr>
        <w:t xml:space="preserve"> </w:t>
      </w:r>
      <w:r>
        <w:rPr>
          <w:rFonts w:ascii="Times New Roman;serif" w:hAnsi="Times New Roman;serif"/>
          <w:b w:val="false"/>
          <w:color w:val="000000"/>
          <w:sz w:val="20"/>
          <w:shd w:fill="FFFFFF" w:val="clear"/>
        </w:rPr>
        <w:t>of the Company’s accounts receivable was related to these programs. Governmental programs pay for services based on fee schedules and rates that are determined by the related governmental agency. Laws and regulations pertaining</w:t>
      </w:r>
      <w:r>
        <w:rPr>
          <w:color w:val="000000"/>
        </w:rPr>
        <w:t xml:space="preserve"> </w:t>
      </w:r>
      <w:r>
        <w:rPr>
          <w:rFonts w:ascii="Times New Roman;serif" w:hAnsi="Times New Roman;serif"/>
          <w:b w:val="false"/>
          <w:color w:val="000000"/>
          <w:sz w:val="20"/>
        </w:rPr>
        <w:t>to government programs are complex and subject to interpretation. As a result, there is at least a reasonable possibility that recorded estimates will change in the near term.</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does not require its patients 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and nine months ended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approximately 66% and 67%, respectively, of the Company’s pharmaceutical and medical supply purchases were from four vendors. For the three and nine months ended September 30, 2024, approximately 68% and 67%, respectively, of the Company’s pharmaceutical and medical supply purchases were from four vendors. Although there are a limited number of suppliers, the Company believes that other vendors could provide similar products on comparable terms for most products. However, a change in suppliers could cause delays in service delivery and possible losses in revenue, which could adversely affect the Company’s financial condition 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3. BUSINESS COMBINATIONS</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Intramed Plus, Inc. </w:t>
      </w:r>
      <w:r>
        <w:rPr>
          <w:color w:val="000000"/>
        </w:rPr>
        <w:t xml:space="preserve">— </w:t>
      </w:r>
      <w:r>
        <w:rPr>
          <w:rFonts w:ascii="Times New Roman;serif" w:hAnsi="Times New Roman;serif"/>
          <w:b w:val="false"/>
          <w:color w:val="000000"/>
          <w:sz w:val="20"/>
        </w:rPr>
        <w:t>On January 24, 2025, pursuant to the securities purchase agreement dated November 27, 2024, the Company completed the acquisition of 100% of the equity interests in Intramed Plus, Inc. (“Intramed Plus”) for a purchase price, net of cash acquired, of $117.2 million.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allocation of the purchase price of Intramed Plus was accounted for as a business combination in accordance with ASC Topic 805, Business Combinations, with the total purchase price being allocated to the assets and liabilities acquired based on the estimated fair value of each asset and liability. Certain adjustments were made to preliminary valuation amounts related to accounts receivable, net during the three months ended September 30, 2025. The following is a preliminary estimate of the allocation of the consideration transferred to acquired identifiable assets and assumed liabilities, net of cash acquired, as of September 30, 2025, which remains open for accounts receivable, net (in thousands):</w:t>
      </w:r>
    </w:p>
    <w:tbl>
      <w:tblPr>
        <w:tblW w:w="4176" w:type="dxa"/>
        <w:jc w:val="center"/>
        <w:tblInd w:w="0" w:type="dxa"/>
        <w:tblLayout w:type="fixed"/>
        <w:tblCellMar>
          <w:top w:w="28" w:type="dxa"/>
          <w:left w:w="28" w:type="dxa"/>
          <w:bottom w:w="28" w:type="dxa"/>
          <w:right w:w="28" w:type="dxa"/>
        </w:tblCellMar>
      </w:tblPr>
      <w:tblGrid>
        <w:gridCol w:w="1117"/>
        <w:gridCol w:w="983"/>
        <w:gridCol w:w="990"/>
        <w:gridCol w:w="196"/>
        <w:gridCol w:w="73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Referral sources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Trademarks/names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identifiable assets and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net of cash acquired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Referral sources and trademarks/names have been assigned a useful life of 15 years.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Goodwill is attributable to cost synergies from procurement and operational efficiencies and elimination of duplicative administrative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4. REVENUE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net revenue earned by category of payer for the three and nine months ended September 30, 2025 and 2024 (in thousands):</w:t>
      </w:r>
    </w:p>
    <w:tbl>
      <w:tblPr>
        <w:tblW w:w="7579" w:type="dxa"/>
        <w:jc w:val="center"/>
        <w:tblInd w:w="0" w:type="dxa"/>
        <w:tblLayout w:type="fixed"/>
        <w:tblCellMar>
          <w:top w:w="28" w:type="dxa"/>
          <w:left w:w="28" w:type="dxa"/>
          <w:bottom w:w="28" w:type="dxa"/>
          <w:right w:w="28" w:type="dxa"/>
        </w:tblCellMar>
      </w:tblPr>
      <w:tblGrid>
        <w:gridCol w:w="548"/>
        <w:gridCol w:w="482"/>
        <w:gridCol w:w="484"/>
        <w:gridCol w:w="211"/>
        <w:gridCol w:w="941"/>
        <w:gridCol w:w="117"/>
        <w:gridCol w:w="117"/>
        <w:gridCol w:w="117"/>
        <w:gridCol w:w="117"/>
        <w:gridCol w:w="211"/>
        <w:gridCol w:w="941"/>
        <w:gridCol w:w="117"/>
        <w:gridCol w:w="109"/>
        <w:gridCol w:w="109"/>
        <w:gridCol w:w="109"/>
        <w:gridCol w:w="205"/>
        <w:gridCol w:w="911"/>
        <w:gridCol w:w="114"/>
        <w:gridCol w:w="114"/>
        <w:gridCol w:w="114"/>
        <w:gridCol w:w="114"/>
        <w:gridCol w:w="205"/>
        <w:gridCol w:w="911"/>
        <w:gridCol w:w="16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payers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1,252,185 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1,109,971 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3,628,777 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3,160,490 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payers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501,243 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424,033 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Patients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1,435,016 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1,278,546 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4,184,073 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3,651,784 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5. INCOME TAXES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recorded tax expense of $17.2 million and $52.3 million, respectively, which represents an effective tax rate of 24.9% and 26.0%, respectively. The variance in the Company’s effective tax rate of 24.9% and 26.0% for the three and nine months ended September 30, 2025, respectively, compared to the federal statutory rate of 21%, is primarily attributable to the difference between federal and state tax rates and various non-deductible expenses. During the three and nine months ended September 30, 2024, the Company recorded tax expense of $19.7 million and $50.9 million, respectively, which represents an effective tax rate of 26.8% and 25.1%, respectively. The variance in the Company’s effective tax rate of 26.8% and 25.1% for the three and nine months ended September 30, 2024, respectively, compared to the federal statutory rate of 21%, is primarily attributable to the difference between federal and state tax rates, various non-deductible expenses, and a change in state valuation allowance. During the nine months ended September 30, 2024, the Company released $2.2 million of state valuation allowance.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maintains a valuation allowance of $3.3 million against certain state net operating losses.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In making this assessment, the Company considers the scheduled reversal of deferred tax liabilities, including the effect in available carryback and carryforward periods, projected taxable income, and tax-planning strategies. On a quarterly basis, the Company evaluates all positive and negative evidence in determining if the valuation allowance is fairly stated.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tax expense of $17.2 million and $52.3 million for the three and nine months ended September 30, 2025, respectively, consists of quarterly federal and state tax liabilities as well as recognized deferred federal and state tax expense. The Company’s tax expense of $19.7 million and $50.9 million for the three and nine months ended September 30, 2024, respectively, consists of quarterly federal and state tax liabilities as well as recognized deferred federal and state tax expense.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accumulated federal net operating loss carryovers that are subject to one or more Internal Revenue Code (“Code”) Section 382 limitations. This may limit the Company’s ability to utilize its federal net operating losses.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has reflected the applicable provisions of the OBBBA into its unaudited condensed financial statements for the nine months ended September 30, 2025, and there is no material impact on its unaudited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6. EARNINGS PER SHARE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presents basic and diluted earnings per share for its common stock. Basic earnings per share is calculated by dividing the net income of the Company by the weighted average number of shares of common stock outstanding during the period. Diluted earnings per share is determined by adjusting the profit or loss and the weighted average number of shares of common stock outstanding for the effects of all potentially dilutive securities.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earnings are used as the basis of determining whether the inclusion of common stock equivalents would be anti-dilutive. The computation of diluted shares for the three and nine months ended September 30, 2025 and 2024 includes the effect of shares that would be issued in connection with warrants, stock options, restricted stock awards and performance stock unit awards, as these common stock equivalents are dilutive to the earnings per share recorded in those periods.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common stock equivalents that were excluded from the calculation of earnings per share as they would be anti-dilutive:</w:t>
      </w:r>
    </w:p>
    <w:tbl>
      <w:tblPr>
        <w:tblW w:w="9059" w:type="dxa"/>
        <w:jc w:val="center"/>
        <w:tblInd w:w="0" w:type="dxa"/>
        <w:tblLayout w:type="fixed"/>
        <w:tblCellMar>
          <w:top w:w="28" w:type="dxa"/>
          <w:left w:w="28" w:type="dxa"/>
          <w:bottom w:w="28" w:type="dxa"/>
          <w:right w:w="28" w:type="dxa"/>
        </w:tblCellMar>
      </w:tblPr>
      <w:tblGrid>
        <w:gridCol w:w="834"/>
        <w:gridCol w:w="736"/>
        <w:gridCol w:w="739"/>
        <w:gridCol w:w="511"/>
        <w:gridCol w:w="321"/>
        <w:gridCol w:w="321"/>
        <w:gridCol w:w="321"/>
        <w:gridCol w:w="321"/>
        <w:gridCol w:w="321"/>
        <w:gridCol w:w="511"/>
        <w:gridCol w:w="321"/>
        <w:gridCol w:w="321"/>
        <w:gridCol w:w="109"/>
        <w:gridCol w:w="109"/>
        <w:gridCol w:w="109"/>
        <w:gridCol w:w="460"/>
        <w:gridCol w:w="301"/>
        <w:gridCol w:w="301"/>
        <w:gridCol w:w="301"/>
        <w:gridCol w:w="301"/>
        <w:gridCol w:w="301"/>
        <w:gridCol w:w="449"/>
        <w:gridCol w:w="301"/>
        <w:gridCol w:w="439"/>
      </w:tblGrid>
      <w:tr>
        <w:trPr/>
        <w:tc>
          <w:tcPr>
            <w:tcW w:w="8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awards</w:t>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698,780 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779,876 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697,668 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855,323 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awards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630,075 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324,877 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524,731 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365,835 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stock unit awards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333,995 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257,735 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basic earnings per share and shares outstanding (in thousands, except per share data):</w:t>
      </w:r>
    </w:p>
    <w:tbl>
      <w:tblPr>
        <w:tblW w:w="10205" w:type="dxa"/>
        <w:jc w:val="center"/>
        <w:tblInd w:w="0" w:type="dxa"/>
        <w:tblLayout w:type="fixed"/>
        <w:tblCellMar>
          <w:top w:w="28" w:type="dxa"/>
          <w:left w:w="28" w:type="dxa"/>
          <w:bottom w:w="28" w:type="dxa"/>
          <w:right w:w="28" w:type="dxa"/>
        </w:tblCellMar>
      </w:tblPr>
      <w:tblGrid>
        <w:gridCol w:w="1498"/>
        <w:gridCol w:w="1321"/>
        <w:gridCol w:w="1332"/>
        <w:gridCol w:w="253"/>
        <w:gridCol w:w="836"/>
        <w:gridCol w:w="140"/>
        <w:gridCol w:w="140"/>
        <w:gridCol w:w="140"/>
        <w:gridCol w:w="140"/>
        <w:gridCol w:w="253"/>
        <w:gridCol w:w="836"/>
        <w:gridCol w:w="140"/>
        <w:gridCol w:w="109"/>
        <w:gridCol w:w="109"/>
        <w:gridCol w:w="109"/>
        <w:gridCol w:w="226"/>
        <w:gridCol w:w="853"/>
        <w:gridCol w:w="125"/>
        <w:gridCol w:w="125"/>
        <w:gridCol w:w="125"/>
        <w:gridCol w:w="125"/>
        <w:gridCol w:w="226"/>
        <w:gridCol w:w="853"/>
        <w:gridCol w:w="191"/>
      </w:tblGrid>
      <w:tr>
        <w:trPr/>
        <w:tc>
          <w:tcPr>
            <w:tcW w:w="149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53,856 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151,690 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common shares outstanding</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170,636 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172,490 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common share, basic</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diluted earnings per share and shares outstanding (in thousands, except per share data):</w:t>
      </w:r>
    </w:p>
    <w:tbl>
      <w:tblPr>
        <w:tblW w:w="10205" w:type="dxa"/>
        <w:jc w:val="center"/>
        <w:tblInd w:w="0" w:type="dxa"/>
        <w:tblLayout w:type="fixed"/>
        <w:tblCellMar>
          <w:top w:w="28" w:type="dxa"/>
          <w:left w:w="28" w:type="dxa"/>
          <w:bottom w:w="28" w:type="dxa"/>
          <w:right w:w="28" w:type="dxa"/>
        </w:tblCellMar>
      </w:tblPr>
      <w:tblGrid>
        <w:gridCol w:w="1544"/>
        <w:gridCol w:w="1361"/>
        <w:gridCol w:w="1373"/>
        <w:gridCol w:w="246"/>
        <w:gridCol w:w="813"/>
        <w:gridCol w:w="136"/>
        <w:gridCol w:w="136"/>
        <w:gridCol w:w="136"/>
        <w:gridCol w:w="136"/>
        <w:gridCol w:w="246"/>
        <w:gridCol w:w="813"/>
        <w:gridCol w:w="136"/>
        <w:gridCol w:w="109"/>
        <w:gridCol w:w="109"/>
        <w:gridCol w:w="109"/>
        <w:gridCol w:w="222"/>
        <w:gridCol w:w="839"/>
        <w:gridCol w:w="123"/>
        <w:gridCol w:w="123"/>
        <w:gridCol w:w="123"/>
        <w:gridCol w:w="123"/>
        <w:gridCol w:w="222"/>
        <w:gridCol w:w="839"/>
        <w:gridCol w:w="188"/>
      </w:tblGrid>
      <w:tr>
        <w:trPr/>
        <w:tc>
          <w:tcPr>
            <w:tcW w:w="154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2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151,690 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common shares outstanding</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170,636 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172,490 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common shares outstanding, diluted</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163,086 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171,941 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164,602 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173,848 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Earnings per common share: </w:t>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common share, diluted</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During the three and nine months ended September 30, 2025, the Company incurred operating lease expenses of $8.9 million and $26.0 million, respectively, including short-term lease expenses, which were included as a component of selling, general and administrative expenses in the unaudited condensed consolidated statements of comprehensive income. During the three and nine months ended September 30, 2024, the Company incurred operating lease expenses of $8.6 million and $25.3 million, respectively, including short-term lease expenses, which were included as a component of selling, general and administrative expenses in the unaudited condensed consolidated statements of comprehensive income. As of September 30, 2025 and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the weighted-average remaining lease term was 6.6 years and 6.5 years, respectively, and the weighted-average discount rate was 6.94% and 6.56%,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leases mature as follows (in thousands):</w:t>
      </w:r>
    </w:p>
    <w:tbl>
      <w:tblPr>
        <w:tblW w:w="4645" w:type="dxa"/>
        <w:jc w:val="center"/>
        <w:tblInd w:w="0" w:type="dxa"/>
        <w:tblLayout w:type="fixed"/>
        <w:tblCellMar>
          <w:top w:w="28" w:type="dxa"/>
          <w:left w:w="28" w:type="dxa"/>
          <w:bottom w:w="28" w:type="dxa"/>
          <w:right w:w="28" w:type="dxa"/>
        </w:tblCellMar>
      </w:tblPr>
      <w:tblGrid>
        <w:gridCol w:w="945"/>
        <w:gridCol w:w="831"/>
        <w:gridCol w:w="833"/>
        <w:gridCol w:w="109"/>
        <w:gridCol w:w="109"/>
        <w:gridCol w:w="109"/>
        <w:gridCol w:w="308"/>
        <w:gridCol w:w="1159"/>
        <w:gridCol w:w="242"/>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 Payments</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29,883 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51,281 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145,719 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114,369 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pPr>
      <w:r>
        <w:rPr>
          <w:rFonts w:ascii="Times New Roman;serif" w:hAnsi="Times New Roman;serif"/>
          <w:b w:val="false"/>
          <w:color w:val="000000"/>
          <w:sz w:val="20"/>
        </w:rPr>
        <w:t>During the nine months ended September 30, 2025 and 2024, the Company commenced new leases, extensions and amendments, resulting in non-cash operating activities in the unaudited condensed consolidated statements of cash flows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$23.0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$23.0 million, respectively, </w:t>
      </w:r>
      <w:r>
        <w:rPr>
          <w:rFonts w:ascii="Times New Roman;serif" w:hAnsi="Times New Roman;serif"/>
          <w:b w:val="false"/>
          <w:color w:val="000000"/>
          <w:sz w:val="20"/>
          <w:shd w:fill="FFFFFF" w:val="clear"/>
        </w:rPr>
        <w:t>re</w:t>
      </w:r>
      <w:r>
        <w:rPr>
          <w:rFonts w:ascii="Times New Roman;serif" w:hAnsi="Times New Roman;serif"/>
          <w:b w:val="false"/>
          <w:color w:val="000000"/>
          <w:sz w:val="20"/>
        </w:rPr>
        <w:t>lated to increases in the operating lease right-of-use assets and operating lease liabilities. As of September 30, 2025, the Company did not have any significant operating or financing leases that had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8. PROPERTY AND EQUIPMENT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was as follows as of September 30, 2025 and December 31, 2024 (in thousands):</w:t>
      </w:r>
    </w:p>
    <w:tbl>
      <w:tblPr>
        <w:tblW w:w="7586" w:type="dxa"/>
        <w:jc w:val="center"/>
        <w:tblInd w:w="0" w:type="dxa"/>
        <w:tblLayout w:type="fixed"/>
        <w:tblCellMar>
          <w:top w:w="28" w:type="dxa"/>
          <w:left w:w="28" w:type="dxa"/>
          <w:bottom w:w="28" w:type="dxa"/>
          <w:right w:w="28" w:type="dxa"/>
        </w:tblCellMar>
      </w:tblPr>
      <w:tblGrid>
        <w:gridCol w:w="1472"/>
        <w:gridCol w:w="1290"/>
        <w:gridCol w:w="1302"/>
        <w:gridCol w:w="302"/>
        <w:gridCol w:w="1135"/>
        <w:gridCol w:w="168"/>
        <w:gridCol w:w="109"/>
        <w:gridCol w:w="109"/>
        <w:gridCol w:w="109"/>
        <w:gridCol w:w="287"/>
        <w:gridCol w:w="1078"/>
        <w:gridCol w:w="225"/>
      </w:tblGrid>
      <w:tr>
        <w:trPr/>
        <w:tc>
          <w:tcPr>
            <w:tcW w:w="147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Infusion pumps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39,476 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37,659 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furniture and other</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116,675 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software, purchased and internally developed</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under development</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269,355 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247,911 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(135,057)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(120,544)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134,298 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127,367 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expense is recorded within cost of revenue and operating expenses within the unaudited condensed consolidated statements of comprehensive income,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and nine months ended September 30, 2025 and 2024 (in thousands):</w:t>
      </w:r>
    </w:p>
    <w:tbl>
      <w:tblPr>
        <w:tblW w:w="9276" w:type="dxa"/>
        <w:jc w:val="center"/>
        <w:tblInd w:w="0" w:type="dxa"/>
        <w:tblLayout w:type="fixed"/>
        <w:tblCellMar>
          <w:top w:w="28" w:type="dxa"/>
          <w:left w:w="28" w:type="dxa"/>
          <w:bottom w:w="28" w:type="dxa"/>
          <w:right w:w="28" w:type="dxa"/>
        </w:tblCellMar>
      </w:tblPr>
      <w:tblGrid>
        <w:gridCol w:w="1163"/>
        <w:gridCol w:w="1022"/>
        <w:gridCol w:w="1025"/>
        <w:gridCol w:w="277"/>
        <w:gridCol w:w="785"/>
        <w:gridCol w:w="154"/>
        <w:gridCol w:w="154"/>
        <w:gridCol w:w="154"/>
        <w:gridCol w:w="154"/>
        <w:gridCol w:w="277"/>
        <w:gridCol w:w="785"/>
        <w:gridCol w:w="154"/>
        <w:gridCol w:w="109"/>
        <w:gridCol w:w="109"/>
        <w:gridCol w:w="109"/>
        <w:gridCol w:w="245"/>
        <w:gridCol w:w="809"/>
        <w:gridCol w:w="136"/>
        <w:gridCol w:w="136"/>
        <w:gridCol w:w="136"/>
        <w:gridCol w:w="136"/>
        <w:gridCol w:w="245"/>
        <w:gridCol w:w="809"/>
        <w:gridCol w:w="193"/>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 in cost of revenue</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 in operating expenses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expense</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9. GOODWILL AND OTHER INTANGIBLE ASSETS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consist of the following for the three and nine months ended September 30, 2025 (in thousands):</w:t>
      </w:r>
    </w:p>
    <w:tbl>
      <w:tblPr>
        <w:tblW w:w="3681" w:type="dxa"/>
        <w:jc w:val="center"/>
        <w:tblInd w:w="0" w:type="dxa"/>
        <w:tblLayout w:type="fixed"/>
        <w:tblCellMar>
          <w:top w:w="28" w:type="dxa"/>
          <w:left w:w="28" w:type="dxa"/>
          <w:bottom w:w="28" w:type="dxa"/>
          <w:right w:w="28" w:type="dxa"/>
        </w:tblCellMar>
      </w:tblPr>
      <w:tblGrid>
        <w:gridCol w:w="892"/>
        <w:gridCol w:w="783"/>
        <w:gridCol w:w="785"/>
        <w:gridCol w:w="196"/>
        <w:gridCol w:w="87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accounting adjustments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1,605,855 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accounting adjustments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1,606,646 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was no change in the carrying amount of goodwill for the three and nine months ended September 30, 2024.</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 and accumulated amortization of intangible assets consist of the following as of September 30, 2025 and December 31, 2024 (in thousands):</w:t>
      </w:r>
    </w:p>
    <w:tbl>
      <w:tblPr>
        <w:tblW w:w="6101" w:type="dxa"/>
        <w:jc w:val="center"/>
        <w:tblInd w:w="0" w:type="dxa"/>
        <w:tblLayout w:type="fixed"/>
        <w:tblCellMar>
          <w:top w:w="28" w:type="dxa"/>
          <w:left w:w="28" w:type="dxa"/>
          <w:bottom w:w="28" w:type="dxa"/>
          <w:right w:w="28" w:type="dxa"/>
        </w:tblCellMar>
      </w:tblPr>
      <w:tblGrid>
        <w:gridCol w:w="935"/>
        <w:gridCol w:w="820"/>
        <w:gridCol w:w="824"/>
        <w:gridCol w:w="302"/>
        <w:gridCol w:w="1135"/>
        <w:gridCol w:w="168"/>
        <w:gridCol w:w="109"/>
        <w:gridCol w:w="109"/>
        <w:gridCol w:w="109"/>
        <w:gridCol w:w="287"/>
        <w:gridCol w:w="1078"/>
        <w:gridCol w:w="225"/>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intangible assets: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Referral sources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514,388 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Trademarks/names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39,136 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amortizable intangible assets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intangible assets</w:t>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598,981 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554,509 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Referral sources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(255,472)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(230,371)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Trademarks/names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amortizable intangible assets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accumulated amortization</w:t>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(280,533)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(253,499)</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 net</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318,448 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301,010 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expense for intangible assets was $9.3 million and $27.7 million for the three and nine months ended September 30, 2025, respectively. Amortization expense for intangible assets was $8.6 million and $25.8 million for the three and nine months ended September 30,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10. INDEBTEDNESS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as of September 30, 2025 (in thousands):</w:t>
      </w:r>
    </w:p>
    <w:tbl>
      <w:tblPr>
        <w:tblW w:w="7936" w:type="dxa"/>
        <w:jc w:val="center"/>
        <w:tblInd w:w="0" w:type="dxa"/>
        <w:tblLayout w:type="fixed"/>
        <w:tblCellMar>
          <w:top w:w="28" w:type="dxa"/>
          <w:left w:w="28" w:type="dxa"/>
          <w:bottom w:w="28" w:type="dxa"/>
          <w:right w:w="28" w:type="dxa"/>
        </w:tblCellMar>
      </w:tblPr>
      <w:tblGrid>
        <w:gridCol w:w="591"/>
        <w:gridCol w:w="520"/>
        <w:gridCol w:w="523"/>
        <w:gridCol w:w="247"/>
        <w:gridCol w:w="1100"/>
        <w:gridCol w:w="137"/>
        <w:gridCol w:w="109"/>
        <w:gridCol w:w="109"/>
        <w:gridCol w:w="109"/>
        <w:gridCol w:w="196"/>
        <w:gridCol w:w="631"/>
        <w:gridCol w:w="109"/>
        <w:gridCol w:w="109"/>
        <w:gridCol w:w="109"/>
        <w:gridCol w:w="109"/>
        <w:gridCol w:w="321"/>
        <w:gridCol w:w="1181"/>
        <w:gridCol w:w="178"/>
        <w:gridCol w:w="109"/>
        <w:gridCol w:w="109"/>
        <w:gridCol w:w="109"/>
        <w:gridCol w:w="196"/>
        <w:gridCol w:w="871"/>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Balance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Revolver Facility</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Lien Term Loan</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1,178,000 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(11,451)</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1,161,836 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1,155,056 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consisted of the following as of December 31, 2024 (in thousands): </w:t>
      </w:r>
    </w:p>
    <w:tbl>
      <w:tblPr>
        <w:tblW w:w="7936" w:type="dxa"/>
        <w:jc w:val="center"/>
        <w:tblInd w:w="0" w:type="dxa"/>
        <w:tblLayout w:type="fixed"/>
        <w:tblCellMar>
          <w:top w:w="28" w:type="dxa"/>
          <w:left w:w="28" w:type="dxa"/>
          <w:bottom w:w="28" w:type="dxa"/>
          <w:right w:w="28" w:type="dxa"/>
        </w:tblCellMar>
      </w:tblPr>
      <w:tblGrid>
        <w:gridCol w:w="591"/>
        <w:gridCol w:w="520"/>
        <w:gridCol w:w="523"/>
        <w:gridCol w:w="247"/>
        <w:gridCol w:w="1100"/>
        <w:gridCol w:w="137"/>
        <w:gridCol w:w="109"/>
        <w:gridCol w:w="109"/>
        <w:gridCol w:w="109"/>
        <w:gridCol w:w="196"/>
        <w:gridCol w:w="631"/>
        <w:gridCol w:w="109"/>
        <w:gridCol w:w="109"/>
        <w:gridCol w:w="109"/>
        <w:gridCol w:w="109"/>
        <w:gridCol w:w="321"/>
        <w:gridCol w:w="1181"/>
        <w:gridCol w:w="178"/>
        <w:gridCol w:w="109"/>
        <w:gridCol w:w="109"/>
        <w:gridCol w:w="109"/>
        <w:gridCol w:w="196"/>
        <w:gridCol w:w="871"/>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Balance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Revolver Facility</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Lien Term Loan</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631,617 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1,131,617 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1,111,153 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1,104,641 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pPr>
      <w:r>
        <w:rPr>
          <w:rFonts w:ascii="Times New Roman;serif" w:hAnsi="Times New Roman;serif"/>
          <w:b w:val="false"/>
          <w:color w:val="000000"/>
          <w:sz w:val="20"/>
        </w:rPr>
        <w:t xml:space="preserve">On September 22, 2025, the Company entered into the fourth amendment (the “Fourth Amendment”) to the amended and restated First Lien Credit Agreement (the “Credit Agreement”). The Fourth Amendment, among other things, (i) </w:t>
      </w:r>
      <w:r>
        <w:rPr>
          <w:rFonts w:ascii="Times New Roman;serif" w:hAnsi="Times New Roman;serif"/>
          <w:b w:val="false"/>
          <w:color w:val="000000"/>
          <w:sz w:val="20"/>
          <w:shd w:fill="FFFFFF" w:val="clear"/>
        </w:rPr>
        <w:t xml:space="preserve">refinances the existing term loans under the Credit Agreement with a new class of term loans (the “First Lien Term Loan”), </w:t>
      </w:r>
      <w:r>
        <w:rPr>
          <w:rFonts w:ascii="Times New Roman;serif" w:hAnsi="Times New Roman;serif"/>
          <w:b w:val="false"/>
          <w:color w:val="000000"/>
          <w:sz w:val="20"/>
        </w:rPr>
        <w:t xml:space="preserve">reduces the interest rate on the First Lien Term Loan from Term Secured Overnight Financing Rate (“SOFR”) plus 2.25% to Term SOFR plus 1.75% and extends the maturity date of the First Lien Term Loan to September 22, 2032, (ii) provides for an additional $49.6 million of incremental First Lien Term Loan indebtedness, and (iii) extends the maturity date of the </w:t>
      </w:r>
      <w:r>
        <w:rPr>
          <w:rFonts w:ascii="Times New Roman;serif" w:hAnsi="Times New Roman;serif"/>
          <w:b w:val="false"/>
          <w:color w:val="000000"/>
          <w:sz w:val="20"/>
          <w:shd w:fill="FFFFFF" w:val="clear"/>
        </w:rPr>
        <w:t xml:space="preserve">revolving credit commitments under the Credit Agreement (the “Revolver Facility”) </w:t>
      </w:r>
      <w:r>
        <w:rPr>
          <w:rFonts w:ascii="Times New Roman;serif" w:hAnsi="Times New Roman;serif"/>
          <w:b w:val="false"/>
          <w:color w:val="000000"/>
          <w:sz w:val="20"/>
        </w:rPr>
        <w:t>to September 22, 2030.</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above refinancing, certain lenders exited while others joined, resulting in both repayment and proceeds. The Company assessed whether the repayment of the First Lien Term Loan indebtedness resulted in an insubstantial modification or an extinguishment of the existing debt for each loan in the syndication by grouping lenders as follows: (i) Lenders participating in both the First Lien Term Loan and 4.375% Senior Unsecured Notes due 2029 (the “Senior Notes”); (ii) previous lenders that exited; and (iii) new lenders. The Company determined that proceeds from the issuance of debt totaled $229.8 million, resulting in a cash inflow from financing activities, net of $0.3 million in fees incurred, in the unaudited condensed consolidated statements of cash flows. The Company also recognized $180.2 million of retirement of debt obligations, resulting in a cash outflow from financing activities, in the unaudited condensed consolidated statements of cash flows.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refinancing of the First Lien Term Loan, the Company incurred $6.7 million in debt issuance costs and third-party fees, of which $3.5 million was capitalized, $2.8 million was expensed as a component of selling, general and administrative expenses and $0.4 million was expensed as a loss on extinguishment as a component of other expense in the consolidated statements of comprehensive income. The Company recognized a loss on extinguishment of debt of $4.7 million included in the line entitled “Other, net” in the consolidated statements of comprehensive income, of which $0.4 million related to debt issuance costs incurred with the First Lien Term Loan refinancing, as discussed above, and $4.3 million related to existing deferred financing fees that were written off upon extinguishment.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part of the above refinancing, the Company incurred $0.3 million in fees related to the Revolver Facility, all of which were capitalized and included as a cash outflow from financing activities within the unaudited condensed consolidated statements of cash flows.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interest rate on the First Lien Term Loan was 5.89% and 6.82% as of September 30, 2025 and December 31, 2024, respectively. The weighted average interest rate incurred on the First Lien Term Loan was 6.51% and 6.56% for the three and nine months ended September 30, 2025, respectively. The weighted average interest rate incurred on the First Lien Term Loan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was 7.56% and 7.84% for the three and nine months ended September 30, 2024, respectively. The First Lien Term Loan matures on September 22, 2032.</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interest rate on the Senior Notes was 4.375% as of September 30, 2025 and December 31, 2024. The weighted average interest rate incurred on the Senior Notes was 4.375% for the three and nine months ended September 30, 2025 and 2024. The Senior Notes mature on October 31, 2029.</w:t>
      </w:r>
    </w:p>
    <w:p>
      <w:pPr>
        <w:pStyle w:val="TextBody"/>
        <w:bidi w:val="0"/>
        <w:spacing w:lineRule="auto" w:line="288" w:before="0" w:after="200"/>
        <w:ind w:left="0" w:right="0" w:firstLine="360"/>
        <w:jc w:val="left"/>
        <w:rPr/>
      </w:pPr>
      <w:r>
        <w:rPr>
          <w:rFonts w:ascii="Times New Roman;serif" w:hAnsi="Times New Roman;serif"/>
          <w:b w:val="false"/>
          <w:color w:val="000000"/>
          <w:sz w:val="20"/>
        </w:rPr>
        <w:t>As of September 30, 2025, the Company had $4.0 million of undrawn letters of credit issued and outstanding, resulting in net borrowing availability under the Revolver Facility of $396.0 million. The Revolver Facility matures on the date that is the earlier of (i) September 22, 2030 and (ii) the date that is 91 days prior to the stated maturity date applicable to</w:t>
      </w:r>
      <w:r>
        <w:rPr>
          <w:color w:val="0000FF"/>
        </w:rPr>
        <w:t xml:space="preserve"> </w:t>
      </w:r>
      <w:r>
        <w:rPr>
          <w:rFonts w:ascii="Times New Roman;serif" w:hAnsi="Times New Roman;serif"/>
          <w:b w:val="false"/>
          <w:color w:val="000000"/>
          <w:sz w:val="20"/>
        </w:rPr>
        <w:t>the Senior Notes to the extent any amount of the Senior Notes remains unpaid and outstanding as of the date that is 91 days prior to the stated maturity date applicable to the Senior Notes.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Long-term debt matures as follows (in thousands):</w:t>
      </w:r>
    </w:p>
    <w:tbl>
      <w:tblPr>
        <w:tblW w:w="4645" w:type="dxa"/>
        <w:jc w:val="center"/>
        <w:tblInd w:w="0" w:type="dxa"/>
        <w:tblLayout w:type="fixed"/>
        <w:tblCellMar>
          <w:top w:w="28" w:type="dxa"/>
          <w:left w:w="28" w:type="dxa"/>
          <w:bottom w:w="28" w:type="dxa"/>
          <w:right w:w="28" w:type="dxa"/>
        </w:tblCellMar>
      </w:tblPr>
      <w:tblGrid>
        <w:gridCol w:w="945"/>
        <w:gridCol w:w="831"/>
        <w:gridCol w:w="833"/>
        <w:gridCol w:w="109"/>
        <w:gridCol w:w="109"/>
        <w:gridCol w:w="109"/>
        <w:gridCol w:w="274"/>
        <w:gridCol w:w="1220"/>
        <w:gridCol w:w="215"/>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 Payments</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506,780 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649,185 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1,178,000 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pPr>
      <w:r>
        <w:rPr>
          <w:rFonts w:ascii="Times New Roman;serif" w:hAnsi="Times New Roman;serif"/>
          <w:b w:val="false"/>
          <w:color w:val="000000"/>
          <w:sz w:val="20"/>
        </w:rPr>
        <w:t xml:space="preserve">During the three and nine months ended September 30, 2025 and 2024, the Company engaged in hedging activities to limit its exposure to changes in interest rates. See Note 11, </w:t>
      </w:r>
      <w:r>
        <w:rPr>
          <w:rFonts w:ascii="Times New Roman;serif" w:hAnsi="Times New Roman;serif"/>
          <w:b w:val="false"/>
          <w:i/>
          <w:color w:val="000000"/>
          <w:sz w:val="20"/>
        </w:rPr>
        <w:t>Derivative Instruments</w:t>
      </w:r>
      <w:r>
        <w:rPr>
          <w:rFonts w:ascii="Times New Roman;serif" w:hAnsi="Times New Roman;serif"/>
          <w:b w:val="false"/>
          <w:color w:val="000000"/>
          <w:sz w:val="20"/>
        </w:rPr>
        <w:t>, for further discussion.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fair values of the Company’s debt obligations as of September 30, 2025 (in thousands):</w:t>
      </w:r>
    </w:p>
    <w:tbl>
      <w:tblPr>
        <w:tblW w:w="10205" w:type="dxa"/>
        <w:jc w:val="center"/>
        <w:tblInd w:w="0" w:type="dxa"/>
        <w:tblLayout w:type="fixed"/>
        <w:tblCellMar>
          <w:top w:w="28" w:type="dxa"/>
          <w:left w:w="28" w:type="dxa"/>
          <w:bottom w:w="28" w:type="dxa"/>
          <w:right w:w="28" w:type="dxa"/>
        </w:tblCellMar>
      </w:tblPr>
      <w:tblGrid>
        <w:gridCol w:w="464"/>
        <w:gridCol w:w="408"/>
        <w:gridCol w:w="411"/>
        <w:gridCol w:w="109"/>
        <w:gridCol w:w="109"/>
        <w:gridCol w:w="109"/>
        <w:gridCol w:w="327"/>
        <w:gridCol w:w="1454"/>
        <w:gridCol w:w="183"/>
        <w:gridCol w:w="109"/>
        <w:gridCol w:w="109"/>
        <w:gridCol w:w="109"/>
        <w:gridCol w:w="426"/>
        <w:gridCol w:w="883"/>
        <w:gridCol w:w="240"/>
        <w:gridCol w:w="109"/>
        <w:gridCol w:w="109"/>
        <w:gridCol w:w="109"/>
        <w:gridCol w:w="347"/>
        <w:gridCol w:w="1543"/>
        <w:gridCol w:w="193"/>
        <w:gridCol w:w="109"/>
        <w:gridCol w:w="109"/>
        <w:gridCol w:w="109"/>
        <w:gridCol w:w="521"/>
        <w:gridCol w:w="1081"/>
        <w:gridCol w:w="416"/>
      </w:tblGrid>
      <w:tr>
        <w:trPr/>
        <w:tc>
          <w:tcPr>
            <w:tcW w:w="4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Value 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Markets for Identical Item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Other Observable Inputs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Unobservable Inputs (Level 3)</w:t>
            </w:r>
          </w:p>
        </w:tc>
      </w:tr>
      <w:tr>
        <w:trPr/>
        <w:tc>
          <w:tcPr>
            <w:tcW w:w="1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Lien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668,175 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677,186 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493,661 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1,161,836 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1,157,186 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pPr>
      <w:r>
        <w:rPr>
          <w:rFonts w:ascii="Times New Roman;serif" w:hAnsi="Times New Roman;serif"/>
          <w:b w:val="false"/>
          <w:color w:val="000000"/>
          <w:sz w:val="20"/>
        </w:rPr>
        <w:t xml:space="preserve">See Note 12, </w:t>
      </w:r>
      <w:r>
        <w:rPr>
          <w:rFonts w:ascii="Times New Roman;serif" w:hAnsi="Times New Roman;serif"/>
          <w:b w:val="false"/>
          <w:i/>
          <w:color w:val="000000"/>
          <w:sz w:val="20"/>
        </w:rPr>
        <w:t>Fair Value Measurements</w:t>
      </w:r>
      <w:r>
        <w:rPr>
          <w:rFonts w:ascii="Times New Roman;serif" w:hAnsi="Times New Roman;serif"/>
          <w:b w:val="false"/>
          <w:color w:val="000000"/>
          <w:sz w:val="20"/>
        </w:rPr>
        <w:t>,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11. DERIVATIVE INSTRUMENTS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utilizes derivative financial instruments for hedging and non-trading purposes to limit the Company’s exposure to its variable interest rate risk. Use of derivative financial instruments in hedging strategies subjects the Company to certain risks, such as market and credit risks. Market risk represents the possibility that the value of the derivative financial instrument will change.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October 2021, the Company entered into an interest rate cap hedge with a notional amount of $300 million for a five-year term beginning November 30, 2021. The hedge partially offsets risk associated with the First Lien Term Loan’s variable interest rate. The interest rate cap instrument perfectly offsets the terms of the interest rates associated with the variable interest rate of the First Lien Term Loan.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 and location of the Company’s derivative instruments in the condensed consolidated balance sheets (in thousands):</w:t>
      </w:r>
    </w:p>
    <w:tbl>
      <w:tblPr>
        <w:tblW w:w="10205" w:type="dxa"/>
        <w:jc w:val="center"/>
        <w:tblInd w:w="0" w:type="dxa"/>
        <w:tblLayout w:type="fixed"/>
        <w:tblCellMar>
          <w:top w:w="28" w:type="dxa"/>
          <w:left w:w="28" w:type="dxa"/>
          <w:bottom w:w="28" w:type="dxa"/>
          <w:right w:w="28" w:type="dxa"/>
        </w:tblCellMar>
      </w:tblPr>
      <w:tblGrid>
        <w:gridCol w:w="1156"/>
        <w:gridCol w:w="1018"/>
        <w:gridCol w:w="1021"/>
        <w:gridCol w:w="109"/>
        <w:gridCol w:w="109"/>
        <w:gridCol w:w="109"/>
        <w:gridCol w:w="957"/>
        <w:gridCol w:w="945"/>
        <w:gridCol w:w="949"/>
        <w:gridCol w:w="124"/>
        <w:gridCol w:w="124"/>
        <w:gridCol w:w="124"/>
        <w:gridCol w:w="351"/>
        <w:gridCol w:w="998"/>
        <w:gridCol w:w="194"/>
        <w:gridCol w:w="124"/>
        <w:gridCol w:w="124"/>
        <w:gridCol w:w="124"/>
        <w:gridCol w:w="301"/>
        <w:gridCol w:w="997"/>
        <w:gridCol w:w="247"/>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 Derivatives in Asset Position</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 Caption</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 designated as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 designated as cash flow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7,360 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14,714 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gain and loss associated with the changes in the fair value of the effective portion of the hedging instrument is recorded in other comprehensive (loss) income. The gain and loss associated with the changes in the fair value of the hedging instrument is recognized in net income through interest expense.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pre-tax (loss) gain from derivative instruments recognized in other comprehensive (loss) income in the Company’s unaudited condensed consolidated statements of comprehensive income (in thousands):</w:t>
      </w:r>
    </w:p>
    <w:tbl>
      <w:tblPr>
        <w:tblW w:w="9813" w:type="dxa"/>
        <w:jc w:val="center"/>
        <w:tblInd w:w="0" w:type="dxa"/>
        <w:tblLayout w:type="fixed"/>
        <w:tblCellMar>
          <w:top w:w="28" w:type="dxa"/>
          <w:left w:w="28" w:type="dxa"/>
          <w:bottom w:w="28" w:type="dxa"/>
          <w:right w:w="28" w:type="dxa"/>
        </w:tblCellMar>
      </w:tblPr>
      <w:tblGrid>
        <w:gridCol w:w="1237"/>
        <w:gridCol w:w="1089"/>
        <w:gridCol w:w="1093"/>
        <w:gridCol w:w="109"/>
        <w:gridCol w:w="109"/>
        <w:gridCol w:w="109"/>
        <w:gridCol w:w="258"/>
        <w:gridCol w:w="831"/>
        <w:gridCol w:w="143"/>
        <w:gridCol w:w="143"/>
        <w:gridCol w:w="143"/>
        <w:gridCol w:w="143"/>
        <w:gridCol w:w="258"/>
        <w:gridCol w:w="831"/>
        <w:gridCol w:w="143"/>
        <w:gridCol w:w="109"/>
        <w:gridCol w:w="109"/>
        <w:gridCol w:w="109"/>
        <w:gridCol w:w="249"/>
        <w:gridCol w:w="801"/>
        <w:gridCol w:w="138"/>
        <w:gridCol w:w="138"/>
        <w:gridCol w:w="138"/>
        <w:gridCol w:w="138"/>
        <w:gridCol w:w="249"/>
        <w:gridCol w:w="801"/>
        <w:gridCol w:w="195"/>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 designated as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(7,260)</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amount and location of pre-tax income recognized in the Company’s unaudited condensed consolidated statements of comprehensive income related to the Company’s derivative instruments (in thousands):</w:t>
      </w:r>
    </w:p>
    <w:tbl>
      <w:tblPr>
        <w:tblW w:w="10205" w:type="dxa"/>
        <w:jc w:val="center"/>
        <w:tblInd w:w="0" w:type="dxa"/>
        <w:tblLayout w:type="fixed"/>
        <w:tblCellMar>
          <w:top w:w="28" w:type="dxa"/>
          <w:left w:w="28" w:type="dxa"/>
          <w:bottom w:w="28" w:type="dxa"/>
          <w:right w:w="28" w:type="dxa"/>
        </w:tblCellMar>
      </w:tblPr>
      <w:tblGrid>
        <w:gridCol w:w="881"/>
        <w:gridCol w:w="776"/>
        <w:gridCol w:w="778"/>
        <w:gridCol w:w="109"/>
        <w:gridCol w:w="109"/>
        <w:gridCol w:w="109"/>
        <w:gridCol w:w="556"/>
        <w:gridCol w:w="556"/>
        <w:gridCol w:w="558"/>
        <w:gridCol w:w="109"/>
        <w:gridCol w:w="109"/>
        <w:gridCol w:w="109"/>
        <w:gridCol w:w="245"/>
        <w:gridCol w:w="695"/>
        <w:gridCol w:w="136"/>
        <w:gridCol w:w="136"/>
        <w:gridCol w:w="136"/>
        <w:gridCol w:w="136"/>
        <w:gridCol w:w="245"/>
        <w:gridCol w:w="695"/>
        <w:gridCol w:w="136"/>
        <w:gridCol w:w="109"/>
        <w:gridCol w:w="109"/>
        <w:gridCol w:w="109"/>
        <w:gridCol w:w="238"/>
        <w:gridCol w:w="677"/>
        <w:gridCol w:w="132"/>
        <w:gridCol w:w="132"/>
        <w:gridCol w:w="132"/>
        <w:gridCol w:w="132"/>
        <w:gridCol w:w="238"/>
        <w:gridCol w:w="677"/>
        <w:gridCol w:w="201"/>
      </w:tblGrid>
      <w:tr>
        <w:trPr/>
        <w:tc>
          <w:tcPr>
            <w:tcW w:w="88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Statement Caption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 designated as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12. FAIR VALUE MEASUREMENTS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 — Inputs to the fair value measurement are quoted prices in active markets for identical assets or liabilities.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Level 3 — Inputs to the fair value measurement are unobservable inputs or valuation techniques.</w:t>
      </w:r>
    </w:p>
    <w:p>
      <w:pPr>
        <w:pStyle w:val="TextBody"/>
        <w:bidi w:val="0"/>
        <w:spacing w:lineRule="auto" w:line="288" w:before="0" w:after="200"/>
        <w:ind w:left="0" w:right="0" w:firstLine="360"/>
        <w:jc w:val="left"/>
        <w:rPr/>
      </w:pPr>
      <w:r>
        <w:rPr>
          <w:rFonts w:ascii="Times New Roman;serif" w:hAnsi="Times New Roman;serif"/>
          <w:b w:val="false"/>
          <w:color w:val="000000"/>
          <w:sz w:val="20"/>
        </w:rPr>
        <w:t>While the Company believes its valuation methods are appropriate and consistent with other market participants, the use of</w:t>
      </w:r>
      <w:r>
        <w:rPr>
          <w:color w:val="FF0000"/>
        </w:rPr>
        <w:t xml:space="preserve"> </w:t>
      </w:r>
      <w:r>
        <w:rPr>
          <w:rFonts w:ascii="Times New Roman;serif" w:hAnsi="Times New Roman;serif"/>
          <w:b w:val="false"/>
          <w:color w:val="000000"/>
          <w:sz w:val="20"/>
        </w:rPr>
        <w:t>different methodologies or assumptions to determine the fair value of certain financial instruments could result in a different fair value measurement at the reporting date.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First Lien Term Loan</w:t>
      </w:r>
      <w:r>
        <w:rPr>
          <w:rFonts w:ascii="Times New Roman;serif" w:hAnsi="Times New Roman;serif"/>
          <w:b w:val="false"/>
          <w:color w:val="000000"/>
          <w:sz w:val="20"/>
        </w:rPr>
        <w:t xml:space="preserve">: The fair value of the First Lien Term Loan is derived from a broker quote on the loans in the syndication (Level 2 inputs). See Note 10, </w:t>
      </w:r>
      <w:r>
        <w:rPr>
          <w:rFonts w:ascii="Times New Roman;serif" w:hAnsi="Times New Roman;serif"/>
          <w:b w:val="false"/>
          <w:i/>
          <w:color w:val="000000"/>
          <w:sz w:val="20"/>
        </w:rPr>
        <w:t>Indebtedness</w:t>
      </w:r>
      <w:r>
        <w:rPr>
          <w:rFonts w:ascii="Times New Roman;serif" w:hAnsi="Times New Roman;serif"/>
          <w:b w:val="false"/>
          <w:color w:val="000000"/>
          <w:sz w:val="20"/>
        </w:rPr>
        <w:t>, for further discussion of the carrying amount and fair value of the First Lien Term Loan.</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Senior Notes: </w:t>
      </w:r>
      <w:r>
        <w:rPr>
          <w:rFonts w:ascii="Times New Roman;serif" w:hAnsi="Times New Roman;serif"/>
          <w:b w:val="false"/>
          <w:color w:val="000000"/>
          <w:sz w:val="20"/>
        </w:rPr>
        <w:t xml:space="preserve">The fair value of the Senior Notes is derived from a broker quote (Level 2 inputs). See Note 10, </w:t>
      </w:r>
      <w:r>
        <w:rPr>
          <w:rFonts w:ascii="Times New Roman;serif" w:hAnsi="Times New Roman;serif"/>
          <w:b w:val="false"/>
          <w:i/>
          <w:color w:val="000000"/>
          <w:sz w:val="20"/>
        </w:rPr>
        <w:t>Indebtedness</w:t>
      </w:r>
      <w:r>
        <w:rPr>
          <w:rFonts w:ascii="Times New Roman;serif" w:hAnsi="Times New Roman;serif"/>
          <w:b w:val="false"/>
          <w:color w:val="000000"/>
          <w:sz w:val="20"/>
        </w:rPr>
        <w:t>, for further discussion of the carrying amount and fair value of the Senior Notes.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Interest Rate Cap: </w:t>
      </w:r>
      <w:r>
        <w:rPr>
          <w:rFonts w:ascii="Times New Roman;serif" w:hAnsi="Times New Roman;serif"/>
          <w:b w:val="false"/>
          <w:color w:val="000000"/>
          <w:sz w:val="20"/>
        </w:rPr>
        <w:t xml:space="preserve">The fair value of the interest rate cap is derived from the interest rates prevalent in the market and future expectations of those interest rates (Level 2 inputs). The Company determines the fair value of the investments based on quoted prices from third-party brokers. See Note 11, </w:t>
      </w:r>
      <w:r>
        <w:rPr>
          <w:rFonts w:ascii="Times New Roman;serif" w:hAnsi="Times New Roman;serif"/>
          <w:b w:val="false"/>
          <w:i/>
          <w:color w:val="000000"/>
          <w:sz w:val="20"/>
        </w:rPr>
        <w:t>Derivative Instruments</w:t>
      </w:r>
      <w:r>
        <w:rPr>
          <w:rFonts w:ascii="Times New Roman;serif" w:hAnsi="Times New Roman;serif"/>
          <w:b w:val="false"/>
          <w:color w:val="000000"/>
          <w:sz w:val="20"/>
        </w:rPr>
        <w:t>, for further discussion of the fair value of the interest rate cap.</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Money Market Funds:</w:t>
      </w:r>
      <w:r>
        <w:rPr>
          <w:color w:val="000000"/>
        </w:rPr>
        <w:t xml:space="preserve"> </w:t>
      </w:r>
      <w:r>
        <w:rPr>
          <w:rFonts w:ascii="Times New Roman;serif" w:hAnsi="Times New Roman;serif"/>
          <w:b w:val="false"/>
          <w:color w:val="000000"/>
          <w:sz w:val="20"/>
        </w:rPr>
        <w:t>The fair value of the money market funds is derived from the closing price reported by the fund sponsor and classified as cash and cash equivalents on the Company’s condensed consolidated balance sheets (Level 1 inputs).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other material assets or liabilities measured at fair value at September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legal proceedings are often uncertain and difficult to predict, and the costs incurred in litigation can be substantial, regardless of the outcome. The Company does not believe that any of these pending matters, after consideration of applicable reserves and rights to indemnification, will have a material adverse effect on the Company’s condensed consolidated balance sheets.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14. STOCK-BASED INCENTIVE COMPENSATION</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Equity Incentive Plans </w:t>
      </w:r>
      <w:r>
        <w:rPr>
          <w:color w:val="000000"/>
        </w:rPr>
        <w:t xml:space="preserve">— </w:t>
      </w:r>
      <w:r>
        <w:rPr>
          <w:rFonts w:ascii="Times New Roman;serif" w:hAnsi="Times New Roman;serif"/>
          <w:b w:val="false"/>
          <w:color w:val="000000"/>
          <w:sz w:val="20"/>
        </w:rPr>
        <w:t>Under the Company’s 2018 Equity Incentive Plan (the “2018 Plan”), approved at the annual meeting by stockholders on May 3, 2018 and amended and restated on May 19, 2021 and May 15, 2024,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Company’s Board of Directors. As of May 2021, a total of 9,101,734 shares of common stock were authorized for issuance under the 2018 Plan. In May 2024, an additional 4,000,000 shares were authorized for issuance under the 2018 Plan, resulting in a total of 13,101,734 shares of common stock authorized for issuance. The Company had stock options, restricted stock units and performance stock units outstanding related to the 2018 Plan as of September 30, 2025 and December 31, 2024. During the three and nine months ended September 30, 2025, total stock-based incentive compensation expense recognized by the Company related to the 2018 Plan was $11.1 million and $30.6 million, respectively. During the three and nine months ended September 30, 2024, total stock-based incentive compensation expense recognized by the Company related to the 2018 Plan was $10.4 million and $27.6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15. STOCKHOLDERS’ EQUITY</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Warrants </w:t>
      </w:r>
      <w:r>
        <w:rPr>
          <w:color w:val="000000"/>
        </w:rPr>
        <w:t xml:space="preserve">— </w:t>
      </w:r>
      <w:r>
        <w:rPr>
          <w:rFonts w:ascii="Times New Roman;serif" w:hAnsi="Times New Roman;serif"/>
          <w:b w:val="false"/>
          <w:color w:val="000000"/>
          <w:sz w:val="20"/>
        </w:rPr>
        <w:t>As of September 30, 2025 and December 31, 2024, the Company had warrants outstanding which entitle holders to purchase an immaterial number of shares of common stock.</w:t>
      </w:r>
    </w:p>
    <w:p>
      <w:pPr>
        <w:pStyle w:val="TextBody"/>
        <w:bidi w:val="0"/>
        <w:spacing w:lineRule="auto" w:line="288" w:before="0" w:after="200"/>
        <w:ind w:left="0" w:right="0" w:firstLine="360"/>
        <w:jc w:val="left"/>
        <w:rPr/>
      </w:pPr>
      <w:r>
        <w:rPr>
          <w:rFonts w:ascii="Times New Roman;serif" w:hAnsi="Times New Roman;serif"/>
          <w:b/>
          <w:color w:val="000000"/>
          <w:sz w:val="20"/>
        </w:rPr>
        <w:t>Share Repurchase Program</w:t>
      </w:r>
      <w:r>
        <w:rPr>
          <w:color w:val="000000"/>
        </w:rPr>
        <w:t xml:space="preserve"> — </w:t>
      </w:r>
      <w:r>
        <w:rPr>
          <w:rFonts w:ascii="Times New Roman;serif" w:hAnsi="Times New Roman;serif"/>
          <w:b w:val="false"/>
          <w:color w:val="000000"/>
          <w:sz w:val="20"/>
        </w:rPr>
        <w:t>The Company’s Board of Directors approved a share repurchase program of up to an aggregate $500.0 million of common stock of the Company. Under the share repurchase program, repurchases may occur in any number of methods depending on timing, market conditions, regulatory requirements, and other corporate considerations. The share repurchase program has no specified expiration date.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purchased 2,205,535 and 6,805,621 shares of common stock for an average share price of $28.32 and $31.22, totaling $62.5 million and $212.5 million, respectively. During the three and nine months ended September 30, 2024, the Company purchased 1,399,674 and 5,317,183 shares of common stock for an average share price of $29.97 and $30.09, totaling $41.9 million and $160.0 million, respectively. All repurchased shares became treasury stock. As of September 30, 2025, the Company is authorized to repurchase up to a remaining $287.5 million of common stock of the Company.</w:t>
      </w:r>
    </w:p>
    <w:p>
      <w:pPr>
        <w:pStyle w:val="TextBody"/>
        <w:bidi w:val="0"/>
        <w:spacing w:lineRule="auto" w:line="288" w:before="0" w:after="200"/>
        <w:ind w:left="0" w:right="0" w:firstLine="360"/>
        <w:jc w:val="left"/>
        <w:rPr/>
      </w:pPr>
      <w:r>
        <w:rPr>
          <w:rFonts w:ascii="Times New Roman;serif" w:hAnsi="Times New Roman;serif"/>
          <w:b/>
          <w:color w:val="000000"/>
          <w:sz w:val="20"/>
        </w:rPr>
        <w:t>Shares Outstanding</w:t>
      </w:r>
      <w:r>
        <w:rPr>
          <w:color w:val="000000"/>
        </w:rPr>
        <w:t xml:space="preserve"> — </w:t>
      </w:r>
      <w:r>
        <w:rPr>
          <w:rFonts w:ascii="Times New Roman;serif" w:hAnsi="Times New Roman;serif"/>
          <w:b w:val="false"/>
          <w:color w:val="000000"/>
          <w:sz w:val="20"/>
        </w:rPr>
        <w:t>The following table shows the Company’s changes in shares of common stock for the three and nine months ended September 30, 2025 and 2024 (in thousands):</w:t>
      </w:r>
    </w:p>
    <w:tbl>
      <w:tblPr>
        <w:tblW w:w="4598" w:type="dxa"/>
        <w:jc w:val="center"/>
        <w:tblInd w:w="0" w:type="dxa"/>
        <w:tblLayout w:type="fixed"/>
        <w:tblCellMar>
          <w:top w:w="28" w:type="dxa"/>
          <w:left w:w="28" w:type="dxa"/>
          <w:bottom w:w="28" w:type="dxa"/>
          <w:right w:w="28" w:type="dxa"/>
        </w:tblCellMar>
      </w:tblPr>
      <w:tblGrid>
        <w:gridCol w:w="879"/>
        <w:gridCol w:w="774"/>
        <w:gridCol w:w="777"/>
        <w:gridCol w:w="368"/>
        <w:gridCol w:w="368"/>
        <w:gridCol w:w="156"/>
        <w:gridCol w:w="109"/>
        <w:gridCol w:w="109"/>
        <w:gridCol w:w="109"/>
        <w:gridCol w:w="368"/>
        <w:gridCol w:w="368"/>
        <w:gridCol w:w="213"/>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beginning of the year</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174,576 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 issuances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173,816 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 issuances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171,411 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 issuances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September 30,</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160,108 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170,146 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16. RELATED-PARTY TRANSACTIONS</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Transactions with Equity-Method Investees </w:t>
      </w:r>
      <w:r>
        <w:rPr>
          <w:color w:val="000000"/>
        </w:rPr>
        <w:t xml:space="preserve">— </w:t>
      </w:r>
      <w:r>
        <w:rPr>
          <w:rFonts w:ascii="Times New Roman;serif" w:hAnsi="Times New Roman;serif"/>
          <w:b w:val="false"/>
          <w:color w:val="000000"/>
          <w:sz w:val="20"/>
        </w:rPr>
        <w:t>The Company provides management services to its joint ventures such as accounting, invoicing and collections in addition to day-to-day managerial support of the operations of the businesses. The Company recorded management fee income of $1.9 million and $5.6 million for the three and nine months ended September 30, 2025, respectively. The Company recorded management fee income of $1.6 million and $4.5 million for the three and nine months ended September 30, 2024, respectively. Management fees are recorded in net revenues in the accompanying unaudited condensed consolidated statements of comprehensive income. During the three and nine months ended September 30, 2025, the Company received distributions from the investees of $0.5 million and $2.1 million, respectively. During the three and nine months ended September 30, 2024, the Company received distributions from the investees of $0.5 million and $1.3 million, respectively.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had amounts due from its joint ventures of $0.6 million and due to its joint ventures of $0.5 million as of September 30, 2025. The Company had amounts due to its joint ventures of $1.4 million as of December 31, 2024. Receivables were included in prepaid expenses and other current assets in the accompanying condensed consolidated balance sheets. Payables were included in accrued expenses and other current liabilities in the accompanying condensed consolidated balance sheets. These balances primarily relate to cash collections received by the Company on behalf of the joint ventures, offset by certain pharmaceutical inventories and other expenses paid for by the Company on behalf of the joint ventures.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17. SEGMENT REPORTING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adopted ASU 2023-07, Segment Reporting (Topic 280): Improvements to Reportable Segment Disclosures and has revised prior year disclosures to conform with the current year presentation. The Company operates as a single reportable segment, infusion services. Infusion services derives revenue through the clinical management of infusion therapy, nursing support and care coordination in order to provide solutions to complex patient conditions in the home or other nonhospital settings. The Company’s infusion services segment activities are managed on a consolidated basis and therapies are distributed and administered in a similar manner.</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segments have been identified based on the financial information utilized by the Company’s Chief Executive Officer, the chief operating decision maker (“CODM”). The CODM uses net income as a measure of profitability to assess segment performance and deciding how to allocate resources such as capital investments, share repurchases, and acquisitions. The CODM does not use or receive total assets by segment to make decisions regarding resources; therefore, the total asset disclosure by segment has not been included.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results of operations of the Company’s reportable segment (in thousands):</w:t>
      </w:r>
    </w:p>
    <w:tbl>
      <w:tblPr>
        <w:tblW w:w="9469" w:type="dxa"/>
        <w:jc w:val="center"/>
        <w:tblInd w:w="0" w:type="dxa"/>
        <w:tblLayout w:type="fixed"/>
        <w:tblCellMar>
          <w:top w:w="28" w:type="dxa"/>
          <w:left w:w="28" w:type="dxa"/>
          <w:bottom w:w="28" w:type="dxa"/>
          <w:right w:w="28" w:type="dxa"/>
        </w:tblCellMar>
      </w:tblPr>
      <w:tblGrid>
        <w:gridCol w:w="1233"/>
        <w:gridCol w:w="1081"/>
        <w:gridCol w:w="1090"/>
        <w:gridCol w:w="211"/>
        <w:gridCol w:w="941"/>
        <w:gridCol w:w="117"/>
        <w:gridCol w:w="117"/>
        <w:gridCol w:w="117"/>
        <w:gridCol w:w="117"/>
        <w:gridCol w:w="211"/>
        <w:gridCol w:w="941"/>
        <w:gridCol w:w="117"/>
        <w:gridCol w:w="109"/>
        <w:gridCol w:w="109"/>
        <w:gridCol w:w="109"/>
        <w:gridCol w:w="205"/>
        <w:gridCol w:w="911"/>
        <w:gridCol w:w="114"/>
        <w:gridCol w:w="114"/>
        <w:gridCol w:w="114"/>
        <w:gridCol w:w="114"/>
        <w:gridCol w:w="205"/>
        <w:gridCol w:w="911"/>
        <w:gridCol w:w="161"/>
      </w:tblGrid>
      <w:tr>
        <w:trPr/>
        <w:tc>
          <w:tcPr>
            <w:tcW w:w="1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Infusion services 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1,411,051 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1,256,455 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4,115,240 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3,587,677 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 (1)</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Option Care Health revenue</w:t>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1,435,016 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1,278,546 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4,184,073 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3,651,784 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 Income:</w:t>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net revenues - drugs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(1,016,245)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(885,786)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(2,953,923)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(2,510,466)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benefits, and other employee expense</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(214,594)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(632,481)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(584,835)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 (2)</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(103,379)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(93,287)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(302,986)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(277,393)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(44,294)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(41,824)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53,856 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149,081 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151,690 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Represents business activities related to other miscellaneous revenue streams.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Other segment items includes expenses for medical supplies, delivery and packaging, leases, professional services,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w:t>
      </w:r>
      <w:r>
        <w:rPr>
          <w:color w:val="000000"/>
        </w:rPr>
        <w:t xml:space="preserve"> </w:t>
      </w:r>
      <w:r>
        <w:rPr>
          <w:rFonts w:ascii="Times New Roman;serif" w:hAnsi="Times New Roman;serif"/>
          <w:b/>
          <w:i/>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Unless the context requires otherwise, references in this report to “Option Care Health,” the “Company,” “we,” “us” and “our” refer to Option Care Health, Inc. and its consolidated subsidiaries. Management’s discussion and analysis of financial condition and results of operations (“MD&amp;A”) is intended to assist the reader in understanding and assessing significant changes and trends related to our results of operations and financial condition. The following discussion and analysis should be read in conjunction with the Company’s unaudited condensed consolidated financial statements and the related notes thereto included in Item 1 of Part I of this Form 10-Q. Certain statements in this Item 2 of Part I of this Form 10-Q, and in Item 1A, “Risk Factors” of Part I of our Annual Report on Form 10-K for the year ended December 31, 2024 (our “Form 10-K”), may cause our actual results, financial position, and cash and cash equivalents generated from operations to differ materially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Option Care Health, and its wholly-owned subsidiaries, provides infusion therapy and other ancillary healthcare services through a national network of 192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and dietitians work with the physician to develop a plan of care suited to each patient’s specific needs. We provide home infusion services consisting of anti-infectives, nutrition support, therapies for neurological disorders and chronic inflammatory disorders, immunoglobulin therapy, and other therapies for chronic and acute conditions. The Company operates in one reporting segment, infusion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Composition of 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results of operations include the accounts of Option Care Health and our subsidiaries for the three and nine months ended September 30, 2025 and 2024.</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profit represents our net revenue less cost of revenue.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Net Revenue.</w:t>
      </w:r>
      <w:r>
        <w:rPr>
          <w:color w:val="000000"/>
        </w:rPr>
        <w:t xml:space="preserve"> </w:t>
      </w:r>
      <w:r>
        <w:rPr>
          <w:rFonts w:ascii="Times New Roman;serif" w:hAnsi="Times New Roman;serif"/>
          <w:b w:val="false"/>
          <w:color w:val="000000"/>
          <w:sz w:val="20"/>
        </w:rPr>
        <w:t>Infusion and related healthcare services revenue is reported at the estimated net realizable amounts from third-party payers and patients for goods sold and services rendered. When pharmaceuticals are provided to a patient, revenue is recognized upon delivery of the goods. When nursing services are provided, revenue is recognized when the services are rendered.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Due to the nature of the healthcare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Cost of Revenue.</w:t>
      </w:r>
      <w:r>
        <w:rPr>
          <w:color w:val="000000"/>
        </w:rPr>
        <w:t xml:space="preserve"> </w:t>
      </w:r>
      <w:r>
        <w:rPr>
          <w:rFonts w:ascii="Times New Roman;serif" w:hAnsi="Times New Roman;serif"/>
          <w:b w:val="false"/>
          <w:color w:val="000000"/>
          <w:sz w:val="20"/>
        </w:rPr>
        <w:t>Cost of revenue consists of the actual cost of pharmaceuticals and other medical supplies dispensed to patients. In addition to product 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Costs and Expenses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Selling, General and Administrative Expenses</w:t>
      </w:r>
      <w:r>
        <w:rPr>
          <w:rFonts w:ascii="Times New Roman;serif" w:hAnsi="Times New Roman;serif"/>
          <w:b w:val="false"/>
          <w:color w:val="000000"/>
          <w:sz w:val="20"/>
        </w:rPr>
        <w:t>. Selling, general and administrative expenses consist principally of salaries for administrative employees that directly and indirectly support the operations, occupancy costs, marketing expenditures, insurance, and professional fees.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Depreciation and Amortization Expense. </w:t>
      </w:r>
      <w:r>
        <w:rPr>
          <w:rFonts w:ascii="Times New Roman;serif" w:hAnsi="Times New Roman;serif"/>
          <w:b w:val="false"/>
          <w:color w:val="000000"/>
          <w:sz w:val="20"/>
        </w:rPr>
        <w:t>Depreciation within this caption relates to property and equipment and amortization relates to intangibles. Depreciation of revenue-generating assets, such as infusion pumps, is included in cost of revenue.</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Interest Expense, Net</w:t>
      </w:r>
      <w:r>
        <w:rPr>
          <w:rFonts w:ascii="Times New Roman;serif" w:hAnsi="Times New Roman;serif"/>
          <w:b w:val="false"/>
          <w:color w:val="000000"/>
          <w:sz w:val="20"/>
        </w:rPr>
        <w:t>. Interest expense consists principally of interest payments on the Company’s outstanding borrowings under the First Lien Term Loan, Revolver Facility, Senior Notes, amortization of discount and deferred financing fees, payments associated with the interest rate cap, and interest income earned on cash and cash equivalents. Refer to the “Liquidity and Capital Resources” section below for further discussion of these outstanding borrowings.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Equity in Earnings of Joint Ventures</w:t>
      </w:r>
      <w:r>
        <w:rPr>
          <w:rFonts w:ascii="Times New Roman;serif" w:hAnsi="Times New Roman;serif"/>
          <w:b w:val="false"/>
          <w:color w:val="000000"/>
          <w:sz w:val="20"/>
        </w:rPr>
        <w:t>. Equity in earnings of joint ventures consists of our proportionate share of equity earnings or losses from equity investments in two infusion joint ventures with healthcare systems.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Other, Net</w:t>
      </w:r>
      <w:r>
        <w:rPr>
          <w:rFonts w:ascii="Times New Roman;serif" w:hAnsi="Times New Roman;serif"/>
          <w:b w:val="false"/>
          <w:color w:val="000000"/>
          <w:sz w:val="20"/>
        </w:rPr>
        <w:t>. Other (expense) income primarily includes activity related to non-operating income and expenses.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Income Tax Expense</w:t>
      </w:r>
      <w:r>
        <w:rPr>
          <w:rFonts w:ascii="Times New Roman;serif" w:hAnsi="Times New Roman;serif"/>
          <w:b w:val="false"/>
          <w:color w:val="000000"/>
          <w:sz w:val="20"/>
        </w:rPr>
        <w:t>. The Company is subject to taxation in the United States and various states. The Company’s income tax expense is reflective of the current federal and state tax rates.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Change in Unrealized (Loss) Gain on Cash Flow Hedge, Net of Income Tax Benefit (Expense)</w:t>
      </w:r>
      <w:r>
        <w:rPr>
          <w:rFonts w:ascii="Times New Roman;serif" w:hAnsi="Times New Roman;serif"/>
          <w:b w:val="false"/>
          <w:color w:val="000000"/>
          <w:sz w:val="20"/>
        </w:rPr>
        <w:t>. Change in unrealized (loss) gain on cash flow hedge, net of income tax benefit (expense), consists of the (loss) gain associated with the changes in the fair value of derivatives designated as hedging instruments related to the interest rate cap hedge, net of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Option Care Health’s consolidated results of operations for the three and nine months ended September 30, 2025 and 2024 (in thousands, except for percentages):</w:t>
      </w:r>
    </w:p>
    <w:tbl>
      <w:tblPr>
        <w:tblW w:w="12581" w:type="dxa"/>
        <w:jc w:val="center"/>
        <w:tblInd w:w="0" w:type="dxa"/>
        <w:tblLayout w:type="fixed"/>
        <w:tblCellMar>
          <w:top w:w="28" w:type="dxa"/>
          <w:left w:w="28" w:type="dxa"/>
          <w:bottom w:w="28" w:type="dxa"/>
          <w:right w:w="28" w:type="dxa"/>
        </w:tblCellMar>
      </w:tblPr>
      <w:tblGrid>
        <w:gridCol w:w="1038"/>
        <w:gridCol w:w="306"/>
        <w:gridCol w:w="307"/>
        <w:gridCol w:w="196"/>
        <w:gridCol w:w="871"/>
        <w:gridCol w:w="109"/>
        <w:gridCol w:w="109"/>
        <w:gridCol w:w="109"/>
        <w:gridCol w:w="109"/>
        <w:gridCol w:w="278"/>
        <w:gridCol w:w="278"/>
        <w:gridCol w:w="414"/>
        <w:gridCol w:w="109"/>
        <w:gridCol w:w="109"/>
        <w:gridCol w:w="109"/>
        <w:gridCol w:w="196"/>
        <w:gridCol w:w="871"/>
        <w:gridCol w:w="109"/>
        <w:gridCol w:w="109"/>
        <w:gridCol w:w="109"/>
        <w:gridCol w:w="109"/>
        <w:gridCol w:w="278"/>
        <w:gridCol w:w="278"/>
        <w:gridCol w:w="414"/>
        <w:gridCol w:w="109"/>
        <w:gridCol w:w="109"/>
        <w:gridCol w:w="109"/>
        <w:gridCol w:w="196"/>
        <w:gridCol w:w="871"/>
        <w:gridCol w:w="109"/>
        <w:gridCol w:w="109"/>
        <w:gridCol w:w="109"/>
        <w:gridCol w:w="109"/>
        <w:gridCol w:w="278"/>
        <w:gridCol w:w="278"/>
        <w:gridCol w:w="414"/>
        <w:gridCol w:w="109"/>
        <w:gridCol w:w="109"/>
        <w:gridCol w:w="109"/>
        <w:gridCol w:w="196"/>
        <w:gridCol w:w="871"/>
        <w:gridCol w:w="109"/>
        <w:gridCol w:w="109"/>
        <w:gridCol w:w="109"/>
        <w:gridCol w:w="109"/>
        <w:gridCol w:w="278"/>
        <w:gridCol w:w="278"/>
        <w:gridCol w:w="471"/>
      </w:tblGrid>
      <w:tr>
        <w:trPr/>
        <w:tc>
          <w:tcPr>
            <w:tcW w:w="10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4,184,073 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unrealized (loss) gain on cash flow hedges, net of income tax benefit of $478, $1,998, $1,809 and $1,785,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COMPREHENSIVE INCOME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Three Months Ended September 30, 2025 Compared to Three Months Ended September 30, 2024</w:t>
      </w:r>
    </w:p>
    <w:p>
      <w:pPr>
        <w:pStyle w:val="TextBody"/>
        <w:bidi w:val="0"/>
        <w:spacing w:lineRule="auto" w:line="288" w:before="0" w:after="4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selected consolidated comparative results of operations from Option Care Health’s unaudited condensed consolidated financial statements for the three months ended September 30, 2025 and 2024.</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w:t>
      </w:r>
    </w:p>
    <w:tbl>
      <w:tblPr>
        <w:tblW w:w="6965" w:type="dxa"/>
        <w:jc w:val="center"/>
        <w:tblInd w:w="0" w:type="dxa"/>
        <w:tblLayout w:type="fixed"/>
        <w:tblCellMar>
          <w:top w:w="28" w:type="dxa"/>
          <w:left w:w="28" w:type="dxa"/>
          <w:bottom w:w="28" w:type="dxa"/>
          <w:right w:w="28" w:type="dxa"/>
        </w:tblCellMar>
      </w:tblPr>
      <w:tblGrid>
        <w:gridCol w:w="555"/>
        <w:gridCol w:w="487"/>
        <w:gridCol w:w="488"/>
        <w:gridCol w:w="196"/>
        <w:gridCol w:w="871"/>
        <w:gridCol w:w="256"/>
        <w:gridCol w:w="109"/>
        <w:gridCol w:w="109"/>
        <w:gridCol w:w="109"/>
        <w:gridCol w:w="196"/>
        <w:gridCol w:w="871"/>
        <w:gridCol w:w="256"/>
        <w:gridCol w:w="109"/>
        <w:gridCol w:w="109"/>
        <w:gridCol w:w="109"/>
        <w:gridCol w:w="196"/>
        <w:gridCol w:w="736"/>
        <w:gridCol w:w="109"/>
        <w:gridCol w:w="109"/>
        <w:gridCol w:w="109"/>
        <w:gridCol w:w="109"/>
        <w:gridCol w:w="233"/>
        <w:gridCol w:w="233"/>
        <w:gridCol w:w="301"/>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1,435,016 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1,278,546 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1,162,114 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1,021,797 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256,749 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margin</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4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net revenue was primarily driven by organic growth in the Company’s portfolio of therapies, consisting of acute revenue that had mid-teens growth relative to prior year while chronic revenue grew in the low double-digits. Acute growth was largely driven by the impact of shifts in the competitive landscape, which increased the volume of patient service. The increase in cost of revenue was primarily driven by the growth in revenue and therapy mix. The decrease in gross profit margin was primarily due to certain higher cost therapies included within chronic growth (including rare and orphan therapies). Gross profit was also impacted by the previously disclosed reduction in the procurement spread, which the Company expects to continue for the remainder of the year.</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8504" w:type="dxa"/>
        <w:jc w:val="center"/>
        <w:tblInd w:w="0" w:type="dxa"/>
        <w:tblLayout w:type="fixed"/>
        <w:tblCellMar>
          <w:top w:w="28" w:type="dxa"/>
          <w:left w:w="28" w:type="dxa"/>
          <w:bottom w:w="28" w:type="dxa"/>
          <w:right w:w="28" w:type="dxa"/>
        </w:tblCellMar>
      </w:tblPr>
      <w:tblGrid>
        <w:gridCol w:w="1172"/>
        <w:gridCol w:w="1032"/>
        <w:gridCol w:w="1035"/>
        <w:gridCol w:w="235"/>
        <w:gridCol w:w="884"/>
        <w:gridCol w:w="131"/>
        <w:gridCol w:w="131"/>
        <w:gridCol w:w="131"/>
        <w:gridCol w:w="131"/>
        <w:gridCol w:w="235"/>
        <w:gridCol w:w="884"/>
        <w:gridCol w:w="131"/>
        <w:gridCol w:w="109"/>
        <w:gridCol w:w="109"/>
        <w:gridCol w:w="109"/>
        <w:gridCol w:w="196"/>
        <w:gridCol w:w="646"/>
        <w:gridCol w:w="109"/>
        <w:gridCol w:w="109"/>
        <w:gridCol w:w="109"/>
        <w:gridCol w:w="109"/>
        <w:gridCol w:w="233"/>
        <w:gridCol w:w="233"/>
        <w:gridCol w:w="301"/>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188,395 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171,658 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400"/>
        <w:ind w:left="0" w:right="0" w:firstLine="360"/>
        <w:jc w:val="left"/>
        <w:rPr/>
      </w:pPr>
      <w:r>
        <w:rPr>
          <w:rFonts w:ascii="Times New Roman;serif" w:hAnsi="Times New Roman;serif"/>
          <w:b w:val="false"/>
          <w:color w:val="000000"/>
          <w:sz w:val="20"/>
        </w:rPr>
        <w:t xml:space="preserve">The increase in selling, general and administrative expenses during the three months ended September 30, 2025 was primarily due to an increase in salaries, benefits and general costs to support the business and debt refinancing costs. See Note 10, </w:t>
      </w:r>
      <w:r>
        <w:rPr>
          <w:rFonts w:ascii="Times New Roman;serif" w:hAnsi="Times New Roman;serif"/>
          <w:b w:val="false"/>
          <w:i/>
          <w:color w:val="000000"/>
          <w:sz w:val="20"/>
        </w:rPr>
        <w:t>Indebtedness,</w:t>
      </w:r>
      <w:r>
        <w:rPr>
          <w:color w:val="000000"/>
        </w:rPr>
        <w:t xml:space="preserve"> </w:t>
      </w:r>
      <w:r>
        <w:rPr>
          <w:rFonts w:ascii="Times New Roman;serif" w:hAnsi="Times New Roman;serif"/>
          <w:b w:val="false"/>
          <w:color w:val="000000"/>
          <w:sz w:val="20"/>
        </w:rPr>
        <w:t xml:space="preserve">of the unaudited condensed consolidated financial statements for further information on the Company’s debt refinancing costs. Selling, general and administrative expenses have declined as a percentage of revenue to 12.0% for the three months ended September 30, 2025 compared to 12.3% for the three months ended September 30, 2024, primarily due to the Company’s focus on leveraging existing infrastructure to control spending. The increase in depreciation and amortization expense was primarily due to the Intramed Plus acquisition. See Note 3, </w:t>
      </w:r>
      <w:r>
        <w:rPr>
          <w:rFonts w:ascii="Times New Roman;serif" w:hAnsi="Times New Roman;serif"/>
          <w:b w:val="false"/>
          <w:i/>
          <w:color w:val="000000"/>
          <w:sz w:val="20"/>
        </w:rPr>
        <w:t>Business Combinations</w:t>
      </w:r>
      <w:r>
        <w:rPr>
          <w:rFonts w:ascii="Times New Roman;serif" w:hAnsi="Times New Roman;serif"/>
          <w:b w:val="false"/>
          <w:color w:val="000000"/>
          <w:sz w:val="20"/>
        </w:rPr>
        <w:t>, of the unaudited condensed consolidated financial statements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Income (Expense)</w:t>
      </w:r>
    </w:p>
    <w:tbl>
      <w:tblPr>
        <w:tblW w:w="7856" w:type="dxa"/>
        <w:jc w:val="center"/>
        <w:tblInd w:w="0" w:type="dxa"/>
        <w:tblLayout w:type="fixed"/>
        <w:tblCellMar>
          <w:top w:w="28" w:type="dxa"/>
          <w:left w:w="28" w:type="dxa"/>
          <w:bottom w:w="28" w:type="dxa"/>
          <w:right w:w="28" w:type="dxa"/>
        </w:tblCellMar>
      </w:tblPr>
      <w:tblGrid>
        <w:gridCol w:w="943"/>
        <w:gridCol w:w="830"/>
        <w:gridCol w:w="836"/>
        <w:gridCol w:w="238"/>
        <w:gridCol w:w="877"/>
        <w:gridCol w:w="132"/>
        <w:gridCol w:w="132"/>
        <w:gridCol w:w="132"/>
        <w:gridCol w:w="132"/>
        <w:gridCol w:w="238"/>
        <w:gridCol w:w="877"/>
        <w:gridCol w:w="132"/>
        <w:gridCol w:w="109"/>
        <w:gridCol w:w="109"/>
        <w:gridCol w:w="109"/>
        <w:gridCol w:w="196"/>
        <w:gridCol w:w="631"/>
        <w:gridCol w:w="109"/>
        <w:gridCol w:w="109"/>
        <w:gridCol w:w="109"/>
        <w:gridCol w:w="109"/>
        <w:gridCol w:w="233"/>
        <w:gridCol w:w="233"/>
        <w:gridCol w:w="301"/>
      </w:tblGrid>
      <w:tr>
        <w:trPr/>
        <w:tc>
          <w:tcPr>
            <w:tcW w:w="9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NM</w:t>
            </w:r>
            <w:r>
              <w:rPr>
                <w:rFonts w:ascii="Times New Roman;serif" w:hAnsi="Times New Roman;serif"/>
                <w:b w:val="false"/>
                <w:color w:val="000000"/>
                <w:sz w:val="12"/>
              </w:rPr>
              <w:t>(1)</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income</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(15,540)</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(11,537)</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Not meaningful</w:t>
      </w:r>
    </w:p>
    <w:p>
      <w:pPr>
        <w:pStyle w:val="TextBody"/>
        <w:bidi w:val="0"/>
        <w:spacing w:lineRule="auto" w:line="288" w:before="200" w:after="400"/>
        <w:ind w:left="0" w:right="0" w:firstLine="360"/>
        <w:jc w:val="left"/>
        <w:rPr/>
      </w:pPr>
      <w:r>
        <w:rPr>
          <w:rFonts w:ascii="Times New Roman;serif" w:hAnsi="Times New Roman;serif"/>
          <w:b w:val="false"/>
          <w:color w:val="000000"/>
          <w:sz w:val="20"/>
        </w:rPr>
        <w:t xml:space="preserve">The increase in interest expense, net during the three months ended September 30, 2025 was primarily attributable to less interest income generated from our cash and cash equivalents, partially offset by a decrease in the interest rate on the Company’s First Lien Term Loan, compared to the three months ended September 30, 2024. See Note 10, </w:t>
      </w:r>
      <w:r>
        <w:rPr>
          <w:rFonts w:ascii="Times New Roman;serif" w:hAnsi="Times New Roman;serif"/>
          <w:b w:val="false"/>
          <w:i/>
          <w:color w:val="000000"/>
          <w:sz w:val="20"/>
        </w:rPr>
        <w:t>Indebtedness</w:t>
      </w:r>
      <w:r>
        <w:rPr>
          <w:rFonts w:ascii="Times New Roman;serif" w:hAnsi="Times New Roman;serif"/>
          <w:b w:val="false"/>
          <w:color w:val="000000"/>
          <w:sz w:val="20"/>
        </w:rPr>
        <w:t xml:space="preserve">, of the unaudited condensed consolidated financial statements for further information. The change in other, net period over period was primarily attributable to the $4.7 million loss on extinguishment of debt from the Company’s debt refinance during the three months ended September 30, 2025 with no comparable activity during the three months ended September 30, 2024. See Note 10, </w:t>
      </w:r>
      <w:r>
        <w:rPr>
          <w:rFonts w:ascii="Times New Roman;serif" w:hAnsi="Times New Roman;serif"/>
          <w:b w:val="false"/>
          <w:i/>
          <w:color w:val="000000"/>
          <w:sz w:val="20"/>
        </w:rPr>
        <w:t>Indebtedness</w:t>
      </w:r>
      <w:r>
        <w:rPr>
          <w:rFonts w:ascii="Times New Roman;serif" w:hAnsi="Times New Roman;serif"/>
          <w:b w:val="false"/>
          <w:color w:val="000000"/>
          <w:sz w:val="20"/>
        </w:rPr>
        <w:t>, of the unaudited condensed consolidated financial statements for further information.</w:t>
      </w:r>
    </w:p>
    <w:p>
      <w:pPr>
        <w:pStyle w:val="TextBody"/>
        <w:bidi w:val="0"/>
        <w:spacing w:lineRule="auto" w:line="288" w:before="0" w:after="200"/>
        <w:ind w:left="0" w:right="0" w:firstLine="360"/>
        <w:jc w:val="left"/>
        <w:rPr>
          <w:rFonts w:ascii="Times New Roman;serif" w:hAnsi="Times New Roman;serif"/>
          <w:b/>
          <w:i/>
          <w:color w:val="231F20"/>
          <w:sz w:val="20"/>
        </w:rPr>
      </w:pPr>
      <w:r>
        <w:rPr>
          <w:rFonts w:ascii="Times New Roman;serif" w:hAnsi="Times New Roman;serif"/>
          <w:b/>
          <w:i/>
          <w:color w:val="231F20"/>
          <w:sz w:val="20"/>
        </w:rPr>
        <w:t>Income Tax Expense</w:t>
      </w:r>
    </w:p>
    <w:tbl>
      <w:tblPr>
        <w:tblW w:w="6836" w:type="dxa"/>
        <w:jc w:val="center"/>
        <w:tblInd w:w="0" w:type="dxa"/>
        <w:tblLayout w:type="fixed"/>
        <w:tblCellMar>
          <w:top w:w="28" w:type="dxa"/>
          <w:left w:w="28" w:type="dxa"/>
          <w:bottom w:w="28" w:type="dxa"/>
          <w:right w:w="28" w:type="dxa"/>
        </w:tblCellMar>
      </w:tblPr>
      <w:tblGrid>
        <w:gridCol w:w="548"/>
        <w:gridCol w:w="482"/>
        <w:gridCol w:w="484"/>
        <w:gridCol w:w="254"/>
        <w:gridCol w:w="839"/>
        <w:gridCol w:w="141"/>
        <w:gridCol w:w="141"/>
        <w:gridCol w:w="141"/>
        <w:gridCol w:w="141"/>
        <w:gridCol w:w="254"/>
        <w:gridCol w:w="839"/>
        <w:gridCol w:w="141"/>
        <w:gridCol w:w="109"/>
        <w:gridCol w:w="109"/>
        <w:gridCol w:w="109"/>
        <w:gridCol w:w="196"/>
        <w:gridCol w:w="631"/>
        <w:gridCol w:w="109"/>
        <w:gridCol w:w="109"/>
        <w:gridCol w:w="109"/>
        <w:gridCol w:w="109"/>
        <w:gridCol w:w="269"/>
        <w:gridCol w:w="271"/>
        <w:gridCol w:w="30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4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$17.2 million and $19.7 million for the three months ended September 30, 2025 and 2024, respectively, which represents an effective tax rate of 24.9% and 26.8%, respectively. The variance in the Company’s effective tax rate of 24.9% for the three months ended September 30, 2025, compared to the federal statutory rate of 21.0%, was primarily attributable to the difference between federal and state tax rates and various non-deductible expenses. The variance in the Company’s effective tax rate of 26.8% for the three months ended September 30, 2024, compared to the federal statutory rate of 21.0%, was primarily attributable to the difference between federal and state tax rates, various non-deductible expenses, and a change in state valuation allowance.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231F20"/>
          <w:sz w:val="20"/>
        </w:rPr>
      </w:pPr>
      <w:r>
        <w:rPr>
          <w:rFonts w:ascii="Times New Roman;serif" w:hAnsi="Times New Roman;serif"/>
          <w:b/>
          <w:i/>
          <w:color w:val="231F20"/>
          <w:sz w:val="20"/>
        </w:rPr>
        <w:t>Net Income and Other Comprehensive Income (Loss)</w:t>
      </w:r>
    </w:p>
    <w:tbl>
      <w:tblPr>
        <w:tblW w:w="10205" w:type="dxa"/>
        <w:jc w:val="center"/>
        <w:tblInd w:w="0" w:type="dxa"/>
        <w:tblLayout w:type="fixed"/>
        <w:tblCellMar>
          <w:top w:w="28" w:type="dxa"/>
          <w:left w:w="28" w:type="dxa"/>
          <w:bottom w:w="28" w:type="dxa"/>
          <w:right w:w="28" w:type="dxa"/>
        </w:tblCellMar>
      </w:tblPr>
      <w:tblGrid>
        <w:gridCol w:w="1793"/>
        <w:gridCol w:w="1579"/>
        <w:gridCol w:w="1595"/>
        <w:gridCol w:w="247"/>
        <w:gridCol w:w="817"/>
        <w:gridCol w:w="137"/>
        <w:gridCol w:w="137"/>
        <w:gridCol w:w="137"/>
        <w:gridCol w:w="137"/>
        <w:gridCol w:w="247"/>
        <w:gridCol w:w="817"/>
        <w:gridCol w:w="137"/>
        <w:gridCol w:w="109"/>
        <w:gridCol w:w="109"/>
        <w:gridCol w:w="109"/>
        <w:gridCol w:w="196"/>
        <w:gridCol w:w="624"/>
        <w:gridCol w:w="109"/>
        <w:gridCol w:w="109"/>
        <w:gridCol w:w="109"/>
        <w:gridCol w:w="109"/>
        <w:gridCol w:w="264"/>
        <w:gridCol w:w="268"/>
        <w:gridCol w:w="310"/>
      </w:tblGrid>
      <w:tr>
        <w:trPr/>
        <w:tc>
          <w:tcPr>
            <w:tcW w:w="1793"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49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53,856 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income (loss), net of tax: </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unrealized (loss) gain on cash flow hedges, net of income taxes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comprehensive income</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50,353 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 in net income was attributable to the factors described in the above sections.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the change in unrealized (loss) gain on cash flow hedges, net of income taxes was related to the change in fair market value of the $300.0 million interest rate cap hedge executed in October 2021.</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comprehensive income increased to $50.4 million for the three months ended September 30, 2025, compared to net comprehensive income of $47.7 million for the three months ended September 30, 2024, primarily as a result of the factors described in the above sections.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Nine Months Ended September 30, 2025 Compared to Nine Months Ended September 30, 2024</w:t>
      </w:r>
    </w:p>
    <w:p>
      <w:pPr>
        <w:pStyle w:val="TextBody"/>
        <w:bidi w:val="0"/>
        <w:spacing w:lineRule="auto" w:line="288" w:before="0" w:after="4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selected consolidated comparative results of operations from Option Care Health’s unaudited condensed consolidated financial statements for the nine months ended September 30, 2025 and 2024.</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w:t>
      </w:r>
    </w:p>
    <w:tbl>
      <w:tblPr>
        <w:tblW w:w="6965" w:type="dxa"/>
        <w:jc w:val="center"/>
        <w:tblInd w:w="0" w:type="dxa"/>
        <w:tblLayout w:type="fixed"/>
        <w:tblCellMar>
          <w:top w:w="28" w:type="dxa"/>
          <w:left w:w="28" w:type="dxa"/>
          <w:bottom w:w="28" w:type="dxa"/>
          <w:right w:w="28" w:type="dxa"/>
        </w:tblCellMar>
      </w:tblPr>
      <w:tblGrid>
        <w:gridCol w:w="555"/>
        <w:gridCol w:w="487"/>
        <w:gridCol w:w="488"/>
        <w:gridCol w:w="196"/>
        <w:gridCol w:w="871"/>
        <w:gridCol w:w="256"/>
        <w:gridCol w:w="109"/>
        <w:gridCol w:w="109"/>
        <w:gridCol w:w="109"/>
        <w:gridCol w:w="196"/>
        <w:gridCol w:w="871"/>
        <w:gridCol w:w="256"/>
        <w:gridCol w:w="109"/>
        <w:gridCol w:w="109"/>
        <w:gridCol w:w="109"/>
        <w:gridCol w:w="196"/>
        <w:gridCol w:w="736"/>
        <w:gridCol w:w="109"/>
        <w:gridCol w:w="109"/>
        <w:gridCol w:w="109"/>
        <w:gridCol w:w="109"/>
        <w:gridCol w:w="233"/>
        <w:gridCol w:w="233"/>
        <w:gridCol w:w="301"/>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4,184,073 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3,651,784 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3,379,076 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2,907,170 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804,997 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744,614 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margin</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4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net revenue was primarily driven by organic growth in the Company’s portfolio of therapies, consisting of acute revenue that had mid-teens growth relative to prior year while chronic revenue grew in the low-teens. Acute growth was largely driven by the impact of shifts in the competitive landscape, which increased the volume of patient service. The increase in cost of revenue was primarily driven by the growth in revenue and therapy mix. The decrease in gross profit margin was primarily due to certain higher cost therapies included within chronic growth (including rare and orphan therapies). Gross profit was also impacted by the previously disclosed reduction in procurement spread, partially offset by temporary mitigation efforts executed in the first quarter.</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8321" w:type="dxa"/>
        <w:jc w:val="center"/>
        <w:tblInd w:w="0" w:type="dxa"/>
        <w:tblLayout w:type="fixed"/>
        <w:tblCellMar>
          <w:top w:w="28" w:type="dxa"/>
          <w:left w:w="28" w:type="dxa"/>
          <w:bottom w:w="28" w:type="dxa"/>
          <w:right w:w="28" w:type="dxa"/>
        </w:tblCellMar>
      </w:tblPr>
      <w:tblGrid>
        <w:gridCol w:w="1172"/>
        <w:gridCol w:w="1032"/>
        <w:gridCol w:w="1035"/>
        <w:gridCol w:w="228"/>
        <w:gridCol w:w="857"/>
        <w:gridCol w:w="126"/>
        <w:gridCol w:w="126"/>
        <w:gridCol w:w="126"/>
        <w:gridCol w:w="126"/>
        <w:gridCol w:w="228"/>
        <w:gridCol w:w="857"/>
        <w:gridCol w:w="126"/>
        <w:gridCol w:w="109"/>
        <w:gridCol w:w="109"/>
        <w:gridCol w:w="109"/>
        <w:gridCol w:w="196"/>
        <w:gridCol w:w="646"/>
        <w:gridCol w:w="109"/>
        <w:gridCol w:w="109"/>
        <w:gridCol w:w="109"/>
        <w:gridCol w:w="109"/>
        <w:gridCol w:w="188"/>
        <w:gridCol w:w="188"/>
        <w:gridCol w:w="301"/>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465,524 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558,592 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509,818 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400"/>
        <w:ind w:left="0" w:right="0" w:firstLine="360"/>
        <w:jc w:val="left"/>
        <w:rPr/>
      </w:pPr>
      <w:r>
        <w:rPr>
          <w:rFonts w:ascii="Times New Roman;serif" w:hAnsi="Times New Roman;serif"/>
          <w:b w:val="false"/>
          <w:color w:val="000000"/>
          <w:sz w:val="20"/>
        </w:rPr>
        <w:t xml:space="preserve">The increase in selling, general and administrative expenses during the nine months ended September 30, 2025 was primarily due to an increase in salaries, benefits, and general costs to support the business and debt refinance costs. See Note 10, </w:t>
      </w:r>
      <w:r>
        <w:rPr>
          <w:rFonts w:ascii="Times New Roman;serif" w:hAnsi="Times New Roman;serif"/>
          <w:b w:val="false"/>
          <w:i/>
          <w:color w:val="000000"/>
          <w:sz w:val="20"/>
        </w:rPr>
        <w:t>Indebtedness,</w:t>
      </w:r>
      <w:r>
        <w:rPr>
          <w:color w:val="000000"/>
        </w:rPr>
        <w:t xml:space="preserve"> </w:t>
      </w:r>
      <w:r>
        <w:rPr>
          <w:rFonts w:ascii="Times New Roman;serif" w:hAnsi="Times New Roman;serif"/>
          <w:b w:val="false"/>
          <w:color w:val="000000"/>
          <w:sz w:val="20"/>
        </w:rPr>
        <w:t xml:space="preserve">of the unaudited condensed consolidated financial statements for further information on the Company’s debt refinancing costs . Selling, general and administrative expenses have declined as a percentage of revenue to 12.2% for the nine months ended September 30, 2025 compared to 12.7% for the nine months ended September 30, 2024, primarily due to the Company’s focus on leveraging existing infrastructure to control spending. The increase in depreciation and amortization expense was primarily due to the Intramed Plus acquisition. See Note 3, </w:t>
      </w:r>
      <w:r>
        <w:rPr>
          <w:rFonts w:ascii="Times New Roman;serif" w:hAnsi="Times New Roman;serif"/>
          <w:b w:val="false"/>
          <w:i/>
          <w:color w:val="000000"/>
          <w:sz w:val="20"/>
        </w:rPr>
        <w:t>Business Combinations</w:t>
      </w:r>
      <w:r>
        <w:rPr>
          <w:rFonts w:ascii="Times New Roman;serif" w:hAnsi="Times New Roman;serif"/>
          <w:b w:val="false"/>
          <w:color w:val="000000"/>
          <w:sz w:val="20"/>
        </w:rPr>
        <w:t>, of the unaudited condensed consolidated financial statements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Income (Expense)</w:t>
      </w:r>
    </w:p>
    <w:tbl>
      <w:tblPr>
        <w:tblW w:w="7858" w:type="dxa"/>
        <w:jc w:val="center"/>
        <w:tblInd w:w="0" w:type="dxa"/>
        <w:tblLayout w:type="fixed"/>
        <w:tblCellMar>
          <w:top w:w="28" w:type="dxa"/>
          <w:left w:w="28" w:type="dxa"/>
          <w:bottom w:w="28" w:type="dxa"/>
          <w:right w:w="28" w:type="dxa"/>
        </w:tblCellMar>
      </w:tblPr>
      <w:tblGrid>
        <w:gridCol w:w="943"/>
        <w:gridCol w:w="830"/>
        <w:gridCol w:w="836"/>
        <w:gridCol w:w="231"/>
        <w:gridCol w:w="850"/>
        <w:gridCol w:w="128"/>
        <w:gridCol w:w="128"/>
        <w:gridCol w:w="128"/>
        <w:gridCol w:w="128"/>
        <w:gridCol w:w="231"/>
        <w:gridCol w:w="850"/>
        <w:gridCol w:w="128"/>
        <w:gridCol w:w="109"/>
        <w:gridCol w:w="109"/>
        <w:gridCol w:w="109"/>
        <w:gridCol w:w="196"/>
        <w:gridCol w:w="721"/>
        <w:gridCol w:w="109"/>
        <w:gridCol w:w="109"/>
        <w:gridCol w:w="109"/>
        <w:gridCol w:w="109"/>
        <w:gridCol w:w="233"/>
        <w:gridCol w:w="233"/>
        <w:gridCol w:w="301"/>
      </w:tblGrid>
      <w:tr>
        <w:trPr/>
        <w:tc>
          <w:tcPr>
            <w:tcW w:w="9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(41,824)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NM</w:t>
            </w:r>
            <w:r>
              <w:rPr>
                <w:rFonts w:ascii="Times New Roman;serif" w:hAnsi="Times New Roman;serif"/>
                <w:b w:val="false"/>
                <w:color w:val="000000"/>
                <w:sz w:val="12"/>
              </w:rPr>
              <w:t>(1)</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income</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(45,021)</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(32,246)</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Not meaningful</w:t>
      </w:r>
    </w:p>
    <w:p>
      <w:pPr>
        <w:pStyle w:val="TextBody"/>
        <w:bidi w:val="0"/>
        <w:spacing w:lineRule="auto" w:line="288" w:before="200" w:after="400"/>
        <w:ind w:left="0" w:right="0" w:firstLine="360"/>
        <w:jc w:val="left"/>
        <w:rPr/>
      </w:pPr>
      <w:r>
        <w:rPr>
          <w:rFonts w:ascii="Times New Roman;serif" w:hAnsi="Times New Roman;serif"/>
          <w:b w:val="false"/>
          <w:color w:val="000000"/>
          <w:sz w:val="20"/>
        </w:rPr>
        <w:t xml:space="preserve">The increase in interest expense, net during the nine months ended September 30, 2025 was primarily attributable to less interest income generated from our cash and cash equivalents, partially offset by a decrease in the interest rate on the Company’s First Lien Term Loan, compared to the nine months ended September 30, 2024. See Note 10, </w:t>
      </w:r>
      <w:r>
        <w:rPr>
          <w:rFonts w:ascii="Times New Roman;serif" w:hAnsi="Times New Roman;serif"/>
          <w:b w:val="false"/>
          <w:i/>
          <w:color w:val="000000"/>
          <w:sz w:val="20"/>
        </w:rPr>
        <w:t>Indebtedness</w:t>
      </w:r>
      <w:r>
        <w:rPr>
          <w:rFonts w:ascii="Times New Roman;serif" w:hAnsi="Times New Roman;serif"/>
          <w:b w:val="false"/>
          <w:color w:val="000000"/>
          <w:sz w:val="20"/>
        </w:rPr>
        <w:t xml:space="preserve">, of the unaudited condensed consolidated financial statements for further information. The change in other, net during the nine months ended September 30, 2025 was primarily attributable to accruals related to an abandoned or unclaimed property voluntary disclosure agreement program which was related to the pre-merger operations of BioScrip, Inc. (“BioScrip”), which was entered into by BioScrip prior to its merger with the Company in 2019. As of September 30, 2025, the matters related to this program are ongoing. Additionally, the change in other, net during the nine months ended September 30, 2025 was attributable to the $4.7 million loss on extinguishment of debt from the Company’s debt refinance during the nine months ended September 30, 2025 with no comparable activity during the nine months ended September 30, 2024. See Note 10, </w:t>
      </w:r>
      <w:r>
        <w:rPr>
          <w:rFonts w:ascii="Times New Roman;serif" w:hAnsi="Times New Roman;serif"/>
          <w:b w:val="false"/>
          <w:i/>
          <w:color w:val="000000"/>
          <w:sz w:val="20"/>
        </w:rPr>
        <w:t>Indebtedness</w:t>
      </w:r>
      <w:r>
        <w:rPr>
          <w:rFonts w:ascii="Times New Roman;serif" w:hAnsi="Times New Roman;serif"/>
          <w:b w:val="false"/>
          <w:color w:val="000000"/>
          <w:sz w:val="20"/>
        </w:rPr>
        <w:t>, of the unaudited condensed consolidated financial statements for further information.</w:t>
      </w:r>
    </w:p>
    <w:p>
      <w:pPr>
        <w:pStyle w:val="TextBody"/>
        <w:bidi w:val="0"/>
        <w:spacing w:lineRule="auto" w:line="288" w:before="0" w:after="200"/>
        <w:ind w:left="0" w:right="0" w:firstLine="360"/>
        <w:jc w:val="left"/>
        <w:rPr>
          <w:rFonts w:ascii="Times New Roman;serif" w:hAnsi="Times New Roman;serif"/>
          <w:b/>
          <w:i/>
          <w:color w:val="231F20"/>
          <w:sz w:val="20"/>
        </w:rPr>
      </w:pPr>
      <w:r>
        <w:rPr>
          <w:rFonts w:ascii="Times New Roman;serif" w:hAnsi="Times New Roman;serif"/>
          <w:b/>
          <w:i/>
          <w:color w:val="231F20"/>
          <w:sz w:val="20"/>
        </w:rPr>
        <w:t>Income Tax Expense</w:t>
      </w:r>
    </w:p>
    <w:tbl>
      <w:tblPr>
        <w:tblW w:w="6509" w:type="dxa"/>
        <w:jc w:val="center"/>
        <w:tblInd w:w="0" w:type="dxa"/>
        <w:tblLayout w:type="fixed"/>
        <w:tblCellMar>
          <w:top w:w="28" w:type="dxa"/>
          <w:left w:w="28" w:type="dxa"/>
          <w:bottom w:w="28" w:type="dxa"/>
          <w:right w:w="28" w:type="dxa"/>
        </w:tblCellMar>
      </w:tblPr>
      <w:tblGrid>
        <w:gridCol w:w="548"/>
        <w:gridCol w:w="482"/>
        <w:gridCol w:w="484"/>
        <w:gridCol w:w="246"/>
        <w:gridCol w:w="813"/>
        <w:gridCol w:w="137"/>
        <w:gridCol w:w="137"/>
        <w:gridCol w:w="137"/>
        <w:gridCol w:w="137"/>
        <w:gridCol w:w="246"/>
        <w:gridCol w:w="813"/>
        <w:gridCol w:w="137"/>
        <w:gridCol w:w="109"/>
        <w:gridCol w:w="109"/>
        <w:gridCol w:w="109"/>
        <w:gridCol w:w="196"/>
        <w:gridCol w:w="556"/>
        <w:gridCol w:w="109"/>
        <w:gridCol w:w="109"/>
        <w:gridCol w:w="109"/>
        <w:gridCol w:w="109"/>
        <w:gridCol w:w="188"/>
        <w:gridCol w:w="188"/>
        <w:gridCol w:w="30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4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$52.3 million and $50.9 million for the nine months ended September 30, 2025 and 2024, respectively, which represents an effective tax rate of 26.0% and 25.1%, respectively. The variance in the Company’s effective tax rate of 26.0% for the nine months ended September 30, 2025, compared to the federal statutory rate of 21.0%, was primarily attributable to the difference between federal and state tax rates and various non-deductible expenses. The variance in the Company’s effective tax rate of 25.1% for the nine months ended September 30, 2024, compared to the federal statutory rate of 21.0%, was primarily attributable to the difference between federal and state tax rates, various non-deductible expenses, and a change in state valuation allowance.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231F20"/>
          <w:sz w:val="20"/>
        </w:rPr>
      </w:pPr>
      <w:r>
        <w:rPr>
          <w:rFonts w:ascii="Times New Roman;serif" w:hAnsi="Times New Roman;serif"/>
          <w:b/>
          <w:i/>
          <w:color w:val="231F20"/>
          <w:sz w:val="20"/>
        </w:rPr>
        <w:t>Net Income and Other Comprehensive Income (Loss)</w:t>
      </w:r>
    </w:p>
    <w:tbl>
      <w:tblPr>
        <w:tblW w:w="10205" w:type="dxa"/>
        <w:jc w:val="center"/>
        <w:tblInd w:w="0" w:type="dxa"/>
        <w:tblLayout w:type="fixed"/>
        <w:tblCellMar>
          <w:top w:w="28" w:type="dxa"/>
          <w:left w:w="28" w:type="dxa"/>
          <w:bottom w:w="28" w:type="dxa"/>
          <w:right w:w="28" w:type="dxa"/>
        </w:tblCellMar>
      </w:tblPr>
      <w:tblGrid>
        <w:gridCol w:w="1842"/>
        <w:gridCol w:w="1622"/>
        <w:gridCol w:w="1639"/>
        <w:gridCol w:w="225"/>
        <w:gridCol w:w="847"/>
        <w:gridCol w:w="124"/>
        <w:gridCol w:w="124"/>
        <w:gridCol w:w="124"/>
        <w:gridCol w:w="124"/>
        <w:gridCol w:w="225"/>
        <w:gridCol w:w="847"/>
        <w:gridCol w:w="124"/>
        <w:gridCol w:w="109"/>
        <w:gridCol w:w="109"/>
        <w:gridCol w:w="109"/>
        <w:gridCol w:w="196"/>
        <w:gridCol w:w="626"/>
        <w:gridCol w:w="109"/>
        <w:gridCol w:w="109"/>
        <w:gridCol w:w="109"/>
        <w:gridCol w:w="109"/>
        <w:gridCol w:w="221"/>
        <w:gridCol w:w="223"/>
        <w:gridCol w:w="309"/>
      </w:tblGrid>
      <w:tr>
        <w:trPr/>
        <w:tc>
          <w:tcPr>
            <w:tcW w:w="184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income (loss), net of tax: </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unrealized (loss) gain on cash flow hedges, net of income taxes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NM</w:t>
            </w:r>
            <w:r>
              <w:rPr>
                <w:rFonts w:ascii="Times New Roman;serif" w:hAnsi="Times New Roman;serif"/>
                <w:b w:val="false"/>
                <w:color w:val="000000"/>
                <w:sz w:val="12"/>
              </w:rPr>
              <w:t>(1)</w:t>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NM</w:t>
            </w:r>
            <w:r>
              <w:rPr>
                <w:rFonts w:ascii="Times New Roman;serif" w:hAnsi="Times New Roman;serif"/>
                <w:b w:val="false"/>
                <w:color w:val="000000"/>
                <w:sz w:val="12"/>
              </w:rPr>
              <w:t>(1)</w:t>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comprehensive income</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143,536 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146,215 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Not meaningful</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 in net income was attributable to the factors described in the above sections.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and 2024, the change in unrealized (loss) gain on cash flow hedges, net of income taxes was related to the change in fair market value of the $300.0 million interest rate cap hedge executed in October 2021.</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comprehensive income decreased to $143.5 million for the nine months ended September 30, 2025, compared to net comprehensive income of $146.2 million for the nine months ended September 30, 2024, primarily as a result of the factors described in the above sections.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and the twelve months ended December 31, 2024, the Company’s primary sources of liquidity were cash and cash equivalents of $309.8 million and $412.6 million, respectively. As of September 30, 2025, the Company had $396.0 million of borrowings available under its credit facilities (net of $4.0 million undrawn letters of credit issued and outstanding). As of December 31, 2024, the Company had $395.9 million of borrowings available under its credit facilities (net of $4.1 million undrawn letters of credit issued and outstanding). During the nine months ended September 30, 2025 and 2024, the Company’s cash flows from operations enabled investments in pharmacy, infusion suites, and information technology infrastructure to support growth and create additional capacity in the future, as well as to pursue acquisitions and share repurchases.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primary uses of cash and cash equivalents include supporting our ongoing business activities, investment in capital expenditures in both facilities and technology, the pursuit of acquisitions, and share repurchases. Ongoing operating cash outflows are associated with procuring and dispensing drugs, personnel and other costs associated with servicing patients, as well as paying cash interest on outstanding debt and taxes. Ongoing investing cash flows are primarily associated with capital projects and business acquisitions, the improvement and maintenance of our pharmacy facilities and investment in our information technology systems. Ongoing financing cash flows are primarily associated with the quarterly principal payments on our outstanding debt, along with potential future share repurchases.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strategy includes the deployment of capital to pursue acquisitions that complement our existing operations. We continue to evaluate acquisition opportunities and view acquisitions as a key part of our growth strategy. The Company has generally funded its acquisitions with cash and cash equivalents.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Short-Term and Long-Term Liquidity Requirements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ability to make principal and interest payments on any borrowings under our credit facilities and our ability to fund planned capital expenditures will depend on our ability to generate cash and cash equivalents in the future, which to a certain extent, is subject to general economic, financial, competitive, regulatory and other conditions. Based on our current level of operations and planned capital expenditures, we believe that our existing cash and cash equivalents balances and expected cash flows generated from operations will be sufficient to meet our operating requirements over the next 12 months and beyond. We may require additional borrowings under our credit facilities and alternative forms of financings or investments to achieve our longer-term strategic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22, 2025, the Company entered into the Fourth Amendment to the Credit Agreement. The Fourth Amendment, among other things, (i) reduces the interest rate on the First Lien Term Loan from Term SOFR plus 2.25% to Term SOFR plus 1.75% and extends the maturity date to September 22, 2032, (ii) provides for an additional $49.6 million of incremental First Lien Term Loan indebtedness, and (iii) extends the maturity date of the Revolver Facility to September 22, 2030.</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principal balance of the First Lien Term Loan is repayable in quarterly installments of $1.7 million plus interest, with a final payment of all remaining outstanding principal due on September 22, 2032. Interest on the First Lien Term Loan is payable monthly on either (i) the SOFR plus an applicable margin of 1.75% for Term SOFR Loans; or (ii) a base rate, plus 0.75% for Base Rate Loans.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Senior Notes bear interest at a rate of 4.375% per annum and are payable semi-annually in arrears on October 31 and April 30 of each year. The Senior Notes mature on October 31, 2029.</w:t>
      </w:r>
    </w:p>
    <w:p>
      <w:pPr>
        <w:pStyle w:val="TextBody"/>
        <w:bidi w:val="0"/>
        <w:spacing w:lineRule="auto" w:line="288" w:before="0" w:after="200"/>
        <w:ind w:left="0" w:right="0" w:firstLine="360"/>
        <w:jc w:val="left"/>
        <w:rPr/>
      </w:pPr>
      <w:r>
        <w:rPr>
          <w:rFonts w:ascii="Times New Roman;serif" w:hAnsi="Times New Roman;serif"/>
          <w:b w:val="false"/>
          <w:color w:val="000000"/>
          <w:sz w:val="20"/>
        </w:rPr>
        <w:t>The Company’s Revolver Facility provides for borrowings up to $400.0 million. The Revolver Facility matures on the date that is the earlier of (i) September 22, 2030 and (ii) the date that is 91 days prior to the stated maturity date applicable to</w:t>
      </w:r>
      <w:r>
        <w:rPr>
          <w:color w:val="0000FF"/>
        </w:rPr>
        <w:t xml:space="preserve"> </w:t>
      </w:r>
      <w:r>
        <w:rPr>
          <w:rFonts w:ascii="Times New Roman;serif" w:hAnsi="Times New Roman;serif"/>
          <w:b w:val="false"/>
          <w:color w:val="000000"/>
          <w:sz w:val="20"/>
        </w:rPr>
        <w:t>the Senior Notes to the extent any amount of the Senior Notes remains unpaid and outstanding as of the date that is 91 days prior to the stated maturity date applicable to the Senior Notes. Borrowings under the Revolver Facility will bear interest at a rate equal to, at the option of the Company, either (i) the Term SOFR applicable thereto plus the Applicable Rate or (ii) the then-applicable Base Rate plus the Applicable Rate, which Applicable Rate shall be, subject to certain caveats thereto, as follows (i) until delivery of financial statements and related Compliance Certificate for the first full fiscal quarter ending after the effective date of the First Lien Credit Agreement Amendment, (A) for Term SOFR Loans, 1.75%, or (B) for Base Rate Loans, 0.75% and (ii) thereafter, the Applicable Rate for Term SOFR Loans and Base Rate Loans, based upon the Total Net Leverage Ratio as set forth in the most recent Compliance Certificate received by the Administrative Agent pursuant to the terms of the credit agreement. As of September 30, 2025, the Company had $4.0 million of undrawn letters of credit issued and outstanding, resulting in net borrowing availability under the Revolver Facility of $396.0 million.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payments over the course of long-term debt obligations total an estimated $363.7 million based on final maturity dates of the Company’s credit facilities. Interest payments are calculated based on current rates as of September 30, 2025. Actual payments are based on changes in SOFR and exclude the interest rate cap derivative instrument.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Nine Months Ended September 30, 2025 Compared to Nine Months Ended September 30, 2024</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selected data from Option Care Health’s unaudited condensed consolidated statements of cash flows:</w:t>
      </w:r>
    </w:p>
    <w:tbl>
      <w:tblPr>
        <w:tblW w:w="8082" w:type="dxa"/>
        <w:jc w:val="center"/>
        <w:tblInd w:w="0" w:type="dxa"/>
        <w:tblLayout w:type="fixed"/>
        <w:tblCellMar>
          <w:top w:w="28" w:type="dxa"/>
          <w:left w:w="28" w:type="dxa"/>
          <w:bottom w:w="28" w:type="dxa"/>
          <w:right w:w="28" w:type="dxa"/>
        </w:tblCellMar>
      </w:tblPr>
      <w:tblGrid>
        <w:gridCol w:w="1375"/>
        <w:gridCol w:w="1204"/>
        <w:gridCol w:w="1215"/>
        <w:gridCol w:w="228"/>
        <w:gridCol w:w="857"/>
        <w:gridCol w:w="126"/>
        <w:gridCol w:w="126"/>
        <w:gridCol w:w="126"/>
        <w:gridCol w:w="126"/>
        <w:gridCol w:w="228"/>
        <w:gridCol w:w="857"/>
        <w:gridCol w:w="126"/>
        <w:gridCol w:w="109"/>
        <w:gridCol w:w="109"/>
        <w:gridCol w:w="109"/>
        <w:gridCol w:w="196"/>
        <w:gridCol w:w="811"/>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(147,437)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(177,862)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(122,827)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(102,743)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139,177 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period</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309,822 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483,026 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(173,204)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cash provided by operating activities during the nine months ended September 30, 2025, as compared to the nine months ended September 30, 2024, was primarily due to a reduction in accounts payable, partially offset by increases in inventories, prepaid expenses, and accrued compensation and employee benefits.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cash used in investing activities during the nine months ended September 30, 2025 was primarily related to the Intramed Plus acquisition activity with no comparable activity during the nine months ended September 30, 2024.</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cash used in financing activities was primarily related to the Company’s $214.9 million repurchase of common stock and related excise taxes during the nine months ended September 30, 2025, whereas the activity during the nine months ended September 30, 2024 was primarily related to the Company’s $160.1 million repurchase of common stock and related excise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prepares its unaudited condensed consolidated financial statements in accordance with GAAP, which requires the Company to make estimates and assumptions. The Company evaluates its estimates and assumptions on an ongoing basis. Estimates and assumptions are based on historical experience and on various other factors that are believed to be reasonable under the circumstances, the results of which form the basis for making assumptions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critical accounting policies and estimates as presented in our Form 10-K, which are hereby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exposure to market risk from those included in our Form 10-K, which is hereby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September 30, 2025. Based on that evaluation, the Company’s Chief Executive Officer and its Chief Financial Officer concluded that our disclosure controls and procedures were effective as of September 30, 2025.</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three months ended September 30, 2025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Times New Roman;serif" w:hAnsi="Times New Roman;serif"/>
          <w:b/>
          <w:color w:val="000000"/>
          <w:sz w:val="20"/>
        </w:rPr>
        <w:t>Item 1.    </w:t>
      </w:r>
      <w:r>
        <w:rPr>
          <w:rFonts w:ascii="Times New Roman;serif" w:hAnsi="Times New Roman;serif"/>
          <w:b/>
          <w:i/>
          <w:color w:val="000000"/>
          <w:sz w:val="20"/>
        </w:rPr>
        <w:t>Legal Proceedings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a summary of legal proceedings, refer to Note 13,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of the unaudited condensed consolidated financial statements included in Item 1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Times New Roman;serif" w:hAnsi="Times New Roman;serif"/>
          <w:b/>
          <w:color w:val="000000"/>
          <w:sz w:val="20"/>
        </w:rPr>
        <w:t>Item 1A.    </w:t>
      </w:r>
      <w:r>
        <w:rPr>
          <w:rFonts w:ascii="Times New Roman;serif" w:hAnsi="Times New Roman;serif"/>
          <w:b/>
          <w:i/>
          <w:color w:val="000000"/>
          <w:sz w:val="20"/>
        </w:rPr>
        <w:t>Risk Factors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affecting our business, financial condition or results of operations from those set forth in Part I, Item 1A. “Risk Factors” in our Form 10-K. Additional risks and uncertainties not currently known to us or that we currently deem to be immaterial may also materially adversely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Times New Roman;serif" w:hAnsi="Times New Roman;serif"/>
          <w:b/>
          <w:color w:val="000000"/>
          <w:sz w:val="20"/>
        </w:rPr>
        <w:t>Item 2.    </w:t>
      </w:r>
      <w:r>
        <w:rPr>
          <w:rFonts w:ascii="Times New Roman;serif" w:hAnsi="Times New Roman;serif"/>
          <w:b/>
          <w:i/>
          <w:color w:val="000000"/>
          <w:sz w:val="20"/>
        </w:rPr>
        <w:t>Unregistered Sales of Equity Securities and Use of Proceeds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Board of Directors approved a share repurchase program of up to an aggregate $500 million of common stock of the Company. This program has no specified expiration date.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certain information with respect to the Company’s repurchases of common stock from July 1, 2025 through September 30, 2025:</w:t>
      </w:r>
    </w:p>
    <w:tbl>
      <w:tblPr>
        <w:tblW w:w="10205" w:type="dxa"/>
        <w:jc w:val="center"/>
        <w:tblInd w:w="0" w:type="dxa"/>
        <w:tblLayout w:type="fixed"/>
        <w:tblCellMar>
          <w:top w:w="28" w:type="dxa"/>
          <w:left w:w="28" w:type="dxa"/>
          <w:bottom w:w="28" w:type="dxa"/>
          <w:right w:w="28" w:type="dxa"/>
        </w:tblCellMar>
      </w:tblPr>
      <w:tblGrid>
        <w:gridCol w:w="683"/>
        <w:gridCol w:w="346"/>
        <w:gridCol w:w="348"/>
        <w:gridCol w:w="109"/>
        <w:gridCol w:w="109"/>
        <w:gridCol w:w="109"/>
        <w:gridCol w:w="639"/>
        <w:gridCol w:w="429"/>
        <w:gridCol w:w="430"/>
        <w:gridCol w:w="109"/>
        <w:gridCol w:w="109"/>
        <w:gridCol w:w="109"/>
        <w:gridCol w:w="261"/>
        <w:gridCol w:w="743"/>
        <w:gridCol w:w="145"/>
        <w:gridCol w:w="109"/>
        <w:gridCol w:w="109"/>
        <w:gridCol w:w="109"/>
        <w:gridCol w:w="866"/>
        <w:gridCol w:w="704"/>
        <w:gridCol w:w="706"/>
        <w:gridCol w:w="109"/>
        <w:gridCol w:w="109"/>
        <w:gridCol w:w="109"/>
        <w:gridCol w:w="362"/>
        <w:gridCol w:w="1943"/>
        <w:gridCol w:w="292"/>
      </w:tblGrid>
      <w:tr>
        <w:trPr/>
        <w:tc>
          <w:tcPr>
            <w:tcW w:w="6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Plans or Programs</w:t>
            </w:r>
          </w:p>
        </w:tc>
      </w:tr>
      <w:tr>
        <w:trPr/>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 2025 -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350,000,914 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1, 2025 -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485,768 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485,768 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336,249,232 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 2025 -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1,719,767 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1,719,767 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287,543,218 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2,205,535 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2,205,535 </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287,543,218 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Times New Roman;serif" w:hAnsi="Times New Roman;serif"/>
          <w:b/>
          <w:color w:val="000000"/>
          <w:sz w:val="20"/>
        </w:rPr>
        <w:t>Item 5.    </w:t>
      </w:r>
      <w:r>
        <w:rPr>
          <w:rFonts w:ascii="Times New Roman;serif" w:hAnsi="Times New Roman;serif"/>
          <w:b/>
          <w:i/>
          <w:color w:val="000000"/>
          <w:sz w:val="20"/>
        </w:rPr>
        <w:t>Other Information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Adoption, Modification and Termination of Rule 10b5-1 Plans and Certain Other Trading Arrangements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director or officer of the Company has adopted, modified or terminated a Rule 10b5-1 plan or non-Rule 10b5-1 trading arrangement during the three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Exhibits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 Exhibits.</w:t>
      </w:r>
    </w:p>
    <w:tbl>
      <w:tblPr>
        <w:tblW w:w="10205" w:type="dxa"/>
        <w:jc w:val="center"/>
        <w:tblInd w:w="0" w:type="dxa"/>
        <w:tblLayout w:type="fixed"/>
        <w:tblCellMar>
          <w:top w:w="28" w:type="dxa"/>
          <w:left w:w="28" w:type="dxa"/>
          <w:bottom w:w="28" w:type="dxa"/>
          <w:right w:w="28" w:type="dxa"/>
        </w:tblCellMar>
      </w:tblPr>
      <w:tblGrid>
        <w:gridCol w:w="336"/>
        <w:gridCol w:w="295"/>
        <w:gridCol w:w="296"/>
        <w:gridCol w:w="2808"/>
        <w:gridCol w:w="2662"/>
        <w:gridCol w:w="3808"/>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Number </w:t>
            </w:r>
          </w:p>
        </w:tc>
        <w:tc>
          <w:tcPr>
            <w:tcW w:w="9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927"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9278"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80"/>
                  <w:sz w:val="18"/>
                  <w:u w:val="single"/>
                </w:rPr>
                <w:t>Fourth Amended and Restated Certificate of Incorporation of Option Care Health, Inc., effective as of May 15, 2025 (incorporated by reference to Exhibit 3.1 to the Company</w:t>
              </w:r>
            </w:hyperlink>
            <w:hyperlink r:id="rId4">
              <w:r>
                <w:rPr>
                  <w:rStyle w:val="InternetLink"/>
                  <w:rFonts w:ascii="Times New Roman;serif" w:hAnsi="Times New Roman;serif"/>
                  <w:b w:val="false"/>
                  <w:color w:val="000080"/>
                  <w:sz w:val="18"/>
                  <w:u w:val="single"/>
                </w:rPr>
                <w:t>’</w:t>
              </w:r>
            </w:hyperlink>
            <w:hyperlink r:id="rId5">
              <w:r>
                <w:rPr>
                  <w:rStyle w:val="InternetLink"/>
                  <w:rFonts w:ascii="Times New Roman;serif" w:hAnsi="Times New Roman;serif"/>
                  <w:b w:val="false"/>
                  <w:color w:val="000080"/>
                  <w:sz w:val="18"/>
                  <w:u w:val="single"/>
                </w:rPr>
                <w:t>s Current Report on Form 8-K filed on May 16, 2025).</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92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80"/>
                  <w:sz w:val="18"/>
                  <w:u w:val="single"/>
                </w:rPr>
                <w:t>Amended and Restated By-Laws of Option Care Health, Inc., effective as of May 14, 2025 (incorporated by reference to Exhibit 3.2 to the Company</w:t>
              </w:r>
            </w:hyperlink>
            <w:hyperlink r:id="rId7">
              <w:r>
                <w:rPr>
                  <w:rStyle w:val="InternetLink"/>
                  <w:rFonts w:ascii="Times New Roman;serif" w:hAnsi="Times New Roman;serif"/>
                  <w:b w:val="false"/>
                  <w:color w:val="000080"/>
                  <w:sz w:val="18"/>
                  <w:u w:val="single"/>
                </w:rPr>
                <w:t>’</w:t>
              </w:r>
            </w:hyperlink>
            <w:hyperlink r:id="rId8">
              <w:r>
                <w:rPr>
                  <w:rStyle w:val="InternetLink"/>
                  <w:rFonts w:ascii="Times New Roman;serif" w:hAnsi="Times New Roman;serif"/>
                  <w:b w:val="false"/>
                  <w:color w:val="000080"/>
                  <w:sz w:val="18"/>
                  <w:u w:val="single"/>
                </w:rPr>
                <w:t>s Current Report on Form 8-K filed on May 16, 2025).</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92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18"/>
                  <w:u w:val="single"/>
                </w:rPr>
                <w:t>Fourth Amendment to Amended and Restated First Lien Credit Agreement, dated as of September 22, 2025, by and among Option Care Health, Inc., a Delaware corporation, as borrower, each other Loan Party (as defined therein) party thereto, each 2025 Refinancing Term Lender (as defined therein) party thereto, each 2025 Incremental Term Lender (as defined therein), each Extending Revolving Credit Lender (as defined therein) and Bank of America, N.A., as administrative agent (incorporated by reference to Exhibit 10.1 to the Company's Current Report on Form 8-K filed on September 25, 2025).</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92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18"/>
                  <w:u w:val="single"/>
                </w:rPr>
                <w:t>Employment Offer Letter, dated as of August 19, 2025, between Option Care Health, Inc. and Meenal A. Sethna (incorporated by reference to Exhibit 10.1 to the Company’s Current Report on Form 8-K filed on August 20, 2025).</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92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18"/>
                  <w:u w:val="single"/>
                </w:rPr>
                <w:t>Transition Agreement and Release, dated as of August 19, 2025, between Option Care Enterprises, Inc. and Michael Shapiro (incorporated by reference to Exhibit 10.2 to the Company’s Current Report on Form 8-K filed on August 20, 2025).</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92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1-q32025.htm">
              <w:r>
                <w:rPr>
                  <w:rStyle w:val="InternetLink"/>
                  <w:rFonts w:ascii="Times New Roman;serif" w:hAnsi="Times New Roman;serif"/>
                  <w:b w:val="false"/>
                  <w:color w:val="0000FF"/>
                  <w:sz w:val="18"/>
                  <w:u w:val="single"/>
                </w:rPr>
                <w:t>Certification of Chief Executive Officer pursuant to 18 U.S.C. Section 1350, as adopted pursuant to Section 302 of the Sarbanes-Oxley Act of 2002.</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9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q32025.htm">
              <w:r>
                <w:rPr>
                  <w:rStyle w:val="InternetLink"/>
                  <w:rFonts w:ascii="Times New Roman;serif" w:hAnsi="Times New Roman;serif"/>
                  <w:b w:val="false"/>
                  <w:color w:val="0000FF"/>
                  <w:sz w:val="18"/>
                  <w:u w:val="single"/>
                </w:rPr>
                <w:t>Certification of Chief Financial Officer pursuant to 18 U.S.C. Section 1350, as adopted pursuant to Section 302 of the Sarbanes-Oxley Act of 2002.</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9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q32025.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9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2-q32025.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9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Instance Document</w:t>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9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9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9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9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Labels Linkbase Document</w:t>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9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9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Formatted Cover Page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00"/>
        <w:jc w:val="left"/>
        <w:rPr/>
      </w:pPr>
      <w:hyperlink w:anchor="i42534ba112ab4091b059d4fc557a659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782" w:type="dxa"/>
        <w:jc w:val="center"/>
        <w:tblInd w:w="0" w:type="dxa"/>
        <w:tblLayout w:type="fixed"/>
        <w:tblCellMar>
          <w:top w:w="28" w:type="dxa"/>
          <w:left w:w="28" w:type="dxa"/>
          <w:bottom w:w="28" w:type="dxa"/>
          <w:right w:w="28" w:type="dxa"/>
        </w:tblCellMar>
      </w:tblPr>
      <w:tblGrid>
        <w:gridCol w:w="953"/>
        <w:gridCol w:w="837"/>
        <w:gridCol w:w="837"/>
        <w:gridCol w:w="628"/>
        <w:gridCol w:w="628"/>
        <w:gridCol w:w="899"/>
      </w:tblGrid>
      <w:tr>
        <w:trPr/>
        <w:tc>
          <w:tcPr>
            <w:tcW w:w="95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4782"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color w:val="000000"/>
                <w:sz w:val="20"/>
              </w:rPr>
              <w:t>OPTION CARE HEALTH, INC.</w:t>
            </w:r>
          </w:p>
        </w:tc>
      </w:tr>
      <w:tr>
        <w:trPr/>
        <w:tc>
          <w:tcPr>
            <w:tcW w:w="4782"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6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2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 Meenal Sethna </w:t>
            </w:r>
          </w:p>
        </w:tc>
      </w:tr>
      <w:tr>
        <w:trPr/>
        <w:tc>
          <w:tcPr>
            <w:tcW w:w="4782"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Meenal Sethna</w:t>
            </w:r>
          </w:p>
        </w:tc>
      </w:tr>
      <w:tr>
        <w:trPr/>
        <w:tc>
          <w:tcPr>
            <w:tcW w:w="4782" w:type="dxa"/>
            <w:gridSpan w:val="6"/>
            <w:tcBorders/>
            <w:tcMar>
              <w:top w:w="0" w:type="dxa"/>
              <w:left w:w="0" w:type="dxa"/>
              <w:bottom w:w="0" w:type="dxa"/>
              <w:right w:w="0" w:type="dxa"/>
            </w:tcMar>
            <w:vAlign w:val="center"/>
          </w:tcPr>
          <w:p>
            <w:pPr>
              <w:pStyle w:val="TableContents"/>
              <w:bidi w:val="0"/>
              <w:spacing w:lineRule="auto" w:line="240" w:before="168" w:after="283"/>
              <w:jc w:val="right"/>
              <w:rPr>
                <w:rFonts w:ascii="Times New Roman;serif" w:hAnsi="Times New Roman;serif"/>
                <w:b w:val="false"/>
                <w:color w:val="000000"/>
                <w:sz w:val="20"/>
              </w:rPr>
            </w:pPr>
            <w:r>
              <w:rPr>
                <w:rFonts w:ascii="Times New Roman;serif" w:hAnsi="Times New Roman;serif"/>
                <w:b w:val="false"/>
                <w:color w:val="000000"/>
                <w:sz w:val="20"/>
              </w:rPr>
              <w:t>Chief Financial Officer and Executive Vice President</w:t>
            </w:r>
          </w:p>
        </w:tc>
      </w:tr>
      <w:tr>
        <w:trPr/>
        <w:tc>
          <w:tcPr>
            <w:tcW w:w="4782"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 </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John Rademacher, certify that: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Option Care Health, Inc.; </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controls and procedures, as of the end of the period covered by this report based on such evaluation;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00" w:after="100"/>
        <w:ind w:left="0" w:right="0" w:hanging="720"/>
        <w:jc w:val="both"/>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30,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John Rademacher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Rademacher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Meenal Sethna, certify that: </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Option Care Health, Inc.; </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controls and procedures, as of the end of the period covered by this report based on such evaluation;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30, 2025 </w:t>
      </w:r>
    </w:p>
    <w:p>
      <w:pPr>
        <w:pStyle w:val="TextBody"/>
        <w:bidi w:val="0"/>
        <w:spacing w:before="100" w:after="10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Meenal Sethna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Meenal Sethna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and Principal Financial Officer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00" w:after="100"/>
        <w:jc w:val="both"/>
        <w:rPr>
          <w:color w:val="000000"/>
        </w:rPr>
      </w:pPr>
      <w:r>
        <w:rPr>
          <w:color w:val="000000"/>
        </w:rPr>
        <w:t>    </w:t>
      </w:r>
      <w:r>
        <w:rPr>
          <w:rFonts w:ascii="Times New Roman;serif" w:hAnsi="Times New Roman;serif"/>
          <w:b w:val="false"/>
          <w:color w:val="000000"/>
          <w:sz w:val="20"/>
        </w:rPr>
        <w:t xml:space="preserve">In connection with the Quarterly Report of Option Care Health, Inc. (the “Company”) on Form 10-Q for the quarter ended September 30, 2025, as filed with the Securities and Exchange Commission on the date hereof (the “Report”), I, John Rademacher, Chief Executive Officer of the Company, do hereby certify, pursuant to 18 U.S.C. Section 1350, as adopted pursuant to Section 906 of the Sarbanes-Oxley Act of 2002, that to my knowledge: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and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30,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John Rademacher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Rademacher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Principal Executive Officer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00" w:after="100"/>
        <w:jc w:val="both"/>
        <w:rPr>
          <w:color w:val="000000"/>
        </w:rPr>
      </w:pPr>
      <w:r>
        <w:rPr>
          <w:color w:val="000000"/>
        </w:rPr>
        <w:t>    </w:t>
      </w:r>
      <w:r>
        <w:rPr>
          <w:rFonts w:ascii="Times New Roman;serif" w:hAnsi="Times New Roman;serif"/>
          <w:b w:val="false"/>
          <w:color w:val="000000"/>
          <w:sz w:val="20"/>
        </w:rPr>
        <w:t xml:space="preserve">In connection with the Quarterly Report of Option Care Health, Inc. (the “Company”) on Form 10-Q for the quarter ended September 30, 2025, as filed with the Securities and Exchange Commission on the date hereof (the “Report”), I, Meenal Sethna, Chief Financial Officer of the Company, do hereby certify, pursuant to 18 U.S.C. Section 1350, as adopted pursuant to Section 906 of the Sarbanes-Oxley Act of 2002, that to my knowledge: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and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30,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Meenal Sethna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Meenal Sethna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and Principal Financial Officer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14739/000101473925000028/ex31-fourthamendedandresta.htm" TargetMode="External"/><Relationship Id="rId4" Type="http://schemas.openxmlformats.org/officeDocument/2006/relationships/hyperlink" Target="https://www.sec.gov/Archives/edgar/data/1014739/000101473925000028/ex31-fourthamendedandresta.htm" TargetMode="External"/><Relationship Id="rId5" Type="http://schemas.openxmlformats.org/officeDocument/2006/relationships/hyperlink" Target="https://www.sec.gov/Archives/edgar/data/1014739/000101473925000028/ex31-fourthamendedandresta.htm" TargetMode="External"/><Relationship Id="rId6" Type="http://schemas.openxmlformats.org/officeDocument/2006/relationships/hyperlink" Target="https://www.sec.gov/Archives/edgar/data/1014739/000101473925000028/ex32-amendedandrestatedbyx.htm" TargetMode="External"/><Relationship Id="rId7" Type="http://schemas.openxmlformats.org/officeDocument/2006/relationships/hyperlink" Target="https://www.sec.gov/Archives/edgar/data/1014739/000101473925000028/ex32-amendedandrestatedbyx.htm" TargetMode="External"/><Relationship Id="rId8" Type="http://schemas.openxmlformats.org/officeDocument/2006/relationships/hyperlink" Target="https://www.sec.gov/Archives/edgar/data/1014739/000101473925000028/ex32-amendedandrestatedbyx.htm" TargetMode="External"/><Relationship Id="rId9" Type="http://schemas.openxmlformats.org/officeDocument/2006/relationships/hyperlink" Target="https://www.sec.gov/Archives/edgar/data/1014739/000110465925093337/tm2526732d1_ex10-1.htm" TargetMode="External"/><Relationship Id="rId10" Type="http://schemas.openxmlformats.org/officeDocument/2006/relationships/hyperlink" Target="https://www.sec.gov/Archives/edgar/data/1014739/000110465925080912/tm2523864d1_ex10-1.htm" TargetMode="External"/><Relationship Id="rId11" Type="http://schemas.openxmlformats.org/officeDocument/2006/relationships/hyperlink" Target="https://www.sec.gov/Archives/edgar/data/1014739/000110465925080912/tm2523864d1_ex10-2.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15265</Words>
  <Characters>85905</Characters>
  <CharactersWithSpaces>100047</CharactersWithSpaces>
  <Paragraphs>2446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