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345440</wp:posOffset>
            </wp:positionH>
            <wp:positionV relativeFrom="page">
              <wp:posOffset>800735</wp:posOffset>
            </wp:positionV>
            <wp:extent cx="6866255"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6255" cy="43180"/>
                    </a:xfrm>
                    <a:prstGeom prst="rect">
                      <a:avLst/>
                    </a:prstGeom>
                    <a:noFill/>
                  </pic:spPr>
                </pic:pic>
              </a:graphicData>
            </a:graphic>
          </wp:anchor>
        </w:drawing>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59" w:lineRule="exact"/>
        <w:rPr>
          <w:sz w:val="24"/>
          <w:szCs w:val="24"/>
          <w:color w:val="auto"/>
        </w:rPr>
      </w:pPr>
    </w:p>
    <w:p>
      <w:pPr>
        <w:ind w:left="140"/>
        <w:spacing w:after="0"/>
        <w:rPr>
          <w:sz w:val="20"/>
          <w:szCs w:val="20"/>
          <w:color w:val="auto"/>
        </w:rPr>
      </w:pPr>
      <w:r>
        <w:rPr>
          <w:rFonts w:ascii="Arial" w:cs="Arial" w:eastAsia="Arial" w:hAnsi="Arial"/>
          <w:sz w:val="16"/>
          <w:szCs w:val="16"/>
          <w:b w:val="1"/>
          <w:bCs w:val="1"/>
          <w:color w:val="auto"/>
        </w:rPr>
        <w:t>(Mark One)</w:t>
      </w:r>
    </w:p>
    <w:p>
      <w:pPr>
        <w:spacing w:after="0" w:line="32" w:lineRule="exact"/>
        <w:rPr>
          <w:sz w:val="24"/>
          <w:szCs w:val="24"/>
          <w:color w:val="auto"/>
        </w:rPr>
      </w:pPr>
    </w:p>
    <w:p>
      <w:pPr>
        <w:ind w:left="1100" w:right="1900" w:hanging="626"/>
        <w:spacing w:after="0" w:line="281" w:lineRule="auto"/>
        <w:tabs>
          <w:tab w:leader="none" w:pos="11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March 31, 2021</w:t>
      </w:r>
    </w:p>
    <w:p>
      <w:pPr>
        <w:spacing w:after="0" w:line="1" w:lineRule="exact"/>
        <w:rPr>
          <w:sz w:val="24"/>
          <w:szCs w:val="24"/>
          <w:color w:val="auto"/>
        </w:rPr>
      </w:pPr>
    </w:p>
    <w:p>
      <w:pPr>
        <w:jc w:val="center"/>
        <w:ind w:left="520"/>
        <w:spacing w:after="0"/>
        <w:rPr>
          <w:sz w:val="20"/>
          <w:szCs w:val="20"/>
          <w:color w:val="auto"/>
        </w:rPr>
      </w:pPr>
      <w:r>
        <w:rPr>
          <w:rFonts w:ascii="Arial" w:cs="Arial" w:eastAsia="Arial" w:hAnsi="Arial"/>
          <w:sz w:val="16"/>
          <w:szCs w:val="16"/>
          <w:b w:val="1"/>
          <w:bCs w:val="1"/>
          <w:color w:val="auto"/>
        </w:rPr>
        <w:t>OR</w:t>
      </w:r>
    </w:p>
    <w:p>
      <w:pPr>
        <w:spacing w:after="0" w:line="32" w:lineRule="exact"/>
        <w:rPr>
          <w:sz w:val="24"/>
          <w:szCs w:val="24"/>
          <w:color w:val="auto"/>
        </w:rPr>
      </w:pPr>
    </w:p>
    <w:p>
      <w:pPr>
        <w:ind w:left="1100" w:hanging="626"/>
        <w:spacing w:after="0"/>
        <w:tabs>
          <w:tab w:leader="none" w:pos="11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44" w:lineRule="exact"/>
        <w:rPr>
          <w:sz w:val="24"/>
          <w:szCs w:val="24"/>
          <w:color w:val="auto"/>
        </w:rPr>
      </w:pPr>
    </w:p>
    <w:p>
      <w:pPr>
        <w:ind w:left="1100"/>
        <w:spacing w:after="0"/>
        <w:tabs>
          <w:tab w:leader="none" w:pos="33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001-11993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12065</wp:posOffset>
            </wp:positionV>
            <wp:extent cx="1714500" cy="69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14500" cy="6940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OPTION CARE HEALTH, INC.</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122" w:lineRule="exact"/>
        <w:rPr>
          <w:sz w:val="24"/>
          <w:szCs w:val="24"/>
          <w:color w:val="auto"/>
        </w:rPr>
      </w:pPr>
    </w:p>
    <w:tbl>
      <w:tblPr>
        <w:tblLayout w:type="fixed"/>
        <w:tblInd w:w="30" w:type="dxa"/>
        <w:tblCellMar>
          <w:top w:w="0" w:type="dxa"/>
          <w:left w:w="0" w:type="dxa"/>
          <w:bottom w:w="0" w:type="dxa"/>
          <w:right w:w="0" w:type="dxa"/>
        </w:tblCellMar>
      </w:tblPr>
      <w:tr>
        <w:trPr>
          <w:trHeight w:val="210"/>
        </w:trPr>
        <w:tc>
          <w:tcPr>
            <w:tcW w:w="27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1"/>
              </w:rPr>
              <w:t>Delaware</w:t>
            </w:r>
          </w:p>
        </w:tc>
        <w:tc>
          <w:tcPr>
            <w:tcW w:w="2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380" w:type="dxa"/>
            <w:vAlign w:val="bottom"/>
          </w:tcPr>
          <w:p>
            <w:pPr>
              <w:jc w:val="right"/>
              <w:ind w:right="2099"/>
              <w:spacing w:after="0"/>
              <w:rPr>
                <w:sz w:val="20"/>
                <w:szCs w:val="20"/>
                <w:color w:val="auto"/>
              </w:rPr>
            </w:pPr>
            <w:r>
              <w:rPr>
                <w:rFonts w:ascii="Arial" w:cs="Arial" w:eastAsia="Arial" w:hAnsi="Arial"/>
                <w:sz w:val="16"/>
                <w:szCs w:val="16"/>
                <w:b w:val="1"/>
                <w:bCs w:val="1"/>
                <w:color w:val="auto"/>
              </w:rPr>
              <w:t>05-0489664</w:t>
            </w:r>
          </w:p>
        </w:tc>
      </w:tr>
      <w:tr>
        <w:trPr>
          <w:trHeight w:val="216"/>
        </w:trPr>
        <w:tc>
          <w:tcPr>
            <w:tcW w:w="6320" w:type="dxa"/>
            <w:vAlign w:val="bottom"/>
            <w:gridSpan w:val="3"/>
          </w:tcPr>
          <w:p>
            <w:pPr>
              <w:jc w:val="center"/>
              <w:ind w:left="179"/>
              <w:spacing w:after="0"/>
              <w:rPr>
                <w:sz w:val="20"/>
                <w:szCs w:val="20"/>
                <w:color w:val="auto"/>
              </w:rPr>
            </w:pPr>
            <w:r>
              <w:rPr>
                <w:rFonts w:ascii="Arial" w:cs="Arial" w:eastAsia="Arial" w:hAnsi="Arial"/>
                <w:sz w:val="16"/>
                <w:szCs w:val="16"/>
                <w:i w:val="1"/>
                <w:iCs w:val="1"/>
                <w:color w:val="auto"/>
                <w:w w:val="94"/>
              </w:rPr>
              <w:t>(State of incorporation)</w:t>
            </w:r>
          </w:p>
        </w:tc>
        <w:tc>
          <w:tcPr>
            <w:tcW w:w="4900" w:type="dxa"/>
            <w:vAlign w:val="bottom"/>
            <w:gridSpan w:val="2"/>
          </w:tcPr>
          <w:p>
            <w:pPr>
              <w:jc w:val="center"/>
              <w:ind w:right="179"/>
              <w:spacing w:after="0"/>
              <w:rPr>
                <w:sz w:val="20"/>
                <w:szCs w:val="20"/>
                <w:color w:val="auto"/>
              </w:rPr>
            </w:pPr>
            <w:r>
              <w:rPr>
                <w:rFonts w:ascii="Arial" w:cs="Arial" w:eastAsia="Arial" w:hAnsi="Arial"/>
                <w:sz w:val="16"/>
                <w:szCs w:val="16"/>
                <w:i w:val="1"/>
                <w:iCs w:val="1"/>
                <w:color w:val="auto"/>
                <w:w w:val="94"/>
              </w:rPr>
              <w:t>(I.R.S. Employer Identification No.)</w:t>
            </w:r>
          </w:p>
        </w:tc>
      </w:tr>
      <w:tr>
        <w:trPr>
          <w:trHeight w:val="216"/>
        </w:trPr>
        <w:tc>
          <w:tcPr>
            <w:tcW w:w="2700" w:type="dxa"/>
            <w:vAlign w:val="bottom"/>
          </w:tcPr>
          <w:p>
            <w:pPr>
              <w:ind w:left="1320"/>
              <w:spacing w:after="0"/>
              <w:rPr>
                <w:sz w:val="20"/>
                <w:szCs w:val="20"/>
                <w:color w:val="auto"/>
              </w:rPr>
            </w:pPr>
            <w:r>
              <w:rPr>
                <w:rFonts w:ascii="Arial" w:cs="Arial" w:eastAsia="Arial" w:hAnsi="Arial"/>
                <w:sz w:val="16"/>
                <w:szCs w:val="16"/>
                <w:b w:val="1"/>
                <w:bCs w:val="1"/>
                <w:color w:val="auto"/>
              </w:rPr>
              <w:t>3000 Lakeside Dr.</w:t>
            </w:r>
          </w:p>
        </w:tc>
        <w:tc>
          <w:tcPr>
            <w:tcW w:w="1080" w:type="dxa"/>
            <w:vAlign w:val="bottom"/>
          </w:tcPr>
          <w:p>
            <w:pPr>
              <w:ind w:left="120"/>
              <w:spacing w:after="0"/>
              <w:rPr>
                <w:sz w:val="20"/>
                <w:szCs w:val="20"/>
                <w:color w:val="auto"/>
              </w:rPr>
            </w:pPr>
            <w:r>
              <w:rPr>
                <w:rFonts w:ascii="Arial" w:cs="Arial" w:eastAsia="Arial" w:hAnsi="Arial"/>
                <w:sz w:val="16"/>
                <w:szCs w:val="16"/>
                <w:b w:val="1"/>
                <w:bCs w:val="1"/>
                <w:color w:val="auto"/>
              </w:rPr>
              <w:t>Suite 300N,</w:t>
            </w:r>
          </w:p>
        </w:tc>
        <w:tc>
          <w:tcPr>
            <w:tcW w:w="2540" w:type="dxa"/>
            <w:vAlign w:val="bottom"/>
          </w:tcPr>
          <w:p>
            <w:pPr>
              <w:ind w:left="120"/>
              <w:spacing w:after="0"/>
              <w:rPr>
                <w:sz w:val="20"/>
                <w:szCs w:val="20"/>
                <w:color w:val="auto"/>
              </w:rPr>
            </w:pPr>
            <w:r>
              <w:rPr>
                <w:rFonts w:ascii="Arial" w:cs="Arial" w:eastAsia="Arial" w:hAnsi="Arial"/>
                <w:sz w:val="16"/>
                <w:szCs w:val="16"/>
                <w:b w:val="1"/>
                <w:bCs w:val="1"/>
                <w:color w:val="auto"/>
              </w:rPr>
              <w:t>Bannockburn,   IL</w:t>
            </w:r>
          </w:p>
        </w:tc>
        <w:tc>
          <w:tcPr>
            <w:tcW w:w="1520" w:type="dxa"/>
            <w:vAlign w:val="bottom"/>
          </w:tcPr>
          <w:p>
            <w:pPr>
              <w:spacing w:after="0"/>
              <w:rPr>
                <w:sz w:val="18"/>
                <w:szCs w:val="18"/>
                <w:color w:val="auto"/>
              </w:rPr>
            </w:pPr>
          </w:p>
        </w:tc>
        <w:tc>
          <w:tcPr>
            <w:tcW w:w="3380" w:type="dxa"/>
            <w:vAlign w:val="bottom"/>
          </w:tcPr>
          <w:p>
            <w:pPr>
              <w:jc w:val="right"/>
              <w:ind w:right="2299"/>
              <w:spacing w:after="0"/>
              <w:rPr>
                <w:sz w:val="20"/>
                <w:szCs w:val="20"/>
                <w:color w:val="auto"/>
              </w:rPr>
            </w:pPr>
            <w:r>
              <w:rPr>
                <w:rFonts w:ascii="Arial" w:cs="Arial" w:eastAsia="Arial" w:hAnsi="Arial"/>
                <w:sz w:val="16"/>
                <w:szCs w:val="16"/>
                <w:b w:val="1"/>
                <w:bCs w:val="1"/>
                <w:color w:val="auto"/>
              </w:rPr>
              <w:t>60015</w:t>
            </w:r>
          </w:p>
        </w:tc>
      </w:tr>
      <w:tr>
        <w:trPr>
          <w:trHeight w:val="216"/>
        </w:trPr>
        <w:tc>
          <w:tcPr>
            <w:tcW w:w="6320" w:type="dxa"/>
            <w:vAlign w:val="bottom"/>
            <w:gridSpan w:val="3"/>
          </w:tcPr>
          <w:p>
            <w:pPr>
              <w:jc w:val="center"/>
              <w:ind w:left="159"/>
              <w:spacing w:after="0"/>
              <w:rPr>
                <w:sz w:val="20"/>
                <w:szCs w:val="20"/>
                <w:color w:val="auto"/>
              </w:rPr>
            </w:pPr>
            <w:r>
              <w:rPr>
                <w:rFonts w:ascii="Arial" w:cs="Arial" w:eastAsia="Arial" w:hAnsi="Arial"/>
                <w:sz w:val="16"/>
                <w:szCs w:val="16"/>
                <w:i w:val="1"/>
                <w:iCs w:val="1"/>
                <w:color w:val="auto"/>
                <w:w w:val="91"/>
              </w:rPr>
              <w:t>(Address of principal executive offices)</w:t>
            </w:r>
          </w:p>
        </w:tc>
        <w:tc>
          <w:tcPr>
            <w:tcW w:w="1520" w:type="dxa"/>
            <w:vAlign w:val="bottom"/>
          </w:tcPr>
          <w:p>
            <w:pPr>
              <w:spacing w:after="0"/>
              <w:rPr>
                <w:sz w:val="18"/>
                <w:szCs w:val="18"/>
                <w:color w:val="auto"/>
              </w:rPr>
            </w:pPr>
          </w:p>
        </w:tc>
        <w:tc>
          <w:tcPr>
            <w:tcW w:w="3380" w:type="dxa"/>
            <w:vAlign w:val="bottom"/>
          </w:tcPr>
          <w:p>
            <w:pPr>
              <w:jc w:val="center"/>
              <w:ind w:right="1699"/>
              <w:spacing w:after="0"/>
              <w:rPr>
                <w:sz w:val="20"/>
                <w:szCs w:val="20"/>
                <w:color w:val="auto"/>
              </w:rPr>
            </w:pPr>
            <w:r>
              <w:rPr>
                <w:rFonts w:ascii="Arial" w:cs="Arial" w:eastAsia="Arial" w:hAnsi="Arial"/>
                <w:sz w:val="16"/>
                <w:szCs w:val="16"/>
                <w:i w:val="1"/>
                <w:iCs w:val="1"/>
                <w:color w:val="auto"/>
                <w:w w:val="95"/>
              </w:rPr>
              <w:t>(Zip Code)</w:t>
            </w:r>
          </w:p>
        </w:tc>
      </w:tr>
      <w:tr>
        <w:trPr>
          <w:trHeight w:val="276"/>
        </w:trPr>
        <w:tc>
          <w:tcPr>
            <w:tcW w:w="27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60" w:type="dxa"/>
            <w:vAlign w:val="bottom"/>
            <w:gridSpan w:val="2"/>
          </w:tcPr>
          <w:p>
            <w:pPr>
              <w:ind w:left="20"/>
              <w:spacing w:after="0"/>
              <w:rPr>
                <w:sz w:val="20"/>
                <w:szCs w:val="20"/>
                <w:color w:val="auto"/>
              </w:rPr>
            </w:pPr>
            <w:r>
              <w:rPr>
                <w:rFonts w:ascii="Arial" w:cs="Arial" w:eastAsia="Arial" w:hAnsi="Arial"/>
                <w:sz w:val="16"/>
                <w:szCs w:val="16"/>
                <w:b w:val="1"/>
                <w:bCs w:val="1"/>
                <w:color w:val="auto"/>
                <w:w w:val="99"/>
              </w:rPr>
              <w:t>Registrant’s telephone number, including area code:</w:t>
            </w:r>
          </w:p>
        </w:tc>
        <w:tc>
          <w:tcPr>
            <w:tcW w:w="3380" w:type="dxa"/>
            <w:vAlign w:val="bottom"/>
          </w:tcPr>
          <w:p>
            <w:pPr>
              <w:spacing w:after="0"/>
              <w:rPr>
                <w:sz w:val="23"/>
                <w:szCs w:val="23"/>
                <w:color w:val="auto"/>
              </w:rPr>
            </w:pPr>
          </w:p>
        </w:tc>
      </w:tr>
      <w:tr>
        <w:trPr>
          <w:trHeight w:val="210"/>
        </w:trPr>
        <w:tc>
          <w:tcPr>
            <w:tcW w:w="2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540" w:type="dxa"/>
            <w:vAlign w:val="bottom"/>
          </w:tcPr>
          <w:p>
            <w:pPr>
              <w:jc w:val="right"/>
              <w:ind w:right="179"/>
              <w:spacing w:after="0"/>
              <w:rPr>
                <w:sz w:val="20"/>
                <w:szCs w:val="20"/>
                <w:color w:val="auto"/>
              </w:rPr>
            </w:pPr>
            <w:r>
              <w:rPr>
                <w:rFonts w:ascii="Arial" w:cs="Arial" w:eastAsia="Arial" w:hAnsi="Arial"/>
                <w:sz w:val="16"/>
                <w:szCs w:val="16"/>
                <w:b w:val="1"/>
                <w:bCs w:val="1"/>
                <w:color w:val="auto"/>
              </w:rPr>
              <w:t>312-940-2443</w:t>
            </w:r>
          </w:p>
        </w:tc>
        <w:tc>
          <w:tcPr>
            <w:tcW w:w="152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30"/>
        </w:trPr>
        <w:tc>
          <w:tcPr>
            <w:tcW w:w="27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60" w:type="dxa"/>
            <w:vAlign w:val="bottom"/>
            <w:gridSpan w:val="2"/>
          </w:tcPr>
          <w:p>
            <w:pPr>
              <w:ind w:left="40"/>
              <w:spacing w:after="0"/>
              <w:rPr>
                <w:sz w:val="20"/>
                <w:szCs w:val="20"/>
                <w:color w:val="auto"/>
              </w:rPr>
            </w:pPr>
            <w:r>
              <w:rPr>
                <w:rFonts w:ascii="Arial" w:cs="Arial" w:eastAsia="Arial" w:hAnsi="Arial"/>
                <w:sz w:val="16"/>
                <w:szCs w:val="16"/>
                <w:color w:val="auto"/>
                <w:w w:val="97"/>
              </w:rPr>
              <w:t>Securities registered pursuant to Section 12(b) of the Act:</w:t>
            </w:r>
          </w:p>
        </w:tc>
        <w:tc>
          <w:tcPr>
            <w:tcW w:w="3380" w:type="dxa"/>
            <w:vAlign w:val="bottom"/>
          </w:tcPr>
          <w:p>
            <w:pPr>
              <w:spacing w:after="0"/>
              <w:rPr>
                <w:sz w:val="19"/>
                <w:szCs w:val="19"/>
                <w:color w:val="auto"/>
              </w:rPr>
            </w:pPr>
          </w:p>
        </w:tc>
      </w:tr>
      <w:tr>
        <w:trPr>
          <w:trHeight w:val="141"/>
        </w:trPr>
        <w:tc>
          <w:tcPr>
            <w:tcW w:w="3780" w:type="dxa"/>
            <w:vAlign w:val="bottom"/>
            <w:tcBorders>
              <w:bottom w:val="single" w:sz="8" w:color="auto"/>
            </w:tcBorders>
            <w:gridSpan w:val="2"/>
          </w:tcPr>
          <w:p>
            <w:pPr>
              <w:spacing w:after="0"/>
              <w:rPr>
                <w:sz w:val="12"/>
                <w:szCs w:val="12"/>
                <w:color w:val="auto"/>
              </w:rPr>
            </w:pPr>
          </w:p>
        </w:tc>
        <w:tc>
          <w:tcPr>
            <w:tcW w:w="25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3380" w:type="dxa"/>
            <w:vAlign w:val="bottom"/>
            <w:tcBorders>
              <w:bottom w:val="single" w:sz="8" w:color="auto"/>
            </w:tcBorders>
          </w:tcPr>
          <w:p>
            <w:pPr>
              <w:spacing w:after="0"/>
              <w:rPr>
                <w:sz w:val="12"/>
                <w:szCs w:val="12"/>
                <w:color w:val="auto"/>
              </w:rPr>
            </w:pPr>
          </w:p>
        </w:tc>
      </w:tr>
      <w:tr>
        <w:trPr>
          <w:trHeight w:val="207"/>
        </w:trPr>
        <w:tc>
          <w:tcPr>
            <w:tcW w:w="3780" w:type="dxa"/>
            <w:vAlign w:val="bottom"/>
            <w:tcBorders>
              <w:left w:val="single" w:sz="8" w:color="auto"/>
              <w:bottom w:val="single" w:sz="8" w:color="auto"/>
            </w:tcBorders>
            <w:gridSpan w:val="2"/>
          </w:tcPr>
          <w:p>
            <w:pPr>
              <w:jc w:val="center"/>
              <w:ind w:left="2459"/>
              <w:spacing w:after="0"/>
              <w:rPr>
                <w:sz w:val="20"/>
                <w:szCs w:val="20"/>
                <w:color w:val="auto"/>
              </w:rPr>
            </w:pPr>
            <w:r>
              <w:rPr>
                <w:rFonts w:ascii="Arial" w:cs="Arial" w:eastAsia="Arial" w:hAnsi="Arial"/>
                <w:sz w:val="16"/>
                <w:szCs w:val="16"/>
                <w:color w:val="auto"/>
                <w:w w:val="91"/>
              </w:rPr>
              <w:t>Title of each Class</w:t>
            </w:r>
          </w:p>
        </w:tc>
        <w:tc>
          <w:tcPr>
            <w:tcW w:w="2540" w:type="dxa"/>
            <w:vAlign w:val="bottom"/>
            <w:tcBorders>
              <w:bottom w:val="single" w:sz="8" w:color="auto"/>
              <w:right w:val="single" w:sz="8" w:color="auto"/>
            </w:tcBorders>
          </w:tcPr>
          <w:p>
            <w:pPr>
              <w:spacing w:after="0"/>
              <w:rPr>
                <w:sz w:val="17"/>
                <w:szCs w:val="17"/>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10"/>
        </w:trPr>
        <w:tc>
          <w:tcPr>
            <w:tcW w:w="632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6"/>
                <w:szCs w:val="16"/>
                <w:color w:val="auto"/>
                <w:w w:val="91"/>
              </w:rPr>
              <w:t>Common Stock, $0.0001 par value per share</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OPCH</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Nasdaq Global Select Market</w:t>
            </w:r>
          </w:p>
        </w:tc>
      </w:tr>
    </w:tbl>
    <w:p>
      <w:pPr>
        <w:spacing w:after="0" w:line="85" w:lineRule="exact"/>
        <w:rPr>
          <w:sz w:val="24"/>
          <w:szCs w:val="24"/>
          <w:color w:val="auto"/>
        </w:rPr>
      </w:pPr>
    </w:p>
    <w:p>
      <w:pPr>
        <w:jc w:val="both"/>
        <w:ind w:firstLine="162"/>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0" w:lineRule="exact"/>
        <w:rPr>
          <w:sz w:val="24"/>
          <w:szCs w:val="24"/>
          <w:color w:val="auto"/>
        </w:rPr>
      </w:pPr>
    </w:p>
    <w:p>
      <w:pPr>
        <w:jc w:val="both"/>
        <w:ind w:firstLine="162"/>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8" w:lineRule="exact"/>
        <w:rPr>
          <w:sz w:val="24"/>
          <w:szCs w:val="24"/>
          <w:color w:val="auto"/>
        </w:rPr>
      </w:pPr>
    </w:p>
    <w:p>
      <w:pPr>
        <w:jc w:val="both"/>
        <w:ind w:firstLine="162"/>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180" w:lineRule="exact"/>
        <w:rPr>
          <w:sz w:val="24"/>
          <w:szCs w:val="24"/>
          <w:color w:val="auto"/>
        </w:rPr>
      </w:pPr>
    </w:p>
    <w:p>
      <w:pPr>
        <w:jc w:val="center"/>
        <w:ind w:right="-159"/>
        <w:spacing w:after="0" w:line="184" w:lineRule="exact"/>
        <w:tabs>
          <w:tab w:leader="none" w:pos="180" w:val="left"/>
          <w:tab w:leader="none" w:pos="180" w:val="left"/>
          <w:tab w:leader="none" w:pos="22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r>
        <w:rPr>
          <w:rFonts w:ascii="Arial" w:cs="Arial" w:eastAsia="Arial" w:hAnsi="Arial"/>
          <w:sz w:val="14"/>
          <w:szCs w:val="14"/>
          <w:color w:val="auto"/>
        </w:rPr>
        <w:t xml:space="preserve"> Emerging growth company </w:t>
      </w:r>
      <w:r>
        <w:rPr>
          <w:rFonts w:ascii="MS PGothic" w:cs="MS PGothic" w:eastAsia="MS PGothic" w:hAnsi="MS PGothic"/>
          <w:sz w:val="14"/>
          <w:szCs w:val="14"/>
          <w:color w:val="auto"/>
        </w:rPr>
        <w:t>☐</w:t>
      </w:r>
    </w:p>
    <w:p>
      <w:pPr>
        <w:spacing w:after="0" w:line="278" w:lineRule="exact"/>
        <w:rPr>
          <w:sz w:val="24"/>
          <w:szCs w:val="24"/>
          <w:color w:val="auto"/>
        </w:rPr>
      </w:pPr>
    </w:p>
    <w:p>
      <w:pPr>
        <w:jc w:val="both"/>
        <w:ind w:firstLine="162"/>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9" w:lineRule="exact"/>
        <w:rPr>
          <w:sz w:val="24"/>
          <w:szCs w:val="24"/>
          <w:color w:val="auto"/>
        </w:rPr>
      </w:pPr>
    </w:p>
    <w:p>
      <w:pPr>
        <w:ind w:left="180"/>
        <w:spacing w:after="0" w:line="173" w:lineRule="exact"/>
        <w:tabs>
          <w:tab w:leader="none" w:pos="822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90" w:lineRule="exact"/>
        <w:rPr>
          <w:sz w:val="24"/>
          <w:szCs w:val="24"/>
          <w:color w:val="auto"/>
        </w:rPr>
      </w:pPr>
    </w:p>
    <w:p>
      <w:pPr>
        <w:ind w:left="180"/>
        <w:spacing w:after="0"/>
        <w:rPr>
          <w:sz w:val="20"/>
          <w:szCs w:val="20"/>
          <w:color w:val="auto"/>
        </w:rPr>
      </w:pPr>
      <w:r>
        <w:rPr>
          <w:rFonts w:ascii="Arial" w:cs="Arial" w:eastAsia="Arial" w:hAnsi="Arial"/>
          <w:sz w:val="16"/>
          <w:szCs w:val="16"/>
          <w:color w:val="auto"/>
        </w:rPr>
        <w:t>On May 4, 2021, there were 179,826,946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219710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80" w:type="dxa"/>
            <w:vAlign w:val="bottom"/>
            <w:gridSpan w:val="7"/>
          </w:tcPr>
          <w:p>
            <w:pPr>
              <w:jc w:val="center"/>
              <w:ind w:right="1920"/>
              <w:spacing w:after="0"/>
              <w:rPr>
                <w:sz w:val="20"/>
                <w:szCs w:val="20"/>
                <w:color w:val="auto"/>
              </w:rPr>
            </w:pPr>
            <w:r>
              <w:rPr>
                <w:rFonts w:ascii="Arial" w:cs="Arial" w:eastAsia="Arial" w:hAnsi="Arial"/>
                <w:sz w:val="18"/>
                <w:szCs w:val="18"/>
                <w:b w:val="1"/>
                <w:bCs w:val="1"/>
                <w:color w:val="auto"/>
                <w:w w:val="98"/>
              </w:rPr>
              <w:t>TABLE OF CONTENTS</w:t>
            </w: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513"/>
        </w:trPr>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80" w:type="dxa"/>
            <w:vAlign w:val="bottom"/>
            <w:gridSpan w:val="3"/>
          </w:tcPr>
          <w:p>
            <w:pPr>
              <w:jc w:val="center"/>
              <w:ind w:left="1439"/>
              <w:spacing w:after="0"/>
              <w:rPr>
                <w:sz w:val="20"/>
                <w:szCs w:val="20"/>
                <w:color w:val="auto"/>
              </w:rPr>
            </w:pPr>
            <w:r>
              <w:rPr>
                <w:rFonts w:ascii="Arial" w:cs="Arial" w:eastAsia="Arial" w:hAnsi="Arial"/>
                <w:sz w:val="16"/>
                <w:szCs w:val="16"/>
                <w:b w:val="1"/>
                <w:bCs w:val="1"/>
                <w:color w:val="auto"/>
                <w:w w:val="83"/>
              </w:rPr>
              <w:t>Page</w:t>
            </w:r>
          </w:p>
        </w:tc>
      </w:tr>
      <w:tr>
        <w:trPr>
          <w:trHeight w:val="210"/>
        </w:trPr>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80" w:type="dxa"/>
            <w:vAlign w:val="bottom"/>
            <w:gridSpan w:val="3"/>
          </w:tcPr>
          <w:p>
            <w:pPr>
              <w:jc w:val="center"/>
              <w:ind w:left="1439"/>
              <w:spacing w:after="0"/>
              <w:rPr>
                <w:sz w:val="20"/>
                <w:szCs w:val="20"/>
                <w:color w:val="auto"/>
              </w:rPr>
            </w:pPr>
            <w:r>
              <w:rPr>
                <w:rFonts w:ascii="Arial" w:cs="Arial" w:eastAsia="Arial" w:hAnsi="Arial"/>
                <w:sz w:val="16"/>
                <w:szCs w:val="16"/>
                <w:b w:val="1"/>
                <w:bCs w:val="1"/>
                <w:color w:val="auto"/>
                <w:w w:val="92"/>
              </w:rPr>
              <w:t>Number</w:t>
            </w:r>
          </w:p>
        </w:tc>
      </w:tr>
      <w:tr>
        <w:trPr>
          <w:trHeight w:val="216"/>
        </w:trPr>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80" w:type="dxa"/>
            <w:vAlign w:val="bottom"/>
            <w:gridSpan w:val="7"/>
          </w:tcPr>
          <w:p>
            <w:pPr>
              <w:jc w:val="center"/>
              <w:ind w:right="1940"/>
              <w:spacing w:after="0"/>
              <w:rPr>
                <w:sz w:val="20"/>
                <w:szCs w:val="20"/>
                <w:color w:val="auto"/>
              </w:rPr>
            </w:pPr>
            <w:r>
              <w:rPr>
                <w:rFonts w:ascii="Arial" w:cs="Arial" w:eastAsia="Arial" w:hAnsi="Arial"/>
                <w:sz w:val="16"/>
                <w:szCs w:val="16"/>
                <w:b w:val="1"/>
                <w:bCs w:val="1"/>
                <w:color w:val="auto"/>
              </w:rPr>
              <w:t>PART I</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343"/>
        </w:trPr>
        <w:tc>
          <w:tcPr>
            <w:tcW w:w="1580" w:type="dxa"/>
            <w:vAlign w:val="bottom"/>
            <w:gridSpan w:val="4"/>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Item 1.</w:t>
              </w:r>
            </w:hyperlink>
          </w:p>
        </w:tc>
        <w:tc>
          <w:tcPr>
            <w:tcW w:w="7320" w:type="dxa"/>
            <w:vAlign w:val="bottom"/>
            <w:gridSpan w:val="13"/>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Financial Statements</w:t>
              </w:r>
            </w:hyperlink>
          </w:p>
        </w:tc>
        <w:tc>
          <w:tcPr>
            <w:tcW w:w="1840" w:type="dxa"/>
            <w:vAlign w:val="bottom"/>
            <w:gridSpan w:val="2"/>
          </w:tcPr>
          <w:p>
            <w:pPr>
              <w:jc w:val="center"/>
              <w:ind w:left="1679"/>
              <w:spacing w:after="0"/>
              <w:rPr>
                <w:rFonts w:ascii="Arial" w:cs="Arial" w:eastAsia="Arial" w:hAnsi="Arial"/>
                <w:sz w:val="16"/>
                <w:szCs w:val="16"/>
                <w:color w:val="0000FF"/>
                <w:w w:val="89"/>
              </w:rPr>
            </w:pPr>
            <w:hyperlink w:anchor="page3">
              <w:r>
                <w:rPr>
                  <w:rFonts w:ascii="Arial" w:cs="Arial" w:eastAsia="Arial" w:hAnsi="Arial"/>
                  <w:sz w:val="16"/>
                  <w:szCs w:val="16"/>
                  <w:color w:val="0000FF"/>
                  <w:w w:val="89"/>
                </w:rPr>
                <w:t>3</w:t>
              </w:r>
            </w:hyperlink>
          </w:p>
        </w:tc>
        <w:tc>
          <w:tcPr>
            <w:tcW w:w="240" w:type="dxa"/>
            <w:vAlign w:val="bottom"/>
          </w:tcPr>
          <w:p>
            <w:pPr>
              <w:spacing w:after="0"/>
              <w:rPr>
                <w:sz w:val="24"/>
                <w:szCs w:val="24"/>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40" w:type="dxa"/>
            <w:vAlign w:val="bottom"/>
            <w:gridSpan w:val="6"/>
          </w:tcPr>
          <w:p>
            <w:pPr>
              <w:spacing w:after="0"/>
              <w:rPr>
                <w:rFonts w:ascii="Arial" w:cs="Arial" w:eastAsia="Arial" w:hAnsi="Arial"/>
                <w:sz w:val="16"/>
                <w:szCs w:val="16"/>
                <w:color w:val="0000FF"/>
                <w:w w:val="88"/>
              </w:rPr>
            </w:pPr>
            <w:hyperlink w:anchor="page3">
              <w:r>
                <w:rPr>
                  <w:rFonts w:ascii="Arial" w:cs="Arial" w:eastAsia="Arial" w:hAnsi="Arial"/>
                  <w:sz w:val="16"/>
                  <w:szCs w:val="16"/>
                  <w:color w:val="0000FF"/>
                  <w:w w:val="88"/>
                </w:rPr>
                <w:t>Condensed Consolidated Balance Sheets</w:t>
              </w:r>
            </w:hyperlink>
          </w:p>
        </w:tc>
        <w:tc>
          <w:tcPr>
            <w:tcW w:w="4680" w:type="dxa"/>
            <w:vAlign w:val="bottom"/>
            <w:gridSpan w:val="7"/>
          </w:tcPr>
          <w:p>
            <w:pPr>
              <w:spacing w:after="0"/>
              <w:rPr>
                <w:sz w:val="17"/>
                <w:szCs w:val="17"/>
                <w:color w:val="auto"/>
              </w:rPr>
            </w:pPr>
          </w:p>
        </w:tc>
        <w:tc>
          <w:tcPr>
            <w:tcW w:w="1840" w:type="dxa"/>
            <w:vAlign w:val="bottom"/>
            <w:gridSpan w:val="2"/>
          </w:tcPr>
          <w:p>
            <w:pPr>
              <w:jc w:val="center"/>
              <w:ind w:left="1679"/>
              <w:spacing w:after="0"/>
              <w:rPr>
                <w:rFonts w:ascii="Arial" w:cs="Arial" w:eastAsia="Arial" w:hAnsi="Arial"/>
                <w:sz w:val="16"/>
                <w:szCs w:val="16"/>
                <w:color w:val="0000FF"/>
                <w:w w:val="89"/>
              </w:rPr>
            </w:pPr>
            <w:hyperlink w:anchor="page3">
              <w:r>
                <w:rPr>
                  <w:rFonts w:ascii="Arial" w:cs="Arial" w:eastAsia="Arial" w:hAnsi="Arial"/>
                  <w:sz w:val="16"/>
                  <w:szCs w:val="16"/>
                  <w:color w:val="0000FF"/>
                  <w:w w:val="89"/>
                </w:rPr>
                <w:t>4</w:t>
              </w:r>
            </w:hyperlink>
          </w:p>
        </w:tc>
        <w:tc>
          <w:tcPr>
            <w:tcW w:w="24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320" w:type="dxa"/>
            <w:vAlign w:val="bottom"/>
            <w:gridSpan w:val="13"/>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Unaudited Condensed Consolidated Statements of Comprehensive Income (Loss)</w:t>
              </w:r>
            </w:hyperlink>
          </w:p>
        </w:tc>
        <w:tc>
          <w:tcPr>
            <w:tcW w:w="1840" w:type="dxa"/>
            <w:vAlign w:val="bottom"/>
            <w:gridSpan w:val="2"/>
          </w:tcPr>
          <w:p>
            <w:pPr>
              <w:jc w:val="center"/>
              <w:ind w:left="1679"/>
              <w:spacing w:after="0"/>
              <w:rPr>
                <w:rFonts w:ascii="Arial" w:cs="Arial" w:eastAsia="Arial" w:hAnsi="Arial"/>
                <w:sz w:val="16"/>
                <w:szCs w:val="16"/>
                <w:color w:val="0000FF"/>
                <w:w w:val="89"/>
              </w:rPr>
            </w:pPr>
            <w:hyperlink w:anchor="page4">
              <w:r>
                <w:rPr>
                  <w:rFonts w:ascii="Arial" w:cs="Arial" w:eastAsia="Arial" w:hAnsi="Arial"/>
                  <w:sz w:val="16"/>
                  <w:szCs w:val="16"/>
                  <w:color w:val="0000FF"/>
                  <w:w w:val="89"/>
                </w:rPr>
                <w:t>5</w:t>
              </w:r>
            </w:hyperlink>
          </w:p>
        </w:tc>
        <w:tc>
          <w:tcPr>
            <w:tcW w:w="24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60" w:type="dxa"/>
            <w:vAlign w:val="bottom"/>
            <w:gridSpan w:val="8"/>
          </w:tcPr>
          <w:p>
            <w:pPr>
              <w:spacing w:after="0"/>
              <w:rPr>
                <w:rFonts w:ascii="Arial" w:cs="Arial" w:eastAsia="Arial" w:hAnsi="Arial"/>
                <w:sz w:val="16"/>
                <w:szCs w:val="16"/>
                <w:color w:val="0000FF"/>
                <w:w w:val="90"/>
              </w:rPr>
            </w:pPr>
            <w:hyperlink w:anchor="page5">
              <w:r>
                <w:rPr>
                  <w:rFonts w:ascii="Arial" w:cs="Arial" w:eastAsia="Arial" w:hAnsi="Arial"/>
                  <w:sz w:val="16"/>
                  <w:szCs w:val="16"/>
                  <w:color w:val="0000FF"/>
                  <w:w w:val="90"/>
                </w:rPr>
                <w:t>Unaudited Condensed Consolidated Statements of Cash Flows</w:t>
              </w:r>
            </w:hyperlink>
          </w:p>
        </w:tc>
        <w:tc>
          <w:tcPr>
            <w:tcW w:w="1220" w:type="dxa"/>
            <w:vAlign w:val="bottom"/>
            <w:gridSpan w:val="3"/>
          </w:tcPr>
          <w:p>
            <w:pPr>
              <w:spacing w:after="0"/>
              <w:rPr>
                <w:sz w:val="17"/>
                <w:szCs w:val="17"/>
                <w:color w:val="auto"/>
              </w:rPr>
            </w:pPr>
          </w:p>
        </w:tc>
        <w:tc>
          <w:tcPr>
            <w:tcW w:w="2040" w:type="dxa"/>
            <w:vAlign w:val="bottom"/>
            <w:gridSpan w:val="2"/>
          </w:tcPr>
          <w:p>
            <w:pPr>
              <w:spacing w:after="0"/>
              <w:rPr>
                <w:sz w:val="17"/>
                <w:szCs w:val="17"/>
                <w:color w:val="auto"/>
              </w:rPr>
            </w:pPr>
          </w:p>
        </w:tc>
        <w:tc>
          <w:tcPr>
            <w:tcW w:w="1840" w:type="dxa"/>
            <w:vAlign w:val="bottom"/>
            <w:gridSpan w:val="2"/>
          </w:tcPr>
          <w:p>
            <w:pPr>
              <w:jc w:val="center"/>
              <w:ind w:left="1679"/>
              <w:spacing w:after="0"/>
              <w:rPr>
                <w:rFonts w:ascii="Arial" w:cs="Arial" w:eastAsia="Arial" w:hAnsi="Arial"/>
                <w:sz w:val="16"/>
                <w:szCs w:val="16"/>
                <w:color w:val="0000FF"/>
                <w:w w:val="89"/>
              </w:rPr>
            </w:pPr>
            <w:hyperlink w:anchor="page5">
              <w:r>
                <w:rPr>
                  <w:rFonts w:ascii="Arial" w:cs="Arial" w:eastAsia="Arial" w:hAnsi="Arial"/>
                  <w:sz w:val="16"/>
                  <w:szCs w:val="16"/>
                  <w:color w:val="0000FF"/>
                  <w:w w:val="89"/>
                </w:rPr>
                <w:t>6</w:t>
              </w:r>
            </w:hyperlink>
          </w:p>
        </w:tc>
        <w:tc>
          <w:tcPr>
            <w:tcW w:w="24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320" w:type="dxa"/>
            <w:vAlign w:val="bottom"/>
            <w:gridSpan w:val="13"/>
          </w:tcPr>
          <w:p>
            <w:pPr>
              <w:spacing w:after="0"/>
              <w:rPr>
                <w:rFonts w:ascii="Arial" w:cs="Arial" w:eastAsia="Arial" w:hAnsi="Arial"/>
                <w:sz w:val="16"/>
                <w:szCs w:val="16"/>
                <w:color w:val="0000FF"/>
              </w:rPr>
            </w:pPr>
            <w:hyperlink w:anchor="page6">
              <w:r>
                <w:rPr>
                  <w:rFonts w:ascii="Arial" w:cs="Arial" w:eastAsia="Arial" w:hAnsi="Arial"/>
                  <w:sz w:val="16"/>
                  <w:szCs w:val="16"/>
                  <w:color w:val="0000FF"/>
                </w:rPr>
                <w:t>Unaudited Condensed Consolidated Statements of Stockholders’ Equity</w:t>
              </w:r>
            </w:hyperlink>
          </w:p>
        </w:tc>
        <w:tc>
          <w:tcPr>
            <w:tcW w:w="1840" w:type="dxa"/>
            <w:vAlign w:val="bottom"/>
            <w:gridSpan w:val="2"/>
          </w:tcPr>
          <w:p>
            <w:pPr>
              <w:jc w:val="center"/>
              <w:ind w:left="1679"/>
              <w:spacing w:after="0"/>
              <w:rPr>
                <w:rFonts w:ascii="Arial" w:cs="Arial" w:eastAsia="Arial" w:hAnsi="Arial"/>
                <w:sz w:val="16"/>
                <w:szCs w:val="16"/>
                <w:color w:val="0000FF"/>
                <w:w w:val="89"/>
              </w:rPr>
            </w:pPr>
            <w:hyperlink w:anchor="page6">
              <w:r>
                <w:rPr>
                  <w:rFonts w:ascii="Arial" w:cs="Arial" w:eastAsia="Arial" w:hAnsi="Arial"/>
                  <w:sz w:val="16"/>
                  <w:szCs w:val="16"/>
                  <w:color w:val="0000FF"/>
                  <w:w w:val="89"/>
                </w:rPr>
                <w:t>7</w:t>
              </w:r>
            </w:hyperlink>
          </w:p>
        </w:tc>
        <w:tc>
          <w:tcPr>
            <w:tcW w:w="24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60" w:type="dxa"/>
            <w:vAlign w:val="bottom"/>
            <w:gridSpan w:val="10"/>
          </w:tcPr>
          <w:p>
            <w:pPr>
              <w:spacing w:after="0"/>
              <w:rPr>
                <w:rFonts w:ascii="Arial" w:cs="Arial" w:eastAsia="Arial" w:hAnsi="Arial"/>
                <w:sz w:val="16"/>
                <w:szCs w:val="16"/>
                <w:color w:val="0000FF"/>
                <w:w w:val="97"/>
              </w:rPr>
            </w:pPr>
            <w:hyperlink w:anchor="page7">
              <w:r>
                <w:rPr>
                  <w:rFonts w:ascii="Arial" w:cs="Arial" w:eastAsia="Arial" w:hAnsi="Arial"/>
                  <w:sz w:val="16"/>
                  <w:szCs w:val="16"/>
                  <w:color w:val="0000FF"/>
                  <w:w w:val="97"/>
                </w:rPr>
                <w:t>Notes to Unaudited Condensed Consolidated Financial Statements</w:t>
              </w:r>
            </w:hyperlink>
          </w:p>
        </w:tc>
        <w:tc>
          <w:tcPr>
            <w:tcW w:w="2660" w:type="dxa"/>
            <w:vAlign w:val="bottom"/>
            <w:gridSpan w:val="3"/>
          </w:tcPr>
          <w:p>
            <w:pPr>
              <w:spacing w:after="0"/>
              <w:rPr>
                <w:sz w:val="17"/>
                <w:szCs w:val="17"/>
                <w:color w:val="auto"/>
              </w:rPr>
            </w:pPr>
          </w:p>
        </w:tc>
        <w:tc>
          <w:tcPr>
            <w:tcW w:w="1840" w:type="dxa"/>
            <w:vAlign w:val="bottom"/>
            <w:gridSpan w:val="2"/>
          </w:tcPr>
          <w:p>
            <w:pPr>
              <w:jc w:val="center"/>
              <w:ind w:left="1679"/>
              <w:spacing w:after="0"/>
              <w:rPr>
                <w:rFonts w:ascii="Arial" w:cs="Arial" w:eastAsia="Arial" w:hAnsi="Arial"/>
                <w:sz w:val="16"/>
                <w:szCs w:val="16"/>
                <w:color w:val="0000FF"/>
                <w:w w:val="89"/>
              </w:rPr>
            </w:pPr>
            <w:hyperlink w:anchor="page7">
              <w:r>
                <w:rPr>
                  <w:rFonts w:ascii="Arial" w:cs="Arial" w:eastAsia="Arial" w:hAnsi="Arial"/>
                  <w:sz w:val="16"/>
                  <w:szCs w:val="16"/>
                  <w:color w:val="0000FF"/>
                  <w:w w:val="89"/>
                </w:rPr>
                <w:t>8</w:t>
              </w:r>
            </w:hyperlink>
          </w:p>
        </w:tc>
        <w:tc>
          <w:tcPr>
            <w:tcW w:w="24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580" w:type="dxa"/>
            <w:vAlign w:val="bottom"/>
            <w:gridSpan w:val="2"/>
          </w:tcPr>
          <w:p>
            <w:pPr>
              <w:spacing w:after="0"/>
              <w:rPr>
                <w:rFonts w:ascii="Arial" w:cs="Arial" w:eastAsia="Arial" w:hAnsi="Arial"/>
                <w:sz w:val="16"/>
                <w:szCs w:val="16"/>
                <w:color w:val="0000FF"/>
              </w:rPr>
            </w:pPr>
            <w:hyperlink w:anchor="page18">
              <w:r>
                <w:rPr>
                  <w:rFonts w:ascii="Arial" w:cs="Arial" w:eastAsia="Arial" w:hAnsi="Arial"/>
                  <w:sz w:val="16"/>
                  <w:szCs w:val="16"/>
                  <w:color w:val="0000FF"/>
                </w:rPr>
                <w:t>Item 2.</w:t>
              </w:r>
            </w:hyperlink>
          </w:p>
        </w:tc>
        <w:tc>
          <w:tcPr>
            <w:tcW w:w="1000" w:type="dxa"/>
            <w:vAlign w:val="bottom"/>
            <w:gridSpan w:val="2"/>
          </w:tcPr>
          <w:p>
            <w:pPr>
              <w:spacing w:after="0"/>
              <w:rPr>
                <w:sz w:val="17"/>
                <w:szCs w:val="17"/>
                <w:color w:val="auto"/>
              </w:rPr>
            </w:pPr>
          </w:p>
        </w:tc>
        <w:tc>
          <w:tcPr>
            <w:tcW w:w="7320" w:type="dxa"/>
            <w:vAlign w:val="bottom"/>
            <w:gridSpan w:val="13"/>
          </w:tcPr>
          <w:p>
            <w:pPr>
              <w:spacing w:after="0"/>
              <w:rPr>
                <w:rFonts w:ascii="Arial" w:cs="Arial" w:eastAsia="Arial" w:hAnsi="Arial"/>
                <w:sz w:val="16"/>
                <w:szCs w:val="16"/>
                <w:color w:val="0000FF"/>
              </w:rPr>
            </w:pPr>
            <w:hyperlink w:anchor="page18">
              <w:r>
                <w:rPr>
                  <w:rFonts w:ascii="Arial" w:cs="Arial" w:eastAsia="Arial" w:hAnsi="Arial"/>
                  <w:sz w:val="16"/>
                  <w:szCs w:val="16"/>
                  <w:color w:val="0000FF"/>
                </w:rPr>
                <w:t>Management’s Discussion and Analysis of Financial Condition and Results of Operations</w:t>
              </w:r>
            </w:hyperlink>
          </w:p>
        </w:tc>
        <w:tc>
          <w:tcPr>
            <w:tcW w:w="1840" w:type="dxa"/>
            <w:vAlign w:val="bottom"/>
            <w:gridSpan w:val="2"/>
          </w:tcPr>
          <w:p>
            <w:pPr>
              <w:jc w:val="center"/>
              <w:ind w:left="1599"/>
              <w:spacing w:after="0"/>
              <w:rPr>
                <w:rFonts w:ascii="Arial" w:cs="Arial" w:eastAsia="Arial" w:hAnsi="Arial"/>
                <w:sz w:val="16"/>
                <w:szCs w:val="16"/>
                <w:color w:val="0000FF"/>
                <w:w w:val="89"/>
              </w:rPr>
            </w:pPr>
            <w:hyperlink w:anchor="page18">
              <w:r>
                <w:rPr>
                  <w:rFonts w:ascii="Arial" w:cs="Arial" w:eastAsia="Arial" w:hAnsi="Arial"/>
                  <w:sz w:val="16"/>
                  <w:szCs w:val="16"/>
                  <w:color w:val="0000FF"/>
                  <w:w w:val="89"/>
                </w:rPr>
                <w:t>19</w:t>
              </w:r>
            </w:hyperlink>
          </w:p>
        </w:tc>
        <w:tc>
          <w:tcPr>
            <w:tcW w:w="240" w:type="dxa"/>
            <w:vAlign w:val="bottom"/>
          </w:tcPr>
          <w:p>
            <w:pPr>
              <w:spacing w:after="0"/>
              <w:rPr>
                <w:sz w:val="17"/>
                <w:szCs w:val="17"/>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1880" w:type="dxa"/>
            <w:vAlign w:val="bottom"/>
            <w:gridSpan w:val="5"/>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196"/>
        </w:trPr>
        <w:tc>
          <w:tcPr>
            <w:tcW w:w="580" w:type="dxa"/>
            <w:vAlign w:val="bottom"/>
            <w:gridSpan w:val="2"/>
          </w:tcPr>
          <w:p>
            <w:pPr>
              <w:spacing w:after="0"/>
              <w:rPr>
                <w:rFonts w:ascii="Arial" w:cs="Arial" w:eastAsia="Arial" w:hAnsi="Arial"/>
                <w:sz w:val="16"/>
                <w:szCs w:val="16"/>
                <w:color w:val="0000FF"/>
              </w:rPr>
            </w:pPr>
            <w:hyperlink w:anchor="page28">
              <w:r>
                <w:rPr>
                  <w:rFonts w:ascii="Arial" w:cs="Arial" w:eastAsia="Arial" w:hAnsi="Arial"/>
                  <w:sz w:val="16"/>
                  <w:szCs w:val="16"/>
                  <w:color w:val="0000FF"/>
                </w:rPr>
                <w:t>Item 3.</w:t>
              </w:r>
            </w:hyperlink>
          </w:p>
        </w:tc>
        <w:tc>
          <w:tcPr>
            <w:tcW w:w="1000" w:type="dxa"/>
            <w:vAlign w:val="bottom"/>
            <w:gridSpan w:val="2"/>
          </w:tcPr>
          <w:p>
            <w:pPr>
              <w:spacing w:after="0"/>
              <w:rPr>
                <w:sz w:val="17"/>
                <w:szCs w:val="17"/>
                <w:color w:val="auto"/>
              </w:rPr>
            </w:pPr>
          </w:p>
        </w:tc>
        <w:tc>
          <w:tcPr>
            <w:tcW w:w="5800" w:type="dxa"/>
            <w:vAlign w:val="bottom"/>
            <w:gridSpan w:val="12"/>
          </w:tcPr>
          <w:p>
            <w:pPr>
              <w:spacing w:after="0"/>
              <w:rPr>
                <w:rFonts w:ascii="Arial" w:cs="Arial" w:eastAsia="Arial" w:hAnsi="Arial"/>
                <w:sz w:val="16"/>
                <w:szCs w:val="16"/>
                <w:color w:val="0000FF"/>
              </w:rPr>
            </w:pPr>
            <w:hyperlink w:anchor="page28">
              <w:r>
                <w:rPr>
                  <w:rFonts w:ascii="Arial" w:cs="Arial" w:eastAsia="Arial" w:hAnsi="Arial"/>
                  <w:sz w:val="16"/>
                  <w:szCs w:val="16"/>
                  <w:color w:val="0000FF"/>
                </w:rPr>
                <w:t>Quantitative and Qualitative Disclosures About Market Risk</w:t>
              </w:r>
            </w:hyperlink>
          </w:p>
        </w:tc>
        <w:tc>
          <w:tcPr>
            <w:tcW w:w="1520" w:type="dxa"/>
            <w:vAlign w:val="bottom"/>
          </w:tcPr>
          <w:p>
            <w:pPr>
              <w:spacing w:after="0"/>
              <w:rPr>
                <w:sz w:val="17"/>
                <w:szCs w:val="17"/>
                <w:color w:val="auto"/>
              </w:rPr>
            </w:pPr>
          </w:p>
        </w:tc>
        <w:tc>
          <w:tcPr>
            <w:tcW w:w="1840" w:type="dxa"/>
            <w:vAlign w:val="bottom"/>
            <w:gridSpan w:val="2"/>
          </w:tcPr>
          <w:p>
            <w:pPr>
              <w:jc w:val="center"/>
              <w:ind w:left="1599"/>
              <w:spacing w:after="0"/>
              <w:rPr>
                <w:rFonts w:ascii="Arial" w:cs="Arial" w:eastAsia="Arial" w:hAnsi="Arial"/>
                <w:sz w:val="16"/>
                <w:szCs w:val="16"/>
                <w:color w:val="0000FF"/>
                <w:w w:val="89"/>
              </w:rPr>
            </w:pPr>
            <w:hyperlink w:anchor="page28">
              <w:r>
                <w:rPr>
                  <w:rFonts w:ascii="Arial" w:cs="Arial" w:eastAsia="Arial" w:hAnsi="Arial"/>
                  <w:sz w:val="16"/>
                  <w:szCs w:val="16"/>
                  <w:color w:val="0000FF"/>
                  <w:w w:val="89"/>
                </w:rPr>
                <w:t>29</w:t>
              </w:r>
            </w:hyperlink>
          </w:p>
        </w:tc>
        <w:tc>
          <w:tcPr>
            <w:tcW w:w="240" w:type="dxa"/>
            <w:vAlign w:val="bottom"/>
          </w:tcPr>
          <w:p>
            <w:pPr>
              <w:spacing w:after="0"/>
              <w:rPr>
                <w:sz w:val="17"/>
                <w:szCs w:val="17"/>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3400" w:type="dxa"/>
            <w:vAlign w:val="bottom"/>
            <w:gridSpan w:val="6"/>
          </w:tcPr>
          <w:p>
            <w:pPr>
              <w:spacing w:after="0" w:line="20" w:lineRule="exact"/>
              <w:rPr>
                <w:sz w:val="1"/>
                <w:szCs w:val="1"/>
                <w:color w:val="auto"/>
              </w:rPr>
            </w:pPr>
          </w:p>
        </w:tc>
        <w:tc>
          <w:tcPr>
            <w:tcW w:w="17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196"/>
        </w:trPr>
        <w:tc>
          <w:tcPr>
            <w:tcW w:w="1580" w:type="dxa"/>
            <w:vAlign w:val="bottom"/>
            <w:gridSpan w:val="4"/>
          </w:tcPr>
          <w:p>
            <w:pPr>
              <w:spacing w:after="0"/>
              <w:rPr>
                <w:rFonts w:ascii="Arial" w:cs="Arial" w:eastAsia="Arial" w:hAnsi="Arial"/>
                <w:sz w:val="16"/>
                <w:szCs w:val="16"/>
                <w:color w:val="0000FF"/>
              </w:rPr>
            </w:pPr>
            <w:hyperlink w:anchor="page29">
              <w:r>
                <w:rPr>
                  <w:rFonts w:ascii="Arial" w:cs="Arial" w:eastAsia="Arial" w:hAnsi="Arial"/>
                  <w:sz w:val="16"/>
                  <w:szCs w:val="16"/>
                  <w:color w:val="0000FF"/>
                </w:rPr>
                <w:t>Item 4.</w:t>
              </w:r>
            </w:hyperlink>
          </w:p>
        </w:tc>
        <w:tc>
          <w:tcPr>
            <w:tcW w:w="7320" w:type="dxa"/>
            <w:vAlign w:val="bottom"/>
            <w:gridSpan w:val="13"/>
          </w:tcPr>
          <w:p>
            <w:pPr>
              <w:spacing w:after="0"/>
              <w:rPr>
                <w:rFonts w:ascii="Arial" w:cs="Arial" w:eastAsia="Arial" w:hAnsi="Arial"/>
                <w:sz w:val="16"/>
                <w:szCs w:val="16"/>
                <w:color w:val="0000FF"/>
              </w:rPr>
            </w:pPr>
            <w:hyperlink w:anchor="page29">
              <w:r>
                <w:rPr>
                  <w:rFonts w:ascii="Arial" w:cs="Arial" w:eastAsia="Arial" w:hAnsi="Arial"/>
                  <w:sz w:val="16"/>
                  <w:szCs w:val="16"/>
                  <w:color w:val="0000FF"/>
                </w:rPr>
                <w:t>Controls and Procedures</w:t>
              </w:r>
            </w:hyperlink>
          </w:p>
        </w:tc>
        <w:tc>
          <w:tcPr>
            <w:tcW w:w="1840" w:type="dxa"/>
            <w:vAlign w:val="bottom"/>
            <w:gridSpan w:val="2"/>
          </w:tcPr>
          <w:p>
            <w:pPr>
              <w:jc w:val="center"/>
              <w:ind w:left="1599"/>
              <w:spacing w:after="0"/>
              <w:rPr>
                <w:rFonts w:ascii="Arial" w:cs="Arial" w:eastAsia="Arial" w:hAnsi="Arial"/>
                <w:sz w:val="16"/>
                <w:szCs w:val="16"/>
                <w:color w:val="0000FF"/>
                <w:w w:val="89"/>
              </w:rPr>
            </w:pPr>
            <w:hyperlink w:anchor="page29">
              <w:r>
                <w:rPr>
                  <w:rFonts w:ascii="Arial" w:cs="Arial" w:eastAsia="Arial" w:hAnsi="Arial"/>
                  <w:sz w:val="16"/>
                  <w:szCs w:val="16"/>
                  <w:color w:val="0000FF"/>
                  <w:w w:val="89"/>
                </w:rPr>
                <w:t>29</w:t>
              </w:r>
            </w:hyperlink>
          </w:p>
        </w:tc>
        <w:tc>
          <w:tcPr>
            <w:tcW w:w="240" w:type="dxa"/>
            <w:vAlign w:val="bottom"/>
          </w:tcPr>
          <w:p>
            <w:pPr>
              <w:spacing w:after="0"/>
              <w:rPr>
                <w:sz w:val="17"/>
                <w:szCs w:val="17"/>
                <w:color w:val="auto"/>
              </w:rPr>
            </w:pPr>
          </w:p>
        </w:tc>
      </w:tr>
      <w:tr>
        <w:trPr>
          <w:trHeight w:val="393"/>
        </w:trPr>
        <w:tc>
          <w:tcPr>
            <w:tcW w:w="46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060" w:type="dxa"/>
            <w:vAlign w:val="bottom"/>
          </w:tcPr>
          <w:p>
            <w:pPr>
              <w:spacing w:after="0"/>
              <w:rPr>
                <w:sz w:val="24"/>
                <w:szCs w:val="24"/>
                <w:color w:val="auto"/>
              </w:rPr>
            </w:pPr>
          </w:p>
        </w:tc>
        <w:tc>
          <w:tcPr>
            <w:tcW w:w="4680" w:type="dxa"/>
            <w:vAlign w:val="bottom"/>
            <w:gridSpan w:val="7"/>
          </w:tcPr>
          <w:p>
            <w:pPr>
              <w:ind w:left="1060"/>
              <w:spacing w:after="0"/>
              <w:rPr>
                <w:sz w:val="20"/>
                <w:szCs w:val="20"/>
                <w:color w:val="auto"/>
              </w:rPr>
            </w:pPr>
            <w:r>
              <w:rPr>
                <w:rFonts w:ascii="Arial" w:cs="Arial" w:eastAsia="Arial" w:hAnsi="Arial"/>
                <w:sz w:val="16"/>
                <w:szCs w:val="16"/>
                <w:b w:val="1"/>
                <w:bCs w:val="1"/>
                <w:color w:val="auto"/>
              </w:rPr>
              <w:t>PART II</w:t>
            </w:r>
          </w:p>
        </w:tc>
        <w:tc>
          <w:tcPr>
            <w:tcW w:w="17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r>
      <w:tr>
        <w:trPr>
          <w:trHeight w:val="343"/>
        </w:trPr>
        <w:tc>
          <w:tcPr>
            <w:tcW w:w="580" w:type="dxa"/>
            <w:vAlign w:val="bottom"/>
            <w:tcBorders>
              <w:bottom w:val="single" w:sz="8" w:color="0000FF"/>
            </w:tcBorders>
            <w:gridSpan w:val="2"/>
          </w:tcPr>
          <w:p>
            <w:pPr>
              <w:spacing w:after="0"/>
              <w:rPr>
                <w:rFonts w:ascii="Arial" w:cs="Arial" w:eastAsia="Arial" w:hAnsi="Arial"/>
                <w:sz w:val="16"/>
                <w:szCs w:val="16"/>
                <w:color w:val="0000FF"/>
              </w:rPr>
            </w:pPr>
            <w:hyperlink w:anchor="page30">
              <w:r>
                <w:rPr>
                  <w:rFonts w:ascii="Arial" w:cs="Arial" w:eastAsia="Arial" w:hAnsi="Arial"/>
                  <w:sz w:val="16"/>
                  <w:szCs w:val="16"/>
                  <w:color w:val="0000FF"/>
                </w:rPr>
                <w:t>Item 1.</w:t>
              </w:r>
            </w:hyperlink>
          </w:p>
        </w:tc>
        <w:tc>
          <w:tcPr>
            <w:tcW w:w="1000" w:type="dxa"/>
            <w:vAlign w:val="bottom"/>
            <w:gridSpan w:val="2"/>
          </w:tcPr>
          <w:p>
            <w:pPr>
              <w:spacing w:after="0"/>
              <w:rPr>
                <w:sz w:val="24"/>
                <w:szCs w:val="24"/>
                <w:color w:val="auto"/>
              </w:rPr>
            </w:pPr>
          </w:p>
        </w:tc>
        <w:tc>
          <w:tcPr>
            <w:tcW w:w="1200" w:type="dxa"/>
            <w:vAlign w:val="bottom"/>
            <w:tcBorders>
              <w:bottom w:val="single" w:sz="8" w:color="0000FF"/>
            </w:tcBorders>
            <w:gridSpan w:val="3"/>
          </w:tcPr>
          <w:p>
            <w:pPr>
              <w:spacing w:after="0"/>
              <w:rPr>
                <w:rFonts w:ascii="Arial" w:cs="Arial" w:eastAsia="Arial" w:hAnsi="Arial"/>
                <w:sz w:val="16"/>
                <w:szCs w:val="16"/>
                <w:color w:val="0000FF"/>
                <w:w w:val="89"/>
              </w:rPr>
            </w:pPr>
            <w:hyperlink w:anchor="page30">
              <w:r>
                <w:rPr>
                  <w:rFonts w:ascii="Arial" w:cs="Arial" w:eastAsia="Arial" w:hAnsi="Arial"/>
                  <w:sz w:val="16"/>
                  <w:szCs w:val="16"/>
                  <w:color w:val="0000FF"/>
                  <w:w w:val="89"/>
                </w:rPr>
                <w:t>Legal Proceedings</w:t>
              </w:r>
            </w:hyperlink>
          </w:p>
        </w:tc>
        <w:tc>
          <w:tcPr>
            <w:tcW w:w="6120" w:type="dxa"/>
            <w:vAlign w:val="bottom"/>
            <w:gridSpan w:val="10"/>
          </w:tcPr>
          <w:p>
            <w:pPr>
              <w:spacing w:after="0"/>
              <w:rPr>
                <w:sz w:val="24"/>
                <w:szCs w:val="24"/>
                <w:color w:val="auto"/>
              </w:rPr>
            </w:pPr>
          </w:p>
        </w:tc>
        <w:tc>
          <w:tcPr>
            <w:tcW w:w="1840" w:type="dxa"/>
            <w:vAlign w:val="bottom"/>
            <w:gridSpan w:val="2"/>
          </w:tcPr>
          <w:p>
            <w:pPr>
              <w:jc w:val="center"/>
              <w:ind w:left="1599"/>
              <w:spacing w:after="0"/>
              <w:rPr>
                <w:rFonts w:ascii="Arial" w:cs="Arial" w:eastAsia="Arial" w:hAnsi="Arial"/>
                <w:sz w:val="16"/>
                <w:szCs w:val="16"/>
                <w:color w:val="0000FF"/>
                <w:w w:val="89"/>
              </w:rPr>
            </w:pPr>
            <w:hyperlink w:anchor="page30">
              <w:r>
                <w:rPr>
                  <w:rFonts w:ascii="Arial" w:cs="Arial" w:eastAsia="Arial" w:hAnsi="Arial"/>
                  <w:sz w:val="16"/>
                  <w:szCs w:val="16"/>
                  <w:color w:val="0000FF"/>
                  <w:w w:val="89"/>
                </w:rPr>
                <w:t>30</w:t>
              </w:r>
            </w:hyperlink>
          </w:p>
        </w:tc>
        <w:tc>
          <w:tcPr>
            <w:tcW w:w="240" w:type="dxa"/>
            <w:vAlign w:val="bottom"/>
          </w:tcPr>
          <w:p>
            <w:pPr>
              <w:spacing w:after="0"/>
              <w:rPr>
                <w:sz w:val="24"/>
                <w:szCs w:val="24"/>
                <w:color w:val="auto"/>
              </w:rPr>
            </w:pPr>
          </w:p>
        </w:tc>
      </w:tr>
      <w:tr>
        <w:trPr>
          <w:trHeight w:val="196"/>
        </w:trPr>
        <w:tc>
          <w:tcPr>
            <w:tcW w:w="1580" w:type="dxa"/>
            <w:vAlign w:val="bottom"/>
            <w:gridSpan w:val="4"/>
          </w:tcPr>
          <w:p>
            <w:pPr>
              <w:spacing w:after="0"/>
              <w:rPr>
                <w:rFonts w:ascii="Arial" w:cs="Arial" w:eastAsia="Arial" w:hAnsi="Arial"/>
                <w:sz w:val="16"/>
                <w:szCs w:val="16"/>
                <w:color w:val="0000FF"/>
              </w:rPr>
            </w:pPr>
            <w:hyperlink w:anchor="page30">
              <w:r>
                <w:rPr>
                  <w:rFonts w:ascii="Arial" w:cs="Arial" w:eastAsia="Arial" w:hAnsi="Arial"/>
                  <w:sz w:val="16"/>
                  <w:szCs w:val="16"/>
                  <w:color w:val="0000FF"/>
                </w:rPr>
                <w:t>Item 1A.</w:t>
              </w:r>
            </w:hyperlink>
          </w:p>
        </w:tc>
        <w:tc>
          <w:tcPr>
            <w:tcW w:w="7320" w:type="dxa"/>
            <w:vAlign w:val="bottom"/>
            <w:gridSpan w:val="13"/>
          </w:tcPr>
          <w:p>
            <w:pPr>
              <w:spacing w:after="0"/>
              <w:rPr>
                <w:rFonts w:ascii="Arial" w:cs="Arial" w:eastAsia="Arial" w:hAnsi="Arial"/>
                <w:sz w:val="16"/>
                <w:szCs w:val="16"/>
                <w:color w:val="0000FF"/>
              </w:rPr>
            </w:pPr>
            <w:hyperlink w:anchor="page30">
              <w:r>
                <w:rPr>
                  <w:rFonts w:ascii="Arial" w:cs="Arial" w:eastAsia="Arial" w:hAnsi="Arial"/>
                  <w:sz w:val="16"/>
                  <w:szCs w:val="16"/>
                  <w:color w:val="0000FF"/>
                </w:rPr>
                <w:t>Risk Factors</w:t>
              </w:r>
            </w:hyperlink>
          </w:p>
        </w:tc>
        <w:tc>
          <w:tcPr>
            <w:tcW w:w="1840" w:type="dxa"/>
            <w:vAlign w:val="bottom"/>
            <w:gridSpan w:val="2"/>
          </w:tcPr>
          <w:p>
            <w:pPr>
              <w:jc w:val="center"/>
              <w:ind w:left="1599"/>
              <w:spacing w:after="0"/>
              <w:rPr>
                <w:rFonts w:ascii="Arial" w:cs="Arial" w:eastAsia="Arial" w:hAnsi="Arial"/>
                <w:sz w:val="16"/>
                <w:szCs w:val="16"/>
                <w:color w:val="0000FF"/>
                <w:w w:val="89"/>
              </w:rPr>
            </w:pPr>
            <w:hyperlink w:anchor="page30">
              <w:r>
                <w:rPr>
                  <w:rFonts w:ascii="Arial" w:cs="Arial" w:eastAsia="Arial" w:hAnsi="Arial"/>
                  <w:sz w:val="16"/>
                  <w:szCs w:val="16"/>
                  <w:color w:val="0000FF"/>
                  <w:w w:val="89"/>
                </w:rPr>
                <w:t>30</w:t>
              </w:r>
            </w:hyperlink>
          </w:p>
        </w:tc>
        <w:tc>
          <w:tcPr>
            <w:tcW w:w="240" w:type="dxa"/>
            <w:vAlign w:val="bottom"/>
          </w:tcPr>
          <w:p>
            <w:pPr>
              <w:spacing w:after="0"/>
              <w:rPr>
                <w:sz w:val="17"/>
                <w:szCs w:val="17"/>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520" w:type="dxa"/>
            <w:vAlign w:val="bottom"/>
            <w:gridSpan w:val="11"/>
          </w:tcPr>
          <w:p>
            <w:pPr>
              <w:spacing w:after="0" w:line="20" w:lineRule="exact"/>
              <w:rPr>
                <w:sz w:val="1"/>
                <w:szCs w:val="1"/>
                <w:color w:val="auto"/>
              </w:rPr>
            </w:pPr>
          </w:p>
        </w:tc>
        <w:tc>
          <w:tcPr>
            <w:tcW w:w="17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196"/>
        </w:trPr>
        <w:tc>
          <w:tcPr>
            <w:tcW w:w="580" w:type="dxa"/>
            <w:vAlign w:val="bottom"/>
            <w:gridSpan w:val="2"/>
          </w:tcPr>
          <w:p>
            <w:pPr>
              <w:spacing w:after="0"/>
              <w:rPr>
                <w:rFonts w:ascii="Arial" w:cs="Arial" w:eastAsia="Arial" w:hAnsi="Arial"/>
                <w:sz w:val="16"/>
                <w:szCs w:val="16"/>
                <w:color w:val="0000FF"/>
              </w:rPr>
            </w:pPr>
            <w:hyperlink w:anchor="page30">
              <w:r>
                <w:rPr>
                  <w:rFonts w:ascii="Arial" w:cs="Arial" w:eastAsia="Arial" w:hAnsi="Arial"/>
                  <w:sz w:val="16"/>
                  <w:szCs w:val="16"/>
                  <w:color w:val="0000FF"/>
                </w:rPr>
                <w:t>Item 6.</w:t>
              </w:r>
            </w:hyperlink>
          </w:p>
        </w:tc>
        <w:tc>
          <w:tcPr>
            <w:tcW w:w="1000" w:type="dxa"/>
            <w:vAlign w:val="bottom"/>
            <w:gridSpan w:val="2"/>
          </w:tcPr>
          <w:p>
            <w:pPr>
              <w:spacing w:after="0"/>
              <w:rPr>
                <w:sz w:val="17"/>
                <w:szCs w:val="17"/>
                <w:color w:val="auto"/>
              </w:rPr>
            </w:pPr>
          </w:p>
        </w:tc>
        <w:tc>
          <w:tcPr>
            <w:tcW w:w="800" w:type="dxa"/>
            <w:vAlign w:val="bottom"/>
            <w:gridSpan w:val="2"/>
          </w:tcPr>
          <w:p>
            <w:pPr>
              <w:spacing w:after="0"/>
              <w:rPr>
                <w:rFonts w:ascii="Arial" w:cs="Arial" w:eastAsia="Arial" w:hAnsi="Arial"/>
                <w:sz w:val="16"/>
                <w:szCs w:val="16"/>
                <w:color w:val="0000FF"/>
              </w:rPr>
            </w:pPr>
            <w:hyperlink w:anchor="page30">
              <w:r>
                <w:rPr>
                  <w:rFonts w:ascii="Arial" w:cs="Arial" w:eastAsia="Arial" w:hAnsi="Arial"/>
                  <w:sz w:val="16"/>
                  <w:szCs w:val="16"/>
                  <w:color w:val="0000FF"/>
                </w:rPr>
                <w:t>Exhibits</w:t>
              </w:r>
            </w:hyperlink>
          </w:p>
        </w:tc>
        <w:tc>
          <w:tcPr>
            <w:tcW w:w="6520" w:type="dxa"/>
            <w:vAlign w:val="bottom"/>
            <w:gridSpan w:val="11"/>
          </w:tcPr>
          <w:p>
            <w:pPr>
              <w:spacing w:after="0"/>
              <w:rPr>
                <w:sz w:val="17"/>
                <w:szCs w:val="17"/>
                <w:color w:val="auto"/>
              </w:rPr>
            </w:pPr>
          </w:p>
        </w:tc>
        <w:tc>
          <w:tcPr>
            <w:tcW w:w="1840" w:type="dxa"/>
            <w:vAlign w:val="bottom"/>
            <w:gridSpan w:val="2"/>
          </w:tcPr>
          <w:p>
            <w:pPr>
              <w:jc w:val="center"/>
              <w:ind w:left="1599"/>
              <w:spacing w:after="0"/>
              <w:rPr>
                <w:rFonts w:ascii="Arial" w:cs="Arial" w:eastAsia="Arial" w:hAnsi="Arial"/>
                <w:sz w:val="16"/>
                <w:szCs w:val="16"/>
                <w:color w:val="0000FF"/>
                <w:w w:val="89"/>
              </w:rPr>
            </w:pPr>
            <w:hyperlink w:anchor="page30">
              <w:r>
                <w:rPr>
                  <w:rFonts w:ascii="Arial" w:cs="Arial" w:eastAsia="Arial" w:hAnsi="Arial"/>
                  <w:sz w:val="16"/>
                  <w:szCs w:val="16"/>
                  <w:color w:val="0000FF"/>
                  <w:w w:val="89"/>
                </w:rPr>
                <w:t>30</w:t>
              </w:r>
            </w:hyperlink>
          </w:p>
        </w:tc>
        <w:tc>
          <w:tcPr>
            <w:tcW w:w="240" w:type="dxa"/>
            <w:vAlign w:val="bottom"/>
          </w:tcPr>
          <w:p>
            <w:pPr>
              <w:spacing w:after="0"/>
              <w:rPr>
                <w:sz w:val="17"/>
                <w:szCs w:val="17"/>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358"/>
        </w:trPr>
        <w:tc>
          <w:tcPr>
            <w:tcW w:w="1000" w:type="dxa"/>
            <w:vAlign w:val="bottom"/>
            <w:gridSpan w:val="3"/>
          </w:tcPr>
          <w:p>
            <w:pPr>
              <w:spacing w:after="0"/>
              <w:rPr>
                <w:rFonts w:ascii="Arial" w:cs="Arial" w:eastAsia="Arial" w:hAnsi="Arial"/>
                <w:sz w:val="16"/>
                <w:szCs w:val="16"/>
                <w:color w:val="0000FF"/>
                <w:w w:val="94"/>
              </w:rPr>
            </w:pPr>
            <w:hyperlink w:anchor="page30">
              <w:r>
                <w:rPr>
                  <w:rFonts w:ascii="Arial" w:cs="Arial" w:eastAsia="Arial" w:hAnsi="Arial"/>
                  <w:sz w:val="16"/>
                  <w:szCs w:val="16"/>
                  <w:color w:val="0000FF"/>
                  <w:w w:val="94"/>
                </w:rPr>
                <w:t>SIGNATURES</w:t>
              </w:r>
            </w:hyperlink>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40" w:type="dxa"/>
            <w:vAlign w:val="bottom"/>
            <w:gridSpan w:val="2"/>
          </w:tcPr>
          <w:p>
            <w:pPr>
              <w:jc w:val="center"/>
              <w:ind w:left="1599"/>
              <w:spacing w:after="0"/>
              <w:rPr>
                <w:rFonts w:ascii="Arial" w:cs="Arial" w:eastAsia="Arial" w:hAnsi="Arial"/>
                <w:sz w:val="16"/>
                <w:szCs w:val="16"/>
                <w:color w:val="0000FF"/>
                <w:w w:val="89"/>
              </w:rPr>
            </w:pPr>
            <w:hyperlink w:anchor="page30">
              <w:r>
                <w:rPr>
                  <w:rFonts w:ascii="Arial" w:cs="Arial" w:eastAsia="Arial" w:hAnsi="Arial"/>
                  <w:sz w:val="16"/>
                  <w:szCs w:val="16"/>
                  <w:color w:val="0000FF"/>
                  <w:w w:val="89"/>
                </w:rPr>
                <w:t>30</w:t>
              </w:r>
            </w:hyperlink>
          </w:p>
        </w:tc>
        <w:tc>
          <w:tcPr>
            <w:tcW w:w="240" w:type="dxa"/>
            <w:vAlign w:val="bottom"/>
          </w:tcPr>
          <w:p>
            <w:pPr>
              <w:spacing w:after="0"/>
              <w:rPr>
                <w:sz w:val="24"/>
                <w:szCs w:val="24"/>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40" w:top="1188" w:right="57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FINANCIAL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34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CARE HEALTH,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SHARES AND PER SHARE AMOUNTS)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6"/>
                <w:szCs w:val="16"/>
                <w:color w:val="auto"/>
                <w:w w:val="93"/>
              </w:rPr>
              <w:t>(unaudited)</w:t>
            </w: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March 31, 2021</w:t>
            </w:r>
          </w:p>
        </w:tc>
        <w:tc>
          <w:tcPr>
            <w:tcW w:w="200" w:type="dxa"/>
            <w:vAlign w:val="bottom"/>
          </w:tcPr>
          <w:p>
            <w:pPr>
              <w:spacing w:after="0"/>
              <w:rPr>
                <w:sz w:val="19"/>
                <w:szCs w:val="19"/>
                <w:color w:val="auto"/>
              </w:rPr>
            </w:pPr>
          </w:p>
        </w:tc>
        <w:tc>
          <w:tcPr>
            <w:tcW w:w="16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 2020</w:t>
            </w:r>
          </w:p>
        </w:tc>
        <w:tc>
          <w:tcPr>
            <w:tcW w:w="0" w:type="dxa"/>
            <w:vAlign w:val="bottom"/>
          </w:tcPr>
          <w:p>
            <w:pPr>
              <w:spacing w:after="0"/>
              <w:rPr>
                <w:sz w:val="1"/>
                <w:szCs w:val="1"/>
                <w:color w:val="auto"/>
              </w:rPr>
            </w:pPr>
          </w:p>
        </w:tc>
      </w:tr>
      <w:tr>
        <w:trPr>
          <w:trHeight w:val="199"/>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109,362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99,265</w:t>
            </w:r>
          </w:p>
        </w:tc>
        <w:tc>
          <w:tcPr>
            <w:tcW w:w="0" w:type="dxa"/>
            <w:vAlign w:val="bottom"/>
          </w:tcPr>
          <w:p>
            <w:pPr>
              <w:spacing w:after="0"/>
              <w:rPr>
                <w:sz w:val="1"/>
                <w:szCs w:val="1"/>
                <w:color w:val="auto"/>
              </w:rPr>
            </w:pP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323,890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328,340</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173,622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158,601</w:t>
            </w:r>
          </w:p>
        </w:tc>
        <w:tc>
          <w:tcPr>
            <w:tcW w:w="0" w:type="dxa"/>
            <w:vAlign w:val="bottom"/>
          </w:tcPr>
          <w:p>
            <w:pPr>
              <w:spacing w:after="0"/>
              <w:rPr>
                <w:sz w:val="1"/>
                <w:szCs w:val="1"/>
                <w:color w:val="auto"/>
              </w:rPr>
            </w:pPr>
          </w:p>
        </w:tc>
      </w:tr>
      <w:tr>
        <w:trPr>
          <w:trHeight w:val="213"/>
        </w:trPr>
        <w:tc>
          <w:tcPr>
            <w:tcW w:w="7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57,860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70,806</w:t>
            </w:r>
          </w:p>
        </w:tc>
        <w:tc>
          <w:tcPr>
            <w:tcW w:w="0" w:type="dxa"/>
            <w:vAlign w:val="bottom"/>
          </w:tcPr>
          <w:p>
            <w:pPr>
              <w:spacing w:after="0"/>
              <w:rPr>
                <w:sz w:val="1"/>
                <w:szCs w:val="1"/>
                <w:color w:val="auto"/>
              </w:rPr>
            </w:pPr>
          </w:p>
        </w:tc>
      </w:tr>
      <w:tr>
        <w:trPr>
          <w:trHeight w:val="212"/>
        </w:trPr>
        <w:tc>
          <w:tcPr>
            <w:tcW w:w="7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664,734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657,012</w:t>
            </w:r>
          </w:p>
        </w:tc>
        <w:tc>
          <w:tcPr>
            <w:tcW w:w="0" w:type="dxa"/>
            <w:vAlign w:val="bottom"/>
          </w:tcPr>
          <w:p>
            <w:pPr>
              <w:spacing w:after="0"/>
              <w:rPr>
                <w:sz w:val="1"/>
                <w:szCs w:val="1"/>
                <w:color w:val="auto"/>
              </w:rPr>
            </w:pPr>
          </w:p>
        </w:tc>
      </w:tr>
      <w:tr>
        <w:trPr>
          <w:trHeight w:val="34"/>
        </w:trPr>
        <w:tc>
          <w:tcPr>
            <w:tcW w:w="7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ASSETS: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Property and equipment, net</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116,311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121,149</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right-of-use asset</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68,795</w:t>
            </w:r>
          </w:p>
        </w:tc>
        <w:tc>
          <w:tcPr>
            <w:tcW w:w="0" w:type="dxa"/>
            <w:vAlign w:val="bottom"/>
          </w:tcPr>
          <w:p>
            <w:pPr>
              <w:spacing w:after="0"/>
              <w:rPr>
                <w:sz w:val="1"/>
                <w:szCs w:val="1"/>
                <w:color w:val="auto"/>
              </w:rPr>
            </w:pP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Intangible assets, net</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342,379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351,052</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1,428,610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1,428,610</w:t>
            </w:r>
          </w:p>
        </w:tc>
        <w:tc>
          <w:tcPr>
            <w:tcW w:w="0" w:type="dxa"/>
            <w:vAlign w:val="bottom"/>
          </w:tcPr>
          <w:p>
            <w:pPr>
              <w:spacing w:after="0"/>
              <w:rPr>
                <w:sz w:val="1"/>
                <w:szCs w:val="1"/>
                <w:color w:val="auto"/>
              </w:rPr>
            </w:pPr>
          </w:p>
        </w:tc>
      </w:tr>
      <w:tr>
        <w:trPr>
          <w:trHeight w:val="213"/>
        </w:trPr>
        <w:tc>
          <w:tcPr>
            <w:tcW w:w="7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noncurrent assets</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21,873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20,821</w:t>
            </w:r>
          </w:p>
        </w:tc>
        <w:tc>
          <w:tcPr>
            <w:tcW w:w="0" w:type="dxa"/>
            <w:vAlign w:val="bottom"/>
          </w:tcPr>
          <w:p>
            <w:pPr>
              <w:spacing w:after="0"/>
              <w:rPr>
                <w:sz w:val="1"/>
                <w:szCs w:val="1"/>
                <w:color w:val="auto"/>
              </w:rPr>
            </w:pPr>
          </w:p>
        </w:tc>
      </w:tr>
      <w:tr>
        <w:trPr>
          <w:trHeight w:val="209"/>
        </w:trPr>
        <w:tc>
          <w:tcPr>
            <w:tcW w:w="7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noncurrent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1,975,736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1,990,427</w:t>
            </w:r>
          </w:p>
        </w:tc>
        <w:tc>
          <w:tcPr>
            <w:tcW w:w="0" w:type="dxa"/>
            <w:vAlign w:val="bottom"/>
          </w:tcPr>
          <w:p>
            <w:pPr>
              <w:spacing w:after="0"/>
              <w:rPr>
                <w:sz w:val="1"/>
                <w:szCs w:val="1"/>
                <w:color w:val="auto"/>
              </w:rPr>
            </w:pP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2,640,470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2,647,439</w:t>
            </w:r>
          </w:p>
        </w:tc>
        <w:tc>
          <w:tcPr>
            <w:tcW w:w="0" w:type="dxa"/>
            <w:vAlign w:val="bottom"/>
          </w:tcPr>
          <w:p>
            <w:pPr>
              <w:spacing w:after="0"/>
              <w:rPr>
                <w:sz w:val="1"/>
                <w:szCs w:val="1"/>
                <w:color w:val="auto"/>
              </w:rPr>
            </w:pPr>
          </w:p>
        </w:tc>
      </w:tr>
      <w:tr>
        <w:trPr>
          <w:trHeight w:val="46"/>
        </w:trPr>
        <w:tc>
          <w:tcPr>
            <w:tcW w:w="74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740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LIABILITIES AND STOCKHOLDERS’ EQUITY</w:t>
            </w:r>
          </w:p>
        </w:tc>
        <w:tc>
          <w:tcPr>
            <w:tcW w:w="24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290,939</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282,913</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compensation and employee benefits</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58,899</w:t>
            </w:r>
          </w:p>
        </w:tc>
        <w:tc>
          <w:tcPr>
            <w:tcW w:w="0" w:type="dxa"/>
            <w:vAlign w:val="bottom"/>
          </w:tcPr>
          <w:p>
            <w:pPr>
              <w:spacing w:after="0"/>
              <w:rPr>
                <w:sz w:val="1"/>
                <w:szCs w:val="1"/>
                <w:color w:val="auto"/>
              </w:rPr>
            </w:pP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Accrued expenses and other current liabilities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57,748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64,075</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portion of operating lease liability</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18,886</w:t>
            </w:r>
          </w:p>
        </w:tc>
        <w:tc>
          <w:tcPr>
            <w:tcW w:w="0" w:type="dxa"/>
            <w:vAlign w:val="bottom"/>
          </w:tcPr>
          <w:p>
            <w:pPr>
              <w:spacing w:after="0"/>
              <w:rPr>
                <w:sz w:val="1"/>
                <w:szCs w:val="1"/>
                <w:color w:val="auto"/>
              </w:rPr>
            </w:pPr>
          </w:p>
        </w:tc>
      </w:tr>
      <w:tr>
        <w:trPr>
          <w:trHeight w:val="213"/>
        </w:trPr>
        <w:tc>
          <w:tcPr>
            <w:tcW w:w="7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Current portion of long-term debt</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11,775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9,250</w:t>
            </w:r>
          </w:p>
        </w:tc>
        <w:tc>
          <w:tcPr>
            <w:tcW w:w="0" w:type="dxa"/>
            <w:vAlign w:val="bottom"/>
          </w:tcPr>
          <w:p>
            <w:pPr>
              <w:spacing w:after="0"/>
              <w:rPr>
                <w:sz w:val="1"/>
                <w:szCs w:val="1"/>
                <w:color w:val="auto"/>
              </w:rPr>
            </w:pPr>
          </w:p>
        </w:tc>
      </w:tr>
      <w:tr>
        <w:trPr>
          <w:trHeight w:val="213"/>
        </w:trPr>
        <w:tc>
          <w:tcPr>
            <w:tcW w:w="7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420,164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434,023</w:t>
            </w:r>
          </w:p>
        </w:tc>
        <w:tc>
          <w:tcPr>
            <w:tcW w:w="0" w:type="dxa"/>
            <w:vAlign w:val="bottom"/>
          </w:tcPr>
          <w:p>
            <w:pPr>
              <w:spacing w:after="0"/>
              <w:rPr>
                <w:sz w:val="1"/>
                <w:szCs w:val="1"/>
                <w:color w:val="auto"/>
              </w:rPr>
            </w:pPr>
          </w:p>
        </w:tc>
      </w:tr>
      <w:tr>
        <w:trPr>
          <w:trHeight w:val="34"/>
        </w:trPr>
        <w:tc>
          <w:tcPr>
            <w:tcW w:w="7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Long-term debt, net of discount, deferred financing costs and current portion</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1,121,143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1,115,103</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liability, net of current portion</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70,776</w:t>
            </w:r>
          </w:p>
        </w:tc>
        <w:tc>
          <w:tcPr>
            <w:tcW w:w="0" w:type="dxa"/>
            <w:vAlign w:val="bottom"/>
          </w:tcPr>
          <w:p>
            <w:pPr>
              <w:spacing w:after="0"/>
              <w:rPr>
                <w:sz w:val="1"/>
                <w:szCs w:val="1"/>
                <w:color w:val="auto"/>
              </w:rPr>
            </w:pP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3,973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3,339</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noncurrent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8,974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8,474</w:t>
            </w:r>
          </w:p>
        </w:tc>
        <w:tc>
          <w:tcPr>
            <w:tcW w:w="0" w:type="dxa"/>
            <w:vAlign w:val="bottom"/>
          </w:tcPr>
          <w:p>
            <w:pPr>
              <w:spacing w:after="0"/>
              <w:rPr>
                <w:sz w:val="1"/>
                <w:szCs w:val="1"/>
                <w:color w:val="auto"/>
              </w:rPr>
            </w:pPr>
          </w:p>
        </w:tc>
      </w:tr>
      <w:tr>
        <w:trPr>
          <w:trHeight w:val="206"/>
        </w:trPr>
        <w:tc>
          <w:tcPr>
            <w:tcW w:w="74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noncurrent liabilities</w:t>
            </w:r>
          </w:p>
        </w:tc>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1,202,226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1,197,692</w:t>
            </w:r>
          </w:p>
        </w:tc>
        <w:tc>
          <w:tcPr>
            <w:tcW w:w="0" w:type="dxa"/>
            <w:vAlign w:val="bottom"/>
          </w:tcPr>
          <w:p>
            <w:pPr>
              <w:spacing w:after="0"/>
              <w:rPr>
                <w:sz w:val="1"/>
                <w:szCs w:val="1"/>
                <w:color w:val="auto"/>
              </w:rPr>
            </w:pPr>
          </w:p>
        </w:tc>
      </w:tr>
      <w:tr>
        <w:trPr>
          <w:trHeight w:val="213"/>
        </w:trPr>
        <w:tc>
          <w:tcPr>
            <w:tcW w:w="7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1,622,390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1,631,715</w:t>
            </w:r>
          </w:p>
        </w:tc>
        <w:tc>
          <w:tcPr>
            <w:tcW w:w="0" w:type="dxa"/>
            <w:vAlign w:val="bottom"/>
          </w:tcPr>
          <w:p>
            <w:pPr>
              <w:spacing w:after="0"/>
              <w:rPr>
                <w:sz w:val="1"/>
                <w:szCs w:val="1"/>
                <w:color w:val="auto"/>
              </w:rPr>
            </w:pPr>
          </w:p>
        </w:tc>
      </w:tr>
      <w:tr>
        <w:trPr>
          <w:trHeight w:val="34"/>
        </w:trPr>
        <w:tc>
          <w:tcPr>
            <w:tcW w:w="7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400" w:type="dxa"/>
            <w:vAlign w:val="bottom"/>
          </w:tcPr>
          <w:p>
            <w:pPr>
              <w:ind w:left="140"/>
              <w:spacing w:after="0" w:line="166" w:lineRule="exact"/>
              <w:rPr>
                <w:sz w:val="20"/>
                <w:szCs w:val="20"/>
                <w:color w:val="auto"/>
              </w:rPr>
            </w:pPr>
            <w:r>
              <w:rPr>
                <w:rFonts w:ascii="Arial" w:cs="Arial" w:eastAsia="Arial" w:hAnsi="Arial"/>
                <w:sz w:val="16"/>
                <w:szCs w:val="16"/>
                <w:color w:val="auto"/>
                <w:w w:val="91"/>
              </w:rPr>
              <w:t>Preferred stock; $0.0001 par value; 12,500,000 shares authorized, no shares outstanding as of March 31, 2021</w:t>
            </w:r>
          </w:p>
        </w:tc>
        <w:tc>
          <w:tcPr>
            <w:tcW w:w="240" w:type="dxa"/>
            <w:vAlign w:val="bottom"/>
          </w:tcPr>
          <w:p>
            <w:pPr>
              <w:spacing w:after="0"/>
              <w:rPr>
                <w:sz w:val="14"/>
                <w:szCs w:val="14"/>
                <w:color w:val="auto"/>
              </w:rPr>
            </w:pPr>
          </w:p>
        </w:tc>
        <w:tc>
          <w:tcPr>
            <w:tcW w:w="17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25"/>
        </w:trPr>
        <w:tc>
          <w:tcPr>
            <w:tcW w:w="7400" w:type="dxa"/>
            <w:vAlign w:val="bottom"/>
            <w:vMerge w:val="restart"/>
          </w:tcPr>
          <w:p>
            <w:pPr>
              <w:ind w:left="140"/>
              <w:spacing w:after="0"/>
              <w:rPr>
                <w:sz w:val="20"/>
                <w:szCs w:val="20"/>
                <w:color w:val="auto"/>
              </w:rPr>
            </w:pPr>
            <w:r>
              <w:rPr>
                <w:rFonts w:ascii="Arial" w:cs="Arial" w:eastAsia="Arial" w:hAnsi="Arial"/>
                <w:sz w:val="16"/>
                <w:szCs w:val="16"/>
                <w:color w:val="auto"/>
              </w:rPr>
              <w:t>and December 31, 2020, respectively</w:t>
            </w:r>
          </w:p>
        </w:tc>
        <w:tc>
          <w:tcPr>
            <w:tcW w:w="240" w:type="dxa"/>
            <w:vAlign w:val="bottom"/>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740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740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0"/>
              </w:rPr>
              <w:t>Common stock; $0.0001 par value: 250,000,000 shares authorized, 180,203,422 shares issued and 179,819,700</w:t>
            </w:r>
          </w:p>
        </w:tc>
        <w:tc>
          <w:tcPr>
            <w:tcW w:w="24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w w:val="91"/>
              </w:rPr>
              <w:t>shares outstanding as of March 31, 2021; 180,178,308 shares issued and 179,794,586 shares outstanding as of</w:t>
            </w:r>
          </w:p>
        </w:tc>
        <w:tc>
          <w:tcPr>
            <w:tcW w:w="24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2"/>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December 31, 2020</w:t>
            </w:r>
          </w:p>
        </w:tc>
        <w:tc>
          <w:tcPr>
            <w:tcW w:w="24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w w:val="90"/>
              </w:rPr>
              <w:t>Treasury stock; 383,722 shares outstanding, at cost, as of March 31, 2021 and December 31, 2020, respectively</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(2,403)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(2,403)</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Paid-in capital</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1,130,448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1,129,312</w:t>
            </w:r>
          </w:p>
        </w:tc>
        <w:tc>
          <w:tcPr>
            <w:tcW w:w="0" w:type="dxa"/>
            <w:vAlign w:val="bottom"/>
          </w:tcPr>
          <w:p>
            <w:pPr>
              <w:spacing w:after="0"/>
              <w:rPr>
                <w:sz w:val="1"/>
                <w:szCs w:val="1"/>
                <w:color w:val="auto"/>
              </w:rPr>
            </w:pP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Accumulated deficit</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(102,892)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(100,031)</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(7,091)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(11,172)</w:t>
            </w:r>
          </w:p>
        </w:tc>
        <w:tc>
          <w:tcPr>
            <w:tcW w:w="0" w:type="dxa"/>
            <w:vAlign w:val="bottom"/>
          </w:tcPr>
          <w:p>
            <w:pPr>
              <w:spacing w:after="0"/>
              <w:rPr>
                <w:sz w:val="1"/>
                <w:szCs w:val="1"/>
                <w:color w:val="auto"/>
              </w:rPr>
            </w:pPr>
          </w:p>
        </w:tc>
      </w:tr>
      <w:tr>
        <w:trPr>
          <w:trHeight w:val="206"/>
        </w:trPr>
        <w:tc>
          <w:tcPr>
            <w:tcW w:w="74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1,018,080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1,015,724</w:t>
            </w:r>
          </w:p>
        </w:tc>
        <w:tc>
          <w:tcPr>
            <w:tcW w:w="0" w:type="dxa"/>
            <w:vAlign w:val="bottom"/>
          </w:tcPr>
          <w:p>
            <w:pPr>
              <w:spacing w:after="0"/>
              <w:rPr>
                <w:sz w:val="1"/>
                <w:szCs w:val="1"/>
                <w:color w:val="auto"/>
              </w:rPr>
            </w:pPr>
          </w:p>
        </w:tc>
      </w:tr>
      <w:tr>
        <w:trPr>
          <w:trHeight w:val="238"/>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2,640,470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2,647,439</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The notes to unaudited condensed consolidated financial statements are an integral part of these statements.</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CARE HEALTH,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COMPREHENSIVE INCOME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2" w:lineRule="exact"/>
        <w:rPr>
          <w:sz w:val="20"/>
          <w:szCs w:val="20"/>
          <w:color w:val="auto"/>
        </w:rPr>
      </w:pPr>
    </w:p>
    <w:p>
      <w:pPr>
        <w:ind w:left="9100"/>
        <w:spacing w:after="0"/>
        <w:rPr>
          <w:sz w:val="20"/>
          <w:szCs w:val="20"/>
          <w:color w:val="auto"/>
        </w:rPr>
      </w:pPr>
      <w:r>
        <w:rPr>
          <w:rFonts w:ascii="Arial" w:cs="Arial" w:eastAsia="Arial" w:hAnsi="Arial"/>
          <w:sz w:val="16"/>
          <w:szCs w:val="16"/>
          <w:b w:val="1"/>
          <w:bCs w:val="1"/>
          <w:color w:val="auto"/>
        </w:rPr>
        <w:t>Three Months Ended</w:t>
      </w:r>
    </w:p>
    <w:tbl>
      <w:tblPr>
        <w:tblLayout w:type="fixed"/>
        <w:tblInd w:w="0" w:type="dxa"/>
        <w:tblCellMar>
          <w:top w:w="0" w:type="dxa"/>
          <w:left w:w="0" w:type="dxa"/>
          <w:bottom w:w="0" w:type="dxa"/>
          <w:right w:w="0" w:type="dxa"/>
        </w:tblCellMar>
      </w:tblPr>
      <w:tr>
        <w:trPr>
          <w:trHeight w:val="198"/>
        </w:trPr>
        <w:tc>
          <w:tcPr>
            <w:tcW w:w="84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4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759,237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705,440</w:t>
            </w:r>
          </w:p>
        </w:tc>
        <w:tc>
          <w:tcPr>
            <w:tcW w:w="0" w:type="dxa"/>
            <w:vAlign w:val="bottom"/>
          </w:tcPr>
          <w:p>
            <w:pPr>
              <w:spacing w:after="0"/>
              <w:rPr>
                <w:sz w:val="1"/>
                <w:szCs w:val="1"/>
                <w:color w:val="auto"/>
              </w:rPr>
            </w:pPr>
          </w:p>
        </w:tc>
      </w:tr>
      <w:tr>
        <w:trPr>
          <w:trHeight w:val="213"/>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593,764</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547,411</w:t>
            </w:r>
          </w:p>
        </w:tc>
        <w:tc>
          <w:tcPr>
            <w:tcW w:w="0" w:type="dxa"/>
            <w:vAlign w:val="bottom"/>
          </w:tcPr>
          <w:p>
            <w:pPr>
              <w:spacing w:after="0"/>
              <w:rPr>
                <w:sz w:val="1"/>
                <w:szCs w:val="1"/>
                <w:color w:val="auto"/>
              </w:rPr>
            </w:pPr>
          </w:p>
        </w:tc>
      </w:tr>
      <w:tr>
        <w:trPr>
          <w:trHeight w:val="213"/>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165,473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158,029</w:t>
            </w:r>
          </w:p>
        </w:tc>
        <w:tc>
          <w:tcPr>
            <w:tcW w:w="0" w:type="dxa"/>
            <w:vAlign w:val="bottom"/>
          </w:tcPr>
          <w:p>
            <w:pPr>
              <w:spacing w:after="0"/>
              <w:rPr>
                <w:sz w:val="1"/>
                <w:szCs w:val="1"/>
                <w:color w:val="auto"/>
              </w:rPr>
            </w:pPr>
          </w:p>
        </w:tc>
      </w:tr>
      <w:tr>
        <w:trPr>
          <w:trHeight w:val="256"/>
        </w:trPr>
        <w:tc>
          <w:tcPr>
            <w:tcW w:w="8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COSTS AND EXPENSES: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80" w:type="dxa"/>
            <w:vAlign w:val="bottom"/>
          </w:tcPr>
          <w:p>
            <w:pPr>
              <w:ind w:left="140"/>
              <w:spacing w:after="0"/>
              <w:rPr>
                <w:sz w:val="20"/>
                <w:szCs w:val="20"/>
                <w:color w:val="auto"/>
              </w:rPr>
            </w:pPr>
            <w:r>
              <w:rPr>
                <w:rFonts w:ascii="Arial" w:cs="Arial" w:eastAsia="Arial" w:hAnsi="Arial"/>
                <w:sz w:val="16"/>
                <w:szCs w:val="16"/>
                <w:color w:val="auto"/>
              </w:rPr>
              <w:t>Selling, general and administrative expenses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120,040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129,280</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 expense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16,339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20,101</w:t>
            </w:r>
          </w:p>
        </w:tc>
        <w:tc>
          <w:tcPr>
            <w:tcW w:w="0" w:type="dxa"/>
            <w:vAlign w:val="bottom"/>
          </w:tcPr>
          <w:p>
            <w:pPr>
              <w:spacing w:after="0"/>
              <w:rPr>
                <w:sz w:val="1"/>
                <w:szCs w:val="1"/>
                <w:color w:val="auto"/>
              </w:rPr>
            </w:pPr>
          </w:p>
        </w:tc>
      </w:tr>
      <w:tr>
        <w:trPr>
          <w:trHeight w:val="207"/>
        </w:trPr>
        <w:tc>
          <w:tcPr>
            <w:tcW w:w="848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136,379</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149,381</w:t>
            </w:r>
          </w:p>
        </w:tc>
        <w:tc>
          <w:tcPr>
            <w:tcW w:w="0" w:type="dxa"/>
            <w:vAlign w:val="bottom"/>
          </w:tcPr>
          <w:p>
            <w:pPr>
              <w:spacing w:after="0"/>
              <w:rPr>
                <w:sz w:val="1"/>
                <w:szCs w:val="1"/>
                <w:color w:val="auto"/>
              </w:rPr>
            </w:pPr>
          </w:p>
        </w:tc>
      </w:tr>
      <w:tr>
        <w:trPr>
          <w:trHeight w:val="20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29,094</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8,648</w:t>
            </w:r>
          </w:p>
        </w:tc>
        <w:tc>
          <w:tcPr>
            <w:tcW w:w="0" w:type="dxa"/>
            <w:vAlign w:val="bottom"/>
          </w:tcPr>
          <w:p>
            <w:pPr>
              <w:spacing w:after="0"/>
              <w:rPr>
                <w:sz w:val="1"/>
                <w:szCs w:val="1"/>
                <w:color w:val="auto"/>
              </w:rPr>
            </w:pPr>
          </w:p>
        </w:tc>
      </w:tr>
      <w:tr>
        <w:trPr>
          <w:trHeight w:val="213"/>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80" w:type="dxa"/>
            <w:vAlign w:val="bottom"/>
          </w:tcPr>
          <w:p>
            <w:pPr>
              <w:ind w:left="140"/>
              <w:spacing w:after="0"/>
              <w:rPr>
                <w:sz w:val="20"/>
                <w:szCs w:val="20"/>
                <w:color w:val="auto"/>
              </w:rPr>
            </w:pPr>
            <w:r>
              <w:rPr>
                <w:rFonts w:ascii="Arial" w:cs="Arial" w:eastAsia="Arial" w:hAnsi="Arial"/>
                <w:sz w:val="16"/>
                <w:szCs w:val="16"/>
                <w:color w:val="auto"/>
              </w:rPr>
              <w:t>Interest expense, net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(19,481)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(28,087)</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Equity in earnings of joint ventures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0" w:type="dxa"/>
            <w:vAlign w:val="bottom"/>
          </w:tcPr>
          <w:p>
            <w:pPr>
              <w:spacing w:after="0"/>
              <w:rPr>
                <w:sz w:val="1"/>
                <w:szCs w:val="1"/>
                <w:color w:val="auto"/>
              </w:rPr>
            </w:pPr>
          </w:p>
        </w:tc>
      </w:tr>
      <w:tr>
        <w:trPr>
          <w:trHeight w:val="213"/>
        </w:trPr>
        <w:tc>
          <w:tcPr>
            <w:tcW w:w="84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net</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(12,401)</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9"/>
        </w:trPr>
        <w:tc>
          <w:tcPr>
            <w:tcW w:w="84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other expense</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(30,677)</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(27,517)</w:t>
            </w:r>
          </w:p>
        </w:tc>
        <w:tc>
          <w:tcPr>
            <w:tcW w:w="0" w:type="dxa"/>
            <w:vAlign w:val="bottom"/>
          </w:tcPr>
          <w:p>
            <w:pPr>
              <w:spacing w:after="0"/>
              <w:rPr>
                <w:sz w:val="1"/>
                <w:szCs w:val="1"/>
                <w:color w:val="auto"/>
              </w:rPr>
            </w:pPr>
          </w:p>
        </w:tc>
      </w:tr>
      <w:tr>
        <w:trPr>
          <w:trHeight w:val="213"/>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(18,869)</w:t>
            </w:r>
          </w:p>
        </w:tc>
        <w:tc>
          <w:tcPr>
            <w:tcW w:w="0" w:type="dxa"/>
            <w:vAlign w:val="bottom"/>
          </w:tcPr>
          <w:p>
            <w:pPr>
              <w:spacing w:after="0"/>
              <w:rPr>
                <w:sz w:val="1"/>
                <w:szCs w:val="1"/>
                <w:color w:val="auto"/>
              </w:rPr>
            </w:pPr>
          </w:p>
        </w:tc>
      </w:tr>
      <w:tr>
        <w:trPr>
          <w:trHeight w:val="213"/>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1,278</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1,041</w:t>
            </w:r>
          </w:p>
        </w:tc>
        <w:tc>
          <w:tcPr>
            <w:tcW w:w="0" w:type="dxa"/>
            <w:vAlign w:val="bottom"/>
          </w:tcPr>
          <w:p>
            <w:pPr>
              <w:spacing w:after="0"/>
              <w:rPr>
                <w:sz w:val="1"/>
                <w:szCs w:val="1"/>
                <w:color w:val="auto"/>
              </w:rPr>
            </w:pPr>
          </w:p>
        </w:tc>
      </w:tr>
      <w:tr>
        <w:trPr>
          <w:trHeight w:val="239"/>
        </w:trPr>
        <w:tc>
          <w:tcPr>
            <w:tcW w:w="84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20"/>
              <w:spacing w:after="0"/>
              <w:rPr>
                <w:sz w:val="20"/>
                <w:szCs w:val="20"/>
                <w:color w:val="auto"/>
              </w:rPr>
            </w:pPr>
            <w:r>
              <w:rPr>
                <w:rFonts w:ascii="Arial" w:cs="Arial" w:eastAsia="Arial" w:hAnsi="Arial"/>
                <w:sz w:val="16"/>
                <w:szCs w:val="16"/>
                <w:color w:val="auto"/>
              </w:rPr>
              <w:t>NET LOSS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(2,861)</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(19,910)</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480" w:type="dxa"/>
            <w:vAlign w:val="bottom"/>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unrealized gains (losses) on cash flow hedges, net of income tax expense of $0 and $0, respectively</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(16,632)</w:t>
            </w:r>
          </w:p>
        </w:tc>
        <w:tc>
          <w:tcPr>
            <w:tcW w:w="0" w:type="dxa"/>
            <w:vAlign w:val="bottom"/>
          </w:tcPr>
          <w:p>
            <w:pPr>
              <w:spacing w:after="0"/>
              <w:rPr>
                <w:sz w:val="1"/>
                <w:szCs w:val="1"/>
                <w:color w:val="auto"/>
              </w:rPr>
            </w:pPr>
          </w:p>
        </w:tc>
      </w:tr>
      <w:tr>
        <w:trPr>
          <w:trHeight w:val="206"/>
        </w:trPr>
        <w:tc>
          <w:tcPr>
            <w:tcW w:w="84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COMPREHENSIVE INCOME (LOSS)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4,081</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(16,632)</w:t>
            </w:r>
          </w:p>
        </w:tc>
        <w:tc>
          <w:tcPr>
            <w:tcW w:w="0" w:type="dxa"/>
            <w:vAlign w:val="bottom"/>
          </w:tcPr>
          <w:p>
            <w:pPr>
              <w:spacing w:after="0"/>
              <w:rPr>
                <w:sz w:val="1"/>
                <w:szCs w:val="1"/>
                <w:color w:val="auto"/>
              </w:rPr>
            </w:pPr>
          </w:p>
        </w:tc>
      </w:tr>
      <w:tr>
        <w:trPr>
          <w:trHeight w:val="238"/>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COMPREHENSIVE INCOME (LOSS)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(36,542)</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PER COMMON SHARE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140"/>
              <w:spacing w:after="0"/>
              <w:rPr>
                <w:sz w:val="20"/>
                <w:szCs w:val="20"/>
                <w:color w:val="auto"/>
              </w:rPr>
            </w:pPr>
            <w:r>
              <w:rPr>
                <w:rFonts w:ascii="Arial" w:cs="Arial" w:eastAsia="Arial" w:hAnsi="Arial"/>
                <w:sz w:val="16"/>
                <w:szCs w:val="16"/>
                <w:color w:val="auto"/>
              </w:rPr>
              <w:t>Loss per share, basic and diluted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 basic and diluted</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179,808</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176,661</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6"/>
                <w:szCs w:val="16"/>
                <w:color w:val="auto"/>
              </w:rPr>
              <w:t>The notes to unaudited condensed consolidated financial statements are an integral part of these statements.</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0"/>
        </w:trPr>
        <w:tc>
          <w:tcPr>
            <w:tcW w:w="84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CARE HEALTH, INC.</w:t>
      </w:r>
    </w:p>
    <w:p>
      <w:pPr>
        <w:spacing w:after="0" w:line="27" w:lineRule="exact"/>
        <w:rPr>
          <w:sz w:val="20"/>
          <w:szCs w:val="20"/>
          <w:color w:val="auto"/>
        </w:rPr>
      </w:pPr>
    </w:p>
    <w:p>
      <w:pPr>
        <w:ind w:right="4700"/>
        <w:spacing w:after="0" w:line="260" w:lineRule="auto"/>
        <w:rPr>
          <w:sz w:val="20"/>
          <w:szCs w:val="20"/>
          <w:color w:val="auto"/>
        </w:rPr>
      </w:pPr>
      <w:r>
        <w:rPr>
          <w:rFonts w:ascii="Arial" w:cs="Arial" w:eastAsia="Arial" w:hAnsi="Arial"/>
          <w:sz w:val="18"/>
          <w:szCs w:val="18"/>
          <w:b w:val="1"/>
          <w:bCs w:val="1"/>
          <w:color w:val="auto"/>
        </w:rPr>
        <w:t>UNAUDITED CONDENSED CONSOLIDATED STATEMENTS OF CASH FLOWS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rPr>
              <w:t>Three Months Ended March 31,</w:t>
            </w:r>
          </w:p>
        </w:tc>
      </w:tr>
      <w:tr>
        <w:trPr>
          <w:trHeight w:val="216"/>
        </w:trPr>
        <w:tc>
          <w:tcPr>
            <w:tcW w:w="8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r>
      <w:tr>
        <w:trPr>
          <w:trHeight w:val="199"/>
        </w:trPr>
        <w:tc>
          <w:tcPr>
            <w:tcW w:w="8100" w:type="dxa"/>
            <w:vAlign w:val="bottom"/>
          </w:tcPr>
          <w:p>
            <w:pPr>
              <w:ind w:left="20"/>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9"/>
        </w:trPr>
        <w:tc>
          <w:tcPr>
            <w:tcW w:w="8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(19,910)</w:t>
            </w:r>
          </w:p>
        </w:tc>
      </w:tr>
      <w:tr>
        <w:trPr>
          <w:trHeight w:val="213"/>
        </w:trPr>
        <w:tc>
          <w:tcPr>
            <w:tcW w:w="8100" w:type="dxa"/>
            <w:vAlign w:val="bottom"/>
          </w:tcPr>
          <w:p>
            <w:pPr>
              <w:ind w:left="140"/>
              <w:spacing w:after="0"/>
              <w:rPr>
                <w:sz w:val="20"/>
                <w:szCs w:val="20"/>
                <w:color w:val="auto"/>
              </w:rPr>
            </w:pPr>
            <w:r>
              <w:rPr>
                <w:rFonts w:ascii="Arial" w:cs="Arial" w:eastAsia="Arial" w:hAnsi="Arial"/>
                <w:sz w:val="16"/>
                <w:szCs w:val="16"/>
                <w:color w:val="auto"/>
              </w:rPr>
              <w:t>Adjustments to reconcile net loss to net cash provided by operations:</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8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 expense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21,844</w:t>
            </w:r>
          </w:p>
        </w:tc>
      </w:tr>
      <w:tr>
        <w:trPr>
          <w:trHeight w:val="213"/>
        </w:trPr>
        <w:tc>
          <w:tcPr>
            <w:tcW w:w="8100" w:type="dxa"/>
            <w:vAlign w:val="bottom"/>
          </w:tcPr>
          <w:p>
            <w:pPr>
              <w:ind w:left="220"/>
              <w:spacing w:after="0"/>
              <w:rPr>
                <w:sz w:val="20"/>
                <w:szCs w:val="20"/>
                <w:color w:val="auto"/>
              </w:rPr>
            </w:pPr>
            <w:r>
              <w:rPr>
                <w:rFonts w:ascii="Arial" w:cs="Arial" w:eastAsia="Arial" w:hAnsi="Arial"/>
                <w:sz w:val="16"/>
                <w:szCs w:val="16"/>
                <w:color w:val="auto"/>
              </w:rPr>
              <w:t>Non-cash operating lease costs</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3,810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4,764</w:t>
            </w:r>
          </w:p>
        </w:tc>
      </w:tr>
      <w:tr>
        <w:trPr>
          <w:trHeight w:val="219"/>
        </w:trPr>
        <w:tc>
          <w:tcPr>
            <w:tcW w:w="8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 - net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r>
      <w:tr>
        <w:trPr>
          <w:trHeight w:val="213"/>
        </w:trPr>
        <w:tc>
          <w:tcPr>
            <w:tcW w:w="8100" w:type="dxa"/>
            <w:vAlign w:val="bottom"/>
          </w:tcPr>
          <w:p>
            <w:pPr>
              <w:ind w:left="220"/>
              <w:spacing w:after="0"/>
              <w:rPr>
                <w:sz w:val="20"/>
                <w:szCs w:val="20"/>
                <w:color w:val="auto"/>
              </w:rPr>
            </w:pPr>
            <w:r>
              <w:rPr>
                <w:rFonts w:ascii="Arial" w:cs="Arial" w:eastAsia="Arial" w:hAnsi="Arial"/>
                <w:sz w:val="16"/>
                <w:szCs w:val="16"/>
                <w:color w:val="auto"/>
              </w:rPr>
              <w:t>Loss on extinguishment of debt</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12,403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financing costs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1,396</w:t>
            </w:r>
          </w:p>
        </w:tc>
      </w:tr>
      <w:tr>
        <w:trPr>
          <w:trHeight w:val="213"/>
        </w:trPr>
        <w:tc>
          <w:tcPr>
            <w:tcW w:w="8100" w:type="dxa"/>
            <w:vAlign w:val="bottom"/>
          </w:tcPr>
          <w:p>
            <w:pPr>
              <w:ind w:left="220"/>
              <w:spacing w:after="0"/>
              <w:rPr>
                <w:sz w:val="20"/>
                <w:szCs w:val="20"/>
                <w:color w:val="auto"/>
              </w:rPr>
            </w:pPr>
            <w:r>
              <w:rPr>
                <w:rFonts w:ascii="Arial" w:cs="Arial" w:eastAsia="Arial" w:hAnsi="Arial"/>
                <w:sz w:val="16"/>
                <w:szCs w:val="16"/>
                <w:color w:val="auto"/>
              </w:rPr>
              <w:t>Equity in earnings of joint ventures</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(1,205)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(562)</w:t>
            </w:r>
          </w:p>
        </w:tc>
      </w:tr>
      <w:tr>
        <w:trPr>
          <w:trHeight w:val="219"/>
        </w:trPr>
        <w:tc>
          <w:tcPr>
            <w:tcW w:w="8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incentive compensation expense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w:t>
            </w:r>
          </w:p>
        </w:tc>
      </w:tr>
      <w:tr>
        <w:trPr>
          <w:trHeight w:val="213"/>
        </w:trPr>
        <w:tc>
          <w:tcPr>
            <w:tcW w:w="8100" w:type="dxa"/>
            <w:vAlign w:val="bottom"/>
          </w:tcPr>
          <w:p>
            <w:pPr>
              <w:ind w:left="220"/>
              <w:spacing w:after="0"/>
              <w:rPr>
                <w:sz w:val="20"/>
                <w:szCs w:val="20"/>
                <w:color w:val="auto"/>
              </w:rPr>
            </w:pPr>
            <w:r>
              <w:rPr>
                <w:rFonts w:ascii="Arial" w:cs="Arial" w:eastAsia="Arial" w:hAnsi="Arial"/>
                <w:sz w:val="16"/>
                <w:szCs w:val="16"/>
                <w:color w:val="auto"/>
              </w:rPr>
              <w:t>Other adjustments</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(882)</w:t>
            </w:r>
          </w:p>
        </w:tc>
      </w:tr>
      <w:tr>
        <w:trPr>
          <w:trHeight w:val="219"/>
        </w:trPr>
        <w:tc>
          <w:tcPr>
            <w:tcW w:w="8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3"/>
        </w:trPr>
        <w:tc>
          <w:tcPr>
            <w:tcW w:w="8100" w:type="dxa"/>
            <w:vAlign w:val="bottom"/>
          </w:tcPr>
          <w:p>
            <w:pPr>
              <w:ind w:left="360"/>
              <w:spacing w:after="0"/>
              <w:rPr>
                <w:sz w:val="20"/>
                <w:szCs w:val="20"/>
                <w:color w:val="auto"/>
              </w:rPr>
            </w:pPr>
            <w:r>
              <w:rPr>
                <w:rFonts w:ascii="Arial" w:cs="Arial" w:eastAsia="Arial" w:hAnsi="Arial"/>
                <w:sz w:val="16"/>
                <w:szCs w:val="16"/>
                <w:color w:val="auto"/>
              </w:rPr>
              <w:t>Accounts receivable, net</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4,450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(12,781)</w:t>
            </w:r>
          </w:p>
        </w:tc>
      </w:tr>
      <w:tr>
        <w:trPr>
          <w:trHeight w:val="219"/>
        </w:trPr>
        <w:tc>
          <w:tcPr>
            <w:tcW w:w="8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Inventories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(15,021)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(23,252)</w:t>
            </w:r>
          </w:p>
        </w:tc>
      </w:tr>
      <w:tr>
        <w:trPr>
          <w:trHeight w:val="213"/>
        </w:trPr>
        <w:tc>
          <w:tcPr>
            <w:tcW w:w="8100" w:type="dxa"/>
            <w:vAlign w:val="bottom"/>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12,946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3,603</w:t>
            </w:r>
          </w:p>
        </w:tc>
      </w:tr>
      <w:tr>
        <w:trPr>
          <w:trHeight w:val="219"/>
        </w:trPr>
        <w:tc>
          <w:tcPr>
            <w:tcW w:w="8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42,302</w:t>
            </w:r>
          </w:p>
        </w:tc>
      </w:tr>
      <w:tr>
        <w:trPr>
          <w:trHeight w:val="213"/>
        </w:trPr>
        <w:tc>
          <w:tcPr>
            <w:tcW w:w="8100" w:type="dxa"/>
            <w:vAlign w:val="bottom"/>
          </w:tcPr>
          <w:p>
            <w:pPr>
              <w:ind w:left="360"/>
              <w:spacing w:after="0"/>
              <w:rPr>
                <w:sz w:val="20"/>
                <w:szCs w:val="20"/>
                <w:color w:val="auto"/>
              </w:rPr>
            </w:pPr>
            <w:r>
              <w:rPr>
                <w:rFonts w:ascii="Arial" w:cs="Arial" w:eastAsia="Arial" w:hAnsi="Arial"/>
                <w:sz w:val="16"/>
                <w:szCs w:val="16"/>
                <w:color w:val="auto"/>
              </w:rPr>
              <w:t>Accrued compensation and employee benefits</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(18,208)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6,651</w:t>
            </w:r>
          </w:p>
        </w:tc>
      </w:tr>
      <w:tr>
        <w:trPr>
          <w:trHeight w:val="219"/>
        </w:trPr>
        <w:tc>
          <w:tcPr>
            <w:tcW w:w="8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expenses and other current liabilities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(1,650)</w:t>
            </w:r>
          </w:p>
        </w:tc>
      </w:tr>
      <w:tr>
        <w:trPr>
          <w:trHeight w:val="213"/>
        </w:trPr>
        <w:tc>
          <w:tcPr>
            <w:tcW w:w="8100" w:type="dxa"/>
            <w:vAlign w:val="bottom"/>
          </w:tcPr>
          <w:p>
            <w:pPr>
              <w:ind w:left="360"/>
              <w:spacing w:after="0"/>
              <w:rPr>
                <w:sz w:val="20"/>
                <w:szCs w:val="20"/>
                <w:color w:val="auto"/>
              </w:rPr>
            </w:pPr>
            <w:r>
              <w:rPr>
                <w:rFonts w:ascii="Arial" w:cs="Arial" w:eastAsia="Arial" w:hAnsi="Arial"/>
                <w:sz w:val="16"/>
                <w:szCs w:val="16"/>
                <w:color w:val="auto"/>
              </w:rPr>
              <w:t>Operating lease liabilities</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(5,160)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(4,740)</w:t>
            </w:r>
          </w:p>
        </w:tc>
      </w:tr>
      <w:tr>
        <w:trPr>
          <w:trHeight w:val="219"/>
        </w:trPr>
        <w:tc>
          <w:tcPr>
            <w:tcW w:w="8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noncurrent assets and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563</w:t>
            </w:r>
          </w:p>
        </w:tc>
      </w:tr>
      <w:tr>
        <w:trPr>
          <w:trHeight w:val="248"/>
        </w:trPr>
        <w:tc>
          <w:tcPr>
            <w:tcW w:w="810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18,380</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18,403</w:t>
            </w:r>
          </w:p>
        </w:tc>
      </w:tr>
      <w:tr>
        <w:trPr>
          <w:trHeight w:val="213"/>
        </w:trPr>
        <w:tc>
          <w:tcPr>
            <w:tcW w:w="810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CASH FLOWS FROM INVESTING ACTIVITIES:</w:t>
            </w:r>
          </w:p>
        </w:tc>
        <w:tc>
          <w:tcPr>
            <w:tcW w:w="2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r>
      <w:tr>
        <w:trPr>
          <w:trHeight w:val="219"/>
        </w:trPr>
        <w:tc>
          <w:tcPr>
            <w:tcW w:w="8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 of property and equipment</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(5,353)</w:t>
            </w:r>
          </w:p>
        </w:tc>
      </w:tr>
      <w:tr>
        <w:trPr>
          <w:trHeight w:val="249"/>
        </w:trPr>
        <w:tc>
          <w:tcPr>
            <w:tcW w:w="810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(3,123)</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(5,353)</w:t>
            </w:r>
          </w:p>
        </w:tc>
      </w:tr>
      <w:tr>
        <w:trPr>
          <w:trHeight w:val="213"/>
        </w:trPr>
        <w:tc>
          <w:tcPr>
            <w:tcW w:w="810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CASH FLOWS FROM FINANCING ACTIVITIES:</w:t>
            </w:r>
          </w:p>
        </w:tc>
        <w:tc>
          <w:tcPr>
            <w:tcW w:w="2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r>
      <w:tr>
        <w:trPr>
          <w:trHeight w:val="219"/>
        </w:trPr>
        <w:tc>
          <w:tcPr>
            <w:tcW w:w="8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issuance of debt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355,200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100" w:type="dxa"/>
            <w:vAlign w:val="bottom"/>
          </w:tcPr>
          <w:p>
            <w:pPr>
              <w:ind w:left="140"/>
              <w:spacing w:after="0"/>
              <w:rPr>
                <w:sz w:val="20"/>
                <w:szCs w:val="20"/>
                <w:color w:val="auto"/>
              </w:rPr>
            </w:pPr>
            <w:r>
              <w:rPr>
                <w:rFonts w:ascii="Arial" w:cs="Arial" w:eastAsia="Arial" w:hAnsi="Arial"/>
                <w:sz w:val="16"/>
                <w:szCs w:val="16"/>
                <w:color w:val="auto"/>
              </w:rPr>
              <w:t>Exercise of stock options, vesting of restricted stock, and related tax withholdings</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(549)</w:t>
            </w:r>
          </w:p>
        </w:tc>
      </w:tr>
      <w:tr>
        <w:trPr>
          <w:trHeight w:val="219"/>
        </w:trPr>
        <w:tc>
          <w:tcPr>
            <w:tcW w:w="8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Repayments of debt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(2,313)</w:t>
            </w:r>
          </w:p>
        </w:tc>
      </w:tr>
      <w:tr>
        <w:trPr>
          <w:trHeight w:val="213"/>
        </w:trPr>
        <w:tc>
          <w:tcPr>
            <w:tcW w:w="8100" w:type="dxa"/>
            <w:vAlign w:val="bottom"/>
          </w:tcPr>
          <w:p>
            <w:pPr>
              <w:ind w:left="140"/>
              <w:spacing w:after="0"/>
              <w:rPr>
                <w:sz w:val="20"/>
                <w:szCs w:val="20"/>
                <w:color w:val="auto"/>
              </w:rPr>
            </w:pPr>
            <w:r>
              <w:rPr>
                <w:rFonts w:ascii="Arial" w:cs="Arial" w:eastAsia="Arial" w:hAnsi="Arial"/>
                <w:sz w:val="16"/>
                <w:szCs w:val="16"/>
                <w:color w:val="auto"/>
              </w:rPr>
              <w:t>Deferred financing costs</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(2,880)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Debt prepayment fees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1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Retirement of debt</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(352,009)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1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cash used in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(5,160)</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(2,862)</w:t>
            </w:r>
          </w:p>
        </w:tc>
      </w:tr>
      <w:tr>
        <w:trPr>
          <w:trHeight w:val="206"/>
        </w:trPr>
        <w:tc>
          <w:tcPr>
            <w:tcW w:w="8100" w:type="dxa"/>
            <w:vAlign w:val="bottom"/>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10,097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10,188</w:t>
            </w:r>
          </w:p>
        </w:tc>
      </w:tr>
      <w:tr>
        <w:trPr>
          <w:trHeight w:val="216"/>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 beginning of the period</w:t>
            </w: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99,265</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67,056</w:t>
            </w:r>
          </w:p>
        </w:tc>
      </w:tr>
      <w:tr>
        <w:trPr>
          <w:trHeight w:val="213"/>
        </w:trPr>
        <w:tc>
          <w:tcPr>
            <w:tcW w:w="8100" w:type="dxa"/>
            <w:vAlign w:val="bottom"/>
          </w:tcPr>
          <w:p>
            <w:pPr>
              <w:ind w:left="20"/>
              <w:spacing w:after="0"/>
              <w:rPr>
                <w:sz w:val="20"/>
                <w:szCs w:val="20"/>
                <w:color w:val="auto"/>
              </w:rPr>
            </w:pPr>
            <w:r>
              <w:rPr>
                <w:rFonts w:ascii="Arial" w:cs="Arial" w:eastAsia="Arial" w:hAnsi="Arial"/>
                <w:sz w:val="16"/>
                <w:szCs w:val="16"/>
                <w:color w:val="auto"/>
              </w:rPr>
              <w:t>CASH AND CASH EQUIVALENTS - END OF PERIOD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109,362</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77,244</w:t>
            </w:r>
          </w:p>
        </w:tc>
      </w:tr>
      <w:tr>
        <w:trPr>
          <w:trHeight w:val="46"/>
        </w:trPr>
        <w:tc>
          <w:tcPr>
            <w:tcW w:w="8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13"/>
        </w:trPr>
        <w:tc>
          <w:tcPr>
            <w:tcW w:w="810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Supplemental disclosure of cash flow information:</w:t>
            </w:r>
          </w:p>
        </w:tc>
        <w:tc>
          <w:tcPr>
            <w:tcW w:w="2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r>
      <w:tr>
        <w:trPr>
          <w:trHeight w:val="219"/>
        </w:trPr>
        <w:tc>
          <w:tcPr>
            <w:tcW w:w="8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paid for interest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25,936</w:t>
            </w:r>
          </w:p>
        </w:tc>
      </w:tr>
      <w:tr>
        <w:trPr>
          <w:trHeight w:val="213"/>
        </w:trPr>
        <w:tc>
          <w:tcPr>
            <w:tcW w:w="8100" w:type="dxa"/>
            <w:vAlign w:val="bottom"/>
          </w:tcPr>
          <w:p>
            <w:pPr>
              <w:ind w:left="140"/>
              <w:spacing w:after="0"/>
              <w:rPr>
                <w:sz w:val="20"/>
                <w:szCs w:val="20"/>
                <w:color w:val="auto"/>
              </w:rPr>
            </w:pPr>
            <w:r>
              <w:rPr>
                <w:rFonts w:ascii="Arial" w:cs="Arial" w:eastAsia="Arial" w:hAnsi="Arial"/>
                <w:sz w:val="16"/>
                <w:szCs w:val="16"/>
                <w:color w:val="auto"/>
              </w:rPr>
              <w:t>Cash paid for income taxes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307</w:t>
            </w:r>
          </w:p>
        </w:tc>
      </w:tr>
      <w:tr>
        <w:trPr>
          <w:trHeight w:val="219"/>
        </w:trPr>
        <w:tc>
          <w:tcPr>
            <w:tcW w:w="8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paid for operating leases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6,798</w:t>
            </w:r>
          </w:p>
        </w:tc>
      </w:tr>
    </w:tbl>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The notes to unaudited condensed consolidated financial statements are an integral part of these statements.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CARE HEALTH, INC.</w:t>
      </w:r>
    </w:p>
    <w:p>
      <w:pPr>
        <w:spacing w:after="0" w:line="27" w:lineRule="exact"/>
        <w:rPr>
          <w:sz w:val="20"/>
          <w:szCs w:val="20"/>
          <w:color w:val="auto"/>
        </w:rPr>
      </w:pPr>
    </w:p>
    <w:p>
      <w:pPr>
        <w:ind w:right="3560"/>
        <w:spacing w:after="0" w:line="260" w:lineRule="auto"/>
        <w:rPr>
          <w:sz w:val="20"/>
          <w:szCs w:val="20"/>
          <w:color w:val="auto"/>
        </w:rPr>
      </w:pPr>
      <w:r>
        <w:rPr>
          <w:rFonts w:ascii="Arial" w:cs="Arial" w:eastAsia="Arial" w:hAnsi="Arial"/>
          <w:sz w:val="18"/>
          <w:szCs w:val="18"/>
          <w:b w:val="1"/>
          <w:bCs w:val="1"/>
          <w:color w:val="auto"/>
        </w:rPr>
        <w:t>UNAUDITED CONDENSED CONSOLIDATED STATEMENTS OF STOCKHOLDERS’ EQUITY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gridSpan w:val="3"/>
          </w:tcPr>
          <w:p>
            <w:pPr>
              <w:ind w:left="20"/>
              <w:spacing w:after="0"/>
              <w:rPr>
                <w:sz w:val="20"/>
                <w:szCs w:val="20"/>
                <w:color w:val="auto"/>
              </w:rPr>
            </w:pPr>
            <w:r>
              <w:rPr>
                <w:rFonts w:ascii="Arial" w:cs="Arial" w:eastAsia="Arial" w:hAnsi="Arial"/>
                <w:sz w:val="16"/>
                <w:szCs w:val="16"/>
                <w:b w:val="1"/>
                <w:bCs w:val="1"/>
                <w:color w:val="auto"/>
              </w:rPr>
              <w:t>Accumulated Other</w:t>
            </w:r>
          </w:p>
        </w:tc>
        <w:tc>
          <w:tcPr>
            <w:tcW w:w="140" w:type="dxa"/>
            <w:vAlign w:val="bottom"/>
          </w:tcPr>
          <w:p>
            <w:pPr>
              <w:spacing w:after="0"/>
              <w:rPr>
                <w:sz w:val="16"/>
                <w:szCs w:val="16"/>
                <w:color w:val="auto"/>
              </w:rPr>
            </w:pPr>
          </w:p>
        </w:tc>
        <w:tc>
          <w:tcPr>
            <w:tcW w:w="116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Preferred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Common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Treasury</w:t>
            </w:r>
          </w:p>
        </w:tc>
        <w:tc>
          <w:tcPr>
            <w:tcW w:w="180" w:type="dxa"/>
            <w:vAlign w:val="bottom"/>
          </w:tcPr>
          <w:p>
            <w:pPr>
              <w:spacing w:after="0"/>
              <w:rPr>
                <w:sz w:val="14"/>
                <w:szCs w:val="14"/>
                <w:color w:val="auto"/>
              </w:rPr>
            </w:pPr>
          </w:p>
        </w:tc>
        <w:tc>
          <w:tcPr>
            <w:tcW w:w="9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Paid-in</w:t>
            </w:r>
          </w:p>
        </w:tc>
        <w:tc>
          <w:tcPr>
            <w:tcW w:w="140" w:type="dxa"/>
            <w:vAlign w:val="bottom"/>
          </w:tcPr>
          <w:p>
            <w:pPr>
              <w:spacing w:after="0"/>
              <w:rPr>
                <w:sz w:val="14"/>
                <w:szCs w:val="14"/>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Accumulated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1"/>
              </w:rPr>
              <w:t>(Loss)</w:t>
            </w:r>
          </w:p>
        </w:tc>
        <w:tc>
          <w:tcPr>
            <w:tcW w:w="140" w:type="dxa"/>
            <w:vAlign w:val="bottom"/>
          </w:tcPr>
          <w:p>
            <w:pPr>
              <w:spacing w:after="0"/>
              <w:rPr>
                <w:sz w:val="14"/>
                <w:szCs w:val="14"/>
                <w:color w:val="auto"/>
              </w:rPr>
            </w:pPr>
          </w:p>
        </w:tc>
        <w:tc>
          <w:tcPr>
            <w:tcW w:w="116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213"/>
        </w:trPr>
        <w:tc>
          <w:tcPr>
            <w:tcW w:w="28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Stock</w:t>
            </w:r>
          </w:p>
        </w:tc>
        <w:tc>
          <w:tcPr>
            <w:tcW w:w="12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Stock</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Stock</w:t>
            </w:r>
          </w:p>
        </w:tc>
        <w:tc>
          <w:tcPr>
            <w:tcW w:w="120" w:type="dxa"/>
            <w:vAlign w:val="bottom"/>
            <w:tcBorders>
              <w:bottom w:val="single" w:sz="8" w:color="CCEEFF"/>
            </w:tcBorders>
            <w:gridSpan w:val="2"/>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Capital</w:t>
            </w:r>
          </w:p>
        </w:tc>
        <w:tc>
          <w:tcPr>
            <w:tcW w:w="120" w:type="dxa"/>
            <w:vAlign w:val="bottom"/>
            <w:tcBorders>
              <w:bottom w:val="single" w:sz="8" w:color="CCEEFF"/>
            </w:tcBorders>
            <w:gridSpan w:val="2"/>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Deficit</w:t>
            </w:r>
          </w:p>
        </w:tc>
        <w:tc>
          <w:tcPr>
            <w:tcW w:w="10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58"/>
              <w:spacing w:after="0"/>
              <w:rPr>
                <w:sz w:val="20"/>
                <w:szCs w:val="20"/>
                <w:color w:val="auto"/>
              </w:rPr>
            </w:pPr>
            <w:r>
              <w:rPr>
                <w:rFonts w:ascii="Arial" w:cs="Arial" w:eastAsia="Arial" w:hAnsi="Arial"/>
                <w:sz w:val="16"/>
                <w:szCs w:val="16"/>
                <w:b w:val="1"/>
                <w:bCs w:val="1"/>
                <w:color w:val="auto"/>
                <w:w w:val="92"/>
              </w:rPr>
              <w:t>Income</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12"/>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 December 31, 2019</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20" w:type="dxa"/>
            <w:vAlign w:val="bottom"/>
            <w:gridSpan w:val="3"/>
            <w:shd w:val="clear" w:color="auto" w:fill="CCEEFF"/>
          </w:tcPr>
          <w:p>
            <w:pPr>
              <w:jc w:val="center"/>
              <w:ind w:left="318"/>
              <w:spacing w:after="0"/>
              <w:rPr>
                <w:sz w:val="20"/>
                <w:szCs w:val="20"/>
                <w:color w:val="auto"/>
              </w:rPr>
            </w:pPr>
            <w:r>
              <w:rPr>
                <w:rFonts w:ascii="Arial" w:cs="Arial" w:eastAsia="Arial" w:hAnsi="Arial"/>
                <w:sz w:val="16"/>
                <w:szCs w:val="16"/>
                <w:color w:val="auto"/>
                <w:w w:val="99"/>
              </w:rPr>
              <w:t>—</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1,008,362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(91,955)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906,827</w:t>
            </w:r>
          </w:p>
        </w:tc>
        <w:tc>
          <w:tcPr>
            <w:tcW w:w="0" w:type="dxa"/>
            <w:vAlign w:val="bottom"/>
          </w:tcPr>
          <w:p>
            <w:pPr>
              <w:spacing w:after="0"/>
              <w:rPr>
                <w:sz w:val="1"/>
                <w:szCs w:val="1"/>
                <w:color w:val="auto"/>
              </w:rPr>
            </w:pPr>
          </w:p>
        </w:tc>
      </w:tr>
      <w:tr>
        <w:trPr>
          <w:trHeight w:val="166"/>
        </w:trPr>
        <w:tc>
          <w:tcPr>
            <w:tcW w:w="2820" w:type="dxa"/>
            <w:vAlign w:val="bottom"/>
          </w:tcPr>
          <w:p>
            <w:pPr>
              <w:ind w:left="140"/>
              <w:spacing w:after="0" w:line="166" w:lineRule="exact"/>
              <w:rPr>
                <w:sz w:val="20"/>
                <w:szCs w:val="20"/>
                <w:color w:val="auto"/>
              </w:rPr>
            </w:pPr>
            <w:r>
              <w:rPr>
                <w:rFonts w:ascii="Arial" w:cs="Arial" w:eastAsia="Arial" w:hAnsi="Arial"/>
                <w:sz w:val="16"/>
                <w:szCs w:val="16"/>
                <w:color w:val="auto"/>
              </w:rPr>
              <w:t>Exercise of stock options, vesting of</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ind w:left="140"/>
              <w:spacing w:after="0" w:line="162" w:lineRule="exact"/>
              <w:rPr>
                <w:sz w:val="20"/>
                <w:szCs w:val="20"/>
                <w:color w:val="auto"/>
              </w:rPr>
            </w:pPr>
            <w:r>
              <w:rPr>
                <w:rFonts w:ascii="Arial" w:cs="Arial" w:eastAsia="Arial" w:hAnsi="Arial"/>
                <w:sz w:val="16"/>
                <w:szCs w:val="16"/>
                <w:color w:val="auto"/>
              </w:rPr>
              <w:t>restricted stock and related tax</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vMerge w:val="restart"/>
          </w:tcPr>
          <w:p>
            <w:pPr>
              <w:jc w:val="center"/>
              <w:ind w:left="318"/>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(549)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vMerge w:val="restart"/>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(549)</w:t>
            </w:r>
          </w:p>
        </w:tc>
        <w:tc>
          <w:tcPr>
            <w:tcW w:w="0" w:type="dxa"/>
            <w:vAlign w:val="bottom"/>
          </w:tcPr>
          <w:p>
            <w:pPr>
              <w:spacing w:after="0"/>
              <w:rPr>
                <w:sz w:val="1"/>
                <w:szCs w:val="1"/>
                <w:color w:val="auto"/>
              </w:rPr>
            </w:pPr>
          </w:p>
        </w:tc>
      </w:tr>
      <w:tr>
        <w:trPr>
          <w:trHeight w:val="209"/>
        </w:trPr>
        <w:tc>
          <w:tcPr>
            <w:tcW w:w="2820" w:type="dxa"/>
            <w:vAlign w:val="bottom"/>
          </w:tcPr>
          <w:p>
            <w:pPr>
              <w:ind w:left="140"/>
              <w:spacing w:after="0"/>
              <w:rPr>
                <w:sz w:val="20"/>
                <w:szCs w:val="20"/>
                <w:color w:val="auto"/>
              </w:rPr>
            </w:pPr>
            <w:r>
              <w:rPr>
                <w:rFonts w:ascii="Arial" w:cs="Arial" w:eastAsia="Arial" w:hAnsi="Arial"/>
                <w:sz w:val="16"/>
                <w:szCs w:val="16"/>
                <w:color w:val="auto"/>
              </w:rPr>
              <w:t>withholdings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incentive compensation</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center"/>
              <w:ind w:left="318"/>
              <w:spacing w:after="0"/>
              <w:rPr>
                <w:sz w:val="20"/>
                <w:szCs w:val="20"/>
                <w:color w:val="auto"/>
              </w:rPr>
            </w:pPr>
            <w:r>
              <w:rPr>
                <w:rFonts w:ascii="Arial" w:cs="Arial" w:eastAsia="Arial" w:hAnsi="Arial"/>
                <w:sz w:val="16"/>
                <w:szCs w:val="16"/>
                <w:color w:val="auto"/>
                <w:w w:val="99"/>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w:t>
            </w:r>
          </w:p>
        </w:tc>
        <w:tc>
          <w:tcPr>
            <w:tcW w:w="0" w:type="dxa"/>
            <w:vAlign w:val="bottom"/>
          </w:tcPr>
          <w:p>
            <w:pPr>
              <w:spacing w:after="0"/>
              <w:rPr>
                <w:sz w:val="1"/>
                <w:szCs w:val="1"/>
                <w:color w:val="auto"/>
              </w:rPr>
            </w:pPr>
          </w:p>
        </w:tc>
      </w:tr>
      <w:tr>
        <w:trPr>
          <w:trHeight w:val="213"/>
        </w:trPr>
        <w:tc>
          <w:tcPr>
            <w:tcW w:w="2820" w:type="dxa"/>
            <w:vAlign w:val="bottom"/>
          </w:tcPr>
          <w:p>
            <w:pPr>
              <w:ind w:left="140"/>
              <w:spacing w:after="0"/>
              <w:rPr>
                <w:sz w:val="20"/>
                <w:szCs w:val="20"/>
                <w:color w:val="auto"/>
              </w:rPr>
            </w:pPr>
            <w:r>
              <w:rPr>
                <w:rFonts w:ascii="Arial" w:cs="Arial" w:eastAsia="Arial" w:hAnsi="Arial"/>
                <w:sz w:val="16"/>
                <w:szCs w:val="16"/>
                <w:color w:val="auto"/>
              </w:rPr>
              <w:t>Net loss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center"/>
              <w:ind w:left="318"/>
              <w:spacing w:after="0"/>
              <w:rPr>
                <w:sz w:val="20"/>
                <w:szCs w:val="20"/>
                <w:color w:val="auto"/>
              </w:rPr>
            </w:pPr>
            <w:r>
              <w:rPr>
                <w:rFonts w:ascii="Arial" w:cs="Arial" w:eastAsia="Arial" w:hAnsi="Arial"/>
                <w:sz w:val="16"/>
                <w:szCs w:val="16"/>
                <w:color w:val="auto"/>
                <w:w w:val="99"/>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(19,910)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(19,910)</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loss</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center"/>
              <w:ind w:left="438"/>
              <w:spacing w:after="0"/>
              <w:rPr>
                <w:sz w:val="20"/>
                <w:szCs w:val="20"/>
                <w:color w:val="auto"/>
              </w:rPr>
            </w:pPr>
            <w:r>
              <w:rPr>
                <w:rFonts w:ascii="Arial" w:cs="Arial" w:eastAsia="Arial" w:hAnsi="Arial"/>
                <w:sz w:val="16"/>
                <w:szCs w:val="16"/>
                <w:color w:val="auto"/>
                <w:w w:val="99"/>
              </w:rPr>
              <w:t>—</w:t>
            </w:r>
          </w:p>
        </w:tc>
        <w:tc>
          <w:tcPr>
            <w:tcW w:w="120" w:type="dxa"/>
            <w:vAlign w:val="bottom"/>
            <w:gridSpan w:val="2"/>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gridSpan w:val="2"/>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gridSpan w:val="2"/>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(16,632)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(16,632)</w:t>
            </w:r>
          </w:p>
        </w:tc>
        <w:tc>
          <w:tcPr>
            <w:tcW w:w="0" w:type="dxa"/>
            <w:vAlign w:val="bottom"/>
          </w:tcPr>
          <w:p>
            <w:pPr>
              <w:spacing w:after="0"/>
              <w:rPr>
                <w:sz w:val="1"/>
                <w:szCs w:val="1"/>
                <w:color w:val="auto"/>
              </w:rPr>
            </w:pPr>
          </w:p>
        </w:tc>
      </w:tr>
      <w:tr>
        <w:trPr>
          <w:trHeight w:val="212"/>
        </w:trPr>
        <w:tc>
          <w:tcPr>
            <w:tcW w:w="2820" w:type="dxa"/>
            <w:vAlign w:val="bottom"/>
          </w:tcPr>
          <w:p>
            <w:pPr>
              <w:ind w:left="20"/>
              <w:spacing w:after="0"/>
              <w:rPr>
                <w:sz w:val="20"/>
                <w:szCs w:val="20"/>
                <w:color w:val="auto"/>
              </w:rPr>
            </w:pPr>
            <w:r>
              <w:rPr>
                <w:rFonts w:ascii="Arial" w:cs="Arial" w:eastAsia="Arial" w:hAnsi="Arial"/>
                <w:sz w:val="16"/>
                <w:szCs w:val="16"/>
                <w:color w:val="auto"/>
              </w:rPr>
              <w:t>Balance - March 31, 2020</w:t>
            </w: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920" w:type="dxa"/>
            <w:vAlign w:val="bottom"/>
            <w:gridSpan w:val="3"/>
          </w:tcPr>
          <w:p>
            <w:pPr>
              <w:jc w:val="center"/>
              <w:ind w:left="318"/>
              <w:spacing w:after="0"/>
              <w:rPr>
                <w:sz w:val="20"/>
                <w:szCs w:val="20"/>
                <w:color w:val="auto"/>
              </w:rPr>
            </w:pPr>
            <w:r>
              <w:rPr>
                <w:rFonts w:ascii="Arial" w:cs="Arial" w:eastAsia="Arial" w:hAnsi="Arial"/>
                <w:sz w:val="16"/>
                <w:szCs w:val="16"/>
                <w:color w:val="auto"/>
                <w:w w:val="99"/>
              </w:rPr>
              <w:t>—</w:t>
            </w: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(2,403)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1,008,570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(111,865)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(23,827)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870,493</w:t>
            </w:r>
          </w:p>
        </w:tc>
        <w:tc>
          <w:tcPr>
            <w:tcW w:w="0" w:type="dxa"/>
            <w:vAlign w:val="bottom"/>
          </w:tcPr>
          <w:p>
            <w:pPr>
              <w:spacing w:after="0"/>
              <w:rPr>
                <w:sz w:val="1"/>
                <w:szCs w:val="1"/>
                <w:color w:val="auto"/>
              </w:rPr>
            </w:pPr>
          </w:p>
        </w:tc>
      </w:tr>
      <w:tr>
        <w:trPr>
          <w:trHeight w:val="21"/>
        </w:trPr>
        <w:tc>
          <w:tcPr>
            <w:tcW w:w="28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2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 December 31, 2020</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gridSpan w:val="3"/>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1,129,312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1,015,724</w:t>
            </w:r>
          </w:p>
        </w:tc>
        <w:tc>
          <w:tcPr>
            <w:tcW w:w="0" w:type="dxa"/>
            <w:vAlign w:val="bottom"/>
          </w:tcPr>
          <w:p>
            <w:pPr>
              <w:spacing w:after="0"/>
              <w:rPr>
                <w:sz w:val="1"/>
                <w:szCs w:val="1"/>
                <w:color w:val="auto"/>
              </w:rPr>
            </w:pPr>
          </w:p>
        </w:tc>
      </w:tr>
      <w:tr>
        <w:trPr>
          <w:trHeight w:val="166"/>
        </w:trPr>
        <w:tc>
          <w:tcPr>
            <w:tcW w:w="2820" w:type="dxa"/>
            <w:vAlign w:val="bottom"/>
          </w:tcPr>
          <w:p>
            <w:pPr>
              <w:ind w:left="100"/>
              <w:spacing w:after="0" w:line="166" w:lineRule="exact"/>
              <w:rPr>
                <w:sz w:val="20"/>
                <w:szCs w:val="20"/>
                <w:color w:val="auto"/>
              </w:rPr>
            </w:pPr>
            <w:r>
              <w:rPr>
                <w:rFonts w:ascii="Arial" w:cs="Arial" w:eastAsia="Arial" w:hAnsi="Arial"/>
                <w:sz w:val="16"/>
                <w:szCs w:val="16"/>
                <w:color w:val="auto"/>
              </w:rPr>
              <w:t>Exercise of stock options, vesting of</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ind w:left="100"/>
              <w:spacing w:after="0" w:line="162" w:lineRule="exact"/>
              <w:rPr>
                <w:sz w:val="20"/>
                <w:szCs w:val="20"/>
                <w:color w:val="auto"/>
              </w:rPr>
            </w:pPr>
            <w:r>
              <w:rPr>
                <w:rFonts w:ascii="Arial" w:cs="Arial" w:eastAsia="Arial" w:hAnsi="Arial"/>
                <w:sz w:val="16"/>
                <w:szCs w:val="16"/>
                <w:color w:val="auto"/>
              </w:rPr>
              <w:t>restricted stock, and related tax</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vMerge w:val="restart"/>
          </w:tcPr>
          <w:p>
            <w:pPr>
              <w:jc w:val="center"/>
              <w:ind w:left="318"/>
              <w:spacing w:after="0"/>
              <w:rPr>
                <w:sz w:val="20"/>
                <w:szCs w:val="20"/>
                <w:color w:val="auto"/>
              </w:rPr>
            </w:pPr>
            <w:r>
              <w:rPr>
                <w:rFonts w:ascii="Arial" w:cs="Arial" w:eastAsia="Arial" w:hAnsi="Arial"/>
                <w:sz w:val="20"/>
                <w:szCs w:val="20"/>
                <w:color w:val="auto"/>
                <w:w w:val="99"/>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vMerge w:val="restart"/>
          </w:tcPr>
          <w:p>
            <w:pPr>
              <w:jc w:val="right"/>
              <w:ind w:right="18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(69)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vMerge w:val="restart"/>
          </w:tcPr>
          <w:p>
            <w:pPr>
              <w:jc w:val="right"/>
              <w:ind w:right="16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12"/>
        </w:trPr>
        <w:tc>
          <w:tcPr>
            <w:tcW w:w="2820" w:type="dxa"/>
            <w:vAlign w:val="bottom"/>
          </w:tcPr>
          <w:p>
            <w:pPr>
              <w:ind w:left="100"/>
              <w:spacing w:after="0"/>
              <w:rPr>
                <w:sz w:val="20"/>
                <w:szCs w:val="20"/>
                <w:color w:val="auto"/>
              </w:rPr>
            </w:pPr>
            <w:r>
              <w:rPr>
                <w:rFonts w:ascii="Arial" w:cs="Arial" w:eastAsia="Arial" w:hAnsi="Arial"/>
                <w:sz w:val="16"/>
                <w:szCs w:val="16"/>
                <w:color w:val="auto"/>
              </w:rPr>
              <w:t>withholdings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Stock-based incentive compensation</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w:t>
            </w:r>
          </w:p>
        </w:tc>
        <w:tc>
          <w:tcPr>
            <w:tcW w:w="0" w:type="dxa"/>
            <w:vAlign w:val="bottom"/>
          </w:tcPr>
          <w:p>
            <w:pPr>
              <w:spacing w:after="0"/>
              <w:rPr>
                <w:sz w:val="1"/>
                <w:szCs w:val="1"/>
                <w:color w:val="auto"/>
              </w:rPr>
            </w:pPr>
          </w:p>
        </w:tc>
      </w:tr>
      <w:tr>
        <w:trPr>
          <w:trHeight w:val="213"/>
        </w:trPr>
        <w:tc>
          <w:tcPr>
            <w:tcW w:w="2820" w:type="dxa"/>
            <w:vAlign w:val="bottom"/>
          </w:tcPr>
          <w:p>
            <w:pPr>
              <w:ind w:left="100"/>
              <w:spacing w:after="0"/>
              <w:rPr>
                <w:sz w:val="20"/>
                <w:szCs w:val="20"/>
                <w:color w:val="auto"/>
              </w:rPr>
            </w:pPr>
            <w:r>
              <w:rPr>
                <w:rFonts w:ascii="Arial" w:cs="Arial" w:eastAsia="Arial" w:hAnsi="Arial"/>
                <w:sz w:val="16"/>
                <w:szCs w:val="16"/>
                <w:color w:val="auto"/>
              </w:rPr>
              <w:t>Net loss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ind w:left="6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ind w:left="5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(2,861)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(2,861)</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comprehensive income</w:t>
            </w: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4,081</w:t>
            </w:r>
          </w:p>
        </w:tc>
        <w:tc>
          <w:tcPr>
            <w:tcW w:w="0" w:type="dxa"/>
            <w:vAlign w:val="bottom"/>
          </w:tcPr>
          <w:p>
            <w:pPr>
              <w:spacing w:after="0"/>
              <w:rPr>
                <w:sz w:val="1"/>
                <w:szCs w:val="1"/>
                <w:color w:val="auto"/>
              </w:rPr>
            </w:pPr>
          </w:p>
        </w:tc>
      </w:tr>
      <w:tr>
        <w:trPr>
          <w:trHeight w:val="213"/>
        </w:trPr>
        <w:tc>
          <w:tcPr>
            <w:tcW w:w="2820" w:type="dxa"/>
            <w:vAlign w:val="bottom"/>
          </w:tcPr>
          <w:p>
            <w:pPr>
              <w:ind w:left="20"/>
              <w:spacing w:after="0"/>
              <w:rPr>
                <w:sz w:val="20"/>
                <w:szCs w:val="20"/>
                <w:color w:val="auto"/>
              </w:rPr>
            </w:pPr>
            <w:r>
              <w:rPr>
                <w:rFonts w:ascii="Arial" w:cs="Arial" w:eastAsia="Arial" w:hAnsi="Arial"/>
                <w:sz w:val="16"/>
                <w:szCs w:val="16"/>
                <w:color w:val="auto"/>
              </w:rPr>
              <w:t>Balance - March 31, 2021</w:t>
            </w: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gridSpan w:val="3"/>
          </w:tcPr>
          <w:p>
            <w:pPr>
              <w:ind w:left="600"/>
              <w:spacing w:after="0"/>
              <w:rPr>
                <w:sz w:val="20"/>
                <w:szCs w:val="20"/>
                <w:color w:val="auto"/>
              </w:rPr>
            </w:pPr>
            <w:r>
              <w:rPr>
                <w:rFonts w:ascii="Arial" w:cs="Arial" w:eastAsia="Arial" w:hAnsi="Arial"/>
                <w:sz w:val="16"/>
                <w:szCs w:val="16"/>
                <w:color w:val="auto"/>
              </w:rPr>
              <w:t>—</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(2,403)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1,130,448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(102,892)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gridSpan w:val="2"/>
          </w:tcPr>
          <w:p>
            <w:pPr>
              <w:ind w:left="40"/>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(7,091)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1,018,080</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The notes to unaudited condensed consolidated financial statements are an integral part of these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CARE HEALTH,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AND PRESENTATION OF FINANCIAL STATEMENTS</w:t>
      </w:r>
    </w:p>
    <w:p>
      <w:pPr>
        <w:spacing w:after="0" w:line="185" w:lineRule="exact"/>
        <w:rPr>
          <w:sz w:val="20"/>
          <w:szCs w:val="20"/>
          <w:color w:val="auto"/>
        </w:rPr>
      </w:pPr>
    </w:p>
    <w:p>
      <w:pPr>
        <w:ind w:firstLine="324"/>
        <w:spacing w:after="0" w:line="289" w:lineRule="auto"/>
        <w:rPr>
          <w:sz w:val="20"/>
          <w:szCs w:val="20"/>
          <w:color w:val="auto"/>
        </w:rPr>
      </w:pPr>
      <w:r>
        <w:rPr>
          <w:rFonts w:ascii="Arial" w:cs="Arial" w:eastAsia="Arial" w:hAnsi="Arial"/>
          <w:sz w:val="17"/>
          <w:szCs w:val="17"/>
          <w:b w:val="1"/>
          <w:bCs w:val="1"/>
          <w:color w:val="auto"/>
        </w:rPr>
        <w:t xml:space="preserve">Corporate Organization and Business </w:t>
      </w:r>
      <w:r>
        <w:rPr>
          <w:rFonts w:ascii="Arial" w:cs="Arial" w:eastAsia="Arial" w:hAnsi="Arial"/>
          <w:sz w:val="17"/>
          <w:szCs w:val="17"/>
          <w:color w:val="auto"/>
        </w:rPr>
        <w:t>— HC Group Holdings II, Inc. (“HC II”) was incorporated under the laws of the State of Delaware on January</w:t>
      </w:r>
      <w:r>
        <w:rPr>
          <w:rFonts w:ascii="Arial" w:cs="Arial" w:eastAsia="Arial" w:hAnsi="Arial"/>
          <w:sz w:val="17"/>
          <w:szCs w:val="17"/>
          <w:b w:val="1"/>
          <w:bCs w:val="1"/>
          <w:color w:val="auto"/>
        </w:rPr>
        <w:t xml:space="preserve"> </w:t>
      </w:r>
      <w:r>
        <w:rPr>
          <w:rFonts w:ascii="Arial" w:cs="Arial" w:eastAsia="Arial" w:hAnsi="Arial"/>
          <w:sz w:val="17"/>
          <w:szCs w:val="17"/>
          <w:color w:val="auto"/>
        </w:rPr>
        <w:t>7, 2015, with its sole shareholder being HC Group Holdings I, LLC. (“HC I”). On April 7, 2015, HC I and HC II collectively acquired Walgreens Infusion Services, Inc. and its subsidiaries from Walgreen Co., and the business was rebranded as Option Care (“Option Care”).</w:t>
      </w:r>
    </w:p>
    <w:p>
      <w:pPr>
        <w:spacing w:after="0" w:line="121"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 xml:space="preserve">On March 14, 2019, HC I and HC II entered into a definitive agreement (the “Merger Agreement”) to merge with and into a wholly-owned subsidiary of BioScrip, Inc. (“BioScrip”), a national provider of infusion and home care management solutions, along with certain other subsidiaries of BioScrip and HC II. The merger contemplated by the Merger Agreement (the “Merger”) was completed on August 6, 2019 (the “Merger Date”). The Merger was accounted for as a reverse merger under the acquisition method of accounting for business combinations with Option Care being considered the accounting acquirer and BioScrip being considered the legal acquirer. Following the close of the transaction, BioScrip was rebranded as Option Care Health, Inc. (“Option Care Health”, or the “Company”). The combined company’s stock is listed on the Nasdaq Global Select Market as of March 31, 2021. See Note 14, </w:t>
      </w:r>
      <w:r>
        <w:rPr>
          <w:rFonts w:ascii="Arial" w:cs="Arial" w:eastAsia="Arial" w:hAnsi="Arial"/>
          <w:sz w:val="17"/>
          <w:szCs w:val="17"/>
          <w:i w:val="1"/>
          <w:iCs w:val="1"/>
          <w:color w:val="auto"/>
        </w:rPr>
        <w:t>Stockholders’ Equity</w:t>
      </w:r>
      <w:r>
        <w:rPr>
          <w:rFonts w:ascii="Arial" w:cs="Arial" w:eastAsia="Arial" w:hAnsi="Arial"/>
          <w:sz w:val="17"/>
          <w:szCs w:val="17"/>
          <w:color w:val="auto"/>
        </w:rPr>
        <w:t>, for further discussion of HC I’s ownership as of March 31, 2021.</w:t>
      </w:r>
    </w:p>
    <w:p>
      <w:pPr>
        <w:spacing w:after="0" w:line="15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Option Care Health, and its wholly-owned subsidiaries, provides infusion therapy and other ancillary health care services through a national network of 98 full service pharmacies. The Company contracts with managed care organizations, third-party payers, hospitals, physicians, and other referral sources to provide pharmaceuticals and complex compounded solutions to patients for intravenous delivery in the patients’ homes or other nonhospital settings. The Company operates in one segment, infusion services.</w:t>
      </w:r>
    </w:p>
    <w:p>
      <w:pPr>
        <w:spacing w:after="0" w:line="14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The accompanying unaudited condensed consolidated financial statements have been prepared in conformity with generally</w:t>
      </w:r>
      <w:r>
        <w:rPr>
          <w:rFonts w:ascii="Arial" w:cs="Arial" w:eastAsia="Arial" w:hAnsi="Arial"/>
          <w:sz w:val="18"/>
          <w:szCs w:val="18"/>
          <w:b w:val="1"/>
          <w:bCs w:val="1"/>
          <w:color w:val="auto"/>
        </w:rPr>
        <w:t xml:space="preserve"> </w:t>
      </w:r>
      <w:r>
        <w:rPr>
          <w:rFonts w:ascii="Arial" w:cs="Arial" w:eastAsia="Arial" w:hAnsi="Arial"/>
          <w:sz w:val="18"/>
          <w:szCs w:val="18"/>
          <w:color w:val="auto"/>
        </w:rPr>
        <w:t>accepted accounting principles (“GAAP”) in the United States and contain all adjustments, including normal recurring adjustments, necessary to present fairly the Company’s financial position, results of operations and cash flows for interim financial reporting. The results of operations for the interim periods presented are not necessarily indicative of the results of operations for the entire year. These unaudited condensed consolidated financial statements do not include all of the information and notes to the financial statements required by GAAP for complete financial statements and should be read in conjunction with the 2020 audited consolidated financial statements, including the notes thereto, as presented in the Annual Report on Form 10-K filed with the Securities and Exchange Commission on March 11, 2021.</w:t>
      </w:r>
    </w:p>
    <w:p>
      <w:pPr>
        <w:spacing w:after="0" w:line="148" w:lineRule="exact"/>
        <w:rPr>
          <w:sz w:val="20"/>
          <w:szCs w:val="20"/>
          <w:color w:val="auto"/>
        </w:rPr>
      </w:pPr>
    </w:p>
    <w:p>
      <w:pPr>
        <w:ind w:right="220" w:firstLine="324"/>
        <w:spacing w:after="0" w:line="282" w:lineRule="auto"/>
        <w:rPr>
          <w:sz w:val="20"/>
          <w:szCs w:val="20"/>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color w:val="auto"/>
        </w:rPr>
        <w:t>— The Company’s unaudited condensed consolidated financial statements include the accounts of Option Care Health,</w:t>
      </w:r>
      <w:r>
        <w:rPr>
          <w:rFonts w:ascii="Arial" w:cs="Arial" w:eastAsia="Arial" w:hAnsi="Arial"/>
          <w:sz w:val="18"/>
          <w:szCs w:val="18"/>
          <w:b w:val="1"/>
          <w:bCs w:val="1"/>
          <w:color w:val="auto"/>
        </w:rPr>
        <w:t xml:space="preserve"> </w:t>
      </w:r>
      <w:r>
        <w:rPr>
          <w:rFonts w:ascii="Arial" w:cs="Arial" w:eastAsia="Arial" w:hAnsi="Arial"/>
          <w:sz w:val="18"/>
          <w:szCs w:val="18"/>
          <w:color w:val="auto"/>
        </w:rPr>
        <w:t>Inc. and its subsidiaries. All intercompany transactions and balances are eliminated in consolidation.</w:t>
      </w:r>
    </w:p>
    <w:p>
      <w:pPr>
        <w:spacing w:after="0" w:line="139"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 xml:space="preserve">The Company has investments in companies that are 50% owned and are accounted for as equity-method investments. The Company’s share of earnings from equity-method investments is included in the line entitled “Equity in earnings of joint ventures” in the unaudited condensed consolidated statements of comprehensive income (loss). See Equity-Method Investments within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for further discussion of the Company’s equity-method investments.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98" w:lineRule="exact"/>
        <w:rPr>
          <w:sz w:val="20"/>
          <w:szCs w:val="20"/>
          <w:color w:val="auto"/>
        </w:rPr>
      </w:pPr>
    </w:p>
    <w:p>
      <w:pPr>
        <w:ind w:right="120" w:firstLine="324"/>
        <w:spacing w:after="0" w:line="289" w:lineRule="auto"/>
        <w:rPr>
          <w:sz w:val="20"/>
          <w:szCs w:val="20"/>
          <w:color w:val="auto"/>
        </w:rPr>
      </w:pPr>
      <w:r>
        <w:rPr>
          <w:rFonts w:ascii="Arial" w:cs="Arial" w:eastAsia="Arial" w:hAnsi="Arial"/>
          <w:sz w:val="17"/>
          <w:szCs w:val="17"/>
          <w:b w:val="1"/>
          <w:bCs w:val="1"/>
          <w:color w:val="auto"/>
        </w:rPr>
        <w:t xml:space="preserve">Prepaid expenses and other current assets </w:t>
      </w:r>
      <w:r>
        <w:rPr>
          <w:rFonts w:ascii="Arial" w:cs="Arial" w:eastAsia="Arial" w:hAnsi="Arial"/>
          <w:sz w:val="17"/>
          <w:szCs w:val="17"/>
          <w:color w:val="auto"/>
        </w:rPr>
        <w:t>— Included in prepaid expenses and other current assets are rebates receivable from pharmaceutical and</w:t>
      </w:r>
      <w:r>
        <w:rPr>
          <w:rFonts w:ascii="Arial" w:cs="Arial" w:eastAsia="Arial" w:hAnsi="Arial"/>
          <w:sz w:val="17"/>
          <w:szCs w:val="17"/>
          <w:b w:val="1"/>
          <w:bCs w:val="1"/>
          <w:color w:val="auto"/>
        </w:rPr>
        <w:t xml:space="preserve"> </w:t>
      </w:r>
      <w:r>
        <w:rPr>
          <w:rFonts w:ascii="Arial" w:cs="Arial" w:eastAsia="Arial" w:hAnsi="Arial"/>
          <w:sz w:val="17"/>
          <w:szCs w:val="17"/>
          <w:color w:val="auto"/>
        </w:rPr>
        <w:t>medical supply manufacturers of $31.7 million and $35.2 million as of March 31, 2021 and December 31, 2020, respectively. There were no other items included in prepaid expenses and other current assets that comprised 5% or more of total current assets.</w:t>
      </w:r>
    </w:p>
    <w:p>
      <w:pPr>
        <w:spacing w:after="0" w:line="117"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b w:val="1"/>
          <w:bCs w:val="1"/>
          <w:color w:val="auto"/>
        </w:rPr>
        <w:t xml:space="preserve">Equity Method Investments </w:t>
      </w:r>
      <w:r>
        <w:rPr>
          <w:rFonts w:ascii="Arial" w:cs="Arial" w:eastAsia="Arial" w:hAnsi="Arial"/>
          <w:sz w:val="17"/>
          <w:szCs w:val="17"/>
          <w:color w:val="auto"/>
        </w:rPr>
        <w:t>— The Company’s investments in certain unconsolidated entities are accounted for under the equity method.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balance of these investments is included in other noncurrent assets in the accompanying condensed consolidated balance sheets. As of March 31, 2021 and December 31, 2020, the balance of the investments were $18.2 million and $17.0 million, respectively. The investments are increased to reflect the Company’s capital contributions and equity in earnings of the investees. The investments are decreased to reflect the Company’s equity in losses of the investees and for distributions received that are not in excess of the carrying amount of the investments. The Company’s proportionate share of earnings or losses of the investees are recorded in equity in earnings of joint ventures in the accompanying unaudited condensed consolidated statements of comprehensive income (loss). The Company’s proportionate share of earnings was $1.2 million and $0.6 million for the three months ended March 31, 2021 and 2020, respectively. Distributions from the investees are treated as cash inflows from operating activities within other adjustments in the unaudited condensed consolidated statements of cash flows. The Company did not receive a distribution from the investees for the three months ended March 31, 2021. During the three months ended March 31, 2020, the Company received distributions from the investees of $0.5 million. See Footnote 16, </w:t>
      </w:r>
      <w:r>
        <w:rPr>
          <w:rFonts w:ascii="Arial" w:cs="Arial" w:eastAsia="Arial" w:hAnsi="Arial"/>
          <w:sz w:val="17"/>
          <w:szCs w:val="17"/>
          <w:i w:val="1"/>
          <w:iCs w:val="1"/>
          <w:color w:val="auto"/>
        </w:rPr>
        <w:t>Related-Party Transactions</w:t>
      </w:r>
      <w:r>
        <w:rPr>
          <w:rFonts w:ascii="Arial" w:cs="Arial" w:eastAsia="Arial" w:hAnsi="Arial"/>
          <w:sz w:val="17"/>
          <w:szCs w:val="17"/>
          <w:color w:val="auto"/>
        </w:rPr>
        <w:t>, for discussion of related-party transactions with these investees.</w:t>
      </w:r>
    </w:p>
    <w:p>
      <w:pPr>
        <w:spacing w:after="0" w:line="141"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b w:val="1"/>
          <w:bCs w:val="1"/>
          <w:color w:val="auto"/>
        </w:rPr>
        <w:t xml:space="preserve">Concentrations of Business Risk </w:t>
      </w:r>
      <w:r>
        <w:rPr>
          <w:rFonts w:ascii="Arial" w:cs="Arial" w:eastAsia="Arial" w:hAnsi="Arial"/>
          <w:sz w:val="18"/>
          <w:szCs w:val="18"/>
          <w:color w:val="auto"/>
        </w:rPr>
        <w:t>— The Company generates revenue from managed care contracts and other agreements with commercial third-party</w:t>
      </w:r>
      <w:r>
        <w:rPr>
          <w:rFonts w:ascii="Arial" w:cs="Arial" w:eastAsia="Arial" w:hAnsi="Arial"/>
          <w:sz w:val="18"/>
          <w:szCs w:val="18"/>
          <w:b w:val="1"/>
          <w:bCs w:val="1"/>
          <w:color w:val="auto"/>
        </w:rPr>
        <w:t xml:space="preserve"> </w:t>
      </w:r>
      <w:r>
        <w:rPr>
          <w:rFonts w:ascii="Arial" w:cs="Arial" w:eastAsia="Arial" w:hAnsi="Arial"/>
          <w:sz w:val="18"/>
          <w:szCs w:val="18"/>
          <w:color w:val="auto"/>
        </w:rPr>
        <w:t>payers. Revenue related to the Company’s largest payer was approximately 16% and 13% for the three months ended March 31, 2021 and 2020, respectively. In December 2019, the Company renewed and expanded its multi-year contract with this payer. The contract renewal was effective in February 2020 for a two-year term and auto-renews annually thereafter unless notice is provided. There were no other managed care contracts that represent greater than 10% of revenue for the periods presented.</w:t>
      </w:r>
    </w:p>
    <w:p>
      <w:pPr>
        <w:spacing w:after="0" w:line="160"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For the three months ended March 31, 2021 and 2020, approximately 18% and 12%, respectively, of the Company’s revenue was reimbursable through direct government healthcare programs, such as Medicare and Medicaid. As of March 31, 2021 and December 31, 2020, approximately 13% and 15%, respectively, of the Company’s accounts receivable was related to these programs. Governmental programs pay for services based on fee schedules and rates that are determined by the related governmental agency. Laws and regulations pertaining to government programs are complex and subject to interpretation. As a result, there is at least a reasonable possibility that recorded estimates will change in the near term.</w:t>
      </w:r>
    </w:p>
    <w:p>
      <w:pPr>
        <w:spacing w:after="0" w:line="136"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Company does not require its patients nor other payers to carry collateral for any amounts owed for goods or services provided. Other than as discussed above, concentration of credit risk relating to trade accounts receivable is limited due to the Company’s diversity of patients and payers. Further, the Company generally does not provide charity care, however, Option Care Health offers a financial assistance program for patients that meet certain defined hardship criteria.</w:t>
      </w:r>
    </w:p>
    <w:p>
      <w:pPr>
        <w:spacing w:after="0" w:line="146"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For the three months ended March 31, 2021 and 2020, approximately 67% and 70%, respectively, of the Company’s pharmaceutical and medical supply purchases were from three vendors. Although there are a limited number of suppliers, the Company believes that other vendors could provide similar products on comparable terms. However, a change in suppliers could cause delays in service delivery and possible losses in revenue, which could adversely affect the Company’s financial condition or operating results. Although there remains some uncertainty regarding the COVID-19 pandemic, as of March 31, 2021 the Company has been able to maintain adequate levels of supplies and pharmaceuticals to support its operations.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the net revenue earned by category of payer for the three months ended March 31, 2021 and 2020 (in thousands):</w:t>
      </w:r>
    </w:p>
    <w:p>
      <w:pPr>
        <w:spacing w:after="0" w:line="237"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4240" w:type="dxa"/>
            <w:vAlign w:val="bottom"/>
          </w:tcPr>
          <w:p>
            <w:pPr>
              <w:spacing w:after="0"/>
              <w:rPr>
                <w:sz w:val="18"/>
                <w:szCs w:val="18"/>
                <w:color w:val="auto"/>
              </w:rPr>
            </w:pPr>
          </w:p>
        </w:tc>
        <w:tc>
          <w:tcPr>
            <w:tcW w:w="3320" w:type="dxa"/>
            <w:vAlign w:val="bottom"/>
            <w:tcBorders>
              <w:bottom w:val="single" w:sz="8" w:color="auto"/>
            </w:tcBorders>
            <w:gridSpan w:val="5"/>
          </w:tcPr>
          <w:p>
            <w:pPr>
              <w:jc w:val="right"/>
              <w:ind w:right="479"/>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42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r>
      <w:tr>
        <w:trPr>
          <w:trHeight w:val="212"/>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payers</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611,434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605,994</w:t>
            </w:r>
          </w:p>
        </w:tc>
      </w:tr>
      <w:tr>
        <w:trPr>
          <w:trHeight w:val="213"/>
        </w:trPr>
        <w:tc>
          <w:tcPr>
            <w:tcW w:w="4240" w:type="dxa"/>
            <w:vAlign w:val="bottom"/>
          </w:tcPr>
          <w:p>
            <w:pPr>
              <w:ind w:left="20"/>
              <w:spacing w:after="0"/>
              <w:rPr>
                <w:sz w:val="20"/>
                <w:szCs w:val="20"/>
                <w:color w:val="auto"/>
              </w:rPr>
            </w:pPr>
            <w:r>
              <w:rPr>
                <w:rFonts w:ascii="Arial" w:cs="Arial" w:eastAsia="Arial" w:hAnsi="Arial"/>
                <w:sz w:val="16"/>
                <w:szCs w:val="16"/>
                <w:color w:val="auto"/>
              </w:rPr>
              <w:t>Government payers</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89"/>
              </w:rPr>
              <w:t>134,914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86,271</w:t>
            </w: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Patients</w:t>
            </w: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12,889</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13,175</w:t>
            </w:r>
          </w:p>
        </w:tc>
      </w:tr>
      <w:tr>
        <w:trPr>
          <w:trHeight w:val="212"/>
        </w:trPr>
        <w:tc>
          <w:tcPr>
            <w:tcW w:w="4240" w:type="dxa"/>
            <w:vAlign w:val="bottom"/>
          </w:tcPr>
          <w:p>
            <w:pPr>
              <w:ind w:left="20"/>
              <w:spacing w:after="0"/>
              <w:rPr>
                <w:sz w:val="20"/>
                <w:szCs w:val="20"/>
                <w:color w:val="auto"/>
              </w:rPr>
            </w:pPr>
            <w:r>
              <w:rPr>
                <w:rFonts w:ascii="Arial" w:cs="Arial" w:eastAsia="Arial" w:hAnsi="Arial"/>
                <w:sz w:val="16"/>
                <w:szCs w:val="16"/>
                <w:color w:val="auto"/>
              </w:rPr>
              <w:t>Net revenue</w:t>
            </w: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759,237</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705,440</w:t>
            </w:r>
          </w:p>
        </w:tc>
      </w:tr>
      <w:tr>
        <w:trPr>
          <w:trHeight w:val="21"/>
        </w:trPr>
        <w:tc>
          <w:tcPr>
            <w:tcW w:w="4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INCOME TAXES</w:t>
      </w:r>
    </w:p>
    <w:p>
      <w:pPr>
        <w:spacing w:after="0" w:line="202"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During the three months ended March 31, 2021, the Company recorded tax expense of $1.3 million, which represents a negative effective tax rate of 80.7%. During the three months ended March 31, 2020, the Company recorded a tax expense of $1.0 million, which represents a negative effective tax rate of 5.5%.</w:t>
      </w:r>
    </w:p>
    <w:p>
      <w:pPr>
        <w:spacing w:after="0" w:line="143"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Company maintains a full valuation allowance of $112.3 million against all of its net U.S. federal and state deferred tax assets with the exception of $0.5 million of estimated state net operating losses (“NOL”). In assessing the realizability of deferred tax assets, the Company considers whether it is more likely than not that some or all of the deferred tax assets will not be realized. The ultimate realization of deferred tax assets depends on the generation of future taxable income during the periods in which those temporary differences are deductible. The Company considers the scheduled reversal of deferred tax liabilities, including the effect in available carryback and carryforward periods, projected taxable income and tax-planning strategies, in making this assessment. On a quarterly basis, the Company evaluates all positive and negative evidence in determining if the valuation allowance is fairly stated.</w:t>
      </w:r>
    </w:p>
    <w:p>
      <w:pPr>
        <w:spacing w:after="0" w:line="164" w:lineRule="exact"/>
        <w:rPr>
          <w:sz w:val="20"/>
          <w:szCs w:val="20"/>
          <w:color w:val="auto"/>
        </w:rPr>
      </w:pPr>
    </w:p>
    <w:p>
      <w:pPr>
        <w:ind w:right="360" w:firstLine="324"/>
        <w:spacing w:after="0" w:line="308" w:lineRule="auto"/>
        <w:rPr>
          <w:sz w:val="20"/>
          <w:szCs w:val="20"/>
          <w:color w:val="auto"/>
        </w:rPr>
      </w:pPr>
      <w:r>
        <w:rPr>
          <w:rFonts w:ascii="Arial" w:cs="Arial" w:eastAsia="Arial" w:hAnsi="Arial"/>
          <w:sz w:val="17"/>
          <w:szCs w:val="17"/>
          <w:color w:val="auto"/>
        </w:rPr>
        <w:t>Based on the Company’s full valuation allowance, as noted above, the Company’s tax expense for the three months ended March 31, 2021 of $1.3 million consists of quarterly tax liabilities attributable to specific state taxing authorities as well as recognized deferred tax expense.</w:t>
      </w:r>
    </w:p>
    <w:p>
      <w:pPr>
        <w:spacing w:after="0" w:line="106"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Company has accumulated U.S. federal net operating loss carryovers that are subject to one or more Section 382 limitations. This may limit the Company’s ability to utilize its U.S. federal net operating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(LOSS) EARNINGS PER SHARE</w:t>
      </w:r>
    </w:p>
    <w:p>
      <w:pPr>
        <w:spacing w:after="0" w:line="20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Company presents basic and diluted (loss) earnings per share for its common stock. Basic (loss) earnings per share is calculated by dividing the net (loss) income of the Company by the weighted average number of shares of common stock outstanding during the period. Diluted (loss) earnings per share is determined by adjusting the profit or loss and the weighted average number of shares of common stock outstanding for the effects of all potentially dilutive securities.</w:t>
      </w:r>
    </w:p>
    <w:p>
      <w:pPr>
        <w:spacing w:after="0" w:line="146"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(loss) earnings is used as the basis of determining whether the inclusion of common stock equivalents would be anti-dilutive. The computation of diluted shares for the three months ended March 31, 2021 and 2020 excludes the effect of these common stock equivalents as their inclusion would be anti-dilutive to the loss per share recorded in those periods. As of March 31, 2021 there were 2,285,784 warrants, 789,586 stock options and 1,080,334 restricted stock awards outstanding that were excluded from the calculation of loss per share for the three months ended March 31, 2021 as they would be anti-dilutive. As of March 31, 2020, there were 2,328,120 warrants, 531,747 stock options and 484,326 restricted stock awards outstanding that were excluded from the calculation of loss per share for the three months ended March 31, 2020 as they would be anti-dilutive.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Company’s basic and diluted (loss) earnings per share and shares outstanding (in thousands, except per share data):</w:t>
      </w:r>
    </w:p>
    <w:p>
      <w:pPr>
        <w:spacing w:after="0" w:line="262"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45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07"/>
        </w:trPr>
        <w:tc>
          <w:tcPr>
            <w:tcW w:w="45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9"/>
        </w:trPr>
        <w:tc>
          <w:tcPr>
            <w:tcW w:w="4560" w:type="dxa"/>
            <w:vAlign w:val="bottom"/>
          </w:tcPr>
          <w:p>
            <w:pPr>
              <w:ind w:left="20"/>
              <w:spacing w:after="0"/>
              <w:rPr>
                <w:sz w:val="20"/>
                <w:szCs w:val="20"/>
                <w:color w:val="auto"/>
              </w:rPr>
            </w:pPr>
            <w:r>
              <w:rPr>
                <w:rFonts w:ascii="Arial" w:cs="Arial" w:eastAsia="Arial" w:hAnsi="Arial"/>
                <w:sz w:val="16"/>
                <w:szCs w:val="16"/>
                <w:color w:val="auto"/>
              </w:rPr>
              <w:t>Numerator:</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(19,910)</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Denominator:</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5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4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Weighted average number of common shares outstanding</w:t>
            </w:r>
          </w:p>
        </w:tc>
        <w:tc>
          <w:tcPr>
            <w:tcW w:w="3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179,808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176,661</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Loss per common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5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4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Loss per common share, basic</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12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During the three months ended March 31, 2021 and 2020, the Company incurred operating lease expenses of $7.5 million and $7.7 million, respectively, including short-term lease expenses, which were included as a component of selling, general and administrative expenses in the unaudited condensed consolidated statements of comprehensive income (loss). As of March 31, 2021, the weighted-average remaining lease term was 6.6 years and the weighted-average discount rate was 5.22%.</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leases mature as follows (in thousands):</w:t>
      </w:r>
    </w:p>
    <w:p>
      <w:pPr>
        <w:spacing w:after="0" w:line="226"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4140" w:type="dxa"/>
            <w:vAlign w:val="bottom"/>
            <w:gridSpan w:val="2"/>
          </w:tcPr>
          <w:p>
            <w:pPr>
              <w:ind w:left="860"/>
              <w:spacing w:after="0"/>
              <w:rPr>
                <w:sz w:val="20"/>
                <w:szCs w:val="20"/>
                <w:color w:val="auto"/>
              </w:rPr>
            </w:pPr>
            <w:r>
              <w:rPr>
                <w:rFonts w:ascii="Arial" w:cs="Arial" w:eastAsia="Arial" w:hAnsi="Arial"/>
                <w:sz w:val="16"/>
                <w:szCs w:val="16"/>
                <w:b w:val="1"/>
                <w:bCs w:val="1"/>
                <w:color w:val="auto"/>
              </w:rPr>
              <w:t>Fiscal Year Ending December 31,</w:t>
            </w:r>
          </w:p>
        </w:tc>
        <w:tc>
          <w:tcPr>
            <w:tcW w:w="240" w:type="dxa"/>
            <w:vAlign w:val="bottom"/>
          </w:tcPr>
          <w:p>
            <w:pPr>
              <w:spacing w:after="0"/>
              <w:rPr>
                <w:sz w:val="18"/>
                <w:szCs w:val="18"/>
                <w:color w:val="auto"/>
              </w:rPr>
            </w:pPr>
          </w:p>
        </w:tc>
        <w:tc>
          <w:tcPr>
            <w:tcW w:w="1920" w:type="dxa"/>
            <w:vAlign w:val="bottom"/>
          </w:tcPr>
          <w:p>
            <w:pPr>
              <w:jc w:val="right"/>
              <w:ind w:right="279"/>
              <w:spacing w:after="0"/>
              <w:rPr>
                <w:sz w:val="20"/>
                <w:szCs w:val="20"/>
                <w:color w:val="auto"/>
              </w:rPr>
            </w:pPr>
            <w:r>
              <w:rPr>
                <w:rFonts w:ascii="Arial" w:cs="Arial" w:eastAsia="Arial" w:hAnsi="Arial"/>
                <w:sz w:val="16"/>
                <w:szCs w:val="16"/>
                <w:b w:val="1"/>
                <w:bCs w:val="1"/>
                <w:color w:val="auto"/>
              </w:rPr>
              <w:t>Minimum Payments</w:t>
            </w:r>
          </w:p>
        </w:tc>
      </w:tr>
      <w:tr>
        <w:trPr>
          <w:trHeight w:val="210"/>
        </w:trPr>
        <w:tc>
          <w:tcPr>
            <w:tcW w:w="40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19,618</w:t>
            </w: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19,642</w:t>
            </w: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16,323</w:t>
            </w: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11,081</w:t>
            </w: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2025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8,656</w:t>
            </w:r>
          </w:p>
        </w:tc>
      </w:tr>
      <w:tr>
        <w:trPr>
          <w:trHeight w:val="219"/>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28,423</w:t>
            </w:r>
          </w:p>
        </w:tc>
      </w:tr>
      <w:tr>
        <w:trPr>
          <w:trHeight w:val="207"/>
        </w:trPr>
        <w:tc>
          <w:tcPr>
            <w:tcW w:w="4140" w:type="dxa"/>
            <w:vAlign w:val="bottom"/>
            <w:gridSpan w:val="2"/>
          </w:tcPr>
          <w:p>
            <w:pPr>
              <w:ind w:left="20"/>
              <w:spacing w:after="0"/>
              <w:rPr>
                <w:sz w:val="20"/>
                <w:szCs w:val="20"/>
                <w:color w:val="auto"/>
              </w:rPr>
            </w:pPr>
            <w:r>
              <w:rPr>
                <w:rFonts w:ascii="Arial" w:cs="Arial" w:eastAsia="Arial" w:hAnsi="Arial"/>
                <w:sz w:val="16"/>
                <w:szCs w:val="16"/>
                <w:color w:val="auto"/>
              </w:rPr>
              <w:t>Total lease payments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103,743</w:t>
            </w:r>
          </w:p>
        </w:tc>
      </w:tr>
      <w:tr>
        <w:trPr>
          <w:trHeight w:val="216"/>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Interest</w:t>
            </w:r>
          </w:p>
        </w:tc>
        <w:tc>
          <w:tcPr>
            <w:tcW w:w="24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(16,596)</w:t>
            </w:r>
          </w:p>
        </w:tc>
      </w:tr>
      <w:tr>
        <w:trPr>
          <w:trHeight w:val="213"/>
        </w:trPr>
        <w:tc>
          <w:tcPr>
            <w:tcW w:w="4140" w:type="dxa"/>
            <w:vAlign w:val="bottom"/>
            <w:gridSpan w:val="2"/>
          </w:tcPr>
          <w:p>
            <w:pPr>
              <w:ind w:left="20"/>
              <w:spacing w:after="0"/>
              <w:rPr>
                <w:sz w:val="20"/>
                <w:szCs w:val="20"/>
                <w:color w:val="auto"/>
              </w:rPr>
            </w:pPr>
            <w:r>
              <w:rPr>
                <w:rFonts w:ascii="Arial" w:cs="Arial" w:eastAsia="Arial" w:hAnsi="Arial"/>
                <w:sz w:val="16"/>
                <w:szCs w:val="16"/>
                <w:color w:val="auto"/>
              </w:rPr>
              <w:t>Present value of lease liabilities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87,147</w:t>
            </w:r>
          </w:p>
        </w:tc>
      </w:tr>
      <w:tr>
        <w:trPr>
          <w:trHeight w:val="21"/>
        </w:trPr>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During the three months ended March 31, 2020, the Company did not enter into any significant new operating or financing leases. During the three months ended March 31, 2021, the Company commenced new leases, extensions and amendments, resulting in non-cash investing and financing activities in the unaudited condensed consolidated statements of cash flow of $1.6 million related to increases in the operating lease right-of-use asset and operating lease liabilities, respectively. As of March 31, 2021, the Company did not have any significant operating or financing leases that had not yet commenced.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AND EQUIPMENT</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was as follows as of March 31, 2021 and December 31, 2020 (in thousands):</w:t>
      </w:r>
    </w:p>
    <w:p>
      <w:pPr>
        <w:spacing w:after="0" w:line="226"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4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ind w:left="220"/>
              <w:spacing w:after="0"/>
              <w:rPr>
                <w:sz w:val="20"/>
                <w:szCs w:val="20"/>
                <w:color w:val="auto"/>
              </w:rPr>
            </w:pPr>
            <w:r>
              <w:rPr>
                <w:rFonts w:ascii="Arial" w:cs="Arial" w:eastAsia="Arial" w:hAnsi="Arial"/>
                <w:sz w:val="16"/>
                <w:szCs w:val="16"/>
                <w:b w:val="1"/>
                <w:bCs w:val="1"/>
                <w:color w:val="auto"/>
              </w:rPr>
              <w:t>March 31, 2021</w:t>
            </w:r>
          </w:p>
        </w:tc>
        <w:tc>
          <w:tcPr>
            <w:tcW w:w="260" w:type="dxa"/>
            <w:vAlign w:val="bottom"/>
          </w:tcPr>
          <w:p>
            <w:pPr>
              <w:spacing w:after="0"/>
              <w:rPr>
                <w:sz w:val="18"/>
                <w:szCs w:val="18"/>
                <w:color w:val="auto"/>
              </w:rPr>
            </w:pPr>
          </w:p>
        </w:tc>
        <w:tc>
          <w:tcPr>
            <w:tcW w:w="1880" w:type="dxa"/>
            <w:vAlign w:val="bottom"/>
          </w:tcPr>
          <w:p>
            <w:pPr>
              <w:jc w:val="right"/>
              <w:ind w:right="319"/>
              <w:spacing w:after="0"/>
              <w:rPr>
                <w:sz w:val="20"/>
                <w:szCs w:val="20"/>
                <w:color w:val="auto"/>
              </w:rPr>
            </w:pPr>
            <w:r>
              <w:rPr>
                <w:rFonts w:ascii="Arial" w:cs="Arial" w:eastAsia="Arial" w:hAnsi="Arial"/>
                <w:sz w:val="16"/>
                <w:szCs w:val="16"/>
                <w:b w:val="1"/>
                <w:bCs w:val="1"/>
                <w:color w:val="auto"/>
              </w:rPr>
              <w:t>December 31, 2020</w:t>
            </w:r>
          </w:p>
        </w:tc>
      </w:tr>
      <w:tr>
        <w:trPr>
          <w:trHeight w:val="213"/>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Infusion pumps</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31,419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31,678</w:t>
            </w:r>
          </w:p>
        </w:tc>
      </w:tr>
      <w:tr>
        <w:trPr>
          <w:trHeight w:val="213"/>
        </w:trPr>
        <w:tc>
          <w:tcPr>
            <w:tcW w:w="4520" w:type="dxa"/>
            <w:vAlign w:val="bottom"/>
          </w:tcPr>
          <w:p>
            <w:pPr>
              <w:ind w:left="20"/>
              <w:spacing w:after="0"/>
              <w:rPr>
                <w:sz w:val="20"/>
                <w:szCs w:val="20"/>
                <w:color w:val="auto"/>
              </w:rPr>
            </w:pPr>
            <w:r>
              <w:rPr>
                <w:rFonts w:ascii="Arial" w:cs="Arial" w:eastAsia="Arial" w:hAnsi="Arial"/>
                <w:sz w:val="16"/>
                <w:szCs w:val="16"/>
                <w:color w:val="auto"/>
              </w:rPr>
              <w:t>Equipment, furniture and other</w:t>
            </w:r>
          </w:p>
        </w:tc>
        <w:tc>
          <w:tcPr>
            <w:tcW w:w="3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50,281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47,886</w:t>
            </w:r>
          </w:p>
        </w:tc>
      </w:tr>
      <w:tr>
        <w:trPr>
          <w:trHeight w:val="219"/>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3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87,483</w:t>
            </w:r>
          </w:p>
        </w:tc>
      </w:tr>
      <w:tr>
        <w:trPr>
          <w:trHeight w:val="213"/>
        </w:trPr>
        <w:tc>
          <w:tcPr>
            <w:tcW w:w="4520" w:type="dxa"/>
            <w:vAlign w:val="bottom"/>
          </w:tcPr>
          <w:p>
            <w:pPr>
              <w:ind w:left="20"/>
              <w:spacing w:after="0"/>
              <w:rPr>
                <w:sz w:val="20"/>
                <w:szCs w:val="20"/>
                <w:color w:val="auto"/>
              </w:rPr>
            </w:pPr>
            <w:r>
              <w:rPr>
                <w:rFonts w:ascii="Arial" w:cs="Arial" w:eastAsia="Arial" w:hAnsi="Arial"/>
                <w:sz w:val="16"/>
                <w:szCs w:val="16"/>
                <w:color w:val="auto"/>
              </w:rPr>
              <w:t>Computer software, purchased and internally developed</w:t>
            </w:r>
          </w:p>
        </w:tc>
        <w:tc>
          <w:tcPr>
            <w:tcW w:w="3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28,331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27,799</w:t>
            </w:r>
          </w:p>
        </w:tc>
      </w:tr>
      <w:tr>
        <w:trPr>
          <w:trHeight w:val="216"/>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 under development</w:t>
            </w:r>
          </w:p>
        </w:tc>
        <w:tc>
          <w:tcPr>
            <w:tcW w:w="32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11,911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10,793</w:t>
            </w:r>
          </w:p>
        </w:tc>
      </w:tr>
      <w:tr>
        <w:trPr>
          <w:trHeight w:val="210"/>
        </w:trPr>
        <w:tc>
          <w:tcPr>
            <w:tcW w:w="4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209,653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205,639</w:t>
            </w:r>
          </w:p>
        </w:tc>
      </w:tr>
      <w:tr>
        <w:trPr>
          <w:trHeight w:val="216"/>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depreciation</w:t>
            </w:r>
          </w:p>
        </w:tc>
        <w:tc>
          <w:tcPr>
            <w:tcW w:w="32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93,342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84,490</w:t>
            </w:r>
          </w:p>
        </w:tc>
      </w:tr>
      <w:tr>
        <w:trPr>
          <w:trHeight w:val="213"/>
        </w:trPr>
        <w:tc>
          <w:tcPr>
            <w:tcW w:w="452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116,311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121,149</w:t>
            </w:r>
          </w:p>
        </w:tc>
      </w:tr>
      <w:tr>
        <w:trPr>
          <w:trHeight w:val="21"/>
        </w:trPr>
        <w:tc>
          <w:tcPr>
            <w:tcW w:w="4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Depreciation expense is recorded within cost of revenue and operating expenses within the unaudited condensed consolidated statements of comprehensive income (loss), depending on the nature of the underlying fixed assets. The depreciation expense included in cost of revenue relates to revenue-generating assets, such as infusion pumps. The depreciation expense included in operating expenses is related to infrastructure items, such as furniture, computer and office equipment, and leasehold improvements. The following table presents the amount of depreciation expense recorded in cost of revenue and operating expenses for the three months ended March 31, 2021 and 2020 (in thousands):</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3720" w:type="dxa"/>
            <w:vAlign w:val="bottom"/>
          </w:tcPr>
          <w:p>
            <w:pPr>
              <w:spacing w:after="0"/>
              <w:rPr>
                <w:sz w:val="18"/>
                <w:szCs w:val="18"/>
                <w:color w:val="auto"/>
              </w:rPr>
            </w:pPr>
          </w:p>
        </w:tc>
        <w:tc>
          <w:tcPr>
            <w:tcW w:w="27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540" w:type="dxa"/>
            <w:vAlign w:val="bottom"/>
            <w:tcBorders>
              <w:bottom w:val="single" w:sz="8" w:color="auto"/>
            </w:tcBorders>
          </w:tcPr>
          <w:p>
            <w:pPr>
              <w:spacing w:after="0"/>
              <w:rPr>
                <w:sz w:val="18"/>
                <w:szCs w:val="18"/>
                <w:color w:val="auto"/>
              </w:rPr>
            </w:pPr>
          </w:p>
        </w:tc>
      </w:tr>
      <w:tr>
        <w:trPr>
          <w:trHeight w:val="210"/>
        </w:trPr>
        <w:tc>
          <w:tcPr>
            <w:tcW w:w="37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540" w:type="dxa"/>
            <w:vAlign w:val="bottom"/>
            <w:tcBorders>
              <w:bottom w:val="single" w:sz="8" w:color="auto"/>
            </w:tcBorders>
          </w:tcPr>
          <w:p>
            <w:pPr>
              <w:spacing w:after="0"/>
              <w:rPr>
                <w:sz w:val="18"/>
                <w:szCs w:val="18"/>
                <w:color w:val="auto"/>
              </w:rPr>
            </w:pPr>
          </w:p>
        </w:tc>
      </w:tr>
      <w:tr>
        <w:trPr>
          <w:trHeight w:val="212"/>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expense in cost of revenue</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1,377</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1,742</w:t>
            </w:r>
          </w:p>
        </w:tc>
      </w:tr>
      <w:tr>
        <w:trPr>
          <w:trHeight w:val="213"/>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Depreciation expense in operating expenses</w:t>
            </w:r>
          </w:p>
        </w:tc>
        <w:tc>
          <w:tcPr>
            <w:tcW w:w="10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7,598</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11,319</w:t>
            </w:r>
          </w:p>
        </w:tc>
      </w:tr>
      <w:tr>
        <w:trPr>
          <w:trHeight w:val="238"/>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depreciation expense</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8,975</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13,061</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2" w:right="45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OTHER INTANGIBLE ASSETS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was no change in the carrying amount of goodwill for the three months ended March 31, 2021.</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carrying amount of goodwill consists of the following activity for the three months March 31, 2020 (in thousands):</w:t>
      </w:r>
    </w:p>
    <w:p>
      <w:pPr>
        <w:spacing w:after="0" w:line="226"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370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1700" w:type="dxa"/>
            <w:vAlign w:val="bottom"/>
          </w:tcPr>
          <w:p>
            <w:pPr>
              <w:jc w:val="right"/>
              <w:spacing w:after="0"/>
              <w:rPr>
                <w:sz w:val="20"/>
                <w:szCs w:val="20"/>
                <w:color w:val="auto"/>
              </w:rPr>
            </w:pPr>
            <w:r>
              <w:rPr>
                <w:rFonts w:ascii="Arial" w:cs="Arial" w:eastAsia="Arial" w:hAnsi="Arial"/>
                <w:sz w:val="16"/>
                <w:szCs w:val="16"/>
                <w:color w:val="auto"/>
              </w:rPr>
              <w:t>1,425,542</w:t>
            </w:r>
          </w:p>
        </w:tc>
      </w:tr>
      <w:tr>
        <w:trPr>
          <w:trHeight w:val="216"/>
        </w:trPr>
        <w:tc>
          <w:tcPr>
            <w:tcW w:w="3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Merger purchase accounting adjustments</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2,341</w:t>
            </w:r>
          </w:p>
        </w:tc>
      </w:tr>
      <w:tr>
        <w:trPr>
          <w:trHeight w:val="212"/>
        </w:trPr>
        <w:tc>
          <w:tcPr>
            <w:tcW w:w="370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2020</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1,427,883</w:t>
            </w:r>
          </w:p>
        </w:tc>
      </w:tr>
      <w:tr>
        <w:trPr>
          <w:trHeight w:val="21"/>
        </w:trPr>
        <w:tc>
          <w:tcPr>
            <w:tcW w:w="37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carrying amount and accumulated amortization of intangible assets consists of the following as of March 31, 2021 and December 31, 2020 (in thousands):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3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 2021</w:t>
            </w:r>
          </w:p>
        </w:tc>
        <w:tc>
          <w:tcPr>
            <w:tcW w:w="220" w:type="dxa"/>
            <w:vAlign w:val="bottom"/>
          </w:tcPr>
          <w:p>
            <w:pPr>
              <w:spacing w:after="0"/>
              <w:rPr>
                <w:sz w:val="18"/>
                <w:szCs w:val="18"/>
                <w:color w:val="auto"/>
              </w:rPr>
            </w:pPr>
          </w:p>
        </w:tc>
        <w:tc>
          <w:tcPr>
            <w:tcW w:w="1800" w:type="dxa"/>
            <w:vAlign w:val="bottom"/>
          </w:tcPr>
          <w:p>
            <w:pPr>
              <w:jc w:val="right"/>
              <w:ind w:right="279"/>
              <w:spacing w:after="0"/>
              <w:rPr>
                <w:sz w:val="20"/>
                <w:szCs w:val="20"/>
                <w:color w:val="auto"/>
              </w:rPr>
            </w:pPr>
            <w:r>
              <w:rPr>
                <w:rFonts w:ascii="Arial" w:cs="Arial" w:eastAsia="Arial" w:hAnsi="Arial"/>
                <w:sz w:val="16"/>
                <w:szCs w:val="16"/>
                <w:b w:val="1"/>
                <w:bCs w:val="1"/>
                <w:color w:val="auto"/>
                <w:w w:val="98"/>
              </w:rPr>
              <w:t>December 31, 2020</w:t>
            </w:r>
          </w:p>
        </w:tc>
      </w:tr>
      <w:tr>
        <w:trPr>
          <w:trHeight w:val="199"/>
        </w:trPr>
        <w:tc>
          <w:tcPr>
            <w:tcW w:w="3900" w:type="dxa"/>
            <w:vAlign w:val="bottom"/>
          </w:tcPr>
          <w:p>
            <w:pPr>
              <w:ind w:left="20"/>
              <w:spacing w:after="0"/>
              <w:rPr>
                <w:sz w:val="20"/>
                <w:szCs w:val="20"/>
                <w:color w:val="auto"/>
              </w:rPr>
            </w:pPr>
            <w:r>
              <w:rPr>
                <w:rFonts w:ascii="Arial" w:cs="Arial" w:eastAsia="Arial" w:hAnsi="Arial"/>
                <w:sz w:val="16"/>
                <w:szCs w:val="16"/>
                <w:color w:val="auto"/>
              </w:rPr>
              <w:t>Gross intangible assets:</w:t>
            </w:r>
          </w:p>
        </w:tc>
        <w:tc>
          <w:tcPr>
            <w:tcW w:w="28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spacing w:after="0"/>
              <w:rPr>
                <w:sz w:val="17"/>
                <w:szCs w:val="17"/>
                <w:color w:val="auto"/>
              </w:rPr>
            </w:pPr>
          </w:p>
        </w:tc>
      </w:tr>
      <w:tr>
        <w:trPr>
          <w:trHeight w:val="219"/>
        </w:trPr>
        <w:tc>
          <w:tcPr>
            <w:tcW w:w="3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Referral sources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438,121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438,121</w:t>
            </w:r>
          </w:p>
        </w:tc>
      </w:tr>
      <w:tr>
        <w:trPr>
          <w:trHeight w:val="213"/>
        </w:trPr>
        <w:tc>
          <w:tcPr>
            <w:tcW w:w="3900" w:type="dxa"/>
            <w:vAlign w:val="bottom"/>
          </w:tcPr>
          <w:p>
            <w:pPr>
              <w:ind w:left="140"/>
              <w:spacing w:after="0"/>
              <w:rPr>
                <w:sz w:val="20"/>
                <w:szCs w:val="20"/>
                <w:color w:val="auto"/>
              </w:rPr>
            </w:pPr>
            <w:r>
              <w:rPr>
                <w:rFonts w:ascii="Arial" w:cs="Arial" w:eastAsia="Arial" w:hAnsi="Arial"/>
                <w:sz w:val="16"/>
                <w:szCs w:val="16"/>
                <w:color w:val="auto"/>
              </w:rPr>
              <w:t>Trademarks/names</w:t>
            </w: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44,536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44,536</w:t>
            </w:r>
          </w:p>
        </w:tc>
      </w:tr>
      <w:tr>
        <w:trPr>
          <w:trHeight w:val="219"/>
        </w:trPr>
        <w:tc>
          <w:tcPr>
            <w:tcW w:w="3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amortizable intangible assets</w:t>
            </w:r>
          </w:p>
        </w:tc>
        <w:tc>
          <w:tcPr>
            <w:tcW w:w="2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w:t>
            </w:r>
          </w:p>
        </w:tc>
      </w:tr>
      <w:tr>
        <w:trPr>
          <w:trHeight w:val="207"/>
        </w:trPr>
        <w:tc>
          <w:tcPr>
            <w:tcW w:w="39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gross intangible assets</w:t>
            </w:r>
          </w:p>
        </w:tc>
        <w:tc>
          <w:tcPr>
            <w:tcW w:w="2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483,059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483,059</w:t>
            </w:r>
          </w:p>
        </w:tc>
      </w:tr>
      <w:tr>
        <w:trPr>
          <w:trHeight w:val="253"/>
        </w:trPr>
        <w:tc>
          <w:tcPr>
            <w:tcW w:w="39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r>
      <w:tr>
        <w:trPr>
          <w:trHeight w:val="213"/>
        </w:trPr>
        <w:tc>
          <w:tcPr>
            <w:tcW w:w="3900" w:type="dxa"/>
            <w:vAlign w:val="bottom"/>
          </w:tcPr>
          <w:p>
            <w:pPr>
              <w:ind w:left="20"/>
              <w:spacing w:after="0"/>
              <w:rPr>
                <w:sz w:val="20"/>
                <w:szCs w:val="20"/>
                <w:color w:val="auto"/>
              </w:rPr>
            </w:pPr>
            <w:r>
              <w:rPr>
                <w:rFonts w:ascii="Arial" w:cs="Arial" w:eastAsia="Arial" w:hAnsi="Arial"/>
                <w:sz w:val="16"/>
                <w:szCs w:val="16"/>
                <w:color w:val="auto"/>
              </w:rPr>
              <w:t>Accumulated amortization:</w:t>
            </w: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9"/>
        </w:trPr>
        <w:tc>
          <w:tcPr>
            <w:tcW w:w="3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Referral sources</w:t>
            </w: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(117,048)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(110,498)</w:t>
            </w:r>
          </w:p>
        </w:tc>
      </w:tr>
      <w:tr>
        <w:trPr>
          <w:trHeight w:val="213"/>
        </w:trPr>
        <w:tc>
          <w:tcPr>
            <w:tcW w:w="3900" w:type="dxa"/>
            <w:vAlign w:val="bottom"/>
          </w:tcPr>
          <w:p>
            <w:pPr>
              <w:ind w:left="140"/>
              <w:spacing w:after="0"/>
              <w:rPr>
                <w:sz w:val="20"/>
                <w:szCs w:val="20"/>
                <w:color w:val="auto"/>
              </w:rPr>
            </w:pPr>
            <w:r>
              <w:rPr>
                <w:rFonts w:ascii="Arial" w:cs="Arial" w:eastAsia="Arial" w:hAnsi="Arial"/>
                <w:sz w:val="16"/>
                <w:szCs w:val="16"/>
                <w:color w:val="auto"/>
              </w:rPr>
              <w:t>Trademarks/names</w:t>
            </w: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(23,247)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(21,146)</w:t>
            </w:r>
          </w:p>
        </w:tc>
      </w:tr>
      <w:tr>
        <w:trPr>
          <w:trHeight w:val="219"/>
        </w:trPr>
        <w:tc>
          <w:tcPr>
            <w:tcW w:w="3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amortizable intangible assets</w:t>
            </w:r>
          </w:p>
        </w:tc>
        <w:tc>
          <w:tcPr>
            <w:tcW w:w="2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w:t>
            </w:r>
          </w:p>
        </w:tc>
      </w:tr>
      <w:tr>
        <w:trPr>
          <w:trHeight w:val="206"/>
        </w:trPr>
        <w:tc>
          <w:tcPr>
            <w:tcW w:w="39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accumulated amortization</w:t>
            </w:r>
          </w:p>
        </w:tc>
        <w:tc>
          <w:tcPr>
            <w:tcW w:w="2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(140,680)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(132,007)</w:t>
            </w:r>
          </w:p>
        </w:tc>
      </w:tr>
      <w:tr>
        <w:trPr>
          <w:trHeight w:val="238"/>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intangible assets, net</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342,379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351,052</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Amortization expense for intangible assets was $8.7 million and $8.8 million for the three months ended March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22" w:right="69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INDEBTEDNESS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Long-term debt consisted of the following as of March 31, 2021 (in thousands):</w:t>
      </w:r>
    </w:p>
    <w:p>
      <w:pPr>
        <w:spacing w:after="0" w:line="226"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34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6"/>
              </w:rPr>
              <w:t>Principal Amount</w:t>
            </w: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Discount</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7"/>
              </w:rPr>
              <w:t>Debt Issuance Costs</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Net Balance</w:t>
            </w:r>
          </w:p>
        </w:tc>
        <w:tc>
          <w:tcPr>
            <w:tcW w:w="0" w:type="dxa"/>
            <w:vAlign w:val="bottom"/>
          </w:tcPr>
          <w:p>
            <w:pPr>
              <w:spacing w:after="0"/>
              <w:rPr>
                <w:sz w:val="1"/>
                <w:szCs w:val="1"/>
                <w:color w:val="auto"/>
              </w:rPr>
            </w:pPr>
          </w:p>
        </w:tc>
      </w:tr>
      <w:tr>
        <w:trPr>
          <w:trHeight w:val="212"/>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ABL facility</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   $</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Arial" w:cs="Arial" w:eastAsia="Arial" w:hAnsi="Arial"/>
                <w:sz w:val="16"/>
                <w:szCs w:val="16"/>
                <w:color w:val="auto"/>
              </w:rPr>
              <w:t>First lien term loan</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1,162,806</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4"/>
              </w:rPr>
              <w:t>(9,560)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(20,328)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1,132,918</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Second lien notes</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4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1,162,806</w:t>
            </w:r>
          </w:p>
        </w:tc>
        <w:tc>
          <w:tcPr>
            <w:tcW w:w="12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99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4"/>
              </w:rPr>
              <w:t>(9,560)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(20,328)</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1,132,918</w:t>
            </w:r>
          </w:p>
        </w:tc>
        <w:tc>
          <w:tcPr>
            <w:tcW w:w="0" w:type="dxa"/>
            <w:vAlign w:val="bottom"/>
          </w:tcPr>
          <w:p>
            <w:pPr>
              <w:spacing w:after="0"/>
              <w:rPr>
                <w:sz w:val="1"/>
                <w:szCs w:val="1"/>
                <w:color w:val="auto"/>
              </w:rPr>
            </w:pPr>
          </w:p>
        </w:tc>
      </w:tr>
      <w:tr>
        <w:trPr>
          <w:trHeight w:val="20"/>
        </w:trPr>
        <w:tc>
          <w:tcPr>
            <w:tcW w:w="3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400" w:type="dxa"/>
            <w:vAlign w:val="bottom"/>
            <w:shd w:val="clear" w:color="auto" w:fill="CCEEFF"/>
          </w:tcPr>
          <w:p>
            <w:pPr>
              <w:ind w:left="20"/>
              <w:spacing w:after="0" w:line="180" w:lineRule="exact"/>
              <w:rPr>
                <w:sz w:val="20"/>
                <w:szCs w:val="20"/>
                <w:color w:val="auto"/>
              </w:rPr>
            </w:pPr>
            <w:r>
              <w:rPr>
                <w:rFonts w:ascii="Arial" w:cs="Arial" w:eastAsia="Arial" w:hAnsi="Arial"/>
                <w:sz w:val="16"/>
                <w:szCs w:val="16"/>
                <w:color w:val="auto"/>
              </w:rPr>
              <w:t>Less: current portion</w:t>
            </w: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(11,775)</w:t>
            </w:r>
          </w:p>
        </w:tc>
        <w:tc>
          <w:tcPr>
            <w:tcW w:w="0" w:type="dxa"/>
            <w:vAlign w:val="bottom"/>
          </w:tcPr>
          <w:p>
            <w:pPr>
              <w:spacing w:after="0"/>
              <w:rPr>
                <w:sz w:val="1"/>
                <w:szCs w:val="1"/>
                <w:color w:val="auto"/>
              </w:rPr>
            </w:pPr>
          </w:p>
        </w:tc>
      </w:tr>
      <w:tr>
        <w:trPr>
          <w:trHeight w:val="213"/>
        </w:trPr>
        <w:tc>
          <w:tcPr>
            <w:tcW w:w="3400" w:type="dxa"/>
            <w:vAlign w:val="bottom"/>
          </w:tcPr>
          <w:p>
            <w:pPr>
              <w:ind w:left="220"/>
              <w:spacing w:after="0"/>
              <w:rPr>
                <w:sz w:val="20"/>
                <w:szCs w:val="20"/>
                <w:color w:val="auto"/>
              </w:rPr>
            </w:pPr>
            <w:r>
              <w:rPr>
                <w:rFonts w:ascii="Arial" w:cs="Arial" w:eastAsia="Arial" w:hAnsi="Arial"/>
                <w:sz w:val="16"/>
                <w:szCs w:val="16"/>
                <w:color w:val="auto"/>
              </w:rPr>
              <w:t>Total long-term debt</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1,121,143</w:t>
            </w:r>
          </w:p>
        </w:tc>
        <w:tc>
          <w:tcPr>
            <w:tcW w:w="0" w:type="dxa"/>
            <w:vAlign w:val="bottom"/>
          </w:tcPr>
          <w:p>
            <w:pPr>
              <w:spacing w:after="0"/>
              <w:rPr>
                <w:sz w:val="1"/>
                <w:szCs w:val="1"/>
                <w:color w:val="auto"/>
              </w:rPr>
            </w:pPr>
          </w:p>
        </w:tc>
      </w:tr>
      <w:tr>
        <w:trPr>
          <w:trHeight w:val="21"/>
        </w:trPr>
        <w:tc>
          <w:tcPr>
            <w:tcW w:w="6360" w:type="dxa"/>
            <w:vAlign w:val="bottom"/>
            <w:gridSpan w:val="5"/>
            <w:vMerge w:val="restart"/>
          </w:tcPr>
          <w:p>
            <w:pPr>
              <w:spacing w:after="0"/>
              <w:rPr>
                <w:sz w:val="20"/>
                <w:szCs w:val="20"/>
                <w:color w:val="auto"/>
              </w:rPr>
            </w:pPr>
            <w:r>
              <w:rPr>
                <w:rFonts w:ascii="Arial" w:cs="Arial" w:eastAsia="Arial" w:hAnsi="Arial"/>
                <w:sz w:val="18"/>
                <w:szCs w:val="18"/>
                <w:color w:val="auto"/>
                <w:w w:val="96"/>
              </w:rPr>
              <w:t>Long-term debt consisted of the following as of December 31, 2020 (in thousands):</w:t>
            </w: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6360" w:type="dxa"/>
            <w:vAlign w:val="bottom"/>
            <w:gridSpan w:val="5"/>
            <w:vMerge w:val="continue"/>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34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6"/>
              </w:rPr>
              <w:t>Principal Amount</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Discount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7"/>
              </w:rPr>
              <w:t>Debt Issuance Costs</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Net Balance</w:t>
            </w:r>
          </w:p>
        </w:tc>
      </w:tr>
      <w:tr>
        <w:trPr>
          <w:trHeight w:val="213"/>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ABL facility</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80" w:type="dxa"/>
            <w:vAlign w:val="bottom"/>
            <w:gridSpan w:val="2"/>
            <w:shd w:val="clear" w:color="auto" w:fill="CCEEFF"/>
          </w:tcPr>
          <w:p>
            <w:pPr>
              <w:ind w:left="1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   $</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400" w:type="dxa"/>
            <w:vAlign w:val="bottom"/>
          </w:tcPr>
          <w:p>
            <w:pPr>
              <w:ind w:left="20"/>
              <w:spacing w:after="0"/>
              <w:rPr>
                <w:sz w:val="20"/>
                <w:szCs w:val="20"/>
                <w:color w:val="auto"/>
              </w:rPr>
            </w:pPr>
            <w:r>
              <w:rPr>
                <w:rFonts w:ascii="Arial" w:cs="Arial" w:eastAsia="Arial" w:hAnsi="Arial"/>
                <w:sz w:val="16"/>
                <w:szCs w:val="16"/>
                <w:color w:val="auto"/>
              </w:rPr>
              <w:t>First lien term loan</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915,750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(7,253)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(19,710)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888,787</w:t>
            </w:r>
          </w:p>
        </w:tc>
      </w:tr>
      <w:tr>
        <w:trPr>
          <w:trHeight w:val="216"/>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Second lien notes</w:t>
            </w: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245,781</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235,566</w:t>
            </w:r>
          </w:p>
        </w:tc>
      </w:tr>
      <w:tr>
        <w:trPr>
          <w:trHeight w:val="212"/>
        </w:trPr>
        <w:tc>
          <w:tcPr>
            <w:tcW w:w="34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1,161,531</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(13,355)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(23,823)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1,124,353</w:t>
            </w:r>
          </w:p>
        </w:tc>
      </w:tr>
      <w:tr>
        <w:trPr>
          <w:trHeight w:val="20"/>
        </w:trPr>
        <w:tc>
          <w:tcPr>
            <w:tcW w:w="3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r>
      <w:tr>
        <w:trPr>
          <w:trHeight w:val="180"/>
        </w:trPr>
        <w:tc>
          <w:tcPr>
            <w:tcW w:w="3400" w:type="dxa"/>
            <w:vAlign w:val="bottom"/>
            <w:shd w:val="clear" w:color="auto" w:fill="CCEEFF"/>
          </w:tcPr>
          <w:p>
            <w:pPr>
              <w:ind w:left="20"/>
              <w:spacing w:after="0" w:line="180" w:lineRule="exact"/>
              <w:rPr>
                <w:sz w:val="20"/>
                <w:szCs w:val="20"/>
                <w:color w:val="auto"/>
              </w:rPr>
            </w:pPr>
            <w:r>
              <w:rPr>
                <w:rFonts w:ascii="Arial" w:cs="Arial" w:eastAsia="Arial" w:hAnsi="Arial"/>
                <w:sz w:val="16"/>
                <w:szCs w:val="16"/>
                <w:color w:val="auto"/>
              </w:rPr>
              <w:t>Less: current portion</w:t>
            </w: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(9,250)</w:t>
            </w:r>
          </w:p>
        </w:tc>
      </w:tr>
      <w:tr>
        <w:trPr>
          <w:trHeight w:val="212"/>
        </w:trPr>
        <w:tc>
          <w:tcPr>
            <w:tcW w:w="3400" w:type="dxa"/>
            <w:vAlign w:val="bottom"/>
          </w:tcPr>
          <w:p>
            <w:pPr>
              <w:ind w:left="220"/>
              <w:spacing w:after="0"/>
              <w:rPr>
                <w:sz w:val="20"/>
                <w:szCs w:val="20"/>
                <w:color w:val="auto"/>
              </w:rPr>
            </w:pPr>
            <w:r>
              <w:rPr>
                <w:rFonts w:ascii="Arial" w:cs="Arial" w:eastAsia="Arial" w:hAnsi="Arial"/>
                <w:sz w:val="16"/>
                <w:szCs w:val="16"/>
                <w:color w:val="auto"/>
              </w:rPr>
              <w:t>Total long-term debt</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1,115,103</w:t>
            </w:r>
          </w:p>
        </w:tc>
      </w:tr>
      <w:tr>
        <w:trPr>
          <w:trHeight w:val="21"/>
        </w:trPr>
        <w:tc>
          <w:tcPr>
            <w:tcW w:w="3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January 2021, the Company entered into an amendment on the First Lien Term Loan (the “First Lien Credit Agreement Amendment”). The First Lien Credit Agreement Amendment resulted in an additional $250.0 million of incremental First Lien Term Loan indebtedness being issued and reduced the interest rate on all outstanding First Lien Term Loan indebtedness from LIBOR plus 4.25% to LIBOR plus 3.75%. The proceeds of the $250.0 million incremental First Lien Term Loan indebtedness were used to prepay the remaining $245.8 million outstanding balance of the Second Lien Notes. Following the First Lien Credit Agreement Amendment, the First Lien Term Loan is repayable in quarterly installments of $2.9 million plus interest, with a final payment of all remaining outstanding principal due on August 6, 2026.</w:t>
      </w:r>
    </w:p>
    <w:p>
      <w:pPr>
        <w:spacing w:after="0" w:line="152"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Company assessed whether the repayment of the Second Lien Notes by issuing incremental First Lien Term Loan indebtedness resulted in an insubstantial modification or an extinguishment of the existing debt for each loan in the syndication by grouping lenders as follows: (i) Lenders participating in both the First Lien Term Loan and Second Lien Notes; (ii) previous lenders that exited; and (iii) new lenders. The Company determined that $161.2 million of the First Lien Term Loan was extinguished and $122.9 million of the Second Lien Term Loan was extinguished, which is disclosed as an outflow from financing activities in the condensed consolidated statements of cash flows. The First Lien Term Loan and Second Lien Notes had insubstantial modifications for lenders that participated in both debt instruments, which resulted in a cash outflow from financing activities of $352.0 million in the condensed consolidated statements of cash flows. The Company determined that $356.2 million of new debt was issued related to the First Lien Term Loan, which is disclosed as an inflow from financing activities in the condensed consolidated statements of cash flows. In connection with the prepayment of the Second Lien Notes and incremental First Lien Term Loan indebtedness, the Company incurred $7.2 million in debt issuance costs and third-party fees, of which $3.7 million was capitalized, $0.9 million was expensed as a component of other expense and $2.6 million was expensed as a loss on extinguishment as a component of other expense in the condensed consolidated statements of comprehensive income (loss). Further, $1.0 million of the total fees incurred of $7.2 million was netted against the $356.2 million of proceeds from debt as a component of the cash flows from financing activities, $2.9 million was presented as deferred financing costs as a component of cash flows from financing activities, $2.4 million was presented as debt prepayment fees as a component of cash flows from financing activities, and the remaining $0.9 million was included in cash flows from operating activities in the condensed consolidated statements of cash flows.</w:t>
      </w:r>
    </w:p>
    <w:p>
      <w:pPr>
        <w:spacing w:after="0" w:line="155"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The Company recognized a loss on extinguishment of debt of $12.4 million included in the line entitled “Other, net” in the unaudited condensed consolidated statements of comprehensive income (loss), of which $2.6 million related to debt issue costs incurred with the incremental First Lien Term Loan indebtedness and prepayment of the Second Lien Notes, as discussed above, and $9.8 million related to existing deferred financing fees that were written off upon extinguishment. All remaining</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deferred financing fees that existed prior to the First Lien Credit Agreement Amendment were attributed to modified loans, and were capitalized and amortized over the remaining term of the First Lien Term Loan.</w:t>
      </w:r>
    </w:p>
    <w:p>
      <w:pPr>
        <w:spacing w:after="0" w:line="143"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interest rate on the First Lien Term Loan was 3.86% and 4.40% as of March 31, 2021 and December 31, 2020, respectively. The weighted average interest rate incurred on the First Lien Term Loan was 3.97% and 6.18% for the three months ended March 31, 2021 and 2020, respectively. The interest rate on the Second Lien Notes was 8.98% as of December 31, 2020. The weighted average interest rate incurred on the Second Lien Notes was 8.98% for the period January 1, 2021 through January 20, 2021, prior to the repayment of the outstanding balance. The weighted average interest rate incurred on the Second Lien Notes was 10.54% for the three months ended March 31, 2020.</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Long-term debt matures as follows (in thousands):</w:t>
      </w:r>
    </w:p>
    <w:p>
      <w:pPr>
        <w:spacing w:after="0" w:line="226"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3160" w:type="dxa"/>
            <w:vAlign w:val="bottom"/>
            <w:gridSpan w:val="2"/>
          </w:tcPr>
          <w:p>
            <w:pPr>
              <w:ind w:left="20"/>
              <w:spacing w:after="0"/>
              <w:rPr>
                <w:sz w:val="20"/>
                <w:szCs w:val="20"/>
                <w:color w:val="auto"/>
              </w:rPr>
            </w:pPr>
            <w:r>
              <w:rPr>
                <w:rFonts w:ascii="Arial" w:cs="Arial" w:eastAsia="Arial" w:hAnsi="Arial"/>
                <w:sz w:val="16"/>
                <w:szCs w:val="16"/>
                <w:b w:val="1"/>
                <w:bCs w:val="1"/>
                <w:color w:val="auto"/>
              </w:rPr>
              <w:t>Year Ending December 31,</w:t>
            </w:r>
          </w:p>
        </w:tc>
        <w:tc>
          <w:tcPr>
            <w:tcW w:w="2000" w:type="dxa"/>
            <w:vAlign w:val="bottom"/>
            <w:gridSpan w:val="2"/>
          </w:tcPr>
          <w:p>
            <w:pPr>
              <w:spacing w:after="0"/>
              <w:rPr>
                <w:sz w:val="20"/>
                <w:szCs w:val="20"/>
                <w:color w:val="auto"/>
              </w:rPr>
            </w:pPr>
            <w:r>
              <w:rPr>
                <w:rFonts w:ascii="Arial" w:cs="Arial" w:eastAsia="Arial" w:hAnsi="Arial"/>
                <w:sz w:val="16"/>
                <w:szCs w:val="16"/>
                <w:b w:val="1"/>
                <w:bCs w:val="1"/>
                <w:color w:val="auto"/>
              </w:rPr>
              <w:t>Minimum Payments</w:t>
            </w:r>
          </w:p>
        </w:tc>
      </w:tr>
      <w:tr>
        <w:trPr>
          <w:trHeight w:val="213"/>
        </w:trPr>
        <w:tc>
          <w:tcPr>
            <w:tcW w:w="3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8,831</w:t>
            </w:r>
          </w:p>
        </w:tc>
      </w:tr>
      <w:tr>
        <w:trPr>
          <w:trHeight w:val="213"/>
        </w:trPr>
        <w:tc>
          <w:tcPr>
            <w:tcW w:w="3020" w:type="dxa"/>
            <w:vAlign w:val="bottom"/>
          </w:tcPr>
          <w:p>
            <w:pPr>
              <w:ind w:left="20"/>
              <w:spacing w:after="0"/>
              <w:rPr>
                <w:sz w:val="20"/>
                <w:szCs w:val="20"/>
                <w:color w:val="auto"/>
              </w:rPr>
            </w:pPr>
            <w:r>
              <w:rPr>
                <w:rFonts w:ascii="Arial" w:cs="Arial" w:eastAsia="Arial" w:hAnsi="Arial"/>
                <w:sz w:val="16"/>
                <w:szCs w:val="16"/>
                <w:color w:val="auto"/>
              </w:rPr>
              <w:t>2022</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11,775</w:t>
            </w:r>
          </w:p>
        </w:tc>
      </w:tr>
      <w:tr>
        <w:trPr>
          <w:trHeight w:val="219"/>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11,775</w:t>
            </w:r>
          </w:p>
        </w:tc>
      </w:tr>
      <w:tr>
        <w:trPr>
          <w:trHeight w:val="213"/>
        </w:trPr>
        <w:tc>
          <w:tcPr>
            <w:tcW w:w="3020" w:type="dxa"/>
            <w:vAlign w:val="bottom"/>
          </w:tcPr>
          <w:p>
            <w:pPr>
              <w:ind w:left="20"/>
              <w:spacing w:after="0"/>
              <w:rPr>
                <w:sz w:val="20"/>
                <w:szCs w:val="20"/>
                <w:color w:val="auto"/>
              </w:rPr>
            </w:pPr>
            <w:r>
              <w:rPr>
                <w:rFonts w:ascii="Arial" w:cs="Arial" w:eastAsia="Arial" w:hAnsi="Arial"/>
                <w:sz w:val="16"/>
                <w:szCs w:val="16"/>
                <w:color w:val="auto"/>
              </w:rPr>
              <w:t>2024</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11,775</w:t>
            </w:r>
          </w:p>
        </w:tc>
      </w:tr>
      <w:tr>
        <w:trPr>
          <w:trHeight w:val="219"/>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11,775</w:t>
            </w:r>
          </w:p>
        </w:tc>
      </w:tr>
      <w:tr>
        <w:trPr>
          <w:trHeight w:val="213"/>
        </w:trPr>
        <w:tc>
          <w:tcPr>
            <w:tcW w:w="31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Thereafter</w:t>
            </w:r>
          </w:p>
        </w:tc>
        <w:tc>
          <w:tcPr>
            <w:tcW w:w="6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1,106,875</w:t>
            </w:r>
          </w:p>
        </w:tc>
      </w:tr>
      <w:tr>
        <w:trPr>
          <w:trHeight w:val="238"/>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6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1,162,806</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the three months ended March 31, 2021 and 2020, the Company engaged in hedging activities to limit its exposure to changes in interest rates.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Derivative Instruments</w:t>
      </w:r>
      <w:r>
        <w:rPr>
          <w:rFonts w:ascii="Arial" w:cs="Arial" w:eastAsia="Arial" w:hAnsi="Arial"/>
          <w:sz w:val="18"/>
          <w:szCs w:val="18"/>
          <w:color w:val="auto"/>
        </w:rPr>
        <w:t>, for further discussion.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estimated fair values of the Company’s debt obligations as of March 31, 2021 (in thousands):</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84"/>
        </w:trPr>
        <w:tc>
          <w:tcPr>
            <w:tcW w:w="2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Carrying Value as of</w:t>
            </w:r>
          </w:p>
        </w:tc>
        <w:tc>
          <w:tcPr>
            <w:tcW w:w="206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5"/>
              </w:rPr>
              <w:t>Markets for Identical Item</w:t>
            </w:r>
          </w:p>
        </w:tc>
        <w:tc>
          <w:tcPr>
            <w:tcW w:w="240" w:type="dxa"/>
            <w:vAlign w:val="bottom"/>
          </w:tcPr>
          <w:p>
            <w:pPr>
              <w:spacing w:after="0"/>
              <w:rPr>
                <w:sz w:val="16"/>
                <w:szCs w:val="16"/>
                <w:color w:val="auto"/>
              </w:rPr>
            </w:pPr>
          </w:p>
        </w:tc>
        <w:tc>
          <w:tcPr>
            <w:tcW w:w="18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Significant Other</w:t>
            </w:r>
          </w:p>
        </w:tc>
        <w:tc>
          <w:tcPr>
            <w:tcW w:w="120" w:type="dxa"/>
            <w:vAlign w:val="bottom"/>
          </w:tcPr>
          <w:p>
            <w:pPr>
              <w:spacing w:after="0"/>
              <w:rPr>
                <w:sz w:val="16"/>
                <w:szCs w:val="16"/>
                <w:color w:val="auto"/>
              </w:rPr>
            </w:pPr>
          </w:p>
        </w:tc>
        <w:tc>
          <w:tcPr>
            <w:tcW w:w="1840" w:type="dxa"/>
            <w:vAlign w:val="bottom"/>
            <w:vMerge w:val="restart"/>
          </w:tcPr>
          <w:p>
            <w:pPr>
              <w:jc w:val="center"/>
              <w:ind w:right="19"/>
              <w:spacing w:after="0"/>
              <w:rPr>
                <w:sz w:val="20"/>
                <w:szCs w:val="20"/>
                <w:color w:val="auto"/>
              </w:rPr>
            </w:pPr>
            <w:r>
              <w:rPr>
                <w:rFonts w:ascii="Arial" w:cs="Arial" w:eastAsia="Arial" w:hAnsi="Arial"/>
                <w:sz w:val="16"/>
                <w:szCs w:val="16"/>
                <w:b w:val="1"/>
                <w:bCs w:val="1"/>
                <w:color w:val="auto"/>
                <w:w w:val="90"/>
              </w:rPr>
              <w:t>Significant Unobservable</w:t>
            </w: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Financial Instrument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2060" w:type="dxa"/>
            <w:vAlign w:val="bottom"/>
            <w:gridSpan w:val="3"/>
            <w:vMerge w:val="continue"/>
          </w:tcPr>
          <w:p>
            <w:pPr>
              <w:spacing w:after="0"/>
              <w:rPr>
                <w:sz w:val="14"/>
                <w:szCs w:val="14"/>
                <w:color w:val="auto"/>
              </w:rPr>
            </w:pPr>
          </w:p>
        </w:tc>
        <w:tc>
          <w:tcPr>
            <w:tcW w:w="2040" w:type="dxa"/>
            <w:vAlign w:val="bottom"/>
            <w:gridSpan w:val="3"/>
          </w:tcPr>
          <w:p>
            <w:pPr>
              <w:jc w:val="center"/>
              <w:ind w:right="100"/>
              <w:spacing w:after="0" w:line="162" w:lineRule="exact"/>
              <w:rPr>
                <w:sz w:val="20"/>
                <w:szCs w:val="20"/>
                <w:color w:val="auto"/>
              </w:rPr>
            </w:pPr>
            <w:r>
              <w:rPr>
                <w:rFonts w:ascii="Arial" w:cs="Arial" w:eastAsia="Arial" w:hAnsi="Arial"/>
                <w:sz w:val="16"/>
                <w:szCs w:val="16"/>
                <w:b w:val="1"/>
                <w:bCs w:val="1"/>
                <w:color w:val="auto"/>
                <w:w w:val="91"/>
              </w:rPr>
              <w:t>Observable Inputs (Level</w:t>
            </w:r>
          </w:p>
        </w:tc>
        <w:tc>
          <w:tcPr>
            <w:tcW w:w="12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6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March 31, 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right="279"/>
              <w:spacing w:after="0"/>
              <w:rPr>
                <w:sz w:val="20"/>
                <w:szCs w:val="20"/>
                <w:color w:val="auto"/>
              </w:rPr>
            </w:pPr>
            <w:r>
              <w:rPr>
                <w:rFonts w:ascii="Arial" w:cs="Arial" w:eastAsia="Arial" w:hAnsi="Arial"/>
                <w:sz w:val="16"/>
                <w:szCs w:val="16"/>
                <w:b w:val="1"/>
                <w:bCs w:val="1"/>
                <w:color w:val="auto"/>
                <w:w w:val="92"/>
              </w:rPr>
              <w:t>(Level 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98"/>
              </w:rPr>
              <w:t>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3"/>
              </w:rPr>
              <w:t>Inputs (Level 3)</w:t>
            </w:r>
          </w:p>
        </w:tc>
        <w:tc>
          <w:tcPr>
            <w:tcW w:w="0" w:type="dxa"/>
            <w:vAlign w:val="bottom"/>
          </w:tcPr>
          <w:p>
            <w:pPr>
              <w:spacing w:after="0"/>
              <w:rPr>
                <w:sz w:val="1"/>
                <w:szCs w:val="1"/>
                <w:color w:val="auto"/>
              </w:rPr>
            </w:pPr>
          </w:p>
        </w:tc>
      </w:tr>
      <w:tr>
        <w:trPr>
          <w:trHeight w:val="212"/>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First lien term loan</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1,132,918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680" w:type="dxa"/>
            <w:vAlign w:val="bottom"/>
            <w:gridSpan w:val="2"/>
            <w:shd w:val="clear" w:color="auto" w:fill="CCEEFF"/>
          </w:tcPr>
          <w:p>
            <w:pPr>
              <w:ind w:left="13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1,158,504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ind w:left="1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7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Second lien notes</w:t>
            </w: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ind w:left="13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ind w:left="1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27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Total debt instruments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1,132,918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680" w:type="dxa"/>
            <w:vAlign w:val="bottom"/>
            <w:gridSpan w:val="2"/>
            <w:shd w:val="clear" w:color="auto" w:fill="CCEEFF"/>
          </w:tcPr>
          <w:p>
            <w:pPr>
              <w:ind w:left="13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1,158,504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ind w:left="1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changes in Level 3 measurements for the three months ended March 31, 2021 (in thousands):</w:t>
      </w:r>
    </w:p>
    <w:p>
      <w:pPr>
        <w:spacing w:after="0" w:line="226"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5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tcPr>
          <w:p>
            <w:pPr>
              <w:jc w:val="right"/>
              <w:ind w:right="219"/>
              <w:spacing w:after="0"/>
              <w:rPr>
                <w:sz w:val="20"/>
                <w:szCs w:val="20"/>
                <w:color w:val="auto"/>
              </w:rPr>
            </w:pPr>
            <w:r>
              <w:rPr>
                <w:rFonts w:ascii="Arial" w:cs="Arial" w:eastAsia="Arial" w:hAnsi="Arial"/>
                <w:sz w:val="16"/>
                <w:szCs w:val="16"/>
                <w:b w:val="1"/>
                <w:bCs w:val="1"/>
                <w:color w:val="auto"/>
                <w:w w:val="96"/>
              </w:rPr>
              <w:t>Level 3 Measurements</w:t>
            </w:r>
          </w:p>
        </w:tc>
      </w:tr>
      <w:tr>
        <w:trPr>
          <w:trHeight w:val="219"/>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Second lien notes fair value as of January 1, 2021</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266,438</w:t>
            </w: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color w:val="auto"/>
              </w:rPr>
              <w:t>Principal prepayment</w:t>
            </w:r>
          </w:p>
        </w:tc>
        <w:tc>
          <w:tcPr>
            <w:tcW w:w="1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(245,781)</w:t>
            </w: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fair value</w:t>
            </w:r>
          </w:p>
        </w:tc>
        <w:tc>
          <w:tcPr>
            <w:tcW w:w="18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(20,657)</w:t>
            </w: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color w:val="auto"/>
              </w:rPr>
              <w:t>Second lien notes fair value as of March 31, 2021</w:t>
            </w: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
        </w:trPr>
        <w:tc>
          <w:tcPr>
            <w:tcW w:w="5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Note 11, </w:t>
      </w:r>
      <w:r>
        <w:rPr>
          <w:rFonts w:ascii="Arial" w:cs="Arial" w:eastAsia="Arial" w:hAnsi="Arial"/>
          <w:sz w:val="18"/>
          <w:szCs w:val="18"/>
          <w:i w:val="1"/>
          <w:iCs w:val="1"/>
          <w:color w:val="auto"/>
        </w:rPr>
        <w:t>Fair Value Measurements</w:t>
      </w:r>
      <w:r>
        <w:rPr>
          <w:rFonts w:ascii="Arial" w:cs="Arial" w:eastAsia="Arial" w:hAnsi="Arial"/>
          <w:sz w:val="18"/>
          <w:szCs w:val="18"/>
          <w:color w:val="auto"/>
        </w:rPr>
        <w:t>, for further discussion.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INSTRUMENTS</w:t>
      </w:r>
    </w:p>
    <w:p>
      <w:pPr>
        <w:spacing w:after="0" w:line="20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Company uses derivative financial instruments for hedging and non-trading purposes to limit the Company’s exposure to increases in interest rates related to its variable interest rate debt. Use of derivative financial instruments in hedging programs subjects the Company to certain risks, such as market and credit risks. Market risk represents the possibility that the value of the derivative financial instrument will change. In a hedging relationship, the change in the value of the derivative financial instrument is offset to a great extent by the change in the value of the underlying hedged item. Credit risk related to a derivative financial instrument represents the possibility that the counterparty will not fulfill the terms of the contract. The notional, or contractual, amount of the Company’s derivative financial instruments is used to measure interest to be paid or received and does not represent the Company’s exposure due to credit risk. Credit risk is monitored through established approval procedures, including reviewing credit ratings when appropriate.</w:t>
      </w:r>
    </w:p>
    <w:p>
      <w:pPr>
        <w:spacing w:after="0" w:line="126"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In August 2019, the Company entered into interest rate swap agreements that reduce the variability in the interest rates on the newly-issued debt obligations following the Merger with BioScrip. The first interest rate swap for $925.0 million notional was effective in August 2019 with $911.1 million designated as a cash flow hedge against the underlying interest rate on the first lien term loan interest payments indexed to one-month London Interbank Offered Rate (“LIBOR”) through August 2021. In accordance with ASU 2017-12, Targeted Improvements to Accounting for Hedges, the Company has determined that the $911.1 million designated cash flow hedge is perfectly effective. The remaining $13.9 million notional amount of the interest rate swap is not designated as a hedging instrument. The second interest rate swap of $400.0 million notional was effective in November 2019 and was designated as a cash flow hedge against the underlying interest rate on the second lien notes interest payments indexed to three-month LIBOR through November 2020.</w:t>
      </w:r>
    </w:p>
    <w:p>
      <w:pPr>
        <w:spacing w:after="0" w:line="126"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following table summarizes the amount and location of the Company’s derivative instruments in the condensed consolidated balance sheets (in thousands):</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4340" w:type="dxa"/>
            <w:vAlign w:val="bottom"/>
          </w:tcPr>
          <w:p>
            <w:pPr>
              <w:spacing w:after="0"/>
              <w:rPr>
                <w:sz w:val="18"/>
                <w:szCs w:val="18"/>
                <w:color w:val="auto"/>
              </w:rPr>
            </w:pPr>
          </w:p>
        </w:tc>
        <w:tc>
          <w:tcPr>
            <w:tcW w:w="5740" w:type="dxa"/>
            <w:vAlign w:val="bottom"/>
            <w:tcBorders>
              <w:bottom w:val="single" w:sz="8" w:color="auto"/>
            </w:tcBorders>
            <w:gridSpan w:val="7"/>
          </w:tcPr>
          <w:p>
            <w:pPr>
              <w:ind w:left="1380"/>
              <w:spacing w:after="0"/>
              <w:rPr>
                <w:sz w:val="20"/>
                <w:szCs w:val="20"/>
                <w:color w:val="auto"/>
              </w:rPr>
            </w:pPr>
            <w:r>
              <w:rPr>
                <w:rFonts w:ascii="Arial" w:cs="Arial" w:eastAsia="Arial" w:hAnsi="Arial"/>
                <w:sz w:val="16"/>
                <w:szCs w:val="16"/>
                <w:b w:val="1"/>
                <w:bCs w:val="1"/>
                <w:color w:val="auto"/>
              </w:rPr>
              <w:t>Fair value - Derivatives in liability position</w:t>
            </w:r>
          </w:p>
        </w:tc>
        <w:tc>
          <w:tcPr>
            <w:tcW w:w="0" w:type="dxa"/>
            <w:vAlign w:val="bottom"/>
          </w:tcPr>
          <w:p>
            <w:pPr>
              <w:spacing w:after="0"/>
              <w:rPr>
                <w:sz w:val="1"/>
                <w:szCs w:val="1"/>
                <w:color w:val="auto"/>
              </w:rPr>
            </w:pPr>
          </w:p>
        </w:tc>
      </w:tr>
      <w:tr>
        <w:trPr>
          <w:trHeight w:val="213"/>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Derivative</w:t>
            </w:r>
          </w:p>
        </w:tc>
        <w:tc>
          <w:tcPr>
            <w:tcW w:w="20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Sheet Caption</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March 31, 2021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2"/>
              </w:rPr>
              <w:t>December 31, 2020</w:t>
            </w:r>
          </w:p>
        </w:tc>
        <w:tc>
          <w:tcPr>
            <w:tcW w:w="0" w:type="dxa"/>
            <w:vAlign w:val="bottom"/>
          </w:tcPr>
          <w:p>
            <w:pPr>
              <w:spacing w:after="0"/>
              <w:rPr>
                <w:sz w:val="1"/>
                <w:szCs w:val="1"/>
                <w:color w:val="auto"/>
              </w:rPr>
            </w:pPr>
          </w:p>
        </w:tc>
      </w:tr>
      <w:tr>
        <w:trPr>
          <w:trHeight w:val="162"/>
        </w:trPr>
        <w:tc>
          <w:tcPr>
            <w:tcW w:w="43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Interest rate swaps designated as cash flow hedges</w:t>
            </w:r>
          </w:p>
        </w:tc>
        <w:tc>
          <w:tcPr>
            <w:tcW w:w="214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Accrued expenses and other</w:t>
            </w: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7,091</w:t>
            </w:r>
          </w:p>
        </w:tc>
        <w:tc>
          <w:tcPr>
            <w:tcW w:w="12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11,172</w:t>
            </w:r>
          </w:p>
        </w:tc>
        <w:tc>
          <w:tcPr>
            <w:tcW w:w="0" w:type="dxa"/>
            <w:vAlign w:val="bottom"/>
          </w:tcPr>
          <w:p>
            <w:pPr>
              <w:spacing w:after="0"/>
              <w:rPr>
                <w:sz w:val="1"/>
                <w:szCs w:val="1"/>
                <w:color w:val="auto"/>
              </w:rPr>
            </w:pPr>
          </w:p>
        </w:tc>
      </w:tr>
      <w:tr>
        <w:trPr>
          <w:trHeight w:val="212"/>
        </w:trPr>
        <w:tc>
          <w:tcPr>
            <w:tcW w:w="4340" w:type="dxa"/>
            <w:vAlign w:val="bottom"/>
            <w:vMerge w:val="continue"/>
            <w:shd w:val="clear" w:color="auto" w:fill="CCEEFF"/>
          </w:tcPr>
          <w:p>
            <w:pPr>
              <w:spacing w:after="0"/>
              <w:rPr>
                <w:sz w:val="18"/>
                <w:szCs w:val="18"/>
                <w:color w:val="auto"/>
              </w:rPr>
            </w:pPr>
          </w:p>
        </w:tc>
        <w:tc>
          <w:tcPr>
            <w:tcW w:w="2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vMerge w:val="continue"/>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340" w:type="dxa"/>
            <w:vAlign w:val="bottom"/>
            <w:vMerge w:val="restart"/>
          </w:tcPr>
          <w:p>
            <w:pPr>
              <w:ind w:left="20"/>
              <w:spacing w:after="0"/>
              <w:rPr>
                <w:sz w:val="20"/>
                <w:szCs w:val="20"/>
                <w:color w:val="auto"/>
              </w:rPr>
            </w:pPr>
            <w:r>
              <w:rPr>
                <w:rFonts w:ascii="Arial" w:cs="Arial" w:eastAsia="Arial" w:hAnsi="Arial"/>
                <w:sz w:val="16"/>
                <w:szCs w:val="16"/>
                <w:color w:val="auto"/>
              </w:rPr>
              <w:t>Interest rate swaps not designated as cash flow hedges</w:t>
            </w:r>
          </w:p>
        </w:tc>
        <w:tc>
          <w:tcPr>
            <w:tcW w:w="214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Accrued expenses and other</w:t>
            </w:r>
          </w:p>
        </w:tc>
        <w:tc>
          <w:tcPr>
            <w:tcW w:w="22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09"/>
        </w:trPr>
        <w:tc>
          <w:tcPr>
            <w:tcW w:w="4340" w:type="dxa"/>
            <w:vAlign w:val="bottom"/>
            <w:tcBorders>
              <w:bottom w:val="single" w:sz="8" w:color="CCEEFF"/>
            </w:tcBorders>
            <w:vMerge w:val="continue"/>
          </w:tcPr>
          <w:p>
            <w:pPr>
              <w:spacing w:after="0"/>
              <w:rPr>
                <w:sz w:val="18"/>
                <w:szCs w:val="18"/>
                <w:color w:val="auto"/>
              </w:rPr>
            </w:pPr>
          </w:p>
        </w:tc>
        <w:tc>
          <w:tcPr>
            <w:tcW w:w="21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derivatives</w:t>
            </w:r>
          </w:p>
        </w:tc>
        <w:tc>
          <w:tcPr>
            <w:tcW w:w="2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11,342</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The gain and loss associated with the changes in the fair value of the effective portion of the hedging instrument are recorded into other comprehensive (loss) income. The gain and loss associated with the changes in the fair value of the $13.9 million notional amount not designated as a hedging instrument is recognized in net income (loss) through interest expense. The following table presents the pre-tax gains (losses) from derivative instruments recognized in other comprehensive (loss) income in the Company’s unaudited condensed consolidated statements of comprehensive income (loss) (in thousands):</w:t>
      </w:r>
    </w:p>
    <w:p>
      <w:pPr>
        <w:spacing w:after="0" w:line="158" w:lineRule="exact"/>
        <w:rPr>
          <w:sz w:val="20"/>
          <w:szCs w:val="20"/>
          <w:color w:val="auto"/>
        </w:rPr>
      </w:pPr>
    </w:p>
    <w:p>
      <w:pPr>
        <w:ind w:left="532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Derivative</w:t>
            </w:r>
          </w:p>
        </w:tc>
        <w:tc>
          <w:tcPr>
            <w:tcW w:w="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r>
      <w:tr>
        <w:trPr>
          <w:trHeight w:val="209"/>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swaps designated as cash flow hedges</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(16,632)</w:t>
            </w:r>
          </w:p>
        </w:tc>
      </w:tr>
      <w:tr>
        <w:trPr>
          <w:trHeight w:val="210"/>
        </w:trPr>
        <w:tc>
          <w:tcPr>
            <w:tcW w:w="484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4,081</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(16,632)</w:t>
            </w:r>
          </w:p>
        </w:tc>
      </w:tr>
      <w:tr>
        <w:trPr>
          <w:trHeight w:val="23"/>
        </w:trPr>
        <w:tc>
          <w:tcPr>
            <w:tcW w:w="4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r>
    </w:tbl>
    <w:p>
      <w:pPr>
        <w:spacing w:after="0" w:line="175"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The following table presents the amount and location of pre-tax income (loss) recognized in the Company’s unaudited condensed consolidated statement of comprehensive income (loss) related to the Company’s derivative instruments (in thousands):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Derivative</w:t>
            </w:r>
          </w:p>
        </w:tc>
        <w:tc>
          <w:tcPr>
            <w:tcW w:w="100" w:type="dxa"/>
            <w:vAlign w:val="bottom"/>
            <w:tcBorders>
              <w:bottom w:val="single" w:sz="8" w:color="CCEEFF"/>
            </w:tcBorders>
          </w:tcPr>
          <w:p>
            <w:pPr>
              <w:spacing w:after="0"/>
              <w:rPr>
                <w:sz w:val="18"/>
                <w:szCs w:val="18"/>
                <w:color w:val="auto"/>
              </w:rPr>
            </w:pPr>
          </w:p>
        </w:tc>
        <w:tc>
          <w:tcPr>
            <w:tcW w:w="240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Income Statement Caption</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r>
      <w:tr>
        <w:trPr>
          <w:trHeight w:val="212"/>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swaps designated as cash flow hedges</w:t>
            </w:r>
          </w:p>
        </w:tc>
        <w:tc>
          <w:tcPr>
            <w:tcW w:w="28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w:t>
            </w:r>
          </w:p>
        </w:tc>
      </w:tr>
      <w:tr>
        <w:trPr>
          <w:trHeight w:val="213"/>
        </w:trPr>
        <w:tc>
          <w:tcPr>
            <w:tcW w:w="45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Interest rate swaps not designated as hedges</w:t>
            </w:r>
          </w:p>
        </w:tc>
        <w:tc>
          <w:tcPr>
            <w:tcW w:w="25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Interest expense</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w:t>
            </w:r>
          </w:p>
        </w:tc>
      </w:tr>
      <w:tr>
        <w:trPr>
          <w:trHeight w:val="229"/>
        </w:trPr>
        <w:tc>
          <w:tcPr>
            <w:tcW w:w="4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2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Company expects to reclassify $7.1 million of total interest rate costs from accumulated other comprehensive loss against interest expense during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w:t>
      </w:r>
    </w:p>
    <w:p>
      <w:pPr>
        <w:spacing w:after="0" w:line="202" w:lineRule="exact"/>
        <w:rPr>
          <w:sz w:val="20"/>
          <w:szCs w:val="20"/>
          <w:color w:val="auto"/>
        </w:rPr>
      </w:pPr>
    </w:p>
    <w:p>
      <w:pPr>
        <w:ind w:right="300" w:firstLine="324"/>
        <w:spacing w:after="0" w:line="311" w:lineRule="auto"/>
        <w:rPr>
          <w:sz w:val="20"/>
          <w:szCs w:val="20"/>
          <w:color w:val="auto"/>
        </w:rPr>
      </w:pPr>
      <w:r>
        <w:rPr>
          <w:rFonts w:ascii="Arial" w:cs="Arial" w:eastAsia="Arial" w:hAnsi="Arial"/>
          <w:sz w:val="16"/>
          <w:szCs w:val="16"/>
          <w:color w:val="auto"/>
        </w:rPr>
        <w:t>Fair value measurements are determined by maximizing the use of observable inputs and minimizing the use of unobservable inputs. The hierarchy places the highest priority on unadjusted quoted market prices in active markets for identical assets or liabilities (Level 1 measurements) and gives the lowest priority to unobservable inputs (Level 3 measurements). The categories within the valuation hierarchy are described as follows:</w:t>
      </w:r>
    </w:p>
    <w:p>
      <w:pPr>
        <w:spacing w:after="0" w:line="108" w:lineRule="exact"/>
        <w:rPr>
          <w:sz w:val="20"/>
          <w:szCs w:val="20"/>
          <w:color w:val="auto"/>
        </w:rPr>
      </w:pPr>
    </w:p>
    <w:p>
      <w:pPr>
        <w:ind w:left="900" w:hanging="16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Inputs to the fair value measurement are quoted prices in active markets for identical assets or liabilities.</w:t>
      </w:r>
    </w:p>
    <w:p>
      <w:pPr>
        <w:spacing w:after="0" w:line="23" w:lineRule="exact"/>
        <w:rPr>
          <w:rFonts w:ascii="Arial" w:cs="Arial" w:eastAsia="Arial" w:hAnsi="Arial"/>
          <w:sz w:val="18"/>
          <w:szCs w:val="18"/>
          <w:color w:val="auto"/>
        </w:rPr>
      </w:pPr>
    </w:p>
    <w:p>
      <w:pPr>
        <w:ind w:left="900" w:right="360" w:hanging="163"/>
        <w:spacing w:after="0" w:line="250" w:lineRule="auto"/>
        <w:tabs>
          <w:tab w:leader="none" w:pos="89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Inputs to the fair value measurement include quoted prices in active markets for similar assets or liabilities, quoted prices for identical or similar assets or liabilities in markets that are not active, and inputs other than quoted prices that are observable for the asset or liability, either directly or indirectly.</w:t>
      </w:r>
    </w:p>
    <w:p>
      <w:pPr>
        <w:spacing w:after="0" w:line="1" w:lineRule="exact"/>
        <w:rPr>
          <w:rFonts w:ascii="Arial" w:cs="Arial" w:eastAsia="Arial" w:hAnsi="Arial"/>
          <w:sz w:val="18"/>
          <w:szCs w:val="18"/>
          <w:color w:val="auto"/>
        </w:rPr>
      </w:pPr>
    </w:p>
    <w:p>
      <w:pPr>
        <w:ind w:left="900" w:hanging="16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Inputs to the fair value measurement are unobservable inputs or valuation techniques.</w:t>
      </w:r>
    </w:p>
    <w:p>
      <w:pPr>
        <w:spacing w:after="0" w:line="170"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While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97"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i w:val="1"/>
          <w:iCs w:val="1"/>
          <w:color w:val="auto"/>
        </w:rPr>
        <w:t>First lien term loan</w:t>
      </w:r>
      <w:r>
        <w:rPr>
          <w:rFonts w:ascii="Arial" w:cs="Arial" w:eastAsia="Arial" w:hAnsi="Arial"/>
          <w:sz w:val="18"/>
          <w:szCs w:val="18"/>
          <w:color w:val="auto"/>
        </w:rPr>
        <w:t>: The fair value of the first lien term loan is derived from a broker quote on the loans in the syndication (Level 2 inputs). See Note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9, </w:t>
      </w:r>
      <w:r>
        <w:rPr>
          <w:rFonts w:ascii="Arial" w:cs="Arial" w:eastAsia="Arial" w:hAnsi="Arial"/>
          <w:sz w:val="18"/>
          <w:szCs w:val="18"/>
          <w:i w:val="1"/>
          <w:iCs w:val="1"/>
          <w:color w:val="auto"/>
        </w:rPr>
        <w:t>Indebtedness</w:t>
      </w:r>
      <w:r>
        <w:rPr>
          <w:rFonts w:ascii="Arial" w:cs="Arial" w:eastAsia="Arial" w:hAnsi="Arial"/>
          <w:sz w:val="18"/>
          <w:szCs w:val="18"/>
          <w:color w:val="auto"/>
        </w:rPr>
        <w:t>, for further discussion of the carrying amount and fair value of the first lien term loan.</w:t>
      </w:r>
    </w:p>
    <w:p>
      <w:pPr>
        <w:spacing w:after="0" w:line="130"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i w:val="1"/>
          <w:iCs w:val="1"/>
          <w:color w:val="auto"/>
        </w:rPr>
        <w:t>Second lien notes</w:t>
      </w:r>
      <w:r>
        <w:rPr>
          <w:rFonts w:ascii="Arial" w:cs="Arial" w:eastAsia="Arial" w:hAnsi="Arial"/>
          <w:sz w:val="17"/>
          <w:szCs w:val="17"/>
          <w:color w:val="auto"/>
        </w:rPr>
        <w:t>: The fair value of the second lien notes was derived from a cash flow model that discounted the cash flows based on market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rates (Level 3 inputs). See Note 9, </w:t>
      </w:r>
      <w:r>
        <w:rPr>
          <w:rFonts w:ascii="Arial" w:cs="Arial" w:eastAsia="Arial" w:hAnsi="Arial"/>
          <w:sz w:val="17"/>
          <w:szCs w:val="17"/>
          <w:i w:val="1"/>
          <w:iCs w:val="1"/>
          <w:color w:val="auto"/>
        </w:rPr>
        <w:t>Indebtedness</w:t>
      </w:r>
      <w:r>
        <w:rPr>
          <w:rFonts w:ascii="Arial" w:cs="Arial" w:eastAsia="Arial" w:hAnsi="Arial"/>
          <w:sz w:val="17"/>
          <w:szCs w:val="17"/>
          <w:color w:val="auto"/>
        </w:rPr>
        <w:t>, for further discussion of the carrying amount and fair value of the second lien notes.</w:t>
      </w:r>
    </w:p>
    <w:p>
      <w:pPr>
        <w:spacing w:after="0" w:line="106" w:lineRule="exact"/>
        <w:rPr>
          <w:sz w:val="20"/>
          <w:szCs w:val="20"/>
          <w:color w:val="auto"/>
        </w:rPr>
      </w:pPr>
    </w:p>
    <w:p>
      <w:pPr>
        <w:jc w:val="both"/>
        <w:ind w:right="280" w:firstLine="324"/>
        <w:spacing w:after="0" w:line="263" w:lineRule="auto"/>
        <w:rPr>
          <w:sz w:val="20"/>
          <w:szCs w:val="20"/>
          <w:color w:val="auto"/>
        </w:rPr>
      </w:pPr>
      <w:r>
        <w:rPr>
          <w:rFonts w:ascii="Arial" w:cs="Arial" w:eastAsia="Arial" w:hAnsi="Arial"/>
          <w:sz w:val="18"/>
          <w:szCs w:val="18"/>
          <w:i w:val="1"/>
          <w:iCs w:val="1"/>
          <w:color w:val="auto"/>
        </w:rPr>
        <w:t>Interest rate swaps</w:t>
      </w:r>
      <w:r>
        <w:rPr>
          <w:rFonts w:ascii="Arial" w:cs="Arial" w:eastAsia="Arial" w:hAnsi="Arial"/>
          <w:sz w:val="18"/>
          <w:szCs w:val="18"/>
          <w:color w:val="auto"/>
        </w:rPr>
        <w:t>: The fair values of interest rate swaps are derived from the interest rates prevalent in the market and future expectations of those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interest rates (Level 2 inputs). The Company determines the fair value of the investments based on quoted prices from third-party brokers. See Note 10, </w:t>
      </w:r>
      <w:r>
        <w:rPr>
          <w:rFonts w:ascii="Arial" w:cs="Arial" w:eastAsia="Arial" w:hAnsi="Arial"/>
          <w:sz w:val="18"/>
          <w:szCs w:val="18"/>
          <w:i w:val="1"/>
          <w:iCs w:val="1"/>
          <w:color w:val="auto"/>
        </w:rPr>
        <w:t>Derivative Instruments</w:t>
      </w:r>
      <w:r>
        <w:rPr>
          <w:rFonts w:ascii="Arial" w:cs="Arial" w:eastAsia="Arial" w:hAnsi="Arial"/>
          <w:sz w:val="18"/>
          <w:szCs w:val="18"/>
          <w:color w:val="auto"/>
        </w:rPr>
        <w:t>, for further discussion of the fair value of interest rate swaps.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other assets or liabilities measured at fair value at March 31, 2021 and December 31,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8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Company is involved in legal proceedings and is subject to investigations, inspections, audits, inquiries, and similar actions by governmental authorities, arising in the normal course of the Company’s business. Some of these suits may purport or may be determined to be class actions and/or involve parties seeking large and/or indeterminate amounts, including punitive or exemplary damages, and may remain unresolved for several years. From time to time, the Company may also be involved in legal proceedings as a plaintiff involving antitrust, tax, contract, intellectual property, and other matters. Gain contingencies, if any, are recognized when they are realized. The results of legal proceedings are often uncertain and difficult to predict, and the costs incurred in litigation can be substantial, regardless of the outcome. The Company believes that its defenses and assertions in pending legal proceedings have merit and does not believe that any of these pending matters, after consideration of applicable reserves and rights to indemnification, will have a material adverse effect on the Company’s condensed consolidated balance sheets. However, substantial unanticipated verdicts, fines, and rulings may occur. As a result, the Company may from time to time incur judgments, enter into settlements, or revise expectations regarding the outcome of certain matters, and such developments could have a material adverse effect on its results of operations in the period in which the amounts are accrued and/or its cash flows in the period in which the amounts are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INCENTIVE COMPENSATION</w:t>
      </w:r>
    </w:p>
    <w:p>
      <w:pPr>
        <w:spacing w:after="0" w:line="198"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b w:val="1"/>
          <w:bCs w:val="1"/>
          <w:color w:val="auto"/>
        </w:rPr>
        <w:t xml:space="preserve">Equity Incentive Plans </w:t>
      </w:r>
      <w:r>
        <w:rPr>
          <w:rFonts w:ascii="Arial" w:cs="Arial" w:eastAsia="Arial" w:hAnsi="Arial"/>
          <w:sz w:val="17"/>
          <w:szCs w:val="17"/>
          <w:color w:val="auto"/>
        </w:rPr>
        <w:t>— Under the Company’s 2018 Equity Incentive Plan (the “2018 Plan”), approved at the annual meeting by the BioScrip</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on May 3, 2018, the Company may issue, among other things, incentive stock options, non-qualified stock options, stock appreciation rights, restricted stock units, stock grants, and performance units to key employees and directors. The 2018 plan is administered by the Company’s Compensation Committee, a standing committee of the Board of Directors. A total of 4,101,735 shares of common stock were initially authorized for issuance under the 2018 Plan. The Company had stock options, restricted stock and performance stock units outstanding related to the 2018 Plan as of March 31, 2021. As of March 31, 2021, the Company also had incentive units outstanding related to the HC I equity incentive plan, which was implemented in October 2015, for certain officers and employees of the Company. During the three months ended March 31, 2021 and 2020, total stock-based incentive compensation expense recognized by the Company related to these plans was $1.2 million and $0.8 million,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STOCKHOLDERS’ EQUITY</w:t>
      </w:r>
    </w:p>
    <w:p>
      <w:pPr>
        <w:spacing w:after="0" w:line="189"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On January 3, 2020, the Company’s board of directors and HC I, the stockholder of a majority of the Company’s common stock, approved a reverse stock split of the Company’s issued and outstanding common stock on a one share for four share basis and appropriately amended the Company’s Third Amended and Restated Certificate of Incorporation to reflect the change. On February 3, 2020, the reverse stock split became effective. In connection with the reverse stock split, the Company changed its ticker symbol from “BIOS” to “OPCH” and transferred the Company’s common stock from the Nasdaq Capital Market to the Nasdaq Global Select Market. The par value of the Company’s common stock remained unchanged as a result of the reverse stock split, resulting in a decrease to the aggregate par value of common stock and corresponding increase to paid-in capital in the Company’s unaudited condensed consolidated financial statements, which was retrospectively applied to all periods presented in the unaudited condensed consolidated financial statements. All common shares, warrants and stock awards presented in the unaudited condensed consolidated financial statements have been retrospectively adjusted for the reverse stock split. During the three months ended March 31, 2021, HC I completed secondary offerings of 29,250,000 shares of common stock. Following these offerings, HC I holds approximately 47.3% of the common stock of the Company.</w:t>
      </w:r>
    </w:p>
    <w:p>
      <w:pPr>
        <w:spacing w:after="0" w:line="137" w:lineRule="exact"/>
        <w:rPr>
          <w:sz w:val="20"/>
          <w:szCs w:val="20"/>
          <w:color w:val="auto"/>
        </w:rPr>
      </w:pPr>
    </w:p>
    <w:p>
      <w:pPr>
        <w:ind w:firstLine="324"/>
        <w:spacing w:after="0" w:line="266" w:lineRule="auto"/>
        <w:rPr>
          <w:sz w:val="20"/>
          <w:szCs w:val="20"/>
          <w:color w:val="auto"/>
        </w:rPr>
      </w:pPr>
      <w:r>
        <w:rPr>
          <w:rFonts w:ascii="Arial" w:cs="Arial" w:eastAsia="Arial" w:hAnsi="Arial"/>
          <w:sz w:val="18"/>
          <w:szCs w:val="18"/>
          <w:b w:val="1"/>
          <w:bCs w:val="1"/>
          <w:color w:val="auto"/>
        </w:rPr>
        <w:t xml:space="preserve">2017 Warrants </w:t>
      </w:r>
      <w:r>
        <w:rPr>
          <w:rFonts w:ascii="Arial" w:cs="Arial" w:eastAsia="Arial" w:hAnsi="Arial"/>
          <w:sz w:val="18"/>
          <w:szCs w:val="18"/>
          <w:color w:val="auto"/>
        </w:rPr>
        <w:t>— During the three months ended March 31, 2021 and 2020, warrant holders did not elect to exercise any warrants to purchase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of common stock. As of March 31, 2021 and December 31, 2020, the remaining warrant holders are entitled to purchase 1.4 million shares of common stock, respectively.</w:t>
      </w:r>
    </w:p>
    <w:p>
      <w:pPr>
        <w:spacing w:after="0" w:line="135" w:lineRule="exact"/>
        <w:rPr>
          <w:sz w:val="20"/>
          <w:szCs w:val="20"/>
          <w:color w:val="auto"/>
        </w:rPr>
      </w:pPr>
    </w:p>
    <w:p>
      <w:pPr>
        <w:ind w:firstLine="324"/>
        <w:spacing w:after="0" w:line="266" w:lineRule="auto"/>
        <w:rPr>
          <w:sz w:val="20"/>
          <w:szCs w:val="20"/>
          <w:color w:val="auto"/>
        </w:rPr>
      </w:pPr>
      <w:r>
        <w:rPr>
          <w:rFonts w:ascii="Arial" w:cs="Arial" w:eastAsia="Arial" w:hAnsi="Arial"/>
          <w:sz w:val="18"/>
          <w:szCs w:val="18"/>
          <w:b w:val="1"/>
          <w:bCs w:val="1"/>
          <w:color w:val="auto"/>
        </w:rPr>
        <w:t xml:space="preserve">2015 Warrants </w:t>
      </w:r>
      <w:r>
        <w:rPr>
          <w:rFonts w:ascii="Arial" w:cs="Arial" w:eastAsia="Arial" w:hAnsi="Arial"/>
          <w:sz w:val="18"/>
          <w:szCs w:val="18"/>
          <w:color w:val="auto"/>
        </w:rPr>
        <w:t>— During the three months ended March 31, 2021 and 2020, warrant holders did not elect to exercise any warrants to purchase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of common stock. As of March 31, 2021 and December 31, 2020, warrant holders are entitled to purchase 0.9 million shares of common stock,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RELATED-PARTY TRANSACTIONS</w:t>
      </w:r>
    </w:p>
    <w:p>
      <w:pPr>
        <w:spacing w:after="0" w:line="198" w:lineRule="exact"/>
        <w:rPr>
          <w:sz w:val="20"/>
          <w:szCs w:val="20"/>
          <w:color w:val="auto"/>
        </w:rPr>
      </w:pPr>
    </w:p>
    <w:p>
      <w:pPr>
        <w:ind w:right="60" w:firstLine="324"/>
        <w:spacing w:after="0" w:line="281" w:lineRule="auto"/>
        <w:rPr>
          <w:sz w:val="20"/>
          <w:szCs w:val="20"/>
          <w:color w:val="auto"/>
        </w:rPr>
      </w:pPr>
      <w:r>
        <w:rPr>
          <w:rFonts w:ascii="Arial" w:cs="Arial" w:eastAsia="Arial" w:hAnsi="Arial"/>
          <w:sz w:val="17"/>
          <w:szCs w:val="17"/>
          <w:b w:val="1"/>
          <w:bCs w:val="1"/>
          <w:color w:val="auto"/>
        </w:rPr>
        <w:t xml:space="preserve">Transactions with Equity-Method Investees </w:t>
      </w:r>
      <w:r>
        <w:rPr>
          <w:rFonts w:ascii="Arial" w:cs="Arial" w:eastAsia="Arial" w:hAnsi="Arial"/>
          <w:sz w:val="17"/>
          <w:szCs w:val="17"/>
          <w:color w:val="auto"/>
        </w:rPr>
        <w:t>— The Company provides management services to its joint ventures such as accounting, invoicing and</w:t>
      </w:r>
      <w:r>
        <w:rPr>
          <w:rFonts w:ascii="Arial" w:cs="Arial" w:eastAsia="Arial" w:hAnsi="Arial"/>
          <w:sz w:val="17"/>
          <w:szCs w:val="17"/>
          <w:b w:val="1"/>
          <w:bCs w:val="1"/>
          <w:color w:val="auto"/>
        </w:rPr>
        <w:t xml:space="preserve"> </w:t>
      </w:r>
      <w:r>
        <w:rPr>
          <w:rFonts w:ascii="Arial" w:cs="Arial" w:eastAsia="Arial" w:hAnsi="Arial"/>
          <w:sz w:val="17"/>
          <w:szCs w:val="17"/>
          <w:color w:val="auto"/>
        </w:rPr>
        <w:t>collections in addition to day-to-day managerial support of the operations of the businesses. The Company recorded management fee income of $0.8 million and $0.7 million for the three months ended March 31, 2021 and 2020, respectively. Management fees are recorded in net revenues in the accompanying unaudited condensed consolidated statements of comprehensive income (loss).</w:t>
      </w:r>
    </w:p>
    <w:p>
      <w:pPr>
        <w:spacing w:after="0" w:line="128"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Company had amounts due to its joint ventures of $1.1 million as of March 31, 2021. The Company had amounts due from its joint ventures of $2.4 million as of December 31, 2020. These payables were included in accrued expenses and other current liabilities and these receivables were included in prepaid expenses and other current assets in the accompanying condensed consolidated balance sheets. These balances primarily relate to cash collections received by the Company on behalf of the joint ventures, offset by certain pharmaceutical inventories and other expenses paid for by the Company on behalf of the joint ventures.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has evaluated whether any subsequent events occurred since March 31, 2021, and noted the following subsequent event:</w:t>
      </w:r>
    </w:p>
    <w:p>
      <w:pPr>
        <w:spacing w:after="0" w:line="196"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On April 7, 2021, the Company completed the acquisition of certain assets from BioCure, LLC for a purchase price of $18.5 million. The assets acquired were primarily comprised of referral sources and inventories.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02"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i w:val="1"/>
          <w:iCs w:val="1"/>
          <w:color w:val="auto"/>
        </w:rPr>
        <w:t>Unless the context requires otherwise, references in this report to "Option Care Health," the “Company,” “we,” “us” and “our” refer to Option Care Health, Inc. and its consolidated subsidiaries. The following discussion and analysis of the financial condition and results of operations of Option Care Health, Inc. (“Option Care Health”, or the “Company”) should be read in conjunction with the audited consolidated financial statements and related notes, as presented in the Annual Report on Form 10-K filed with the Securities and Exchange Commission on March 11, 2021, as well as the Company’s unaudited condensed consolidated financial statements and the related notes thereto included elsewhere in this report.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This Quarterly Report on Form 10-Q (this “Quarterly Report”) contains statements not purely historical and which may be considered forward-looking statements within the meaning of Section 27A of the Securities Act of 1933, as amended (the “Securities Act”), and Section 21E of the Securities Exchange Act of 1934, as amended (the “Exchange Act’), including statements regarding our expectations, beliefs, future plans and strategies, anticipated events or trends concerning matters that are not historical facts or that necessarily depend upon future events. In some cases, you can identify forward-looking statements by terms such as “may,” “will,” “should,” “could,” “would,” “expect,” “plan,” “anticipate,” “believe,” “estimate,” “project,” “predict,” “potential,” and similar expressions. Such forward-looking statements include, but are not limited to, the effect of the novel coronavirus (“COVID-19”) on our business, financial condition and results of operations. This Quarterly Report contains, among others, forward-looking statements based upon current expectations that involve numerous risks and uncertainties, including those described in Item 1A “Risk Factors”.</w:t>
      </w:r>
    </w:p>
    <w:p>
      <w:pPr>
        <w:spacing w:after="0" w:line="138" w:lineRule="exact"/>
        <w:rPr>
          <w:sz w:val="20"/>
          <w:szCs w:val="20"/>
          <w:color w:val="auto"/>
        </w:rPr>
      </w:pPr>
    </w:p>
    <w:p>
      <w:pPr>
        <w:ind w:right="340" w:firstLine="324"/>
        <w:spacing w:after="0" w:line="308" w:lineRule="auto"/>
        <w:rPr>
          <w:sz w:val="20"/>
          <w:szCs w:val="20"/>
          <w:color w:val="auto"/>
        </w:rPr>
      </w:pPr>
      <w:r>
        <w:rPr>
          <w:rFonts w:ascii="Arial" w:cs="Arial" w:eastAsia="Arial" w:hAnsi="Arial"/>
          <w:sz w:val="17"/>
          <w:szCs w:val="17"/>
          <w:color w:val="auto"/>
        </w:rPr>
        <w:t>Investors are cautioned that any such forward-looking statements are not guarantees of future performance, involve risks and uncertainties and that actual results may differ materially from those possible results discussed in the forward-looking statements as a result of various factors.</w:t>
      </w:r>
    </w:p>
    <w:p>
      <w:pPr>
        <w:spacing w:after="0" w:line="106"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Do not place undue reliance on such forward-looking statements as they speak only as of the date they are made. Except as required by law, the Company assumes no obligation to publicly update or revise any forward-looking statement even if experience or future changes make it clear that any projected results expressed or implied therein will not be realized.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0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Option Care Health, and its wholly-owned subsidiaries, provides infusion therapy and other ancillary health care services through a national network of 145 locations around the United States. The Company contracts with managed care organizations, third-party payers, hospitals, physicians, and other referral sources to provide pharmaceuticals and complex compounded solutions to patients for intravenous delivery in the patients’ homes or other nonhospital settings. Our services are provided in coordination with, and under the direction of, the patient’s physician. Our multidisciplinary team of clinicians, including pharmacists, nurses, dietitians and respiratory therapists, work with the physician to develop a plan of care suited to each patient’s specific needs. We provide home infusion services consisting of anti-infectives, nutrition support, bleeding disorder therapies, immunoglobulin therapy, and other therapies for chronic and acute conditions.</w:t>
      </w:r>
    </w:p>
    <w:p>
      <w:pPr>
        <w:spacing w:after="0" w:line="154"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HC Group Holdings II, Inc. (“HC II”) was incorporated under the laws of the State of Delaware on January 7, 2015, with its sole shareholder being HC Group Holdings I, LLC. (“HC I”). On April 7, 2015, HC I and HC II collectively acquired Walgreens Infusion Services, Inc. and its subsidiaries from Walgreen Co., and the business was rebranded as Option Care, Inc. (“Option Care”).</w:t>
      </w:r>
    </w:p>
    <w:p>
      <w:pPr>
        <w:spacing w:after="0" w:line="143"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On March 14, 2019, HC I and HC II entered into a definitive agreement (the “Merger Agreement”) to merge with and into a wholly-owned subsidiary of BioScrip, Inc. (“BioScrip”) (the “Merger”), a national provider of infusion and home care management solutions, which was completed on August 6, 2019 (the “Merger Date”). The Merger was accounted for as a reverse merger under the acquisition method of accounting for business combinations with Option Care being considered the accounting acquirer and BioScrip being considered the legal acquirer. Following the close of the transaction, BioScrip was rebranded as Option Care Health, Inc. and the combined company’s stock, par value $0.0001, was listed on the Nasdaq Global Select Market as of March 31, 2021.</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 on the Impact of the COVID-19 Pandemic</w:t>
      </w:r>
    </w:p>
    <w:p>
      <w:pPr>
        <w:spacing w:after="0" w:line="202" w:lineRule="exact"/>
        <w:rPr>
          <w:sz w:val="20"/>
          <w:szCs w:val="20"/>
          <w:color w:val="auto"/>
        </w:rPr>
      </w:pPr>
    </w:p>
    <w:p>
      <w:pPr>
        <w:ind w:right="480" w:firstLine="324"/>
        <w:spacing w:after="0" w:line="308" w:lineRule="auto"/>
        <w:rPr>
          <w:sz w:val="20"/>
          <w:szCs w:val="20"/>
          <w:color w:val="auto"/>
        </w:rPr>
      </w:pPr>
      <w:r>
        <w:rPr>
          <w:rFonts w:ascii="Arial" w:cs="Arial" w:eastAsia="Arial" w:hAnsi="Arial"/>
          <w:sz w:val="17"/>
          <w:szCs w:val="17"/>
          <w:color w:val="auto"/>
        </w:rPr>
        <w:t>The primary operations of the Company focus on providing infusion therapy services and based on the recent impact of the pandemic across the healthcare ecosystem, the Company began experiencing a related impact across a number of facets beginning in March 2020.</w:t>
      </w:r>
    </w:p>
    <w:p>
      <w:pPr>
        <w:spacing w:after="0" w:line="106" w:lineRule="exact"/>
        <w:rPr>
          <w:sz w:val="20"/>
          <w:szCs w:val="20"/>
          <w:color w:val="auto"/>
        </w:rPr>
      </w:pPr>
    </w:p>
    <w:p>
      <w:pPr>
        <w:ind w:firstLine="292"/>
        <w:spacing w:after="0" w:line="273" w:lineRule="auto"/>
        <w:rPr>
          <w:sz w:val="20"/>
          <w:szCs w:val="20"/>
          <w:color w:val="auto"/>
        </w:rPr>
      </w:pPr>
      <w:r>
        <w:rPr>
          <w:rFonts w:ascii="Arial" w:cs="Arial" w:eastAsia="Arial" w:hAnsi="Arial"/>
          <w:sz w:val="17"/>
          <w:szCs w:val="17"/>
          <w:color w:val="auto"/>
        </w:rPr>
        <w:t>The Company relies upon patient referrals from multiple sources, including but not limited to patients discharged from acute care settings (e.g., hospitals) and patients requiring treatment for chronic conditions from specialty physicians. As expected, the pandemic has negatively affected new patient referrals for both acute and chronic conditions; however, the Company did experience an increase in patient transfers from hospital and outpatient settings which positively affected revenues. For the three months ended March 31, 2021, the revenue results reflect flat acute revenues relative to the prior year while chronic revenue had low double-digit growth. Option Care Health continues to collaborate with payers and health systems to transition patients into the home or one of our alternate treatment sites to receive vital infusion therapy.</w:t>
      </w:r>
    </w:p>
    <w:p>
      <w:pPr>
        <w:spacing w:after="0" w:line="137" w:lineRule="exact"/>
        <w:rPr>
          <w:sz w:val="20"/>
          <w:szCs w:val="20"/>
          <w:color w:val="auto"/>
        </w:rPr>
      </w:pPr>
    </w:p>
    <w:p>
      <w:pPr>
        <w:ind w:right="120" w:firstLine="292"/>
        <w:spacing w:after="0" w:line="272" w:lineRule="auto"/>
        <w:rPr>
          <w:sz w:val="20"/>
          <w:szCs w:val="20"/>
          <w:color w:val="auto"/>
        </w:rPr>
      </w:pPr>
      <w:r>
        <w:rPr>
          <w:rFonts w:ascii="Arial" w:cs="Arial" w:eastAsia="Arial" w:hAnsi="Arial"/>
          <w:sz w:val="17"/>
          <w:szCs w:val="17"/>
          <w:color w:val="auto"/>
        </w:rPr>
        <w:t>The Company continued to experience cost inefficiencies during the three months ended March 31, 2021 with respect to clinical labor and other staffing challenges. The integration-related initiatives that were accelerated during the year ended December 31, 2020 continue to offset the negative impacts resulting from the COVID-19 pandemic. Further, to date, the Company has experienced no material deceleration in cash collections and collaboration with payers continues to be productive The Company anticipates that the pandemic could affect its operations for an extended period; however, at this time it cannot confidently forecast the duration nor the ultimate financial impact on its operations. See Item 1A. “Risk Factors” under the caption “The COVID-19 pandemic could adversely impact our business, results of operations, cash flows and financial position” include in our Annual Report on Form 10-K for the year ended December 31, 2020 for further discussion of risks.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Results of Operations</w:t>
      </w:r>
    </w:p>
    <w:p>
      <w:pPr>
        <w:spacing w:after="0" w:line="202"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following results of operations include the accounts of Option Care Health and our subsidiaries for the three months ended March 31, 2021 and 2020.</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Gross Profit</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Gross profit represents our net revenue less cost of revenue.</w:t>
      </w:r>
    </w:p>
    <w:p>
      <w:pPr>
        <w:spacing w:after="0" w:line="198"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i w:val="1"/>
          <w:iCs w:val="1"/>
          <w:color w:val="auto"/>
        </w:rPr>
        <w:t xml:space="preserve">Net Revenue. </w:t>
      </w:r>
      <w:r>
        <w:rPr>
          <w:rFonts w:ascii="Arial" w:cs="Arial" w:eastAsia="Arial" w:hAnsi="Arial"/>
          <w:sz w:val="18"/>
          <w:szCs w:val="18"/>
          <w:color w:val="auto"/>
        </w:rPr>
        <w:t>Infusion and related health care services revenue is reported at the estimated net realizable amounts from third-party payers and patients</w:t>
      </w:r>
      <w:r>
        <w:rPr>
          <w:rFonts w:ascii="Arial" w:cs="Arial" w:eastAsia="Arial" w:hAnsi="Arial"/>
          <w:sz w:val="18"/>
          <w:szCs w:val="18"/>
          <w:i w:val="1"/>
          <w:iCs w:val="1"/>
          <w:color w:val="auto"/>
        </w:rPr>
        <w:t xml:space="preserve"> </w:t>
      </w:r>
      <w:r>
        <w:rPr>
          <w:rFonts w:ascii="Arial" w:cs="Arial" w:eastAsia="Arial" w:hAnsi="Arial"/>
          <w:sz w:val="18"/>
          <w:szCs w:val="18"/>
          <w:color w:val="auto"/>
        </w:rPr>
        <w:t>for goods sold and services rendered. When pharmaceuticals are provided to a patient, revenue is recognized upon delivery of the goods. When nursing services are provided, revenue is recognized when the services are rendered.</w:t>
      </w:r>
    </w:p>
    <w:p>
      <w:pPr>
        <w:spacing w:after="0" w:line="143"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Due to the nature of the health care industry and the reimbursement environment in which the Company operates, certain estimates are required to record revenue and accounts receivable at their net realizable values at the time goods or services are provided. Inherent in these estimates is the risk that they will have to be revised or updated as additional information becomes available. Specifically, the complexity of many third-party billing arrangements and the uncertainty of reimbursement amounts for certain services from certain payers may result in adjustments to amounts originally recorded.</w:t>
      </w:r>
    </w:p>
    <w:p>
      <w:pPr>
        <w:spacing w:after="0" w:line="11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Cost of revenue consists of the actual cost of pharmaceuticals and other medical supplies dispensed to patients. In addition to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costs, cost of revenue includes warehousing costs, purchasing costs, depreciation expense relating to revenue-generating assets, such as infusion pumps, shipping and handling costs, and wages and related costs for the pharmacists, nurses, and all other employees and contracted workers directly involved in providing service to the patient.</w:t>
      </w:r>
    </w:p>
    <w:p>
      <w:pPr>
        <w:spacing w:after="0" w:line="160"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The Company receives volume-based rebates and prompt payment discounts from some of its pharmaceutical and medical supplies vendors. These payments are recorded as a reduction of inventory and are accounted for as a reduction of cost of revenue when the related inventory is sold.</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8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i w:val="1"/>
          <w:iCs w:val="1"/>
          <w:color w:val="auto"/>
        </w:rPr>
        <w:t>Selling, General and Administrative Expenses</w:t>
      </w:r>
      <w:r>
        <w:rPr>
          <w:rFonts w:ascii="Arial" w:cs="Arial" w:eastAsia="Arial" w:hAnsi="Arial"/>
          <w:sz w:val="17"/>
          <w:szCs w:val="17"/>
          <w:color w:val="auto"/>
        </w:rPr>
        <w:t>. Selling, general and administrative expenses consist principally of salaries for administrative 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that directly and indirectly support the operations, occupancy costs, marketing expenditures, insurance, and professional fees.</w:t>
      </w:r>
    </w:p>
    <w:p>
      <w:pPr>
        <w:spacing w:after="0" w:line="119"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i w:val="1"/>
          <w:iCs w:val="1"/>
          <w:color w:val="auto"/>
        </w:rPr>
        <w:t xml:space="preserve">Depreciation and Amortization Expense. </w:t>
      </w:r>
      <w:r>
        <w:rPr>
          <w:rFonts w:ascii="Arial" w:cs="Arial" w:eastAsia="Arial" w:hAnsi="Arial"/>
          <w:sz w:val="17"/>
          <w:szCs w:val="17"/>
          <w:color w:val="auto"/>
        </w:rPr>
        <w:t>Depreciation within this caption includes infrastructure items such as computer hardware and software, office</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 and leasehold improvements. Depreciation of revenue-generating assets, such as infusion pumps, is included in cost of revenue.</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8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 Interest expense consists principally of interest payments on the Company’s outstanding borrowings under the ABL Facility,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 lien term loan and second lien notes, amortization of discount and deferred financing fees, and changes in derivatives not designated as hedging instruments related to the interest rate swaps. Refer to the “Liquidity and Capital Resources” section below for further discussion of these outstanding borrowings.</w:t>
      </w:r>
    </w:p>
    <w:p>
      <w:pPr>
        <w:spacing w:after="0" w:line="160"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i w:val="1"/>
          <w:iCs w:val="1"/>
          <w:color w:val="auto"/>
        </w:rPr>
        <w:t>Equity in Earnings of Joint Ventures</w:t>
      </w:r>
      <w:r>
        <w:rPr>
          <w:rFonts w:ascii="Arial" w:cs="Arial" w:eastAsia="Arial" w:hAnsi="Arial"/>
          <w:sz w:val="18"/>
          <w:szCs w:val="18"/>
          <w:color w:val="auto"/>
        </w:rPr>
        <w:t>. Equity in earnings of joint ventures consists of our proportionate share of equity earnings or losses from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in two infusion joint ventures with health systems.</w:t>
      </w:r>
    </w:p>
    <w:p>
      <w:pPr>
        <w:spacing w:after="0" w:line="130"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i w:val="1"/>
          <w:iCs w:val="1"/>
          <w:color w:val="auto"/>
        </w:rPr>
        <w:t>Other, Net</w:t>
      </w:r>
      <w:r>
        <w:rPr>
          <w:rFonts w:ascii="Arial" w:cs="Arial" w:eastAsia="Arial" w:hAnsi="Arial"/>
          <w:sz w:val="18"/>
          <w:szCs w:val="18"/>
          <w:color w:val="auto"/>
        </w:rPr>
        <w:t>. Other income (expense) primarily includes loss on extinguishment of debt incurred in connection with the 2021 debt refinancing and</w:t>
      </w:r>
      <w:r>
        <w:rPr>
          <w:rFonts w:ascii="Arial" w:cs="Arial" w:eastAsia="Arial" w:hAnsi="Arial"/>
          <w:sz w:val="18"/>
          <w:szCs w:val="18"/>
          <w:i w:val="1"/>
          <w:iCs w:val="1"/>
          <w:color w:val="auto"/>
        </w:rPr>
        <w:t xml:space="preserve"> </w:t>
      </w:r>
      <w:r>
        <w:rPr>
          <w:rFonts w:ascii="Arial" w:cs="Arial" w:eastAsia="Arial" w:hAnsi="Arial"/>
          <w:sz w:val="18"/>
          <w:szCs w:val="18"/>
          <w:color w:val="auto"/>
        </w:rPr>
        <w:t>miscellaneous non-operating expenses.</w:t>
      </w:r>
    </w:p>
    <w:p>
      <w:pPr>
        <w:spacing w:after="0" w:line="130"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i w:val="1"/>
          <w:iCs w:val="1"/>
          <w:color w:val="auto"/>
        </w:rPr>
        <w:t>Income Tax Expense (Benefit)</w:t>
      </w:r>
      <w:r>
        <w:rPr>
          <w:rFonts w:ascii="Arial" w:cs="Arial" w:eastAsia="Arial" w:hAnsi="Arial"/>
          <w:sz w:val="18"/>
          <w:szCs w:val="18"/>
          <w:color w:val="auto"/>
        </w:rPr>
        <w:t>. The Company is subject to taxation in the United States and various states. The Company’s income tax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is reflective of the current federal and state tax rates.</w:t>
      </w:r>
    </w:p>
    <w:p>
      <w:pPr>
        <w:spacing w:after="0" w:line="14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Change in unrealized gains (losses) on cash flow hedges, net of income tax expense (benefit)</w:t>
      </w:r>
      <w:r>
        <w:rPr>
          <w:rFonts w:ascii="Arial" w:cs="Arial" w:eastAsia="Arial" w:hAnsi="Arial"/>
          <w:sz w:val="18"/>
          <w:szCs w:val="18"/>
          <w:color w:val="auto"/>
        </w:rPr>
        <w:t>. Change in unrealized gains (losses) on cash flow hedges,</w:t>
      </w:r>
      <w:r>
        <w:rPr>
          <w:rFonts w:ascii="Arial" w:cs="Arial" w:eastAsia="Arial" w:hAnsi="Arial"/>
          <w:sz w:val="18"/>
          <w:szCs w:val="18"/>
          <w:i w:val="1"/>
          <w:iCs w:val="1"/>
          <w:color w:val="auto"/>
        </w:rPr>
        <w:t xml:space="preserve"> </w:t>
      </w:r>
      <w:r>
        <w:rPr>
          <w:rFonts w:ascii="Arial" w:cs="Arial" w:eastAsia="Arial" w:hAnsi="Arial"/>
          <w:sz w:val="18"/>
          <w:szCs w:val="18"/>
          <w:color w:val="auto"/>
        </w:rPr>
        <w:t>net of income taxes, consists of the gains and losses associated with the changes in the fair value of derivatives designated as hedging instruments related to the interest rate caps and interest rate swaps, net of income taxes.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The following table presents Option Care Health’s consolidated results of operations for the three months ended March 31, 2021 and 2020 (in thousands):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57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6"/>
                <w:szCs w:val="16"/>
                <w:b w:val="1"/>
                <w:bCs w:val="1"/>
                <w:color w:val="auto"/>
              </w:rPr>
              <w:t>Three Months Ended March 31,</w:t>
            </w: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4"/>
          </w:tcPr>
          <w:p>
            <w:pPr>
              <w:ind w:left="520"/>
              <w:spacing w:after="0"/>
              <w:rPr>
                <w:sz w:val="20"/>
                <w:szCs w:val="20"/>
                <w:color w:val="auto"/>
              </w:rPr>
            </w:pPr>
            <w:r>
              <w:rPr>
                <w:rFonts w:ascii="Arial" w:cs="Arial" w:eastAsia="Arial" w:hAnsi="Arial"/>
                <w:sz w:val="16"/>
                <w:szCs w:val="16"/>
                <w:b w:val="1"/>
                <w:bCs w:val="1"/>
                <w:color w:val="auto"/>
              </w:rPr>
              <w:t>2021 (unaudited)</w:t>
            </w:r>
          </w:p>
        </w:tc>
        <w:tc>
          <w:tcPr>
            <w:tcW w:w="220" w:type="dxa"/>
            <w:vAlign w:val="bottom"/>
          </w:tcPr>
          <w:p>
            <w:pPr>
              <w:spacing w:after="0"/>
              <w:rPr>
                <w:sz w:val="18"/>
                <w:szCs w:val="18"/>
                <w:color w:val="auto"/>
              </w:rPr>
            </w:pPr>
          </w:p>
        </w:tc>
        <w:tc>
          <w:tcPr>
            <w:tcW w:w="2440" w:type="dxa"/>
            <w:vAlign w:val="bottom"/>
            <w:gridSpan w:val="3"/>
          </w:tcPr>
          <w:p>
            <w:pPr>
              <w:jc w:val="right"/>
              <w:ind w:right="659"/>
              <w:spacing w:after="0"/>
              <w:rPr>
                <w:sz w:val="20"/>
                <w:szCs w:val="20"/>
                <w:color w:val="auto"/>
              </w:rPr>
            </w:pPr>
            <w:r>
              <w:rPr>
                <w:rFonts w:ascii="Arial" w:cs="Arial" w:eastAsia="Arial" w:hAnsi="Arial"/>
                <w:sz w:val="16"/>
                <w:szCs w:val="16"/>
                <w:b w:val="1"/>
                <w:bCs w:val="1"/>
                <w:color w:val="auto"/>
              </w:rPr>
              <w:t>2020 (unaudited)</w:t>
            </w:r>
          </w:p>
        </w:tc>
        <w:tc>
          <w:tcPr>
            <w:tcW w:w="0" w:type="dxa"/>
            <w:vAlign w:val="bottom"/>
          </w:tcPr>
          <w:p>
            <w:pPr>
              <w:spacing w:after="0"/>
              <w:rPr>
                <w:sz w:val="1"/>
                <w:szCs w:val="1"/>
                <w:color w:val="auto"/>
              </w:rPr>
            </w:pPr>
          </w:p>
        </w:tc>
      </w:tr>
      <w:tr>
        <w:trPr>
          <w:trHeight w:val="209"/>
        </w:trPr>
        <w:tc>
          <w:tcPr>
            <w:tcW w:w="57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top w:val="single" w:sz="8" w:color="auto"/>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 of Revenue</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top w:val="single" w:sz="8" w:color="auto"/>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 of Revenue</w:t>
            </w:r>
          </w:p>
        </w:tc>
        <w:tc>
          <w:tcPr>
            <w:tcW w:w="0" w:type="dxa"/>
            <w:vAlign w:val="bottom"/>
          </w:tcPr>
          <w:p>
            <w:pPr>
              <w:spacing w:after="0"/>
              <w:rPr>
                <w:sz w:val="1"/>
                <w:szCs w:val="1"/>
                <w:color w:val="auto"/>
              </w:rPr>
            </w:pPr>
          </w:p>
        </w:tc>
      </w:tr>
      <w:tr>
        <w:trPr>
          <w:trHeight w:val="212"/>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759,237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705,440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13"/>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593,764</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78.2 %</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547,411</w:t>
            </w:r>
          </w:p>
        </w:tc>
        <w:tc>
          <w:tcPr>
            <w:tcW w:w="14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77.6 %</w:t>
            </w:r>
          </w:p>
        </w:tc>
        <w:tc>
          <w:tcPr>
            <w:tcW w:w="0" w:type="dxa"/>
            <w:vAlign w:val="bottom"/>
          </w:tcPr>
          <w:p>
            <w:pPr>
              <w:spacing w:after="0"/>
              <w:rPr>
                <w:sz w:val="1"/>
                <w:szCs w:val="1"/>
                <w:color w:val="auto"/>
              </w:rPr>
            </w:pPr>
          </w:p>
        </w:tc>
      </w:tr>
      <w:tr>
        <w:trPr>
          <w:trHeight w:val="212"/>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165,473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21.8 %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158,029</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22.4 %</w:t>
            </w:r>
          </w:p>
        </w:tc>
        <w:tc>
          <w:tcPr>
            <w:tcW w:w="0" w:type="dxa"/>
            <w:vAlign w:val="bottom"/>
          </w:tcPr>
          <w:p>
            <w:pPr>
              <w:spacing w:after="0"/>
              <w:rPr>
                <w:sz w:val="1"/>
                <w:szCs w:val="1"/>
                <w:color w:val="auto"/>
              </w:rPr>
            </w:pPr>
          </w:p>
        </w:tc>
      </w:tr>
      <w:tr>
        <w:trPr>
          <w:trHeight w:val="257"/>
        </w:trPr>
        <w:tc>
          <w:tcPr>
            <w:tcW w:w="5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COSTS AND EXPENSES: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80" w:type="dxa"/>
            <w:vAlign w:val="bottom"/>
          </w:tcPr>
          <w:p>
            <w:pPr>
              <w:ind w:left="140"/>
              <w:spacing w:after="0"/>
              <w:rPr>
                <w:sz w:val="20"/>
                <w:szCs w:val="20"/>
                <w:color w:val="auto"/>
              </w:rPr>
            </w:pPr>
            <w:r>
              <w:rPr>
                <w:rFonts w:ascii="Arial" w:cs="Arial" w:eastAsia="Arial" w:hAnsi="Arial"/>
                <w:sz w:val="16"/>
                <w:szCs w:val="16"/>
                <w:color w:val="auto"/>
              </w:rPr>
              <w:t>Selling, general and administrative expenses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120,040</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15.8 %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129,280</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18.3 %</w:t>
            </w: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 expense</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16,339</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20,101</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0" w:type="dxa"/>
            <w:vAlign w:val="bottom"/>
          </w:tcPr>
          <w:p>
            <w:pPr>
              <w:spacing w:after="0"/>
              <w:rPr>
                <w:sz w:val="1"/>
                <w:szCs w:val="1"/>
                <w:color w:val="auto"/>
              </w:rPr>
            </w:pPr>
          </w:p>
        </w:tc>
      </w:tr>
      <w:tr>
        <w:trPr>
          <w:trHeight w:val="206"/>
        </w:trPr>
        <w:tc>
          <w:tcPr>
            <w:tcW w:w="578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136,379</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18.0 %</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149,381</w:t>
            </w:r>
          </w:p>
        </w:tc>
        <w:tc>
          <w:tcPr>
            <w:tcW w:w="14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21.2 %</w:t>
            </w: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29,094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3.8 %</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8,648</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39"/>
        </w:trPr>
        <w:tc>
          <w:tcPr>
            <w:tcW w:w="5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 (EXPENSE):</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80" w:type="dxa"/>
            <w:vAlign w:val="bottom"/>
          </w:tcPr>
          <w:p>
            <w:pPr>
              <w:ind w:left="140"/>
              <w:spacing w:after="0"/>
              <w:rPr>
                <w:sz w:val="20"/>
                <w:szCs w:val="20"/>
                <w:color w:val="auto"/>
              </w:rPr>
            </w:pPr>
            <w:r>
              <w:rPr>
                <w:rFonts w:ascii="Arial" w:cs="Arial" w:eastAsia="Arial" w:hAnsi="Arial"/>
                <w:sz w:val="16"/>
                <w:szCs w:val="16"/>
                <w:color w:val="auto"/>
              </w:rPr>
              <w:t>Interest expense, net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(19,481)</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(28,087)</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Equity in earnings of joint ventures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13"/>
        </w:trPr>
        <w:tc>
          <w:tcPr>
            <w:tcW w:w="57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net</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(12,401)</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other expense</w:t>
            </w: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(30,677)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(27,517)</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39"/>
        </w:trPr>
        <w:tc>
          <w:tcPr>
            <w:tcW w:w="5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(18,869)</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3"/>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1,278</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1,041</w:t>
            </w:r>
          </w:p>
        </w:tc>
        <w:tc>
          <w:tcPr>
            <w:tcW w:w="14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38"/>
        </w:trPr>
        <w:tc>
          <w:tcPr>
            <w:tcW w:w="5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(2,861)</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(19,910)</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5780" w:type="dxa"/>
            <w:vAlign w:val="bottom"/>
          </w:tcPr>
          <w:p>
            <w:pPr>
              <w:ind w:left="140"/>
              <w:spacing w:after="0" w:line="166" w:lineRule="exact"/>
              <w:rPr>
                <w:sz w:val="20"/>
                <w:szCs w:val="20"/>
                <w:color w:val="auto"/>
              </w:rPr>
            </w:pPr>
            <w:r>
              <w:rPr>
                <w:rFonts w:ascii="Arial" w:cs="Arial" w:eastAsia="Arial" w:hAnsi="Arial"/>
                <w:sz w:val="16"/>
                <w:szCs w:val="16"/>
                <w:color w:val="auto"/>
                <w:w w:val="93"/>
              </w:rPr>
              <w:t>Change in unrealized gains (losses) on cash flow hedges, net of income tax expense</w:t>
            </w:r>
          </w:p>
        </w:tc>
        <w:tc>
          <w:tcPr>
            <w:tcW w:w="2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4,081</w:t>
            </w:r>
          </w:p>
        </w:tc>
        <w:tc>
          <w:tcPr>
            <w:tcW w:w="1440" w:type="dxa"/>
            <w:vAlign w:val="bottom"/>
            <w:gridSpan w:val="2"/>
            <w:vMerge w:val="restart"/>
          </w:tcPr>
          <w:p>
            <w:pPr>
              <w:jc w:val="right"/>
              <w:spacing w:after="0"/>
              <w:rPr>
                <w:sz w:val="20"/>
                <w:szCs w:val="20"/>
                <w:color w:val="auto"/>
              </w:rPr>
            </w:pPr>
            <w:r>
              <w:rPr>
                <w:rFonts w:ascii="Arial" w:cs="Arial" w:eastAsia="Arial" w:hAnsi="Arial"/>
                <w:sz w:val="16"/>
                <w:szCs w:val="16"/>
                <w:color w:val="auto"/>
              </w:rPr>
              <w:t>0.5 %</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(16,632)</w:t>
            </w:r>
          </w:p>
        </w:tc>
        <w:tc>
          <w:tcPr>
            <w:tcW w:w="1460" w:type="dxa"/>
            <w:vAlign w:val="bottom"/>
            <w:gridSpan w:val="2"/>
            <w:vMerge w:val="restart"/>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9"/>
        </w:trPr>
        <w:tc>
          <w:tcPr>
            <w:tcW w:w="57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(benefit) of $0 and $0, respectively</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440" w:type="dxa"/>
            <w:vAlign w:val="bottom"/>
            <w:tcBorders>
              <w:bottom w:val="single" w:sz="8" w:color="CCEEFF"/>
            </w:tcBorders>
            <w:gridSpan w:val="2"/>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46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COMPREHENSIVE INCOME (LOSS)</w:t>
            </w: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(16,632)</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3"/>
        </w:trPr>
        <w:tc>
          <w:tcPr>
            <w:tcW w:w="5780" w:type="dxa"/>
            <w:vAlign w:val="bottom"/>
          </w:tcPr>
          <w:p>
            <w:pPr>
              <w:ind w:left="20"/>
              <w:spacing w:after="0"/>
              <w:rPr>
                <w:sz w:val="20"/>
                <w:szCs w:val="20"/>
                <w:color w:val="auto"/>
              </w:rPr>
            </w:pPr>
            <w:r>
              <w:rPr>
                <w:rFonts w:ascii="Arial" w:cs="Arial" w:eastAsia="Arial" w:hAnsi="Arial"/>
                <w:sz w:val="16"/>
                <w:szCs w:val="16"/>
                <w:color w:val="auto"/>
              </w:rPr>
              <w:t>NET COMPREHENSIVE INCOME (LOSS)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1,220</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(36,542)</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Three Months Ended March 31, 2021 Compared to Three Months Ended March 31, 2020</w:t>
      </w:r>
    </w:p>
    <w:p>
      <w:pPr>
        <w:spacing w:after="0" w:line="20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following tables present selected consolidated comparative results of operations from Option Care Health’s unaudited condensed consolidated financial statements for the three month periods ended March 31, 2021 and March 31, 2020.</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Gross Profit</w:t>
      </w:r>
    </w:p>
    <w:p>
      <w:pPr>
        <w:spacing w:after="0" w:line="226"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38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5"/>
          </w:tcPr>
          <w:p>
            <w:pPr>
              <w:ind w:left="60"/>
              <w:spacing w:after="0"/>
              <w:rPr>
                <w:sz w:val="20"/>
                <w:szCs w:val="20"/>
                <w:color w:val="auto"/>
              </w:rPr>
            </w:pPr>
            <w:r>
              <w:rPr>
                <w:rFonts w:ascii="Arial" w:cs="Arial" w:eastAsia="Arial" w:hAnsi="Arial"/>
                <w:sz w:val="16"/>
                <w:szCs w:val="16"/>
                <w:b w:val="1"/>
                <w:bCs w:val="1"/>
                <w:color w:val="auto"/>
              </w:rPr>
              <w:t>Three Months Ended March 31,</w:t>
            </w: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8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(unaudited)</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(unaudited)</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ind w:left="620"/>
              <w:spacing w:after="0"/>
              <w:rPr>
                <w:sz w:val="20"/>
                <w:szCs w:val="20"/>
                <w:color w:val="auto"/>
              </w:rPr>
            </w:pPr>
            <w:r>
              <w:rPr>
                <w:rFonts w:ascii="Arial" w:cs="Arial" w:eastAsia="Arial" w:hAnsi="Arial"/>
                <w:sz w:val="16"/>
                <w:szCs w:val="16"/>
                <w:b w:val="1"/>
                <w:bCs w:val="1"/>
                <w:color w:val="auto"/>
              </w:rPr>
              <w:t>Variance</w:t>
            </w: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80" w:type="dxa"/>
            <w:vAlign w:val="bottom"/>
            <w:gridSpan w:val="6"/>
          </w:tcPr>
          <w:p>
            <w:pPr>
              <w:ind w:left="20"/>
              <w:spacing w:after="0"/>
              <w:rPr>
                <w:sz w:val="20"/>
                <w:szCs w:val="20"/>
                <w:color w:val="auto"/>
              </w:rPr>
            </w:pPr>
            <w:r>
              <w:rPr>
                <w:rFonts w:ascii="Arial" w:cs="Arial" w:eastAsia="Arial" w:hAnsi="Arial"/>
                <w:sz w:val="16"/>
                <w:szCs w:val="16"/>
                <w:b w:val="1"/>
                <w:bCs w:val="1"/>
                <w:color w:val="auto"/>
              </w:rPr>
              <w:t>(in thousands, except for percentages)</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759,237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705,440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53,797</w:t>
            </w:r>
          </w:p>
        </w:tc>
        <w:tc>
          <w:tcPr>
            <w:tcW w:w="7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7.6 %</w:t>
            </w:r>
          </w:p>
        </w:tc>
        <w:tc>
          <w:tcPr>
            <w:tcW w:w="0" w:type="dxa"/>
            <w:vAlign w:val="bottom"/>
          </w:tcPr>
          <w:p>
            <w:pPr>
              <w:spacing w:after="0"/>
              <w:rPr>
                <w:sz w:val="1"/>
                <w:szCs w:val="1"/>
                <w:color w:val="auto"/>
              </w:rPr>
            </w:pPr>
          </w:p>
        </w:tc>
      </w:tr>
      <w:tr>
        <w:trPr>
          <w:trHeight w:val="213"/>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593,764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547,411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46,353</w:t>
            </w:r>
          </w:p>
        </w:tc>
        <w:tc>
          <w:tcPr>
            <w:tcW w:w="74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8.5 %</w:t>
            </w:r>
          </w:p>
        </w:tc>
        <w:tc>
          <w:tcPr>
            <w:tcW w:w="0" w:type="dxa"/>
            <w:vAlign w:val="bottom"/>
          </w:tcPr>
          <w:p>
            <w:pPr>
              <w:spacing w:after="0"/>
              <w:rPr>
                <w:sz w:val="1"/>
                <w:szCs w:val="1"/>
                <w:color w:val="auto"/>
              </w:rPr>
            </w:pPr>
          </w:p>
        </w:tc>
      </w:tr>
      <w:tr>
        <w:trPr>
          <w:trHeight w:val="237"/>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165,473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158,029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7,444</w:t>
            </w:r>
          </w:p>
        </w:tc>
        <w:tc>
          <w:tcPr>
            <w:tcW w:w="7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4.7 %</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Gross profit margin</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8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21.8 %</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22.4 %</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color w:val="auto"/>
        </w:rPr>
        <w:t>The increase in net revenue was primarily driven by organic growth in the Company’s portfolio of therapies. The increase in cost of revenue was driven by the growth in revenue. The increase in gross profit was primarily related to contribution margin from the increase in net revenue. The slight decrease in gross profit margin was driven by mix shift toward lower profit chronic therapies.</w:t>
      </w:r>
    </w:p>
    <w:p>
      <w:pPr>
        <w:sectPr>
          <w:pgSz w:w="11900" w:h="16838" w:orient="portrait"/>
          <w:cols w:equalWidth="0" w:num="1">
            <w:col w:w="11020"/>
          </w:cols>
          <w:pgMar w:left="320" w:top="121" w:right="559" w:bottom="1440" w:gutter="0" w:footer="0" w:header="0"/>
        </w:sectPr>
      </w:pP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80" w:right="320"/>
        <w:spacing w:after="0" w:line="352" w:lineRule="auto"/>
        <w:rPr>
          <w:sz w:val="20"/>
          <w:szCs w:val="20"/>
          <w:color w:val="auto"/>
        </w:rPr>
      </w:pPr>
      <w:r>
        <w:rPr>
          <w:rFonts w:ascii="Arial" w:cs="Arial" w:eastAsia="Arial" w:hAnsi="Arial"/>
          <w:sz w:val="14"/>
          <w:szCs w:val="14"/>
          <w:color w:val="auto"/>
        </w:rPr>
        <w:t>Selling, general and administrative expenses Depreciation and amortization expense</w:t>
      </w:r>
    </w:p>
    <w:p>
      <w:pPr>
        <w:ind w:left="600"/>
        <w:spacing w:after="0"/>
        <w:rPr>
          <w:sz w:val="20"/>
          <w:szCs w:val="20"/>
          <w:color w:val="auto"/>
        </w:rPr>
      </w:pPr>
      <w:r>
        <w:rPr>
          <w:rFonts w:ascii="Arial" w:cs="Arial" w:eastAsia="Arial" w:hAnsi="Arial"/>
          <w:sz w:val="16"/>
          <w:szCs w:val="16"/>
          <w:color w:val="auto"/>
        </w:rPr>
        <w:t>Total operating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r>
      <w:tr>
        <w:trPr>
          <w:trHeight w:val="218"/>
        </w:trPr>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8"/>
              </w:rPr>
              <w:t>(unaudited)</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8"/>
              </w:rPr>
              <w:t>(unaudited)</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ind w:left="660"/>
              <w:spacing w:after="0"/>
              <w:rPr>
                <w:sz w:val="20"/>
                <w:szCs w:val="20"/>
                <w:color w:val="auto"/>
              </w:rPr>
            </w:pPr>
            <w:r>
              <w:rPr>
                <w:rFonts w:ascii="Arial" w:cs="Arial" w:eastAsia="Arial" w:hAnsi="Arial"/>
                <w:sz w:val="16"/>
                <w:szCs w:val="16"/>
                <w:b w:val="1"/>
                <w:bCs w:val="1"/>
                <w:color w:val="auto"/>
              </w:rPr>
              <w:t>Variance</w:t>
            </w:r>
          </w:p>
        </w:tc>
        <w:tc>
          <w:tcPr>
            <w:tcW w:w="820" w:type="dxa"/>
            <w:vAlign w:val="bottom"/>
            <w:tcBorders>
              <w:bottom w:val="single" w:sz="8" w:color="auto"/>
            </w:tcBorders>
          </w:tcPr>
          <w:p>
            <w:pPr>
              <w:spacing w:after="0"/>
              <w:rPr>
                <w:sz w:val="18"/>
                <w:szCs w:val="18"/>
                <w:color w:val="auto"/>
              </w:rPr>
            </w:pPr>
          </w:p>
        </w:tc>
      </w:tr>
      <w:tr>
        <w:trPr>
          <w:trHeight w:val="247"/>
        </w:trPr>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340" w:type="dxa"/>
            <w:vAlign w:val="bottom"/>
            <w:gridSpan w:val="6"/>
          </w:tcPr>
          <w:p>
            <w:pPr>
              <w:ind w:left="80"/>
              <w:spacing w:after="0"/>
              <w:rPr>
                <w:sz w:val="20"/>
                <w:szCs w:val="20"/>
                <w:color w:val="auto"/>
              </w:rPr>
            </w:pPr>
            <w:r>
              <w:rPr>
                <w:rFonts w:ascii="Arial" w:cs="Arial" w:eastAsia="Arial" w:hAnsi="Arial"/>
                <w:sz w:val="16"/>
                <w:szCs w:val="16"/>
                <w:b w:val="1"/>
                <w:bCs w:val="1"/>
                <w:color w:val="auto"/>
              </w:rPr>
              <w:t>(in thousands, except for percentages)</w:t>
            </w:r>
          </w:p>
        </w:tc>
        <w:tc>
          <w:tcPr>
            <w:tcW w:w="820" w:type="dxa"/>
            <w:vAlign w:val="bottom"/>
          </w:tcPr>
          <w:p>
            <w:pPr>
              <w:spacing w:after="0"/>
              <w:rPr>
                <w:sz w:val="21"/>
                <w:szCs w:val="21"/>
                <w:color w:val="auto"/>
              </w:rPr>
            </w:pPr>
          </w:p>
        </w:tc>
      </w:tr>
      <w:tr>
        <w:trPr>
          <w:trHeight w:val="216"/>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120,040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129,280</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(9,240)</w:t>
            </w:r>
          </w:p>
        </w:tc>
        <w:tc>
          <w:tcPr>
            <w:tcW w:w="6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19"/>
        </w:trPr>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16,339</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20,101</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(3,762)</w:t>
            </w:r>
          </w:p>
        </w:tc>
        <w:tc>
          <w:tcPr>
            <w:tcW w:w="6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(18.7)%</w:t>
            </w:r>
          </w:p>
        </w:tc>
      </w:tr>
      <w:tr>
        <w:trPr>
          <w:trHeight w:val="212"/>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136,379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149,381</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(13,002)</w:t>
            </w:r>
          </w:p>
        </w:tc>
        <w:tc>
          <w:tcPr>
            <w:tcW w:w="6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21"/>
        </w:trPr>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-2582545</wp:posOffset>
            </wp:positionH>
            <wp:positionV relativeFrom="paragraph">
              <wp:posOffset>-453390</wp:posOffset>
            </wp:positionV>
            <wp:extent cx="609473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94730" cy="137160"/>
                    </a:xfrm>
                    <a:prstGeom prst="rect">
                      <a:avLst/>
                    </a:prstGeom>
                    <a:noFill/>
                  </pic:spPr>
                </pic:pic>
              </a:graphicData>
            </a:graphic>
          </wp:anchor>
        </w:drawing>
        <w:drawing>
          <wp:anchor simplePos="0" relativeHeight="251657728" behindDoc="1" locked="0" layoutInCell="0" allowOverlap="1">
            <wp:simplePos x="0" y="0"/>
            <wp:positionH relativeFrom="column">
              <wp:posOffset>-2582545</wp:posOffset>
            </wp:positionH>
            <wp:positionV relativeFrom="paragraph">
              <wp:posOffset>-179070</wp:posOffset>
            </wp:positionV>
            <wp:extent cx="6094730" cy="162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94730" cy="162560"/>
                    </a:xfrm>
                    <a:prstGeom prst="rect">
                      <a:avLst/>
                    </a:prstGeom>
                    <a:noFill/>
                  </pic:spPr>
                </pic:pic>
              </a:graphicData>
            </a:graphic>
          </wp:anchor>
        </w:drawing>
      </w:r>
    </w:p>
    <w:p>
      <w:pPr>
        <w:spacing w:after="0" w:line="175" w:lineRule="exact"/>
        <w:rPr>
          <w:sz w:val="20"/>
          <w:szCs w:val="20"/>
          <w:color w:val="auto"/>
        </w:rPr>
      </w:pPr>
    </w:p>
    <w:p>
      <w:pPr>
        <w:sectPr>
          <w:pgSz w:w="11900" w:h="16838" w:orient="portrait"/>
          <w:cols w:equalWidth="0" w:num="2">
            <w:col w:w="3680" w:space="720"/>
            <w:col w:w="6620"/>
          </w:cols>
          <w:pgMar w:left="320" w:top="121" w:right="559" w:bottom="1440" w:gutter="0" w:footer="0" w:header="0"/>
          <w:type w:val="continuous"/>
        </w:sectPr>
      </w:pPr>
    </w:p>
    <w:p>
      <w:pPr>
        <w:ind w:right="140" w:firstLine="324"/>
        <w:spacing w:after="0" w:line="277" w:lineRule="auto"/>
        <w:rPr>
          <w:sz w:val="20"/>
          <w:szCs w:val="20"/>
          <w:color w:val="auto"/>
        </w:rPr>
      </w:pPr>
      <w:r>
        <w:rPr>
          <w:rFonts w:ascii="Arial" w:cs="Arial" w:eastAsia="Arial" w:hAnsi="Arial"/>
          <w:sz w:val="18"/>
          <w:szCs w:val="18"/>
          <w:color w:val="auto"/>
        </w:rPr>
        <w:t>Selling, general and administrative expenses decreased for the three months ended March 31, 2021 due to a full period of synergy realization from Merger integration activities as well as spending reductions to offset the impacts of the COVID-19 pandemic.</w:t>
      </w:r>
    </w:p>
    <w:p>
      <w:pPr>
        <w:spacing w:after="0" w:line="13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decrease in depreciation and amortization was primarily related to completing Merger integration activities during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type w:val="continuous"/>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39"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40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5"/>
          </w:tcPr>
          <w:p>
            <w:pPr>
              <w:jc w:val="center"/>
              <w:ind w:right="560"/>
              <w:spacing w:after="0"/>
              <w:rPr>
                <w:sz w:val="20"/>
                <w:szCs w:val="20"/>
                <w:color w:val="auto"/>
              </w:rPr>
            </w:pPr>
            <w:r>
              <w:rPr>
                <w:rFonts w:ascii="Arial" w:cs="Arial" w:eastAsia="Arial" w:hAnsi="Arial"/>
                <w:sz w:val="16"/>
                <w:szCs w:val="16"/>
                <w:b w:val="1"/>
                <w:bCs w:val="1"/>
                <w:color w:val="auto"/>
                <w:w w:val="93"/>
              </w:rPr>
              <w:t>Three Months Ended March 31,</w:t>
            </w:r>
          </w:p>
        </w:tc>
        <w:tc>
          <w:tcPr>
            <w:tcW w:w="1000" w:type="dxa"/>
            <w:vAlign w:val="bottom"/>
            <w:tcBorders>
              <w:bottom w:val="single" w:sz="8" w:color="auto"/>
            </w:tcBorders>
          </w:tcPr>
          <w:p>
            <w:pPr>
              <w:spacing w:after="0"/>
              <w:rPr>
                <w:sz w:val="18"/>
                <w:szCs w:val="18"/>
                <w:color w:val="auto"/>
              </w:rPr>
            </w:pPr>
          </w:p>
        </w:tc>
      </w:tr>
      <w:tr>
        <w:trPr>
          <w:trHeight w:val="207"/>
        </w:trPr>
        <w:tc>
          <w:tcPr>
            <w:tcW w:w="4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9"/>
        </w:trPr>
        <w:tc>
          <w:tcPr>
            <w:tcW w:w="40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8"/>
              </w:rPr>
              <w:t>(unaudited)</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8"/>
              </w:rPr>
              <w:t>(unaudited)</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ind w:left="700"/>
              <w:spacing w:after="0"/>
              <w:rPr>
                <w:sz w:val="20"/>
                <w:szCs w:val="20"/>
                <w:color w:val="auto"/>
              </w:rPr>
            </w:pPr>
            <w:r>
              <w:rPr>
                <w:rFonts w:ascii="Arial" w:cs="Arial" w:eastAsia="Arial" w:hAnsi="Arial"/>
                <w:sz w:val="16"/>
                <w:szCs w:val="16"/>
                <w:b w:val="1"/>
                <w:bCs w:val="1"/>
                <w:color w:val="auto"/>
              </w:rPr>
              <w:t>Variance</w:t>
            </w:r>
          </w:p>
        </w:tc>
        <w:tc>
          <w:tcPr>
            <w:tcW w:w="1000" w:type="dxa"/>
            <w:vAlign w:val="bottom"/>
            <w:tcBorders>
              <w:bottom w:val="single" w:sz="8" w:color="auto"/>
            </w:tcBorders>
          </w:tcPr>
          <w:p>
            <w:pPr>
              <w:spacing w:after="0"/>
              <w:rPr>
                <w:sz w:val="19"/>
                <w:szCs w:val="19"/>
                <w:color w:val="auto"/>
              </w:rPr>
            </w:pPr>
          </w:p>
        </w:tc>
      </w:tr>
      <w:tr>
        <w:trPr>
          <w:trHeight w:val="250"/>
        </w:trPr>
        <w:tc>
          <w:tcPr>
            <w:tcW w:w="4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180" w:type="dxa"/>
            <w:vAlign w:val="bottom"/>
            <w:gridSpan w:val="6"/>
          </w:tcPr>
          <w:p>
            <w:pPr>
              <w:jc w:val="center"/>
              <w:ind w:right="400"/>
              <w:spacing w:after="0"/>
              <w:rPr>
                <w:sz w:val="20"/>
                <w:szCs w:val="20"/>
                <w:color w:val="auto"/>
              </w:rPr>
            </w:pPr>
            <w:r>
              <w:rPr>
                <w:rFonts w:ascii="Arial" w:cs="Arial" w:eastAsia="Arial" w:hAnsi="Arial"/>
                <w:sz w:val="16"/>
                <w:szCs w:val="16"/>
                <w:b w:val="1"/>
                <w:bCs w:val="1"/>
                <w:color w:val="auto"/>
                <w:w w:val="89"/>
              </w:rPr>
              <w:t>(in thousands, except for percentages)</w:t>
            </w:r>
          </w:p>
        </w:tc>
        <w:tc>
          <w:tcPr>
            <w:tcW w:w="1000" w:type="dxa"/>
            <w:vAlign w:val="bottom"/>
          </w:tcPr>
          <w:p>
            <w:pPr>
              <w:spacing w:after="0"/>
              <w:rPr>
                <w:sz w:val="21"/>
                <w:szCs w:val="21"/>
                <w:color w:val="auto"/>
              </w:rPr>
            </w:pPr>
          </w:p>
        </w:tc>
      </w:tr>
      <w:tr>
        <w:trPr>
          <w:trHeight w:val="219"/>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8,606</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w:t>
            </w:r>
          </w:p>
        </w:tc>
      </w:tr>
      <w:tr>
        <w:trPr>
          <w:trHeight w:val="213"/>
        </w:trPr>
        <w:tc>
          <w:tcPr>
            <w:tcW w:w="4020" w:type="dxa"/>
            <w:vAlign w:val="bottom"/>
          </w:tcPr>
          <w:p>
            <w:pPr>
              <w:ind w:left="20"/>
              <w:spacing w:after="0"/>
              <w:rPr>
                <w:sz w:val="20"/>
                <w:szCs w:val="20"/>
                <w:color w:val="auto"/>
              </w:rPr>
            </w:pPr>
            <w:r>
              <w:rPr>
                <w:rFonts w:ascii="Arial" w:cs="Arial" w:eastAsia="Arial" w:hAnsi="Arial"/>
                <w:sz w:val="16"/>
                <w:szCs w:val="16"/>
                <w:color w:val="auto"/>
              </w:rPr>
              <w:t>Equity in earnings of joint ventures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562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643</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114.4 %</w:t>
            </w:r>
          </w:p>
        </w:tc>
      </w:tr>
      <w:tr>
        <w:trPr>
          <w:trHeight w:val="216"/>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(12,401)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(12,409)</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(155,112.5)%</w:t>
            </w:r>
          </w:p>
        </w:tc>
      </w:tr>
      <w:tr>
        <w:trPr>
          <w:trHeight w:val="213"/>
        </w:trPr>
        <w:tc>
          <w:tcPr>
            <w:tcW w:w="4020" w:type="dxa"/>
            <w:vAlign w:val="bottom"/>
          </w:tcPr>
          <w:p>
            <w:pPr>
              <w:ind w:left="260"/>
              <w:spacing w:after="0"/>
              <w:rPr>
                <w:sz w:val="20"/>
                <w:szCs w:val="20"/>
                <w:color w:val="auto"/>
              </w:rPr>
            </w:pPr>
            <w:r>
              <w:rPr>
                <w:rFonts w:ascii="Arial" w:cs="Arial" w:eastAsia="Arial" w:hAnsi="Arial"/>
                <w:sz w:val="16"/>
                <w:szCs w:val="16"/>
                <w:color w:val="auto"/>
              </w:rPr>
              <w:t>Total other expense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(30,677)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(27,517)</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(3,160)</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11.5 %</w:t>
            </w:r>
          </w:p>
        </w:tc>
      </w:tr>
      <w:tr>
        <w:trPr>
          <w:trHeight w:val="20"/>
        </w:trPr>
        <w:tc>
          <w:tcPr>
            <w:tcW w:w="4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100" w:firstLine="324"/>
        <w:spacing w:after="0" w:line="286" w:lineRule="auto"/>
        <w:rPr>
          <w:sz w:val="20"/>
          <w:szCs w:val="20"/>
          <w:color w:val="auto"/>
        </w:rPr>
      </w:pPr>
      <w:r>
        <w:rPr>
          <w:rFonts w:ascii="Arial" w:cs="Arial" w:eastAsia="Arial" w:hAnsi="Arial"/>
          <w:sz w:val="17"/>
          <w:szCs w:val="17"/>
          <w:color w:val="auto"/>
        </w:rPr>
        <w:t>The decrease in interest expense was primarily attributable to the debt refinancing of the first lien term loan and prepayment of the second lien notes during the three months ended March 31, 2021, as well as the reduction in the outstanding debt balance due to retirement of debt obligations which were completed during 2020. See Note 9, Indebtedness, of the unaudited condensed consolidated financial statements.</w:t>
      </w:r>
    </w:p>
    <w:p>
      <w:pPr>
        <w:spacing w:after="0" w:line="12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increase in other, net relates to the loss on extinguishment of debt of $12.4 million incurred in the first quarter of 2021 in conjunction with the refinancing of the first lien term loan and prepayment of all outstanding principal of the second lien notes.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231F20"/>
        </w:rPr>
        <w:t>Income Tax Expense (Benefit)</w:t>
      </w:r>
    </w:p>
    <w:p>
      <w:pPr>
        <w:spacing w:after="0" w:line="50"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4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4"/>
          </w:tcPr>
          <w:p>
            <w:pPr>
              <w:jc w:val="center"/>
              <w:ind w:right="699"/>
              <w:spacing w:after="0"/>
              <w:rPr>
                <w:sz w:val="20"/>
                <w:szCs w:val="20"/>
                <w:color w:val="auto"/>
              </w:rPr>
            </w:pPr>
            <w:r>
              <w:rPr>
                <w:rFonts w:ascii="Arial" w:cs="Arial" w:eastAsia="Arial" w:hAnsi="Arial"/>
                <w:sz w:val="16"/>
                <w:szCs w:val="16"/>
                <w:b w:val="1"/>
                <w:bCs w:val="1"/>
                <w:color w:val="auto"/>
                <w:w w:val="93"/>
              </w:rPr>
              <w:t>Three Months Ended March 31,</w:t>
            </w:r>
          </w:p>
        </w:tc>
        <w:tc>
          <w:tcPr>
            <w:tcW w:w="780" w:type="dxa"/>
            <w:vAlign w:val="bottom"/>
            <w:tcBorders>
              <w:bottom w:val="single" w:sz="8" w:color="auto"/>
            </w:tcBorders>
          </w:tcPr>
          <w:p>
            <w:pPr>
              <w:spacing w:after="0"/>
              <w:rPr>
                <w:sz w:val="18"/>
                <w:szCs w:val="18"/>
                <w:color w:val="auto"/>
              </w:rPr>
            </w:pPr>
          </w:p>
        </w:tc>
      </w:tr>
      <w:tr>
        <w:trPr>
          <w:trHeight w:val="207"/>
        </w:trPr>
        <w:tc>
          <w:tcPr>
            <w:tcW w:w="4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9"/>
        </w:trPr>
        <w:tc>
          <w:tcPr>
            <w:tcW w:w="40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1"/>
              </w:rPr>
              <w:t>(unaudited)</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4"/>
              </w:rPr>
              <w:t>(unaudited)</w:t>
            </w: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Variance</w:t>
            </w:r>
          </w:p>
        </w:tc>
        <w:tc>
          <w:tcPr>
            <w:tcW w:w="780" w:type="dxa"/>
            <w:vAlign w:val="bottom"/>
            <w:tcBorders>
              <w:bottom w:val="single" w:sz="8" w:color="auto"/>
            </w:tcBorders>
          </w:tcPr>
          <w:p>
            <w:pPr>
              <w:spacing w:after="0"/>
              <w:rPr>
                <w:sz w:val="19"/>
                <w:szCs w:val="19"/>
                <w:color w:val="auto"/>
              </w:rPr>
            </w:pPr>
          </w:p>
        </w:tc>
      </w:tr>
      <w:tr>
        <w:trPr>
          <w:trHeight w:val="250"/>
        </w:trPr>
        <w:tc>
          <w:tcPr>
            <w:tcW w:w="4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380" w:type="dxa"/>
            <w:vAlign w:val="bottom"/>
            <w:gridSpan w:val="5"/>
          </w:tcPr>
          <w:p>
            <w:pPr>
              <w:jc w:val="center"/>
              <w:ind w:right="539"/>
              <w:spacing w:after="0"/>
              <w:rPr>
                <w:sz w:val="20"/>
                <w:szCs w:val="20"/>
                <w:color w:val="auto"/>
              </w:rPr>
            </w:pPr>
            <w:r>
              <w:rPr>
                <w:rFonts w:ascii="Arial" w:cs="Arial" w:eastAsia="Arial" w:hAnsi="Arial"/>
                <w:sz w:val="16"/>
                <w:szCs w:val="16"/>
                <w:b w:val="1"/>
                <w:bCs w:val="1"/>
                <w:color w:val="auto"/>
                <w:w w:val="88"/>
              </w:rPr>
              <w:t>(in thousands, except for percentages)</w:t>
            </w:r>
          </w:p>
        </w:tc>
        <w:tc>
          <w:tcPr>
            <w:tcW w:w="780" w:type="dxa"/>
            <w:vAlign w:val="bottom"/>
          </w:tcPr>
          <w:p>
            <w:pPr>
              <w:spacing w:after="0"/>
              <w:rPr>
                <w:sz w:val="21"/>
                <w:szCs w:val="21"/>
                <w:color w:val="auto"/>
              </w:rPr>
            </w:pPr>
          </w:p>
        </w:tc>
      </w:tr>
      <w:tr>
        <w:trPr>
          <w:trHeight w:val="219"/>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237</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22.8 %</w:t>
            </w:r>
          </w:p>
        </w:tc>
      </w:tr>
    </w:tbl>
    <w:p>
      <w:pPr>
        <w:spacing w:after="0" w:line="16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Company maintains a full valuation allowance, established at the time of Merger, against all of its net U.S. federal and state deferred tax assets with the exception of approximately $0.5 million of estimated state net operating losses (“NOL”). Because of the Company’s full valuation allowance, the Company’s tax expense for the three months ended March 31, 2021 only consists of quarterly tax liabilities attributable to separate company state tax returns as well as recognized deferred tax expense. These tax expense items resulted in an effective tax rate of negative 80.7% during the three months ended March 31, 2021. During the three months ended March 31, 2020, the effective tax rate was negative 5.5%. The variance in the year-over-year effective tax rates is primarily attributable to changes in the valuation allowance combined with year-over-year variances in income/loss before income taxes for the Company. The quarterly tax rates of both periods differ from the Company’s 21% federal statutory rate primarily due to changes in valuation allowance, certain state and local taxes, non-deductible costs and resolution of certain tax matters.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231F20"/>
        </w:rPr>
        <w:t>Net Loss and Other Comprehensive Income (Loss)</w:t>
      </w:r>
    </w:p>
    <w:p>
      <w:pPr>
        <w:spacing w:after="0" w:line="239"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40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5"/>
          </w:tcPr>
          <w:p>
            <w:pPr>
              <w:jc w:val="center"/>
              <w:ind w:right="720"/>
              <w:spacing w:after="0"/>
              <w:rPr>
                <w:sz w:val="20"/>
                <w:szCs w:val="20"/>
                <w:color w:val="auto"/>
              </w:rPr>
            </w:pPr>
            <w:r>
              <w:rPr>
                <w:rFonts w:ascii="Arial" w:cs="Arial" w:eastAsia="Arial" w:hAnsi="Arial"/>
                <w:sz w:val="16"/>
                <w:szCs w:val="16"/>
                <w:b w:val="1"/>
                <w:bCs w:val="1"/>
                <w:color w:val="auto"/>
                <w:w w:val="93"/>
              </w:rPr>
              <w:t>Three Months Ended March 31,</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1"/>
              </w:rPr>
              <w:t>(unaudited)</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8"/>
              </w:rPr>
              <w:t>(unaudited)</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ind w:left="640"/>
              <w:spacing w:after="0"/>
              <w:rPr>
                <w:sz w:val="20"/>
                <w:szCs w:val="20"/>
                <w:color w:val="auto"/>
              </w:rPr>
            </w:pPr>
            <w:r>
              <w:rPr>
                <w:rFonts w:ascii="Arial" w:cs="Arial" w:eastAsia="Arial" w:hAnsi="Arial"/>
                <w:sz w:val="16"/>
                <w:szCs w:val="16"/>
                <w:b w:val="1"/>
                <w:bCs w:val="1"/>
                <w:color w:val="auto"/>
              </w:rPr>
              <w:t>Variance</w:t>
            </w: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300" w:type="dxa"/>
            <w:vAlign w:val="bottom"/>
            <w:gridSpan w:val="6"/>
          </w:tcPr>
          <w:p>
            <w:pPr>
              <w:jc w:val="center"/>
              <w:ind w:right="540"/>
              <w:spacing w:after="0"/>
              <w:rPr>
                <w:sz w:val="20"/>
                <w:szCs w:val="20"/>
                <w:color w:val="auto"/>
              </w:rPr>
            </w:pPr>
            <w:r>
              <w:rPr>
                <w:rFonts w:ascii="Arial" w:cs="Arial" w:eastAsia="Arial" w:hAnsi="Arial"/>
                <w:sz w:val="16"/>
                <w:szCs w:val="16"/>
                <w:b w:val="1"/>
                <w:bCs w:val="1"/>
                <w:color w:val="auto"/>
                <w:w w:val="88"/>
              </w:rPr>
              <w:t>(in thousands, except for percentages)</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center"/>
              <w:ind w:left="519"/>
              <w:spacing w:after="0"/>
              <w:rPr>
                <w:sz w:val="20"/>
                <w:szCs w:val="20"/>
                <w:color w:val="auto"/>
              </w:rPr>
            </w:pPr>
            <w:r>
              <w:rPr>
                <w:rFonts w:ascii="Arial" w:cs="Arial" w:eastAsia="Arial" w:hAnsi="Arial"/>
                <w:sz w:val="16"/>
                <w:szCs w:val="16"/>
                <w:color w:val="auto"/>
                <w:w w:val="94"/>
              </w:rPr>
              <w:t>(2,861)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(19,910)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17,049</w:t>
            </w: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040" w:type="dxa"/>
            <w:vAlign w:val="bottom"/>
            <w:shd w:val="clear" w:color="auto" w:fill="CCEEFF"/>
          </w:tcPr>
          <w:p>
            <w:pPr>
              <w:ind w:left="100"/>
              <w:spacing w:after="0" w:line="169" w:lineRule="exact"/>
              <w:rPr>
                <w:sz w:val="20"/>
                <w:szCs w:val="20"/>
                <w:color w:val="auto"/>
              </w:rPr>
            </w:pPr>
            <w:r>
              <w:rPr>
                <w:rFonts w:ascii="Arial" w:cs="Arial" w:eastAsia="Arial" w:hAnsi="Arial"/>
                <w:sz w:val="16"/>
                <w:szCs w:val="16"/>
                <w:color w:val="auto"/>
                <w:w w:val="93"/>
              </w:rPr>
              <w:t>Changes in unrealized gains (losses) on cash flow hedges,</w:t>
            </w:r>
          </w:p>
        </w:tc>
        <w:tc>
          <w:tcPr>
            <w:tcW w:w="1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center"/>
              <w:ind w:left="559"/>
              <w:spacing w:after="0"/>
              <w:rPr>
                <w:sz w:val="20"/>
                <w:szCs w:val="20"/>
                <w:color w:val="auto"/>
              </w:rPr>
            </w:pPr>
            <w:r>
              <w:rPr>
                <w:rFonts w:ascii="Arial" w:cs="Arial" w:eastAsia="Arial" w:hAnsi="Arial"/>
                <w:sz w:val="16"/>
                <w:szCs w:val="16"/>
                <w:color w:val="auto"/>
                <w:w w:val="89"/>
              </w:rPr>
              <w:t>4,081</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(16,632)</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20,713</w:t>
            </w:r>
          </w:p>
        </w:tc>
        <w:tc>
          <w:tcPr>
            <w:tcW w:w="6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(124.5)%</w:t>
            </w:r>
          </w:p>
        </w:tc>
        <w:tc>
          <w:tcPr>
            <w:tcW w:w="0" w:type="dxa"/>
            <w:vAlign w:val="bottom"/>
          </w:tcPr>
          <w:p>
            <w:pPr>
              <w:spacing w:after="0"/>
              <w:rPr>
                <w:sz w:val="1"/>
                <w:szCs w:val="1"/>
                <w:color w:val="auto"/>
              </w:rPr>
            </w:pPr>
          </w:p>
        </w:tc>
      </w:tr>
      <w:tr>
        <w:trPr>
          <w:trHeight w:val="212"/>
        </w:trPr>
        <w:tc>
          <w:tcPr>
            <w:tcW w:w="40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of income taxes</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comprehensive income (loss)</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left="559"/>
              <w:spacing w:after="0"/>
              <w:rPr>
                <w:sz w:val="20"/>
                <w:szCs w:val="20"/>
                <w:color w:val="auto"/>
              </w:rPr>
            </w:pPr>
            <w:r>
              <w:rPr>
                <w:rFonts w:ascii="Arial" w:cs="Arial" w:eastAsia="Arial" w:hAnsi="Arial"/>
                <w:sz w:val="16"/>
                <w:szCs w:val="16"/>
                <w:color w:val="auto"/>
                <w:w w:val="89"/>
              </w:rPr>
              <w:t>4,081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(16,632)</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20,713</w:t>
            </w:r>
          </w:p>
        </w:tc>
        <w:tc>
          <w:tcPr>
            <w:tcW w:w="64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(124.5)%</w:t>
            </w:r>
          </w:p>
        </w:tc>
        <w:tc>
          <w:tcPr>
            <w:tcW w:w="0" w:type="dxa"/>
            <w:vAlign w:val="bottom"/>
          </w:tcPr>
          <w:p>
            <w:pPr>
              <w:spacing w:after="0"/>
              <w:rPr>
                <w:sz w:val="1"/>
                <w:szCs w:val="1"/>
                <w:color w:val="auto"/>
              </w:rPr>
            </w:pPr>
          </w:p>
        </w:tc>
      </w:tr>
      <w:tr>
        <w:trPr>
          <w:trHeight w:val="238"/>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comprehensive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center"/>
              <w:ind w:left="559"/>
              <w:spacing w:after="0"/>
              <w:rPr>
                <w:sz w:val="20"/>
                <w:szCs w:val="20"/>
                <w:color w:val="auto"/>
              </w:rPr>
            </w:pPr>
            <w:r>
              <w:rPr>
                <w:rFonts w:ascii="Arial" w:cs="Arial" w:eastAsia="Arial" w:hAnsi="Arial"/>
                <w:sz w:val="16"/>
                <w:szCs w:val="16"/>
                <w:color w:val="auto"/>
                <w:w w:val="89"/>
              </w:rPr>
              <w:t>1,220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(36,542)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37,762</w:t>
            </w:r>
          </w:p>
        </w:tc>
        <w:tc>
          <w:tcPr>
            <w:tcW w:w="6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(103.3)%</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change in net loss was primarily attributed to contribution margin from additional revenue related to organic growth and realizing a full quarter of integration savings that resulted in total operating expenses decreasing as a percentage of revenue.</w:t>
      </w:r>
    </w:p>
    <w:p>
      <w:pPr>
        <w:spacing w:after="0" w:line="130"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change in unrealized gains (losses) on cash flow hedges, net of income taxes, primarily related to the increase in fair value on the $925.0 million notional swap as the swap nears maturity in August 2021. The change in unrealized loss for the three months ended March 31, 2020 related to decreases in variable interest rates, resulting in a corresponding liability on the fair value of the interest rate swaps.</w:t>
      </w:r>
    </w:p>
    <w:p>
      <w:pPr>
        <w:spacing w:after="0" w:line="157"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Net comprehensive income was $1.2 million for the three months ended March 31, 2021, compared to net comprehensive loss of $36.5 million for the three months ended March 31, 2020, as a result of the changes in net income (loss), discussed above, along with the impact of the interest rate swaps.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For the three months ended March 31, 2021 and the twelve months ended December 31, 2020, the Company’s primary sources of liquidity were cash on hand of $109.4 million and $99.3 million, respectively, as well as the $165.4 million of borrowings available under its credit facilities. During the three months ended March 31, 2021 and the year ended December 31, 2020, the Company’s positive cash flows from operations enabled investments in pharmacy and information technology infrastructure to support growth and create additional capacity in the future, as well as pursue acquisitions.</w:t>
      </w:r>
    </w:p>
    <w:p>
      <w:pPr>
        <w:spacing w:after="0" w:line="130"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The Company’s primary uses of cash include supporting our ongoing business activities and investing in various acquisitions and our infrastructure to support additional business volumes. Ongoing operating cash outflows are primarily associated with procuring and dispensing prescription drugs, personnel and other costs associated with servicing patients, as well as paying cash interest on the outstanding debt. Ongoing investing cash flows are primarily associated with capital projects related to business acquisitions, the improvement and maintenance of our pharmacy facilities and investment in our information technology systems. Ongoing financing cash flows are primarily associated with the quarterly principal payments on our outstanding debt.</w:t>
      </w:r>
    </w:p>
    <w:p>
      <w:pPr>
        <w:spacing w:after="0" w:line="121" w:lineRule="exact"/>
        <w:rPr>
          <w:sz w:val="20"/>
          <w:szCs w:val="20"/>
          <w:color w:val="auto"/>
        </w:rPr>
      </w:pPr>
    </w:p>
    <w:p>
      <w:pPr>
        <w:ind w:right="300" w:firstLine="324"/>
        <w:spacing w:after="0" w:line="257" w:lineRule="auto"/>
        <w:rPr>
          <w:sz w:val="20"/>
          <w:szCs w:val="20"/>
          <w:color w:val="auto"/>
        </w:rPr>
      </w:pPr>
      <w:r>
        <w:rPr>
          <w:rFonts w:ascii="Arial" w:cs="Arial" w:eastAsia="Arial" w:hAnsi="Arial"/>
          <w:sz w:val="18"/>
          <w:szCs w:val="18"/>
          <w:color w:val="auto"/>
        </w:rPr>
        <w:t>Our business strategy includes the selective acquisition of additional infusion pharmacies and other related healthcare businesses. We continue to evaluate acquisition opportunities and view acquisitions as a key part of our growth strategy. The Company historically has funded its acquisitions with cash with the exception of the Merger. The Company may require additional capital in excess of current availability in order to complete future acquisitions. It is impossible to predict the amount of capital that may be required for acquisitions, and there is no assurance that sufficient financing for these activities will be available on acceptable terms.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and Long-Term Liquidity Requirements</w:t>
      </w:r>
    </w:p>
    <w:p>
      <w:pPr>
        <w:spacing w:after="0" w:line="198" w:lineRule="exact"/>
        <w:rPr>
          <w:sz w:val="20"/>
          <w:szCs w:val="20"/>
          <w:color w:val="auto"/>
        </w:rPr>
      </w:pPr>
    </w:p>
    <w:p>
      <w:pPr>
        <w:ind w:right="180" w:firstLine="324"/>
        <w:spacing w:after="0" w:line="296" w:lineRule="auto"/>
        <w:rPr>
          <w:sz w:val="20"/>
          <w:szCs w:val="20"/>
          <w:color w:val="auto"/>
        </w:rPr>
      </w:pPr>
      <w:r>
        <w:rPr>
          <w:rFonts w:ascii="Arial" w:cs="Arial" w:eastAsia="Arial" w:hAnsi="Arial"/>
          <w:sz w:val="16"/>
          <w:szCs w:val="16"/>
          <w:color w:val="auto"/>
        </w:rPr>
        <w:t>The Company’s ability to make principal and interest payments on any borrowings under our credit facilities and our ability to fund planned capital expenditures will depend on our ability to generate cash in the future, which, to a certain extent, is subject to general economic, financial, competitive, regulatory and other conditions. Based on our current level of operations and planned capital expenditures, we believe that our existing cash balances and expected cash flows generated from operations will be sufficient to meet our operating requirements for at least the next 12 months. We may require additional borrowings under our credit facilities and alternative forms of financings or investments to achieve our longer-term strategic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98"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The Company’s asset-based-lending (“ABL”) revolving credit facility provides for borrowings up to $175.0 million, which matures on August 6, 2024. The ABL facility bears interest at a per annum rate that is determined by the Company’s periodic selection of rate type, either the Base Rate or the Eurocurrency Rate. The Base Rate is charged between 1.25% and 1.75% and the Eurocurrency Rate is charged between 2.25% and 2.75% based on the historical excess availability as a percentage of the Line Cap, as defined in the ABL facility credit agreement. The revolving credit facility contains commitment fees payable on the unused portion of the ABL facility ranging from 0.25% to 0.375%, depending on various factors including the Company’s leverage ratio, type of loan and rate type, and letter of credit fees of 2.5%. The Company had no outstanding borrowings under the ABL facility at</w:t>
      </w:r>
    </w:p>
    <w:p>
      <w:pPr>
        <w:spacing w:after="0" w:line="4"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March 31, 2021. The Company had $9.6 million of undrawn letters of credit issued and outstanding, resulting in net borrowing availability under the ABL facility of $165.4 million as of March 31, 2021.</w:t>
      </w:r>
    </w:p>
    <w:p>
      <w:pPr>
        <w:spacing w:after="0" w:line="145"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The principal balance of the first lien term loan was initially repayable in quarterly installments of $2.3 million plus interest, with a final payment of all remaining outstanding principal due on August 6, 2026. The quarterly principal payments commenced in March of 2020. Interest on the first lien term loan was initially payable monthly on Base Rate loans at Base Rate, as defined, plus 3.25% to 3.50%, depending on the Company’s leverage ratio. Interest was initially charged on Eurocurrency Rate loans at the Eurocurrency Rate, as defined, plus 4.25% to 4.50%, depending on the Company’s leverage ratio.</w:t>
      </w:r>
    </w:p>
    <w:p>
      <w:pPr>
        <w:spacing w:after="0" w:line="117"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second lien notes initially matured on August 6, 2027. Interest on the second lien notes was initially payable quarterly at London Interbank Offered Rate (“LIBOR”), plus 8.75%. The Company paid the second and third quarterly interest payments, due in February 2020 and May 2020. The Company elected to pay-in-kind the quarterly interest payment due in August 2020, which resulted in the Company capitalizing the interest payment to the principal balance on the interest payment date. In August 2020, the Company prepaid $125.0 million of the outstanding principal balance. In December 2020, the Company utilized available cash on hand to prepay an additional $49.0 million of the outstanding principal balance, reducing the outstanding principal balance to $245.8 million as of December 31, 2020.</w:t>
      </w:r>
    </w:p>
    <w:p>
      <w:pPr>
        <w:spacing w:after="0" w:line="165"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 xml:space="preserve">During the three months ended March 31, 2021, the Company entered into an amendment on the first lien term loan (the “First Lien Credit Agreement Amendment”). The First Lien Credit Agreement Amendment resulted in an additional $250.0 million of incremental First Lien Term Loan indebtedness being issued and reduced the interest rate on all outstanding First Lien Term Loan indebtedness from LIBOR plus 4.25% to LIBOR plus 3.75%. The proceeds of the $250.0 million incremental First Lien term Loan indebtedness were used to prepay the remaining $245.8 million outstanding balance of the Second Lien Notes. Following the First Lien Credit Agreement Amendment, the first lien term loan is repayable in quarterly installments of $2.9 million plus interest, with a final payment of all outstanding principal due on August 6, 2026. See Note 9, </w:t>
      </w:r>
      <w:r>
        <w:rPr>
          <w:rFonts w:ascii="Arial" w:cs="Arial" w:eastAsia="Arial" w:hAnsi="Arial"/>
          <w:sz w:val="16"/>
          <w:szCs w:val="16"/>
          <w:i w:val="1"/>
          <w:iCs w:val="1"/>
          <w:color w:val="auto"/>
        </w:rPr>
        <w:t>Indebtedness</w:t>
      </w:r>
      <w:r>
        <w:rPr>
          <w:rFonts w:ascii="Arial" w:cs="Arial" w:eastAsia="Arial" w:hAnsi="Arial"/>
          <w:sz w:val="16"/>
          <w:szCs w:val="16"/>
          <w:color w:val="auto"/>
        </w:rPr>
        <w:t>, of the unaudited condensed consolidated financial statements included in Item 1 of this report for further discussion. The interest rate on the first lien term loan was 3.86% as of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Three Months Ended March 31, 2021 Compared to Three Months Ended March 31, 2020</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selected data from Option Care Health’s unaudited condensed consolidated statements of cash flows:</w:t>
      </w:r>
    </w:p>
    <w:p>
      <w:pPr>
        <w:spacing w:after="0" w:line="226"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4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920" w:type="dxa"/>
            <w:vAlign w:val="bottom"/>
            <w:tcBorders>
              <w:bottom w:val="single" w:sz="8" w:color="auto"/>
            </w:tcBorders>
            <w:gridSpan w:val="7"/>
          </w:tcPr>
          <w:p>
            <w:pPr>
              <w:jc w:val="center"/>
              <w:ind w:right="99"/>
              <w:spacing w:after="0"/>
              <w:rPr>
                <w:sz w:val="20"/>
                <w:szCs w:val="20"/>
                <w:color w:val="auto"/>
              </w:rPr>
            </w:pPr>
            <w:r>
              <w:rPr>
                <w:rFonts w:ascii="Arial" w:cs="Arial" w:eastAsia="Arial" w:hAnsi="Arial"/>
                <w:sz w:val="16"/>
                <w:szCs w:val="16"/>
                <w:b w:val="1"/>
                <w:bCs w:val="1"/>
                <w:color w:val="auto"/>
                <w:w w:val="93"/>
              </w:rPr>
              <w:t>Three Months Ended March 31,</w:t>
            </w:r>
          </w:p>
        </w:tc>
      </w:tr>
      <w:tr>
        <w:trPr>
          <w:trHeight w:val="207"/>
        </w:trPr>
        <w:tc>
          <w:tcPr>
            <w:tcW w:w="4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9"/>
        </w:trPr>
        <w:tc>
          <w:tcPr>
            <w:tcW w:w="4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8"/>
              </w:rPr>
              <w:t>(unaudited)</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4"/>
              </w:rPr>
              <w:t>(unaudited)</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Variance</w:t>
            </w:r>
          </w:p>
        </w:tc>
      </w:tr>
      <w:tr>
        <w:trPr>
          <w:trHeight w:val="250"/>
        </w:trPr>
        <w:tc>
          <w:tcPr>
            <w:tcW w:w="4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(in thousands)</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1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ind w:left="660"/>
              <w:spacing w:after="0"/>
              <w:rPr>
                <w:sz w:val="20"/>
                <w:szCs w:val="20"/>
                <w:color w:val="auto"/>
              </w:rPr>
            </w:pPr>
            <w:r>
              <w:rPr>
                <w:rFonts w:ascii="Arial" w:cs="Arial" w:eastAsia="Arial" w:hAnsi="Arial"/>
                <w:sz w:val="16"/>
                <w:szCs w:val="16"/>
                <w:color w:val="auto"/>
                <w:w w:val="98"/>
              </w:rPr>
              <w:t>18,403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3"/>
        </w:trPr>
        <w:tc>
          <w:tcPr>
            <w:tcW w:w="412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ind w:left="660"/>
              <w:spacing w:after="0"/>
              <w:rPr>
                <w:sz w:val="20"/>
                <w:szCs w:val="20"/>
                <w:color w:val="auto"/>
              </w:rPr>
            </w:pPr>
            <w:r>
              <w:rPr>
                <w:rFonts w:ascii="Arial" w:cs="Arial" w:eastAsia="Arial" w:hAnsi="Arial"/>
                <w:sz w:val="16"/>
                <w:szCs w:val="16"/>
                <w:color w:val="auto"/>
                <w:w w:val="94"/>
              </w:rPr>
              <w:t>(5,353)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2,230</w:t>
            </w:r>
          </w:p>
        </w:tc>
      </w:tr>
      <w:tr>
        <w:trPr>
          <w:trHeight w:val="21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(5,160)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w w:val="94"/>
              </w:rPr>
              <w:t>(2,862)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(2,298)</w:t>
            </w:r>
          </w:p>
        </w:tc>
      </w:tr>
      <w:tr>
        <w:trPr>
          <w:trHeight w:val="207"/>
        </w:trPr>
        <w:tc>
          <w:tcPr>
            <w:tcW w:w="4120" w:type="dxa"/>
            <w:vAlign w:val="bottom"/>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10,097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ind w:left="660"/>
              <w:spacing w:after="0"/>
              <w:rPr>
                <w:sz w:val="20"/>
                <w:szCs w:val="20"/>
                <w:color w:val="auto"/>
              </w:rPr>
            </w:pPr>
            <w:r>
              <w:rPr>
                <w:rFonts w:ascii="Arial" w:cs="Arial" w:eastAsia="Arial" w:hAnsi="Arial"/>
                <w:sz w:val="16"/>
                <w:szCs w:val="16"/>
                <w:color w:val="auto"/>
                <w:w w:val="98"/>
              </w:rPr>
              <w:t>10,188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16"/>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 beginning of period</w:t>
            </w: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99,265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w w:val="98"/>
              </w:rPr>
              <w:t>67,056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32,209</w:t>
            </w:r>
          </w:p>
        </w:tc>
      </w:tr>
      <w:tr>
        <w:trPr>
          <w:trHeight w:val="212"/>
        </w:trPr>
        <w:tc>
          <w:tcPr>
            <w:tcW w:w="4120" w:type="dxa"/>
            <w:vAlign w:val="bottom"/>
          </w:tcPr>
          <w:p>
            <w:pPr>
              <w:ind w:left="20"/>
              <w:spacing w:after="0"/>
              <w:rPr>
                <w:sz w:val="20"/>
                <w:szCs w:val="20"/>
                <w:color w:val="auto"/>
              </w:rPr>
            </w:pPr>
            <w:r>
              <w:rPr>
                <w:rFonts w:ascii="Arial" w:cs="Arial" w:eastAsia="Arial" w:hAnsi="Arial"/>
                <w:sz w:val="16"/>
                <w:szCs w:val="16"/>
                <w:color w:val="auto"/>
              </w:rPr>
              <w:t>Cash and cash equivalents -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109,362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w w:val="98"/>
              </w:rPr>
              <w:t>77,244</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32,118</w:t>
            </w: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85"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Cash flows from operating activities for the three months ended March 31, 2021 were relatively consistent with the prior year as working capital efficiencies and timing of vendor payments continued to drive positive cash flows from operations.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98" w:lineRule="exact"/>
        <w:rPr>
          <w:sz w:val="20"/>
          <w:szCs w:val="20"/>
          <w:color w:val="auto"/>
        </w:rPr>
      </w:pPr>
    </w:p>
    <w:p>
      <w:pPr>
        <w:ind w:left="340" w:right="1000"/>
        <w:spacing w:after="0" w:line="453" w:lineRule="auto"/>
        <w:rPr>
          <w:sz w:val="20"/>
          <w:szCs w:val="20"/>
          <w:color w:val="auto"/>
        </w:rPr>
      </w:pPr>
      <w:r>
        <w:rPr>
          <w:rFonts w:ascii="Arial" w:cs="Arial" w:eastAsia="Arial" w:hAnsi="Arial"/>
          <w:sz w:val="18"/>
          <w:szCs w:val="18"/>
          <w:color w:val="auto"/>
        </w:rPr>
        <w:t xml:space="preserve">The decrease in cash flows used in investing activities is primarily due to the amount of investments in our pharmacies and infrastructure. </w:t>
      </w:r>
      <w:r>
        <w:rPr>
          <w:rFonts w:ascii="Arial" w:cs="Arial" w:eastAsia="Arial" w:hAnsi="Arial"/>
          <w:sz w:val="18"/>
          <w:szCs w:val="18"/>
          <w:b w:val="1"/>
          <w:bCs w:val="1"/>
          <w:i w:val="1"/>
          <w:iCs w:val="1"/>
          <w:color w:val="auto"/>
        </w:rPr>
        <w:t>Cash Flows from Financing Activities</w:t>
      </w:r>
    </w:p>
    <w:p>
      <w:pPr>
        <w:spacing w:after="0" w:line="2"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increase in cash used in financing activities is related to the current year debt refinancing, which resulted in proceeds of debt of $355.2 million, retirement of debt obligations of $352.0 million, deferred financing costs of $2.9 million and debt prepayment penalties of 2.5 million. The remaining cash used in financing activities was related to quarterly repayments of debt principal of $2.9 million during the three months ended March 31, 2021 compared to $2.3 million for the three months ended March 31, 2020.</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Commitments and Contractual Obligations</w:t>
      </w:r>
    </w:p>
    <w:p>
      <w:pPr>
        <w:spacing w:after="0" w:line="23" w:lineRule="exact"/>
        <w:rPr>
          <w:sz w:val="20"/>
          <w:szCs w:val="20"/>
          <w:color w:val="auto"/>
        </w:rPr>
      </w:pPr>
    </w:p>
    <w:p>
      <w:pPr>
        <w:ind w:right="80" w:firstLine="324"/>
        <w:spacing w:after="0" w:line="260" w:lineRule="auto"/>
        <w:rPr>
          <w:sz w:val="20"/>
          <w:szCs w:val="20"/>
          <w:color w:val="auto"/>
        </w:rPr>
      </w:pPr>
      <w:r>
        <w:rPr>
          <w:rFonts w:ascii="Arial" w:cs="Arial" w:eastAsia="Arial" w:hAnsi="Arial"/>
          <w:sz w:val="18"/>
          <w:szCs w:val="18"/>
          <w:color w:val="auto"/>
        </w:rPr>
        <w:t>The following table presents Option Care Health’s commitments and contractual obligations as of March 31, 2021, as well as its long-term obligations that changed materially from the Company’s annual report on form 10-K (in thousands):</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8"/>
          </w:tcPr>
          <w:p>
            <w:pPr>
              <w:jc w:val="center"/>
              <w:ind w:right="240"/>
              <w:spacing w:after="0"/>
              <w:rPr>
                <w:sz w:val="20"/>
                <w:szCs w:val="20"/>
                <w:color w:val="auto"/>
              </w:rPr>
            </w:pPr>
            <w:r>
              <w:rPr>
                <w:rFonts w:ascii="Arial" w:cs="Arial" w:eastAsia="Arial" w:hAnsi="Arial"/>
                <w:sz w:val="18"/>
                <w:szCs w:val="18"/>
                <w:b w:val="1"/>
                <w:bCs w:val="1"/>
                <w:color w:val="auto"/>
                <w:w w:val="89"/>
              </w:rPr>
              <w:t>Payments Due by Period</w:t>
            </w: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4"/>
                <w:szCs w:val="14"/>
                <w:color w:val="auto"/>
              </w:rPr>
            </w:pPr>
          </w:p>
        </w:tc>
        <w:tc>
          <w:tcPr>
            <w:tcW w:w="116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88"/>
              </w:rPr>
              <w:t>Less than 1</w:t>
            </w:r>
          </w:p>
        </w:tc>
        <w:tc>
          <w:tcPr>
            <w:tcW w:w="160" w:type="dxa"/>
            <w:vAlign w:val="bottom"/>
          </w:tcPr>
          <w:p>
            <w:pPr>
              <w:spacing w:after="0"/>
              <w:rPr>
                <w:sz w:val="14"/>
                <w:szCs w:val="14"/>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88"/>
              </w:rPr>
              <w:t>1 - 3 years</w:t>
            </w:r>
          </w:p>
        </w:tc>
        <w:tc>
          <w:tcPr>
            <w:tcW w:w="160" w:type="dxa"/>
            <w:vAlign w:val="bottom"/>
          </w:tcPr>
          <w:p>
            <w:pPr>
              <w:spacing w:after="0"/>
              <w:rPr>
                <w:sz w:val="14"/>
                <w:szCs w:val="14"/>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3 - 5 years</w:t>
            </w:r>
          </w:p>
        </w:tc>
        <w:tc>
          <w:tcPr>
            <w:tcW w:w="120" w:type="dxa"/>
            <w:vAlign w:val="bottom"/>
          </w:tcPr>
          <w:p>
            <w:pPr>
              <w:spacing w:after="0"/>
              <w:rPr>
                <w:sz w:val="14"/>
                <w:szCs w:val="14"/>
                <w:color w:val="auto"/>
              </w:rPr>
            </w:pPr>
          </w:p>
        </w:tc>
        <w:tc>
          <w:tcPr>
            <w:tcW w:w="1100" w:type="dxa"/>
            <w:vAlign w:val="bottom"/>
          </w:tcPr>
          <w:p>
            <w:pPr>
              <w:jc w:val="right"/>
              <w:ind w:right="50"/>
              <w:spacing w:after="0" w:line="169" w:lineRule="exact"/>
              <w:rPr>
                <w:sz w:val="20"/>
                <w:szCs w:val="20"/>
                <w:color w:val="auto"/>
              </w:rPr>
            </w:pPr>
            <w:r>
              <w:rPr>
                <w:rFonts w:ascii="Arial" w:cs="Arial" w:eastAsia="Arial" w:hAnsi="Arial"/>
                <w:sz w:val="18"/>
                <w:szCs w:val="18"/>
                <w:b w:val="1"/>
                <w:bCs w:val="1"/>
                <w:color w:val="auto"/>
                <w:w w:val="93"/>
              </w:rPr>
              <w:t>More than 5</w:t>
            </w:r>
          </w:p>
        </w:tc>
        <w:tc>
          <w:tcPr>
            <w:tcW w:w="0" w:type="dxa"/>
            <w:vAlign w:val="bottom"/>
          </w:tcPr>
          <w:p>
            <w:pPr>
              <w:spacing w:after="0"/>
              <w:rPr>
                <w:sz w:val="1"/>
                <w:szCs w:val="1"/>
                <w:color w:val="auto"/>
              </w:rPr>
            </w:pPr>
          </w:p>
        </w:tc>
      </w:tr>
      <w:tr>
        <w:trPr>
          <w:trHeight w:val="229"/>
        </w:trPr>
        <w:tc>
          <w:tcPr>
            <w:tcW w:w="44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1"/>
              </w:rPr>
              <w:t>year</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years</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3"/>
          </w:tcPr>
          <w:p>
            <w:pPr>
              <w:jc w:val="center"/>
              <w:ind w:right="80"/>
              <w:spacing w:after="0"/>
              <w:rPr>
                <w:sz w:val="20"/>
                <w:szCs w:val="20"/>
                <w:color w:val="auto"/>
              </w:rPr>
            </w:pPr>
            <w:r>
              <w:rPr>
                <w:rFonts w:ascii="Arial" w:cs="Arial" w:eastAsia="Arial" w:hAnsi="Arial"/>
                <w:sz w:val="18"/>
                <w:szCs w:val="18"/>
                <w:i w:val="1"/>
                <w:iCs w:val="1"/>
                <w:color w:val="auto"/>
                <w:w w:val="91"/>
              </w:rPr>
              <w:t>(in thousands)</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Long-term debt obligations </w:t>
            </w:r>
            <w:r>
              <w:rPr>
                <w:rFonts w:ascii="Arial" w:cs="Arial" w:eastAsia="Arial" w:hAnsi="Arial"/>
                <w:sz w:val="23"/>
                <w:szCs w:val="23"/>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1,162,806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1,103,931</w:t>
            </w:r>
          </w:p>
        </w:tc>
        <w:tc>
          <w:tcPr>
            <w:tcW w:w="0" w:type="dxa"/>
            <w:vAlign w:val="bottom"/>
          </w:tcPr>
          <w:p>
            <w:pPr>
              <w:spacing w:after="0"/>
              <w:rPr>
                <w:sz w:val="1"/>
                <w:szCs w:val="1"/>
                <w:color w:val="auto"/>
              </w:rPr>
            </w:pPr>
          </w:p>
        </w:tc>
      </w:tr>
      <w:tr>
        <w:trPr>
          <w:trHeight w:val="230"/>
        </w:trPr>
        <w:tc>
          <w:tcPr>
            <w:tcW w:w="44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Interest payments on long-term debt obligations </w:t>
            </w:r>
            <w:r>
              <w:rPr>
                <w:rFonts w:ascii="Arial" w:cs="Arial" w:eastAsia="Arial" w:hAnsi="Arial"/>
                <w:sz w:val="23"/>
                <w:szCs w:val="23"/>
                <w:color w:val="auto"/>
                <w:vertAlign w:val="superscript"/>
              </w:rPr>
              <w:t>(2)</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243,438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52,511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89,177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87,334</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14,416</w:t>
            </w:r>
          </w:p>
        </w:tc>
        <w:tc>
          <w:tcPr>
            <w:tcW w:w="0" w:type="dxa"/>
            <w:vAlign w:val="bottom"/>
          </w:tcPr>
          <w:p>
            <w:pPr>
              <w:spacing w:after="0"/>
              <w:rPr>
                <w:sz w:val="1"/>
                <w:szCs w:val="1"/>
                <w:color w:val="auto"/>
              </w:rPr>
            </w:pPr>
          </w:p>
        </w:tc>
      </w:tr>
      <w:tr>
        <w:trPr>
          <w:trHeight w:val="248"/>
        </w:trPr>
        <w:tc>
          <w:tcPr>
            <w:tcW w:w="4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1,406,244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112,727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110,884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1,118,347</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580" w:hanging="24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aggregate principal payment from the first lien term loan.</w:t>
      </w:r>
    </w:p>
    <w:p>
      <w:pPr>
        <w:spacing w:after="0" w:line="198" w:lineRule="exact"/>
        <w:rPr>
          <w:rFonts w:ascii="Arial" w:cs="Arial" w:eastAsia="Arial" w:hAnsi="Arial"/>
          <w:sz w:val="18"/>
          <w:szCs w:val="18"/>
          <w:color w:val="auto"/>
        </w:rPr>
      </w:pPr>
    </w:p>
    <w:p>
      <w:pPr>
        <w:ind w:left="340" w:right="380" w:hanging="8"/>
        <w:spacing w:after="0" w:line="308" w:lineRule="auto"/>
        <w:tabs>
          <w:tab w:leader="none" w:pos="595" w:val="left"/>
        </w:tabs>
        <w:numPr>
          <w:ilvl w:val="0"/>
          <w:numId w:val="4"/>
        </w:numPr>
        <w:rPr>
          <w:rFonts w:ascii="Arial" w:cs="Arial" w:eastAsia="Arial" w:hAnsi="Arial"/>
          <w:sz w:val="17"/>
          <w:szCs w:val="17"/>
          <w:color w:val="auto"/>
        </w:rPr>
      </w:pPr>
      <w:r>
        <w:rPr>
          <w:rFonts w:ascii="Arial" w:cs="Arial" w:eastAsia="Arial" w:hAnsi="Arial"/>
          <w:sz w:val="17"/>
          <w:szCs w:val="17"/>
          <w:color w:val="auto"/>
        </w:rPr>
        <w:t>Interest payments calculated based on LIBOR rate as of March 31, 2021. Actual payments are based on changes in LIBOR. Calculated interest payments exclude interest rate swap agreements the Company entered into in connection with the long-term debt obligations.</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contractual commitment amounts in the table above are associated with agreements that are enforceable and legally binding.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ind w:right="520" w:firstLine="324"/>
        <w:spacing w:after="0" w:line="453" w:lineRule="auto"/>
        <w:rPr>
          <w:sz w:val="20"/>
          <w:szCs w:val="20"/>
          <w:color w:val="auto"/>
        </w:rPr>
      </w:pPr>
      <w:r>
        <w:rPr>
          <w:rFonts w:ascii="Arial" w:cs="Arial" w:eastAsia="Arial" w:hAnsi="Arial"/>
          <w:sz w:val="18"/>
          <w:szCs w:val="18"/>
          <w:color w:val="auto"/>
        </w:rPr>
        <w:t xml:space="preserve">As of March 31, 2021, Option Care Health did not have any off-balance sheet arrangements, as defined in Item 303(a)(4)(ii) of Regulation S-K. </w:t>
      </w:r>
      <w:r>
        <w:rPr>
          <w:rFonts w:ascii="Arial" w:cs="Arial" w:eastAsia="Arial" w:hAnsi="Arial"/>
          <w:sz w:val="18"/>
          <w:szCs w:val="18"/>
          <w:b w:val="1"/>
          <w:bCs w:val="1"/>
          <w:color w:val="auto"/>
        </w:rPr>
        <w:t>Critical Accounting Policies and Estimates</w:t>
      </w:r>
    </w:p>
    <w:p>
      <w:pPr>
        <w:spacing w:after="0" w:line="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 prepares its unaudited condensed consolidated financial statements in accordance with United States generally accepted accounting principles (“GAAP”), which requires the Company to make estimates and assumptions. The Company evaluates its estimates and judgments on an ongoing basis. Estimates and judgments are based on historical experience and on various other factors that are believed to be reasonable under the circumstances, the results of which form the basis for making judgments about the carrying values of assets and liabilities at the date of the financial statements and the reported amounts of revenues and expenses for the period presented. The Company’s actual results may differ from these estimates, and different assumptions or conditions may yield different estimates.</w:t>
      </w:r>
    </w:p>
    <w:p>
      <w:pPr>
        <w:spacing w:after="0" w:line="165" w:lineRule="exact"/>
        <w:rPr>
          <w:sz w:val="20"/>
          <w:szCs w:val="20"/>
          <w:color w:val="auto"/>
        </w:rPr>
      </w:pPr>
    </w:p>
    <w:p>
      <w:pPr>
        <w:ind w:right="420" w:firstLine="324"/>
        <w:spacing w:after="0" w:line="342" w:lineRule="auto"/>
        <w:rPr>
          <w:sz w:val="20"/>
          <w:szCs w:val="20"/>
          <w:color w:val="auto"/>
        </w:rPr>
      </w:pPr>
      <w:r>
        <w:rPr>
          <w:rFonts w:ascii="Arial" w:cs="Arial" w:eastAsia="Arial" w:hAnsi="Arial"/>
          <w:sz w:val="16"/>
          <w:szCs w:val="16"/>
          <w:color w:val="auto"/>
        </w:rPr>
        <w:t>There have been no significant changes in the critical accounting estimates from those described in the Company’s audited consolidated financial statements and related notes, as presented in our Annual report on 10-K for the year ended December 31, 2020, hereby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2"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There have been no material changes to our exposure to market risk from those included in our Annual Report on Form 10-K for the year ended December 31, 2020, hereby incorporated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Company maintains disclosure controls and procedures (as such term is defined under Rule 13a-15(e) promulgated under the Exchange Act) that are designed to ensure that information required to be disclosed by the Company in the reports we file or submit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 Under the supervision and with the participation of the Company’s management, including its Chief Executive Officer and Chief Financial Officer, management evaluated the effectiveness of the Company’s disclosure controls and procedures as of March 31, 2021. Based on that evaluation, the Company’s Chief Executive Officer and its Chief Financial Officer concluded that our disclosure controls and procedures were effective as of March 31,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8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March 31, 2021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328"/>
        <w:spacing w:after="0" w:line="277" w:lineRule="auto"/>
        <w:rPr>
          <w:sz w:val="20"/>
          <w:szCs w:val="20"/>
          <w:color w:val="auto"/>
        </w:rPr>
      </w:pPr>
      <w:r>
        <w:rPr>
          <w:rFonts w:ascii="Arial" w:cs="Arial" w:eastAsia="Arial" w:hAnsi="Arial"/>
          <w:sz w:val="18"/>
          <w:szCs w:val="18"/>
          <w:color w:val="auto"/>
        </w:rPr>
        <w:t xml:space="preserve">For a summary of legal proceedings, refer to Note 13,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of the unaudited condensed consolidated financial statements included in Item 1 of this report.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jc w:val="both"/>
        <w:ind w:right="40" w:firstLine="324"/>
        <w:spacing w:after="0" w:line="311" w:lineRule="auto"/>
        <w:rPr>
          <w:sz w:val="20"/>
          <w:szCs w:val="20"/>
          <w:color w:val="auto"/>
        </w:rPr>
      </w:pPr>
      <w:r>
        <w:rPr>
          <w:rFonts w:ascii="Arial" w:cs="Arial" w:eastAsia="Arial" w:hAnsi="Arial"/>
          <w:sz w:val="16"/>
          <w:szCs w:val="16"/>
          <w:color w:val="auto"/>
        </w:rPr>
        <w:t>There have been no material changes to the risk factors affecting our business, financial condition or results of operations from those set forth in Part I, Item 1A. “Risk Factors” in our Annual Report on form 10-K for the year ended December 31, 2020. Additional risks and uncertainties not currently known to us or that we currently deem to be immaterial may also materially adversely affect our business, financial condition and/or operating results.</w:t>
      </w:r>
    </w:p>
    <w:p>
      <w:pPr>
        <w:spacing w:after="0" w:line="11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14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Exhibit Number</w:t>
            </w:r>
          </w:p>
        </w:tc>
        <w:tc>
          <w:tcPr>
            <w:tcW w:w="4300" w:type="dxa"/>
            <w:vAlign w:val="bottom"/>
            <w:tcBorders>
              <w:bottom w:val="single" w:sz="8" w:color="auto"/>
            </w:tcBorders>
          </w:tcPr>
          <w:p>
            <w:pPr>
              <w:spacing w:after="0"/>
              <w:rPr>
                <w:sz w:val="18"/>
                <w:szCs w:val="18"/>
                <w:color w:val="auto"/>
              </w:rPr>
            </w:pPr>
          </w:p>
        </w:tc>
        <w:tc>
          <w:tcPr>
            <w:tcW w:w="5420" w:type="dxa"/>
            <w:vAlign w:val="bottom"/>
            <w:tcBorders>
              <w:bottom w:val="single" w:sz="8" w:color="auto"/>
            </w:tcBorders>
            <w:gridSpan w:val="7"/>
          </w:tcPr>
          <w:p>
            <w:pPr>
              <w:ind w:left="16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4"/>
        </w:trPr>
        <w:tc>
          <w:tcPr>
            <w:tcW w:w="146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460" w:type="dxa"/>
            <w:vAlign w:val="bottom"/>
          </w:tcPr>
          <w:p>
            <w:pPr>
              <w:spacing w:after="0" w:line="183" w:lineRule="exact"/>
              <w:rPr>
                <w:sz w:val="20"/>
                <w:szCs w:val="20"/>
                <w:color w:val="auto"/>
              </w:rPr>
            </w:pPr>
            <w:r>
              <w:rPr>
                <w:rFonts w:ascii="Arial" w:cs="Arial" w:eastAsia="Arial" w:hAnsi="Arial"/>
                <w:sz w:val="16"/>
                <w:szCs w:val="16"/>
                <w:color w:val="auto"/>
              </w:rPr>
              <w:t>10.1</w:t>
            </w:r>
          </w:p>
        </w:tc>
        <w:tc>
          <w:tcPr>
            <w:tcW w:w="9680" w:type="dxa"/>
            <w:vAlign w:val="bottom"/>
            <w:tcBorders>
              <w:bottom w:val="single" w:sz="8" w:color="0000FF"/>
            </w:tcBorders>
            <w:gridSpan w:val="7"/>
          </w:tcPr>
          <w:p>
            <w:pPr>
              <w:spacing w:after="0" w:line="183" w:lineRule="exact"/>
              <w:rPr>
                <w:rFonts w:ascii="Arial" w:cs="Arial" w:eastAsia="Arial" w:hAnsi="Arial"/>
                <w:sz w:val="16"/>
                <w:szCs w:val="16"/>
                <w:color w:val="0000FF"/>
                <w:w w:val="91"/>
              </w:rPr>
            </w:pPr>
            <w:hyperlink r:id="rId41">
              <w:r>
                <w:rPr>
                  <w:rFonts w:ascii="Arial" w:cs="Arial" w:eastAsia="Arial" w:hAnsi="Arial"/>
                  <w:sz w:val="16"/>
                  <w:szCs w:val="16"/>
                  <w:color w:val="0000FF"/>
                  <w:w w:val="91"/>
                </w:rPr>
                <w:t>First Amendment to First Lien Credit Agreement, dated as of January 21, 2021, by and among Option Care Health, Inc., the guarantors party thereto,</w:t>
              </w:r>
            </w:hyperlink>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9720" w:type="dxa"/>
            <w:vAlign w:val="bottom"/>
            <w:gridSpan w:val="8"/>
          </w:tcPr>
          <w:p>
            <w:pPr>
              <w:spacing w:after="0" w:line="169" w:lineRule="exact"/>
              <w:rPr>
                <w:rFonts w:ascii="Arial" w:cs="Arial" w:eastAsia="Arial" w:hAnsi="Arial"/>
                <w:sz w:val="16"/>
                <w:szCs w:val="16"/>
                <w:color w:val="0000FF"/>
              </w:rPr>
            </w:pPr>
            <w:hyperlink r:id="rId41">
              <w:r>
                <w:rPr>
                  <w:rFonts w:ascii="Arial" w:cs="Arial" w:eastAsia="Arial" w:hAnsi="Arial"/>
                  <w:sz w:val="16"/>
                  <w:szCs w:val="16"/>
                  <w:color w:val="0000FF"/>
                </w:rPr>
                <w:t>Bank of America, N.A. and the financial institutions party thereto.</w:t>
              </w:r>
            </w:hyperlink>
          </w:p>
        </w:tc>
        <w:tc>
          <w:tcPr>
            <w:tcW w:w="0" w:type="dxa"/>
            <w:vAlign w:val="bottom"/>
          </w:tcPr>
          <w:p>
            <w:pPr>
              <w:spacing w:after="0"/>
              <w:rPr>
                <w:sz w:val="1"/>
                <w:szCs w:val="1"/>
                <w:color w:val="auto"/>
              </w:rPr>
            </w:pPr>
          </w:p>
        </w:tc>
      </w:tr>
      <w:tr>
        <w:trPr>
          <w:trHeight w:val="20"/>
        </w:trPr>
        <w:tc>
          <w:tcPr>
            <w:tcW w:w="1460" w:type="dxa"/>
            <w:vAlign w:val="bottom"/>
            <w:vMerge w:val="restart"/>
          </w:tcPr>
          <w:p>
            <w:pPr>
              <w:spacing w:after="0"/>
              <w:rPr>
                <w:sz w:val="20"/>
                <w:szCs w:val="20"/>
                <w:color w:val="auto"/>
              </w:rPr>
            </w:pPr>
            <w:r>
              <w:rPr>
                <w:rFonts w:ascii="Arial" w:cs="Arial" w:eastAsia="Arial" w:hAnsi="Arial"/>
                <w:sz w:val="16"/>
                <w:szCs w:val="16"/>
                <w:color w:val="auto"/>
              </w:rPr>
              <w:t>10.2</w:t>
            </w:r>
          </w:p>
        </w:tc>
        <w:tc>
          <w:tcPr>
            <w:tcW w:w="4300" w:type="dxa"/>
            <w:vAlign w:val="bottom"/>
            <w:shd w:val="clear" w:color="auto" w:fill="0000FF"/>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60" w:type="dxa"/>
            <w:vAlign w:val="bottom"/>
            <w:vMerge w:val="continue"/>
          </w:tcPr>
          <w:p>
            <w:pPr>
              <w:spacing w:after="0"/>
              <w:rPr>
                <w:sz w:val="19"/>
                <w:szCs w:val="19"/>
                <w:color w:val="auto"/>
              </w:rPr>
            </w:pPr>
          </w:p>
        </w:tc>
        <w:tc>
          <w:tcPr>
            <w:tcW w:w="9540" w:type="dxa"/>
            <w:vAlign w:val="bottom"/>
            <w:tcBorders>
              <w:bottom w:val="single" w:sz="8" w:color="0000FF"/>
            </w:tcBorders>
            <w:gridSpan w:val="2"/>
          </w:tcPr>
          <w:p>
            <w:pPr>
              <w:spacing w:after="0"/>
              <w:rPr>
                <w:rFonts w:ascii="Arial" w:cs="Arial" w:eastAsia="Arial" w:hAnsi="Arial"/>
                <w:sz w:val="16"/>
                <w:szCs w:val="16"/>
                <w:color w:val="0000FF"/>
                <w:w w:val="91"/>
              </w:rPr>
            </w:pPr>
            <w:hyperlink r:id="rId42">
              <w:r>
                <w:rPr>
                  <w:rFonts w:ascii="Arial" w:cs="Arial" w:eastAsia="Arial" w:hAnsi="Arial"/>
                  <w:sz w:val="16"/>
                  <w:szCs w:val="16"/>
                  <w:color w:val="0000FF"/>
                  <w:w w:val="91"/>
                </w:rPr>
                <w:t>Second Amendment to ABL Credit Agreement, dated as of January 21, 2021, by and among Option Care Health, Inc., the guarantors party thereto,</w:t>
              </w:r>
            </w:hyperlink>
          </w:p>
        </w:tc>
        <w:tc>
          <w:tcPr>
            <w:tcW w:w="18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9720" w:type="dxa"/>
            <w:vAlign w:val="bottom"/>
            <w:gridSpan w:val="8"/>
          </w:tcPr>
          <w:p>
            <w:pPr>
              <w:spacing w:after="0" w:line="169" w:lineRule="exact"/>
              <w:rPr>
                <w:rFonts w:ascii="Arial" w:cs="Arial" w:eastAsia="Arial" w:hAnsi="Arial"/>
                <w:sz w:val="16"/>
                <w:szCs w:val="16"/>
                <w:color w:val="0000FF"/>
              </w:rPr>
            </w:pPr>
            <w:hyperlink r:id="rId42">
              <w:r>
                <w:rPr>
                  <w:rFonts w:ascii="Arial" w:cs="Arial" w:eastAsia="Arial" w:hAnsi="Arial"/>
                  <w:sz w:val="16"/>
                  <w:szCs w:val="16"/>
                  <w:color w:val="0000FF"/>
                </w:rPr>
                <w:t>Bank of America, N.A. and the financial institutions party thereto.</w:t>
              </w:r>
            </w:hyperlink>
          </w:p>
        </w:tc>
        <w:tc>
          <w:tcPr>
            <w:tcW w:w="0" w:type="dxa"/>
            <w:vAlign w:val="bottom"/>
          </w:tcPr>
          <w:p>
            <w:pPr>
              <w:spacing w:after="0"/>
              <w:rPr>
                <w:sz w:val="1"/>
                <w:szCs w:val="1"/>
                <w:color w:val="auto"/>
              </w:rPr>
            </w:pPr>
          </w:p>
        </w:tc>
      </w:tr>
      <w:tr>
        <w:trPr>
          <w:trHeight w:val="20"/>
        </w:trPr>
        <w:tc>
          <w:tcPr>
            <w:tcW w:w="1460" w:type="dxa"/>
            <w:vAlign w:val="bottom"/>
            <w:vMerge w:val="restart"/>
          </w:tcPr>
          <w:p>
            <w:pPr>
              <w:spacing w:after="0"/>
              <w:rPr>
                <w:sz w:val="20"/>
                <w:szCs w:val="20"/>
                <w:color w:val="auto"/>
              </w:rPr>
            </w:pPr>
            <w:r>
              <w:rPr>
                <w:rFonts w:ascii="Arial" w:cs="Arial" w:eastAsia="Arial" w:hAnsi="Arial"/>
                <w:sz w:val="16"/>
                <w:szCs w:val="16"/>
                <w:color w:val="auto"/>
              </w:rPr>
              <w:t>31.1</w:t>
            </w:r>
          </w:p>
        </w:tc>
        <w:tc>
          <w:tcPr>
            <w:tcW w:w="4300" w:type="dxa"/>
            <w:vAlign w:val="bottom"/>
            <w:shd w:val="clear" w:color="auto" w:fill="0000FF"/>
          </w:tcPr>
          <w:p>
            <w:pPr>
              <w:spacing w:after="0" w:line="20" w:lineRule="exact"/>
              <w:rPr>
                <w:sz w:val="1"/>
                <w:szCs w:val="1"/>
                <w:color w:val="auto"/>
              </w:rPr>
            </w:pPr>
          </w:p>
        </w:tc>
        <w:tc>
          <w:tcPr>
            <w:tcW w:w="5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60" w:type="dxa"/>
            <w:vAlign w:val="bottom"/>
            <w:vMerge w:val="continue"/>
          </w:tcPr>
          <w:p>
            <w:pPr>
              <w:spacing w:after="0"/>
              <w:rPr>
                <w:sz w:val="19"/>
                <w:szCs w:val="19"/>
                <w:color w:val="auto"/>
              </w:rPr>
            </w:pPr>
          </w:p>
        </w:tc>
        <w:tc>
          <w:tcPr>
            <w:tcW w:w="9640" w:type="dxa"/>
            <w:vAlign w:val="bottom"/>
            <w:tcBorders>
              <w:bottom w:val="single" w:sz="8" w:color="0000FF"/>
            </w:tcBorders>
            <w:gridSpan w:val="5"/>
          </w:tcPr>
          <w:p>
            <w:pPr>
              <w:spacing w:after="0"/>
              <w:rPr>
                <w:rFonts w:ascii="Arial" w:cs="Arial" w:eastAsia="Arial" w:hAnsi="Arial"/>
                <w:sz w:val="16"/>
                <w:szCs w:val="16"/>
                <w:color w:val="0000FF"/>
                <w:w w:val="92"/>
              </w:rPr>
            </w:pPr>
            <w:hyperlink w:anchor="page31">
              <w:r>
                <w:rPr>
                  <w:rFonts w:ascii="Arial" w:cs="Arial" w:eastAsia="Arial" w:hAnsi="Arial"/>
                  <w:sz w:val="16"/>
                  <w:szCs w:val="16"/>
                  <w:color w:val="0000FF"/>
                  <w:w w:val="92"/>
                </w:rPr>
                <w:t>Certification of Chief Executive Officer pursuant to 18 U.S.C. Section 1350, as adopted pursuant to Section 302 of the Sarbanes-Oxley Act of 2002.</w:t>
              </w:r>
            </w:hyperlink>
          </w:p>
        </w:tc>
        <w:tc>
          <w:tcPr>
            <w:tcW w:w="8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460" w:type="dxa"/>
            <w:vAlign w:val="bottom"/>
          </w:tcPr>
          <w:p>
            <w:pPr>
              <w:spacing w:after="0"/>
              <w:rPr>
                <w:sz w:val="20"/>
                <w:szCs w:val="20"/>
                <w:color w:val="auto"/>
              </w:rPr>
            </w:pPr>
            <w:r>
              <w:rPr>
                <w:rFonts w:ascii="Arial" w:cs="Arial" w:eastAsia="Arial" w:hAnsi="Arial"/>
                <w:sz w:val="16"/>
                <w:szCs w:val="16"/>
                <w:color w:val="auto"/>
              </w:rPr>
              <w:t>31.2</w:t>
            </w:r>
          </w:p>
        </w:tc>
        <w:tc>
          <w:tcPr>
            <w:tcW w:w="9580" w:type="dxa"/>
            <w:vAlign w:val="bottom"/>
            <w:tcBorders>
              <w:bottom w:val="single" w:sz="8" w:color="0000FF"/>
            </w:tcBorders>
            <w:gridSpan w:val="3"/>
          </w:tcPr>
          <w:p>
            <w:pPr>
              <w:spacing w:after="0"/>
              <w:rPr>
                <w:rFonts w:ascii="Arial" w:cs="Arial" w:eastAsia="Arial" w:hAnsi="Arial"/>
                <w:sz w:val="16"/>
                <w:szCs w:val="16"/>
                <w:color w:val="0000FF"/>
                <w:w w:val="92"/>
              </w:rPr>
            </w:pPr>
            <w:hyperlink w:anchor="page32">
              <w:r>
                <w:rPr>
                  <w:rFonts w:ascii="Arial" w:cs="Arial" w:eastAsia="Arial" w:hAnsi="Arial"/>
                  <w:sz w:val="16"/>
                  <w:szCs w:val="16"/>
                  <w:color w:val="0000FF"/>
                  <w:w w:val="92"/>
                </w:rPr>
                <w:t>Certification of Chief Financial Officer pursuant to 18 U.S.C. Section 1350, as adopted pursuant to Section 302 of the Sarbanes-Oxley Act of 2002.</w:t>
              </w:r>
            </w:hyperlink>
          </w:p>
        </w:tc>
        <w:tc>
          <w:tcPr>
            <w:tcW w:w="14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20"/>
                <w:szCs w:val="20"/>
                <w:color w:val="auto"/>
              </w:rPr>
            </w:pPr>
            <w:r>
              <w:rPr>
                <w:rFonts w:ascii="Arial" w:cs="Arial" w:eastAsia="Arial" w:hAnsi="Arial"/>
                <w:sz w:val="16"/>
                <w:szCs w:val="16"/>
                <w:color w:val="auto"/>
              </w:rPr>
              <w:t>32.1</w:t>
            </w:r>
          </w:p>
        </w:tc>
        <w:tc>
          <w:tcPr>
            <w:tcW w:w="9660" w:type="dxa"/>
            <w:vAlign w:val="bottom"/>
            <w:tcBorders>
              <w:bottom w:val="single" w:sz="8" w:color="0000FF"/>
            </w:tcBorders>
            <w:gridSpan w:val="6"/>
          </w:tcPr>
          <w:p>
            <w:pPr>
              <w:spacing w:after="0"/>
              <w:rPr>
                <w:rFonts w:ascii="Arial" w:cs="Arial" w:eastAsia="Arial" w:hAnsi="Arial"/>
                <w:sz w:val="16"/>
                <w:szCs w:val="16"/>
                <w:color w:val="0000FF"/>
                <w:w w:val="92"/>
              </w:rPr>
            </w:pPr>
            <w:hyperlink w:anchor="page33">
              <w:r>
                <w:rPr>
                  <w:rFonts w:ascii="Arial" w:cs="Arial" w:eastAsia="Arial" w:hAnsi="Arial"/>
                  <w:sz w:val="16"/>
                  <w:szCs w:val="16"/>
                  <w:color w:val="0000FF"/>
                  <w:w w:val="92"/>
                </w:rPr>
                <w:t>Certification of Chief Executive Officer pursuant to 18 U.S. C. Section 1350, as adopted pursuant to Section 906 of the Sarbanes-Oxley Act of 2002.</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20"/>
                <w:szCs w:val="20"/>
                <w:color w:val="auto"/>
              </w:rPr>
            </w:pPr>
            <w:r>
              <w:rPr>
                <w:rFonts w:ascii="Arial" w:cs="Arial" w:eastAsia="Arial" w:hAnsi="Arial"/>
                <w:sz w:val="16"/>
                <w:szCs w:val="16"/>
                <w:color w:val="auto"/>
              </w:rPr>
              <w:t>32.2</w:t>
            </w:r>
          </w:p>
        </w:tc>
        <w:tc>
          <w:tcPr>
            <w:tcW w:w="9620" w:type="dxa"/>
            <w:vAlign w:val="bottom"/>
            <w:tcBorders>
              <w:bottom w:val="single" w:sz="8" w:color="0000FF"/>
            </w:tcBorders>
            <w:gridSpan w:val="4"/>
          </w:tcPr>
          <w:p>
            <w:pPr>
              <w:spacing w:after="0"/>
              <w:rPr>
                <w:rFonts w:ascii="Arial" w:cs="Arial" w:eastAsia="Arial" w:hAnsi="Arial"/>
                <w:sz w:val="16"/>
                <w:szCs w:val="16"/>
                <w:color w:val="0000FF"/>
                <w:w w:val="92"/>
              </w:rPr>
            </w:pPr>
            <w:hyperlink w:anchor="page34">
              <w:r>
                <w:rPr>
                  <w:rFonts w:ascii="Arial" w:cs="Arial" w:eastAsia="Arial" w:hAnsi="Arial"/>
                  <w:sz w:val="16"/>
                  <w:szCs w:val="16"/>
                  <w:color w:val="0000FF"/>
                  <w:w w:val="92"/>
                </w:rPr>
                <w:t>Certification of Chief Financial Officer pursuant to 18 U.S. C. Section 1350, as adopted pursuant to Section 906 of the Sarbanes-Oxley Act of 2002.</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r>
              <w:rPr>
                <w:rFonts w:ascii="Arial" w:cs="Arial" w:eastAsia="Arial" w:hAnsi="Arial"/>
                <w:sz w:val="16"/>
                <w:szCs w:val="16"/>
                <w:color w:val="auto"/>
              </w:rPr>
              <w:t>101.INS</w:t>
            </w:r>
          </w:p>
        </w:tc>
        <w:tc>
          <w:tcPr>
            <w:tcW w:w="9720" w:type="dxa"/>
            <w:vAlign w:val="bottom"/>
            <w:gridSpan w:val="8"/>
          </w:tcPr>
          <w:p>
            <w:pPr>
              <w:spacing w:after="0"/>
              <w:rPr>
                <w:sz w:val="20"/>
                <w:szCs w:val="20"/>
                <w:color w:val="auto"/>
              </w:rPr>
            </w:pPr>
            <w:r>
              <w:rPr>
                <w:rFonts w:ascii="Arial" w:cs="Arial" w:eastAsia="Arial" w:hAnsi="Arial"/>
                <w:sz w:val="16"/>
                <w:szCs w:val="16"/>
                <w:color w:val="auto"/>
              </w:rPr>
              <w:t>XBRL Instance Document</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6"/>
                <w:szCs w:val="16"/>
                <w:color w:val="auto"/>
              </w:rPr>
              <w:t>101.SCH</w:t>
            </w:r>
          </w:p>
        </w:tc>
        <w:tc>
          <w:tcPr>
            <w:tcW w:w="9720" w:type="dxa"/>
            <w:vAlign w:val="bottom"/>
            <w:gridSpan w:val="8"/>
          </w:tcPr>
          <w:p>
            <w:pPr>
              <w:spacing w:after="0"/>
              <w:rPr>
                <w:sz w:val="20"/>
                <w:szCs w:val="20"/>
                <w:color w:val="auto"/>
              </w:rPr>
            </w:pPr>
            <w:r>
              <w:rPr>
                <w:rFonts w:ascii="Arial" w:cs="Arial" w:eastAsia="Arial" w:hAnsi="Arial"/>
                <w:sz w:val="16"/>
                <w:szCs w:val="16"/>
                <w:color w:val="auto"/>
              </w:rPr>
              <w:t>XBRL Taxonomy Extension Schema Document</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6"/>
                <w:szCs w:val="16"/>
                <w:color w:val="auto"/>
              </w:rPr>
              <w:t>101.CAL</w:t>
            </w:r>
          </w:p>
        </w:tc>
        <w:tc>
          <w:tcPr>
            <w:tcW w:w="9720" w:type="dxa"/>
            <w:vAlign w:val="bottom"/>
            <w:gridSpan w:val="8"/>
          </w:tcPr>
          <w:p>
            <w:pPr>
              <w:spacing w:after="0"/>
              <w:rPr>
                <w:sz w:val="20"/>
                <w:szCs w:val="20"/>
                <w:color w:val="auto"/>
              </w:rPr>
            </w:pPr>
            <w:r>
              <w:rPr>
                <w:rFonts w:ascii="Arial" w:cs="Arial" w:eastAsia="Arial" w:hAnsi="Arial"/>
                <w:sz w:val="16"/>
                <w:szCs w:val="16"/>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6"/>
                <w:szCs w:val="16"/>
                <w:color w:val="auto"/>
              </w:rPr>
              <w:t>101.DEF</w:t>
            </w:r>
          </w:p>
        </w:tc>
        <w:tc>
          <w:tcPr>
            <w:tcW w:w="9720" w:type="dxa"/>
            <w:vAlign w:val="bottom"/>
            <w:gridSpan w:val="8"/>
          </w:tcPr>
          <w:p>
            <w:pPr>
              <w:spacing w:after="0"/>
              <w:rPr>
                <w:sz w:val="20"/>
                <w:szCs w:val="20"/>
                <w:color w:val="auto"/>
              </w:rPr>
            </w:pPr>
            <w:r>
              <w:rPr>
                <w:rFonts w:ascii="Arial" w:cs="Arial" w:eastAsia="Arial" w:hAnsi="Arial"/>
                <w:sz w:val="16"/>
                <w:szCs w:val="16"/>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6"/>
                <w:szCs w:val="16"/>
                <w:color w:val="auto"/>
              </w:rPr>
              <w:t>101.LAB</w:t>
            </w:r>
          </w:p>
        </w:tc>
        <w:tc>
          <w:tcPr>
            <w:tcW w:w="9720" w:type="dxa"/>
            <w:vAlign w:val="bottom"/>
            <w:gridSpan w:val="8"/>
          </w:tcPr>
          <w:p>
            <w:pPr>
              <w:spacing w:after="0"/>
              <w:rPr>
                <w:sz w:val="20"/>
                <w:szCs w:val="20"/>
                <w:color w:val="auto"/>
              </w:rPr>
            </w:pPr>
            <w:r>
              <w:rPr>
                <w:rFonts w:ascii="Arial" w:cs="Arial" w:eastAsia="Arial" w:hAnsi="Arial"/>
                <w:sz w:val="16"/>
                <w:szCs w:val="16"/>
                <w:color w:val="auto"/>
              </w:rPr>
              <w:t>XBRL Taxonomy Extension Labels Linkbase Document</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6"/>
                <w:szCs w:val="16"/>
                <w:color w:val="auto"/>
              </w:rPr>
              <w:t>101.PRE</w:t>
            </w:r>
          </w:p>
        </w:tc>
        <w:tc>
          <w:tcPr>
            <w:tcW w:w="9720" w:type="dxa"/>
            <w:vAlign w:val="bottom"/>
            <w:gridSpan w:val="8"/>
          </w:tcPr>
          <w:p>
            <w:pPr>
              <w:spacing w:after="0"/>
              <w:rPr>
                <w:sz w:val="20"/>
                <w:szCs w:val="20"/>
                <w:color w:val="auto"/>
              </w:rPr>
            </w:pPr>
            <w:r>
              <w:rPr>
                <w:rFonts w:ascii="Arial" w:cs="Arial" w:eastAsia="Arial" w:hAnsi="Arial"/>
                <w:sz w:val="16"/>
                <w:szCs w:val="16"/>
                <w:color w:val="auto"/>
              </w:rPr>
              <w:t>XBRL Taxonomy Extension Presentation Linkbase Document</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6"/>
                <w:szCs w:val="16"/>
                <w:color w:val="auto"/>
              </w:rPr>
              <w:t>104</w:t>
            </w:r>
          </w:p>
        </w:tc>
        <w:tc>
          <w:tcPr>
            <w:tcW w:w="9720" w:type="dxa"/>
            <w:vAlign w:val="bottom"/>
            <w:gridSpan w:val="8"/>
          </w:tcPr>
          <w:p>
            <w:pPr>
              <w:spacing w:after="0"/>
              <w:rPr>
                <w:sz w:val="20"/>
                <w:szCs w:val="20"/>
                <w:color w:val="auto"/>
              </w:rPr>
            </w:pPr>
            <w:r>
              <w:rPr>
                <w:rFonts w:ascii="Arial" w:cs="Arial" w:eastAsia="Arial" w:hAnsi="Arial"/>
                <w:sz w:val="16"/>
                <w:szCs w:val="16"/>
                <w:color w:val="auto"/>
              </w:rPr>
              <w:t>XBRL Formatted Cover Page</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28" w:lineRule="exact"/>
        <w:rPr>
          <w:sz w:val="20"/>
          <w:szCs w:val="20"/>
          <w:color w:val="auto"/>
        </w:rPr>
      </w:pPr>
    </w:p>
    <w:p>
      <w:pPr>
        <w:ind w:left="8660"/>
        <w:spacing w:after="0"/>
        <w:rPr>
          <w:sz w:val="20"/>
          <w:szCs w:val="20"/>
          <w:color w:val="auto"/>
        </w:rPr>
      </w:pPr>
      <w:r>
        <w:rPr>
          <w:rFonts w:ascii="Arial" w:cs="Arial" w:eastAsia="Arial" w:hAnsi="Arial"/>
          <w:sz w:val="18"/>
          <w:szCs w:val="18"/>
          <w:b w:val="1"/>
          <w:bCs w:val="1"/>
          <w:color w:val="auto"/>
        </w:rPr>
        <w:t>OPTION CARE HEALTH, INC.</w:t>
      </w:r>
    </w:p>
    <w:p>
      <w:pPr>
        <w:spacing w:after="0" w:line="252" w:lineRule="exact"/>
        <w:rPr>
          <w:sz w:val="20"/>
          <w:szCs w:val="20"/>
          <w:color w:val="auto"/>
        </w:rPr>
      </w:pPr>
    </w:p>
    <w:p>
      <w:pPr>
        <w:ind w:left="20"/>
        <w:spacing w:after="0"/>
        <w:tabs>
          <w:tab w:leader="none" w:pos="9640" w:val="left"/>
        </w:tabs>
        <w:rPr>
          <w:sz w:val="20"/>
          <w:szCs w:val="20"/>
          <w:color w:val="auto"/>
        </w:rPr>
      </w:pPr>
      <w:r>
        <w:rPr>
          <w:rFonts w:ascii="Arial" w:cs="Arial" w:eastAsia="Arial" w:hAnsi="Arial"/>
          <w:sz w:val="18"/>
          <w:szCs w:val="18"/>
          <w:color w:val="auto"/>
        </w:rPr>
        <w:t>Date: May 6, 2021</w:t>
      </w:r>
      <w:r>
        <w:rPr>
          <w:sz w:val="20"/>
          <w:szCs w:val="20"/>
          <w:color w:val="auto"/>
        </w:rPr>
        <w:tab/>
      </w:r>
      <w:r>
        <w:rPr>
          <w:rFonts w:ascii="Arial" w:cs="Arial" w:eastAsia="Arial" w:hAnsi="Arial"/>
          <w:sz w:val="16"/>
          <w:szCs w:val="16"/>
          <w:b w:val="1"/>
          <w:bCs w:val="1"/>
          <w:u w:val="single" w:color="auto"/>
          <w:color w:val="auto"/>
        </w:rPr>
        <w:t>/s/ Michael Shapiro</w:t>
      </w:r>
    </w:p>
    <w:p>
      <w:pPr>
        <w:spacing w:after="0" w:line="27"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Michael Shapiro</w:t>
      </w:r>
    </w:p>
    <w:p>
      <w:pPr>
        <w:spacing w:after="0" w:line="170"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Chief Financial Officer (Principal Financial Officer and Duly Authorized Officer)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21" w:right="339" w:bottom="1440" w:gutter="0" w:footer="0" w:header="0"/>
        </w:sectPr>
      </w:pPr>
    </w:p>
    <w:bookmarkStart w:id="30" w:name="page31"/>
    <w:bookmarkEnd w:id="30"/>
    <w:p>
      <w:pPr>
        <w:ind w:left="10180"/>
        <w:spacing w:after="0"/>
        <w:rPr>
          <w:sz w:val="20"/>
          <w:szCs w:val="20"/>
          <w:color w:val="auto"/>
        </w:rPr>
      </w:pPr>
      <w:r>
        <w:rPr>
          <w:rFonts w:ascii="Arial" w:cs="Arial" w:eastAsia="Arial" w:hAnsi="Arial"/>
          <w:sz w:val="16"/>
          <w:szCs w:val="16"/>
          <w:b w:val="1"/>
          <w:bCs w:val="1"/>
          <w:color w:val="auto"/>
        </w:rPr>
        <w:t>EXHIBIT 31.1</w:t>
      </w:r>
    </w:p>
    <w:p>
      <w:pPr>
        <w:spacing w:after="0" w:line="244"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Rademacher, certify that:</w:t>
      </w:r>
    </w:p>
    <w:p>
      <w:pPr>
        <w:spacing w:after="0" w:line="104"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Option Care Health, Inc.;</w:t>
      </w:r>
    </w:p>
    <w:p>
      <w:pPr>
        <w:spacing w:after="0" w:line="90" w:lineRule="exact"/>
        <w:rPr>
          <w:rFonts w:ascii="Arial" w:cs="Arial" w:eastAsia="Arial" w:hAnsi="Arial"/>
          <w:sz w:val="18"/>
          <w:szCs w:val="18"/>
          <w:color w:val="auto"/>
        </w:rPr>
      </w:pPr>
    </w:p>
    <w:p>
      <w:pPr>
        <w:ind w:left="660" w:hanging="652"/>
        <w:spacing w:after="0" w:line="263" w:lineRule="auto"/>
        <w:tabs>
          <w:tab w:leader="none" w:pos="435"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hanging="652"/>
        <w:spacing w:after="0" w:line="308" w:lineRule="auto"/>
        <w:tabs>
          <w:tab w:leader="none" w:pos="442"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660" w:hanging="652"/>
        <w:spacing w:after="0" w:line="263" w:lineRule="auto"/>
        <w:tabs>
          <w:tab w:leader="none" w:pos="456"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8" w:lineRule="exact"/>
        <w:rPr>
          <w:rFonts w:ascii="Arial" w:cs="Arial" w:eastAsia="Arial" w:hAnsi="Arial"/>
          <w:sz w:val="18"/>
          <w:szCs w:val="18"/>
          <w:color w:val="auto"/>
        </w:rPr>
      </w:pPr>
    </w:p>
    <w:p>
      <w:pPr>
        <w:ind w:left="1300" w:hanging="644"/>
        <w:spacing w:after="0" w:line="263" w:lineRule="auto"/>
        <w:tabs>
          <w:tab w:leader="none" w:pos="1106"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hanging="644"/>
        <w:spacing w:after="0" w:line="263" w:lineRule="auto"/>
        <w:tabs>
          <w:tab w:leader="none" w:pos="1154"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1300" w:hanging="644"/>
        <w:spacing w:after="0" w:line="308" w:lineRule="auto"/>
        <w:tabs>
          <w:tab w:leader="none" w:pos="1179" w:val="left"/>
        </w:tabs>
        <w:numPr>
          <w:ilvl w:val="1"/>
          <w:numId w:val="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ind w:left="1300" w:hanging="644"/>
        <w:spacing w:after="0" w:line="263" w:lineRule="auto"/>
        <w:tabs>
          <w:tab w:leader="none" w:pos="11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hanging="652"/>
        <w:spacing w:after="0" w:line="308" w:lineRule="auto"/>
        <w:tabs>
          <w:tab w:leader="none" w:pos="42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1300" w:right="20" w:hanging="644"/>
        <w:spacing w:after="0" w:line="308" w:lineRule="auto"/>
        <w:tabs>
          <w:tab w:leader="none" w:pos="1213" w:val="left"/>
        </w:tabs>
        <w:numPr>
          <w:ilvl w:val="1"/>
          <w:numId w:val="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1300" w:hanging="644"/>
        <w:spacing w:after="0" w:line="277" w:lineRule="auto"/>
        <w:tabs>
          <w:tab w:leader="none" w:pos="1152"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May 6, 2021</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/s/ John Rademacher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Rademacher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 and Principal Executive Officer</w:t>
      </w:r>
    </w:p>
    <w:p>
      <w:pPr>
        <w:sectPr>
          <w:pgSz w:w="11900" w:h="16838" w:orient="portrait"/>
          <w:cols w:equalWidth="0" w:num="1">
            <w:col w:w="11240"/>
          </w:cols>
          <w:pgMar w:left="320" w:top="895"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6"/>
          <w:szCs w:val="16"/>
          <w:b w:val="1"/>
          <w:bCs w:val="1"/>
          <w:color w:val="auto"/>
        </w:rPr>
        <w:t>EXHIBIT 31.2</w:t>
      </w:r>
    </w:p>
    <w:p>
      <w:pPr>
        <w:spacing w:after="0" w:line="244"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Shapiro, certify that:</w:t>
      </w:r>
    </w:p>
    <w:p>
      <w:pPr>
        <w:spacing w:after="0" w:line="104"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Option Care Health, Inc.;</w:t>
      </w:r>
    </w:p>
    <w:p>
      <w:pPr>
        <w:spacing w:after="0" w:line="90" w:lineRule="exact"/>
        <w:rPr>
          <w:rFonts w:ascii="Arial" w:cs="Arial" w:eastAsia="Arial" w:hAnsi="Arial"/>
          <w:sz w:val="18"/>
          <w:szCs w:val="18"/>
          <w:color w:val="auto"/>
        </w:rPr>
      </w:pPr>
    </w:p>
    <w:p>
      <w:pPr>
        <w:ind w:left="660" w:hanging="652"/>
        <w:spacing w:after="0" w:line="263" w:lineRule="auto"/>
        <w:tabs>
          <w:tab w:leader="none" w:pos="435"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hanging="652"/>
        <w:spacing w:after="0" w:line="308" w:lineRule="auto"/>
        <w:tabs>
          <w:tab w:leader="none" w:pos="442"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660" w:hanging="652"/>
        <w:spacing w:after="0" w:line="263" w:lineRule="auto"/>
        <w:tabs>
          <w:tab w:leader="none" w:pos="45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8" w:lineRule="exact"/>
        <w:rPr>
          <w:rFonts w:ascii="Arial" w:cs="Arial" w:eastAsia="Arial" w:hAnsi="Arial"/>
          <w:sz w:val="18"/>
          <w:szCs w:val="18"/>
          <w:color w:val="auto"/>
        </w:rPr>
      </w:pPr>
    </w:p>
    <w:p>
      <w:pPr>
        <w:ind w:left="1300" w:hanging="644"/>
        <w:spacing w:after="0" w:line="263" w:lineRule="auto"/>
        <w:tabs>
          <w:tab w:leader="none" w:pos="1106"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hanging="644"/>
        <w:spacing w:after="0" w:line="263" w:lineRule="auto"/>
        <w:tabs>
          <w:tab w:leader="none" w:pos="1154"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1300" w:hanging="644"/>
        <w:spacing w:after="0" w:line="308" w:lineRule="auto"/>
        <w:tabs>
          <w:tab w:leader="none" w:pos="1179"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ind w:left="1300" w:hanging="644"/>
        <w:spacing w:after="0" w:line="263" w:lineRule="auto"/>
        <w:tabs>
          <w:tab w:leader="none" w:pos="11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hanging="652"/>
        <w:spacing w:after="0" w:line="308" w:lineRule="auto"/>
        <w:tabs>
          <w:tab w:leader="none" w:pos="426"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1300" w:right="20" w:hanging="644"/>
        <w:spacing w:after="0" w:line="308" w:lineRule="auto"/>
        <w:tabs>
          <w:tab w:leader="none" w:pos="1213" w:val="left"/>
        </w:tabs>
        <w:numPr>
          <w:ilvl w:val="1"/>
          <w:numId w:val="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1300" w:hanging="644"/>
        <w:spacing w:after="0" w:line="277" w:lineRule="auto"/>
        <w:tabs>
          <w:tab w:leader="none" w:pos="1152"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May 6, 2021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/s/ Michael Shapiro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Shapiro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Principal Financial Officer</w:t>
      </w:r>
    </w:p>
    <w:p>
      <w:pPr>
        <w:sectPr>
          <w:pgSz w:w="11900" w:h="16838" w:orient="portrait"/>
          <w:cols w:equalWidth="0" w:num="1">
            <w:col w:w="11240"/>
          </w:cols>
          <w:pgMar w:left="320" w:top="895"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8" w:lineRule="exact"/>
        <w:rPr>
          <w:sz w:val="20"/>
          <w:szCs w:val="20"/>
          <w:color w:val="auto"/>
        </w:rPr>
      </w:pPr>
    </w:p>
    <w:p>
      <w:pPr>
        <w:jc w:val="both"/>
        <w:ind w:firstLine="189"/>
        <w:spacing w:after="0" w:line="286" w:lineRule="auto"/>
        <w:rPr>
          <w:sz w:val="20"/>
          <w:szCs w:val="20"/>
          <w:color w:val="auto"/>
        </w:rPr>
      </w:pPr>
      <w:r>
        <w:rPr>
          <w:rFonts w:ascii="Arial" w:cs="Arial" w:eastAsia="Arial" w:hAnsi="Arial"/>
          <w:sz w:val="17"/>
          <w:szCs w:val="17"/>
          <w:color w:val="auto"/>
        </w:rPr>
        <w:t>In connection with the Quarterly Report of Option Care Health, Inc. (the “Company”) on Form 10-Q for the quarter ended March 31, 2021, as filed with the Securities and Exchange Commission on the date hereof (the “Report”), I, John Rademacher, Chief Executive Officer of the Company, do hereby certify, pursuant to 18 U.S.C. Section 1350, as adopted pursuant to Section 906 of the Sarbanes-Oxley Act of 2002, that to my knowledge:</w:t>
      </w:r>
    </w:p>
    <w:p>
      <w:pPr>
        <w:spacing w:after="0" w:line="30" w:lineRule="exact"/>
        <w:rPr>
          <w:sz w:val="20"/>
          <w:szCs w:val="20"/>
          <w:color w:val="auto"/>
        </w:rPr>
      </w:pPr>
    </w:p>
    <w:p>
      <w:pPr>
        <w:ind w:left="440" w:hanging="432"/>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400" w:hanging="392"/>
        <w:spacing w:after="0"/>
        <w:tabs>
          <w:tab w:leader="none" w:pos="4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Date: May 6, 2021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John Rademacher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Rademacher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 and Principal Executive Officer</w:t>
      </w:r>
    </w:p>
    <w:p>
      <w:pPr>
        <w:sectPr>
          <w:pgSz w:w="11900" w:h="16838" w:orient="portrait"/>
          <w:cols w:equalWidth="0" w:num="1">
            <w:col w:w="11240"/>
          </w:cols>
          <w:pgMar w:left="320" w:top="891"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32.2</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8" w:lineRule="exact"/>
        <w:rPr>
          <w:sz w:val="20"/>
          <w:szCs w:val="20"/>
          <w:color w:val="auto"/>
        </w:rPr>
      </w:pPr>
    </w:p>
    <w:p>
      <w:pPr>
        <w:jc w:val="both"/>
        <w:ind w:firstLine="189"/>
        <w:spacing w:after="0" w:line="286" w:lineRule="auto"/>
        <w:rPr>
          <w:sz w:val="20"/>
          <w:szCs w:val="20"/>
          <w:color w:val="auto"/>
        </w:rPr>
      </w:pPr>
      <w:r>
        <w:rPr>
          <w:rFonts w:ascii="Arial" w:cs="Arial" w:eastAsia="Arial" w:hAnsi="Arial"/>
          <w:sz w:val="17"/>
          <w:szCs w:val="17"/>
          <w:color w:val="auto"/>
        </w:rPr>
        <w:t>In connection with the Quarterly Report of Option Care Health, Inc. (the “Company”) on Form 10-Q for the quarter ended March 31, 2021, as filed with the Securities and Exchange Commission on the date hereof (the “Report”), I, Michael Shapiro, Chief Financial Officer of the Company, do hereby certify, pursuant to 18 U.S.C. Section 1350, as adopted pursuant to Section 906 of the Sarbanes-Oxley Act of 2002, that to my knowledge:</w:t>
      </w:r>
    </w:p>
    <w:p>
      <w:pPr>
        <w:spacing w:after="0" w:line="30" w:lineRule="exact"/>
        <w:rPr>
          <w:sz w:val="20"/>
          <w:szCs w:val="20"/>
          <w:color w:val="auto"/>
        </w:rPr>
      </w:pPr>
    </w:p>
    <w:p>
      <w:pPr>
        <w:ind w:left="440" w:hanging="432"/>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400" w:hanging="392"/>
        <w:spacing w:after="0"/>
        <w:tabs>
          <w:tab w:leader="none" w:pos="4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Date: May 6, 2021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Michael Shapiro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Shapiro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Principal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hyperlink" Target="http://www.sec.gov/Archives/edgar/data/1014739/000110465921006705/tm213833d1_ex10-1.htm" TargetMode="External"/><Relationship Id="rId42" Type="http://schemas.openxmlformats.org/officeDocument/2006/relationships/hyperlink" Target="http://www.sec.gov/Archives/edgar/data/1014739/000110465921006705/tm213833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2021-05-06T16:08:21Z</dcterms:created>
  <dcterms:modified xsi:type="dcterms:W3CDTF">2021-05-06T16:08:21Z</dcterms:modified>
</cp:coreProperties>
</file>