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345440</wp:posOffset>
            </wp:positionH>
            <wp:positionV relativeFrom="page">
              <wp:posOffset>431800</wp:posOffset>
            </wp:positionV>
            <wp:extent cx="6866255"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6255" cy="43180"/>
                    </a:xfrm>
                    <a:prstGeom prst="rect">
                      <a:avLst/>
                    </a:prstGeom>
                    <a:noFill/>
                  </pic:spPr>
                </pic:pic>
              </a:graphicData>
            </a:graphic>
          </wp:anchor>
        </w:drawing>
        <w:t>UNITED STATES</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35"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32" w:lineRule="exact"/>
        <w:rPr>
          <w:sz w:val="24"/>
          <w:szCs w:val="24"/>
          <w:color w:val="auto"/>
        </w:rPr>
      </w:pPr>
    </w:p>
    <w:p>
      <w:pPr>
        <w:ind w:left="1100" w:right="2220" w:hanging="626"/>
        <w:spacing w:after="0" w:line="281" w:lineRule="auto"/>
        <w:tabs>
          <w:tab w:leader="none" w:pos="11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2023</w:t>
      </w:r>
    </w:p>
    <w:p>
      <w:pPr>
        <w:spacing w:after="0" w:line="1" w:lineRule="exact"/>
        <w:rPr>
          <w:sz w:val="24"/>
          <w:szCs w:val="24"/>
          <w:color w:val="auto"/>
        </w:rPr>
      </w:pPr>
    </w:p>
    <w:p>
      <w:pPr>
        <w:jc w:val="center"/>
        <w:ind w:left="5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32" w:lineRule="exact"/>
        <w:rPr>
          <w:sz w:val="24"/>
          <w:szCs w:val="24"/>
          <w:color w:val="auto"/>
        </w:rPr>
      </w:pPr>
    </w:p>
    <w:p>
      <w:pPr>
        <w:ind w:left="1100" w:hanging="626"/>
        <w:spacing w:after="0"/>
        <w:tabs>
          <w:tab w:leader="none" w:pos="11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52" w:lineRule="exact"/>
        <w:rPr>
          <w:sz w:val="24"/>
          <w:szCs w:val="24"/>
          <w:color w:val="auto"/>
        </w:rPr>
      </w:pPr>
    </w:p>
    <w:p>
      <w:pPr>
        <w:ind w:left="1100"/>
        <w:spacing w:after="0"/>
        <w:tabs>
          <w:tab w:leader="none" w:pos="3380" w:val="left"/>
        </w:tabs>
        <w:rPr>
          <w:sz w:val="20"/>
          <w:szCs w:val="20"/>
          <w:color w:val="auto"/>
        </w:rPr>
      </w:pPr>
      <w:r>
        <w:rPr>
          <w:rFonts w:ascii="Times New Roman" w:cs="Times New Roman" w:eastAsia="Times New Roman" w:hAnsi="Times New Roman"/>
          <w:sz w:val="16"/>
          <w:szCs w:val="16"/>
          <w:b w:val="1"/>
          <w:bCs w:val="1"/>
          <w:color w:val="auto"/>
        </w:rPr>
        <w:t>For the transition period from</w:t>
        <w:tab/>
        <w:t>to</w:t>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001-11993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21590</wp:posOffset>
            </wp:positionV>
            <wp:extent cx="1354455" cy="522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54455" cy="522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OPTION CARE HEALTH, INC.</w:t>
      </w:r>
    </w:p>
    <w:p>
      <w:pPr>
        <w:spacing w:after="0" w:line="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(Exact name of registrant as specified in its charter)</w:t>
      </w:r>
    </w:p>
    <w:p>
      <w:pPr>
        <w:sectPr>
          <w:pgSz w:w="11900" w:h="16838" w:orient="portrait"/>
          <w:cols w:equalWidth="0" w:num="1">
            <w:col w:w="11240"/>
          </w:cols>
          <w:pgMar w:left="320" w:top="828" w:right="339" w:bottom="1440" w:gutter="0" w:footer="0" w:header="0"/>
        </w:sectPr>
      </w:pPr>
    </w:p>
    <w:p>
      <w:pPr>
        <w:spacing w:after="0" w:line="126"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32"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6"/>
          <w:szCs w:val="16"/>
          <w:i w:val="1"/>
          <w:iCs w:val="1"/>
          <w:color w:val="auto"/>
        </w:rPr>
        <w:t>(State or other jurisdiction of incorporation or organization)</w:t>
      </w:r>
    </w:p>
    <w:p>
      <w:pPr>
        <w:spacing w:after="0" w:line="32"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6"/>
          <w:szCs w:val="16"/>
          <w:b w:val="1"/>
          <w:bCs w:val="1"/>
          <w:color w:val="auto"/>
        </w:rPr>
        <w:t>3000 Lakeside Dr. Suite 300N, Bannockburn, IL</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6"/>
          <w:szCs w:val="16"/>
          <w:b w:val="1"/>
          <w:bCs w:val="1"/>
          <w:color w:val="auto"/>
        </w:rPr>
        <w:t>05-0489664</w:t>
      </w:r>
    </w:p>
    <w:p>
      <w:pPr>
        <w:spacing w:after="0" w:line="32"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6"/>
          <w:szCs w:val="16"/>
          <w:i w:val="1"/>
          <w:iCs w:val="1"/>
          <w:color w:val="auto"/>
        </w:rPr>
        <w:t>(I.R.S. Employer Identification No.)</w:t>
      </w:r>
    </w:p>
    <w:p>
      <w:pPr>
        <w:spacing w:after="0" w:line="32"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6"/>
          <w:szCs w:val="16"/>
          <w:b w:val="1"/>
          <w:bCs w:val="1"/>
          <w:color w:val="auto"/>
        </w:rPr>
        <w:t>60015</w:t>
      </w:r>
    </w:p>
    <w:p>
      <w:pPr>
        <w:spacing w:after="0" w:line="32" w:lineRule="exact"/>
        <w:rPr>
          <w:sz w:val="24"/>
          <w:szCs w:val="24"/>
          <w:color w:val="auto"/>
        </w:rPr>
      </w:pPr>
    </w:p>
    <w:p>
      <w:pPr>
        <w:sectPr>
          <w:pgSz w:w="11900" w:h="16838" w:orient="portrait"/>
          <w:cols w:equalWidth="0" w:num="2">
            <w:col w:w="6240" w:space="720"/>
            <w:col w:w="4280"/>
          </w:cols>
          <w:pgMar w:left="320" w:top="828" w:right="339" w:bottom="1440" w:gutter="0" w:footer="0" w:header="0"/>
          <w:type w:val="continuous"/>
        </w:sectPr>
      </w:pPr>
    </w:p>
    <w:p>
      <w:pPr>
        <w:ind w:left="1440"/>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i w:val="1"/>
          <w:iCs w:val="1"/>
          <w:color w:val="auto"/>
        </w:rPr>
        <w:t>(Zip Code)</w:t>
      </w:r>
    </w:p>
    <w:p>
      <w:pPr>
        <w:spacing w:after="0" w:line="100" w:lineRule="exact"/>
        <w:rPr>
          <w:sz w:val="24"/>
          <w:szCs w:val="24"/>
          <w:color w:val="auto"/>
        </w:rPr>
      </w:pPr>
    </w:p>
    <w:p>
      <w:pPr>
        <w:sectPr>
          <w:pgSz w:w="11900" w:h="16838" w:orient="portrait"/>
          <w:cols w:equalWidth="0" w:num="2">
            <w:col w:w="7040" w:space="720"/>
            <w:col w:w="3480"/>
          </w:cols>
          <w:pgMar w:left="320" w:top="82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312-940-2443</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ectPr>
          <w:pgSz w:w="11900" w:h="16838" w:orient="portrait"/>
          <w:cols w:equalWidth="0" w:num="1">
            <w:col w:w="11240"/>
          </w:cols>
          <w:pgMar w:left="320" w:top="828" w:right="339" w:bottom="1440" w:gutter="0" w:footer="0" w:header="0"/>
          <w:type w:val="continuous"/>
        </w:sectPr>
      </w:pPr>
    </w:p>
    <w:p>
      <w:pPr>
        <w:spacing w:after="0" w:line="120"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Trading Symbol</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p>
      <w:pPr>
        <w:spacing w:after="0" w:line="34" w:lineRule="exact"/>
        <w:rPr>
          <w:sz w:val="24"/>
          <w:szCs w:val="24"/>
          <w:color w:val="auto"/>
        </w:rPr>
      </w:pPr>
    </w:p>
    <w:p>
      <w:pPr>
        <w:sectPr>
          <w:pgSz w:w="11900" w:h="16838" w:orient="portrait"/>
          <w:cols w:equalWidth="0" w:num="3">
            <w:col w:w="4340" w:space="720"/>
            <w:col w:w="2080" w:space="720"/>
            <w:col w:w="3380"/>
          </w:cols>
          <w:pgMar w:left="320" w:top="828" w:right="3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6"/>
          <w:szCs w:val="16"/>
          <w:color w:val="auto"/>
        </w:rPr>
        <w:t>Common Stock, $0.0001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OPCH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Nasdaq Global Select Market</w:t>
      </w:r>
    </w:p>
    <w:p>
      <w:pPr>
        <w:spacing w:after="0" w:line="111" w:lineRule="exact"/>
        <w:rPr>
          <w:sz w:val="24"/>
          <w:szCs w:val="24"/>
          <w:color w:val="auto"/>
        </w:rPr>
      </w:pPr>
    </w:p>
    <w:p>
      <w:pPr>
        <w:sectPr>
          <w:pgSz w:w="11900" w:h="16838" w:orient="portrait"/>
          <w:cols w:equalWidth="0" w:num="3">
            <w:col w:w="4680" w:space="720"/>
            <w:col w:w="2280" w:space="720"/>
            <w:col w:w="2840"/>
          </w:cols>
          <w:pgMar w:left="320" w:top="82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p>
      <w:pPr>
        <w:sectPr>
          <w:pgSz w:w="11900" w:h="16838" w:orient="portrait"/>
          <w:cols w:equalWidth="0" w:num="1">
            <w:col w:w="11240"/>
          </w:cols>
          <w:pgMar w:left="320" w:top="828" w:right="339" w:bottom="1440" w:gutter="0" w:footer="0" w:header="0"/>
          <w:type w:val="continuous"/>
        </w:sectPr>
      </w:pPr>
    </w:p>
    <w:p>
      <w:pPr>
        <w:spacing w:after="0" w:line="214"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111" w:lineRule="exact"/>
        <w:rPr>
          <w:sz w:val="24"/>
          <w:szCs w:val="24"/>
          <w:color w:val="auto"/>
        </w:rPr>
      </w:pPr>
    </w:p>
    <w:p>
      <w:pPr>
        <w:sectPr>
          <w:pgSz w:w="11900" w:h="16838" w:orient="portrait"/>
          <w:cols w:equalWidth="0" w:num="2">
            <w:col w:w="8100" w:space="220"/>
            <w:col w:w="2920"/>
          </w:cols>
          <w:pgMar w:left="320" w:top="828" w:right="339" w:bottom="1440" w:gutter="0" w:footer="0" w:header="0"/>
          <w:type w:val="continuous"/>
        </w:sect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147" w:lineRule="exact"/>
        <w:rPr>
          <w:sz w:val="24"/>
          <w:szCs w:val="24"/>
          <w:color w:val="auto"/>
        </w:rPr>
      </w:pPr>
    </w:p>
    <w:p>
      <w:pPr>
        <w:sectPr>
          <w:pgSz w:w="11900" w:h="16838" w:orient="portrait"/>
          <w:cols w:equalWidth="0" w:num="2">
            <w:col w:w="8260" w:space="200"/>
            <w:col w:w="2780"/>
          </w:cols>
          <w:pgMar w:left="320" w:top="82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w:t>
      </w:r>
    </w:p>
    <w:p>
      <w:pPr>
        <w:sectPr>
          <w:pgSz w:w="11900" w:h="16838" w:orient="portrait"/>
          <w:cols w:equalWidth="0" w:num="1">
            <w:col w:w="11240"/>
          </w:cols>
          <w:pgMar w:left="320" w:top="828" w:right="339" w:bottom="1440" w:gutter="0" w:footer="0" w:header="0"/>
          <w:type w:val="continuous"/>
        </w:sectPr>
      </w:pP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12 months (or</w:t>
      </w:r>
    </w:p>
    <w:p>
      <w:pPr>
        <w:spacing w:after="0" w:line="15"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90 days. 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hanging="152"/>
        <w:spacing w:after="0" w:line="209" w:lineRule="exact"/>
        <w:rPr>
          <w:sz w:val="20"/>
          <w:szCs w:val="20"/>
          <w:color w:val="auto"/>
        </w:rPr>
      </w:pPr>
      <w:r>
        <w:rPr>
          <w:rFonts w:ascii="Times New Roman" w:cs="Times New Roman" w:eastAsia="Times New Roman" w:hAnsi="Times New Roman"/>
          <w:sz w:val="16"/>
          <w:szCs w:val="16"/>
          <w:color w:val="auto"/>
        </w:rPr>
        <w:t xml:space="preserve">for such shorter period that the registrant was required to file such reports), and (2) has been subject to such filing requirements for the past No </w:t>
      </w: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2">
            <w:col w:w="1040" w:space="220"/>
            <w:col w:w="9980"/>
          </w:cols>
          <w:pgMar w:left="320" w:top="828" w:right="339" w:bottom="1440" w:gutter="0" w:footer="0" w:header="0"/>
          <w:type w:val="continuous"/>
        </w:sectPr>
      </w:pPr>
    </w:p>
    <w:p>
      <w:pPr>
        <w:jc w:val="both"/>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 w:lineRule="exact"/>
        <w:rPr>
          <w:sz w:val="24"/>
          <w:szCs w:val="24"/>
          <w:color w:val="auto"/>
        </w:rPr>
      </w:pPr>
    </w:p>
    <w:p>
      <w:pPr>
        <w:ind w:left="1100"/>
        <w:spacing w:after="0" w:line="184" w:lineRule="exact"/>
        <w:tabs>
          <w:tab w:leader="none" w:pos="2920" w:val="left"/>
          <w:tab w:leader="none" w:pos="4400" w:val="left"/>
          <w:tab w:leader="none" w:pos="6200" w:val="left"/>
          <w:tab w:leader="none" w:pos="832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Non-accelerated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Smaller reporting company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Emerging growth company </w:t>
      </w:r>
      <w:r>
        <w:rPr>
          <w:rFonts w:ascii="MS PGothic" w:cs="MS PGothic" w:eastAsia="MS PGothic" w:hAnsi="MS PGothic"/>
          <w:sz w:val="16"/>
          <w:szCs w:val="16"/>
          <w:color w:val="auto"/>
        </w:rPr>
        <w:t>☐</w:t>
      </w:r>
    </w:p>
    <w:p>
      <w:pPr>
        <w:spacing w:after="0" w:line="136"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8" w:lineRule="exact"/>
        <w:rPr>
          <w:sz w:val="24"/>
          <w:szCs w:val="24"/>
          <w:color w:val="auto"/>
        </w:rPr>
      </w:pPr>
    </w:p>
    <w:p>
      <w:pPr>
        <w:jc w:val="both"/>
        <w:ind w:right="2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48" w:lineRule="exact"/>
        <w:rPr>
          <w:sz w:val="24"/>
          <w:szCs w:val="24"/>
          <w:color w:val="auto"/>
        </w:rPr>
      </w:pPr>
    </w:p>
    <w:p>
      <w:pPr>
        <w:ind w:right="300"/>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48" w:lineRule="exact"/>
        <w:rPr>
          <w:sz w:val="24"/>
          <w:szCs w:val="24"/>
          <w:color w:val="auto"/>
        </w:rPr>
      </w:pPr>
    </w:p>
    <w:p>
      <w:pPr>
        <w:ind w:right="32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6"/>
          <w:szCs w:val="16"/>
          <w:color w:val="auto"/>
        </w:rPr>
        <w:t>☐</w:t>
      </w:r>
    </w:p>
    <w:p>
      <w:pPr>
        <w:spacing w:after="0" w:line="12" w:lineRule="exact"/>
        <w:rPr>
          <w:sz w:val="24"/>
          <w:szCs w:val="24"/>
          <w:color w:val="auto"/>
        </w:rPr>
      </w:pPr>
    </w:p>
    <w:p>
      <w:pPr>
        <w:spacing w:after="0" w:line="184" w:lineRule="exact"/>
        <w:tabs>
          <w:tab w:leader="none" w:pos="738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136"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aggregate market value of the registrant’s Common Stock held by non-affiliates of the registrant as of June 30, 2023, the last business day of the registrant’s most recently completed second fiscal quarter, was approximately $5,843,997,419 based on the closing price of the registrant’s Common Stock on the Nasdaq Global Select Market on such date.</w:t>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February 19, 2024, there were 173,498,090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281940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0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Portions of the registrant’s definitive proxy statement for its 2024 Annual Meeting of Stockholders to be filed with the Securities and Exchange Commission (the “SEC”) within 120 days after the close of the registrant’s fiscal year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246380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100" w:type="dxa"/>
            <w:vAlign w:val="bottom"/>
            <w:gridSpan w:val="8"/>
          </w:tcPr>
          <w:p>
            <w:pPr>
              <w:jc w:val="center"/>
              <w:ind w:right="29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64"/>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0" w:type="dxa"/>
            <w:vAlign w:val="bottom"/>
            <w:gridSpan w:val="3"/>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12"/>
        </w:trPr>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0" w:type="dxa"/>
            <w:vAlign w:val="bottom"/>
            <w:gridSpan w:val="3"/>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rPr>
              <w:t>Number</w:t>
            </w:r>
          </w:p>
        </w:tc>
      </w:tr>
      <w:tr>
        <w:trPr>
          <w:trHeight w:val="214"/>
        </w:trPr>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20" w:type="dxa"/>
            <w:vAlign w:val="bottom"/>
            <w:gridSpan w:val="7"/>
          </w:tcPr>
          <w:p>
            <w:pPr>
              <w:jc w:val="center"/>
              <w:ind w:right="3620"/>
              <w:spacing w:after="0"/>
              <w:rPr>
                <w:sz w:val="20"/>
                <w:szCs w:val="20"/>
                <w:color w:val="auto"/>
              </w:rPr>
            </w:pPr>
            <w:r>
              <w:rPr>
                <w:rFonts w:ascii="Times New Roman" w:cs="Times New Roman" w:eastAsia="Times New Roman" w:hAnsi="Times New Roman"/>
                <w:sz w:val="16"/>
                <w:szCs w:val="16"/>
                <w:b w:val="1"/>
                <w:bCs w:val="1"/>
                <w:color w:val="auto"/>
                <w:w w:val="96"/>
              </w:rPr>
              <w:t>PART I</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343"/>
        </w:trPr>
        <w:tc>
          <w:tcPr>
            <w:tcW w:w="15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1.</w:t>
            </w:r>
          </w:p>
        </w:tc>
        <w:tc>
          <w:tcPr>
            <w:tcW w:w="810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Business</w:t>
            </w:r>
          </w:p>
        </w:tc>
        <w:tc>
          <w:tcPr>
            <w:tcW w:w="1140" w:type="dxa"/>
            <w:vAlign w:val="bottom"/>
            <w:gridSpan w:val="2"/>
          </w:tcPr>
          <w:p>
            <w:pPr>
              <w:jc w:val="center"/>
              <w:ind w:left="979"/>
              <w:spacing w:after="0"/>
              <w:rPr>
                <w:sz w:val="20"/>
                <w:szCs w:val="20"/>
                <w:color w:val="auto"/>
              </w:rPr>
            </w:pPr>
            <w:r>
              <w:rPr>
                <w:rFonts w:ascii="Times New Roman" w:cs="Times New Roman" w:eastAsia="Times New Roman" w:hAnsi="Times New Roman"/>
                <w:sz w:val="16"/>
                <w:szCs w:val="16"/>
                <w:color w:val="0000FF"/>
                <w:w w:val="99"/>
              </w:rPr>
              <w:t>4</w:t>
            </w:r>
          </w:p>
        </w:tc>
        <w:tc>
          <w:tcPr>
            <w:tcW w:w="260" w:type="dxa"/>
            <w:vAlign w:val="bottom"/>
          </w:tcPr>
          <w:p>
            <w:pPr>
              <w:spacing w:after="0"/>
              <w:rPr>
                <w:sz w:val="24"/>
                <w:szCs w:val="24"/>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Item 1A.</w:t>
            </w:r>
          </w:p>
        </w:tc>
        <w:tc>
          <w:tcPr>
            <w:tcW w:w="920" w:type="dxa"/>
            <w:vAlign w:val="bottom"/>
            <w:gridSpan w:val="2"/>
          </w:tcPr>
          <w:p>
            <w:pPr>
              <w:spacing w:after="0"/>
              <w:rPr>
                <w:sz w:val="17"/>
                <w:szCs w:val="17"/>
                <w:color w:val="auto"/>
              </w:rPr>
            </w:pPr>
          </w:p>
        </w:tc>
        <w:tc>
          <w:tcPr>
            <w:tcW w:w="8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9"/>
              </w:rPr>
              <w:t>Risk Factors</w:t>
            </w:r>
          </w:p>
        </w:tc>
        <w:tc>
          <w:tcPr>
            <w:tcW w:w="7280" w:type="dxa"/>
            <w:vAlign w:val="bottom"/>
            <w:gridSpan w:val="17"/>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13</w:t>
            </w:r>
          </w:p>
        </w:tc>
        <w:tc>
          <w:tcPr>
            <w:tcW w:w="260" w:type="dxa"/>
            <w:vAlign w:val="bottom"/>
          </w:tcPr>
          <w:p>
            <w:pPr>
              <w:spacing w:after="0"/>
              <w:rPr>
                <w:sz w:val="17"/>
                <w:szCs w:val="17"/>
                <w:color w:val="auto"/>
              </w:rPr>
            </w:pPr>
          </w:p>
        </w:tc>
      </w:tr>
      <w:tr>
        <w:trPr>
          <w:trHeight w:val="196"/>
        </w:trPr>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89"/>
              </w:rPr>
              <w:t>Item 1B.</w:t>
            </w:r>
          </w:p>
        </w:tc>
        <w:tc>
          <w:tcPr>
            <w:tcW w:w="980" w:type="dxa"/>
            <w:vAlign w:val="bottom"/>
            <w:gridSpan w:val="3"/>
          </w:tcPr>
          <w:p>
            <w:pPr>
              <w:spacing w:after="0"/>
              <w:rPr>
                <w:sz w:val="17"/>
                <w:szCs w:val="17"/>
                <w:color w:val="auto"/>
              </w:rPr>
            </w:pPr>
          </w:p>
        </w:tc>
        <w:tc>
          <w:tcPr>
            <w:tcW w:w="18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w w:val="99"/>
              </w:rPr>
              <w:t>Unresolved Staff Comments</w:t>
            </w:r>
          </w:p>
        </w:tc>
        <w:tc>
          <w:tcPr>
            <w:tcW w:w="6260" w:type="dxa"/>
            <w:vAlign w:val="bottom"/>
            <w:gridSpan w:val="11"/>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27</w:t>
            </w:r>
          </w:p>
        </w:tc>
        <w:tc>
          <w:tcPr>
            <w:tcW w:w="260" w:type="dxa"/>
            <w:vAlign w:val="bottom"/>
          </w:tcPr>
          <w:p>
            <w:pPr>
              <w:spacing w:after="0"/>
              <w:rPr>
                <w:sz w:val="17"/>
                <w:szCs w:val="17"/>
                <w:color w:val="auto"/>
              </w:rPr>
            </w:pPr>
          </w:p>
        </w:tc>
      </w:tr>
      <w:tr>
        <w:trPr>
          <w:trHeight w:val="196"/>
        </w:trPr>
        <w:tc>
          <w:tcPr>
            <w:tcW w:w="10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Item 1C.</w:t>
            </w:r>
          </w:p>
        </w:tc>
        <w:tc>
          <w:tcPr>
            <w:tcW w:w="520" w:type="dxa"/>
            <w:vAlign w:val="bottom"/>
          </w:tcPr>
          <w:p>
            <w:pPr>
              <w:spacing w:after="0"/>
              <w:rPr>
                <w:sz w:val="17"/>
                <w:szCs w:val="17"/>
                <w:color w:val="auto"/>
              </w:rPr>
            </w:pPr>
          </w:p>
        </w:tc>
        <w:tc>
          <w:tcPr>
            <w:tcW w:w="810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Cybersecurity</w:t>
            </w:r>
          </w:p>
        </w:tc>
        <w:tc>
          <w:tcPr>
            <w:tcW w:w="1140" w:type="dxa"/>
            <w:vAlign w:val="bottom"/>
            <w:gridSpan w:val="2"/>
          </w:tcPr>
          <w:p>
            <w:pPr>
              <w:jc w:val="center"/>
              <w:ind w:left="899"/>
              <w:spacing w:after="0"/>
              <w:rPr>
                <w:sz w:val="20"/>
                <w:szCs w:val="20"/>
                <w:color w:val="auto"/>
              </w:rPr>
            </w:pPr>
            <w:r>
              <w:rPr>
                <w:rFonts w:ascii="Times New Roman" w:cs="Times New Roman" w:eastAsia="Times New Roman" w:hAnsi="Times New Roman"/>
                <w:sz w:val="16"/>
                <w:szCs w:val="16"/>
                <w:color w:val="0000FF"/>
                <w:w w:val="99"/>
              </w:rPr>
              <w:t>27</w:t>
            </w:r>
          </w:p>
        </w:tc>
        <w:tc>
          <w:tcPr>
            <w:tcW w:w="260" w:type="dxa"/>
            <w:vAlign w:val="bottom"/>
          </w:tcPr>
          <w:p>
            <w:pPr>
              <w:spacing w:after="0"/>
              <w:rPr>
                <w:sz w:val="17"/>
                <w:szCs w:val="17"/>
                <w:color w:val="auto"/>
              </w:rPr>
            </w:pPr>
          </w:p>
        </w:tc>
      </w:tr>
      <w:tr>
        <w:trPr>
          <w:trHeight w:val="196"/>
        </w:trPr>
        <w:tc>
          <w:tcPr>
            <w:tcW w:w="10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Item 2.</w:t>
            </w:r>
          </w:p>
        </w:tc>
        <w:tc>
          <w:tcPr>
            <w:tcW w:w="520" w:type="dxa"/>
            <w:vAlign w:val="bottom"/>
          </w:tcPr>
          <w:p>
            <w:pPr>
              <w:spacing w:after="0"/>
              <w:rPr>
                <w:sz w:val="17"/>
                <w:szCs w:val="17"/>
                <w:color w:val="auto"/>
              </w:rPr>
            </w:pPr>
          </w:p>
        </w:tc>
        <w:tc>
          <w:tcPr>
            <w:tcW w:w="9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Properties</w:t>
            </w:r>
          </w:p>
        </w:tc>
        <w:tc>
          <w:tcPr>
            <w:tcW w:w="7200" w:type="dxa"/>
            <w:vAlign w:val="bottom"/>
            <w:gridSpan w:val="16"/>
          </w:tcPr>
          <w:p>
            <w:pPr>
              <w:spacing w:after="0"/>
              <w:rPr>
                <w:sz w:val="17"/>
                <w:szCs w:val="17"/>
                <w:color w:val="auto"/>
              </w:rPr>
            </w:pPr>
          </w:p>
        </w:tc>
        <w:tc>
          <w:tcPr>
            <w:tcW w:w="1140" w:type="dxa"/>
            <w:vAlign w:val="bottom"/>
            <w:gridSpan w:val="2"/>
          </w:tcPr>
          <w:p>
            <w:pPr>
              <w:jc w:val="center"/>
              <w:ind w:left="899"/>
              <w:spacing w:after="0"/>
              <w:rPr>
                <w:sz w:val="20"/>
                <w:szCs w:val="20"/>
                <w:color w:val="auto"/>
              </w:rPr>
            </w:pPr>
            <w:r>
              <w:rPr>
                <w:rFonts w:ascii="Times New Roman" w:cs="Times New Roman" w:eastAsia="Times New Roman" w:hAnsi="Times New Roman"/>
                <w:sz w:val="16"/>
                <w:szCs w:val="16"/>
                <w:color w:val="0000FF"/>
                <w:w w:val="99"/>
              </w:rPr>
              <w:t>28</w:t>
            </w:r>
          </w:p>
        </w:tc>
        <w:tc>
          <w:tcPr>
            <w:tcW w:w="260" w:type="dxa"/>
            <w:vAlign w:val="bottom"/>
          </w:tcPr>
          <w:p>
            <w:pPr>
              <w:spacing w:after="0"/>
              <w:rPr>
                <w:sz w:val="17"/>
                <w:szCs w:val="17"/>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r>
      <w:tr>
        <w:trPr>
          <w:trHeight w:val="196"/>
        </w:trPr>
        <w:tc>
          <w:tcPr>
            <w:tcW w:w="15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3.</w:t>
            </w:r>
          </w:p>
        </w:tc>
        <w:tc>
          <w:tcPr>
            <w:tcW w:w="810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1140" w:type="dxa"/>
            <w:vAlign w:val="bottom"/>
            <w:gridSpan w:val="2"/>
          </w:tcPr>
          <w:p>
            <w:pPr>
              <w:jc w:val="center"/>
              <w:ind w:left="899"/>
              <w:spacing w:after="0"/>
              <w:rPr>
                <w:sz w:val="20"/>
                <w:szCs w:val="20"/>
                <w:color w:val="auto"/>
              </w:rPr>
            </w:pPr>
            <w:r>
              <w:rPr>
                <w:rFonts w:ascii="Times New Roman" w:cs="Times New Roman" w:eastAsia="Times New Roman" w:hAnsi="Times New Roman"/>
                <w:sz w:val="16"/>
                <w:szCs w:val="16"/>
                <w:color w:val="0000FF"/>
                <w:w w:val="99"/>
              </w:rPr>
              <w:t>28</w:t>
            </w:r>
          </w:p>
        </w:tc>
        <w:tc>
          <w:tcPr>
            <w:tcW w:w="260" w:type="dxa"/>
            <w:vAlign w:val="bottom"/>
          </w:tcPr>
          <w:p>
            <w:pPr>
              <w:spacing w:after="0"/>
              <w:rPr>
                <w:sz w:val="17"/>
                <w:szCs w:val="17"/>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r>
      <w:tr>
        <w:trPr>
          <w:trHeight w:val="196"/>
        </w:trPr>
        <w:tc>
          <w:tcPr>
            <w:tcW w:w="15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4.</w:t>
            </w:r>
          </w:p>
        </w:tc>
        <w:tc>
          <w:tcPr>
            <w:tcW w:w="810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1140" w:type="dxa"/>
            <w:vAlign w:val="bottom"/>
            <w:gridSpan w:val="2"/>
          </w:tcPr>
          <w:p>
            <w:pPr>
              <w:jc w:val="center"/>
              <w:ind w:left="899"/>
              <w:spacing w:after="0"/>
              <w:rPr>
                <w:sz w:val="20"/>
                <w:szCs w:val="20"/>
                <w:color w:val="auto"/>
              </w:rPr>
            </w:pPr>
            <w:r>
              <w:rPr>
                <w:rFonts w:ascii="Times New Roman" w:cs="Times New Roman" w:eastAsia="Times New Roman" w:hAnsi="Times New Roman"/>
                <w:sz w:val="16"/>
                <w:szCs w:val="16"/>
                <w:color w:val="0000FF"/>
                <w:w w:val="99"/>
              </w:rPr>
              <w:t>28</w:t>
            </w:r>
          </w:p>
        </w:tc>
        <w:tc>
          <w:tcPr>
            <w:tcW w:w="260" w:type="dxa"/>
            <w:vAlign w:val="bottom"/>
          </w:tcPr>
          <w:p>
            <w:pPr>
              <w:spacing w:after="0"/>
              <w:rPr>
                <w:sz w:val="17"/>
                <w:szCs w:val="17"/>
                <w:color w:val="auto"/>
              </w:rPr>
            </w:pPr>
          </w:p>
        </w:tc>
      </w:tr>
      <w:tr>
        <w:trPr>
          <w:trHeight w:val="393"/>
        </w:trPr>
        <w:tc>
          <w:tcPr>
            <w:tcW w:w="46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20" w:type="dxa"/>
            <w:vAlign w:val="bottom"/>
            <w:gridSpan w:val="7"/>
          </w:tcPr>
          <w:p>
            <w:pPr>
              <w:jc w:val="center"/>
              <w:ind w:right="3620"/>
              <w:spacing w:after="0"/>
              <w:rPr>
                <w:sz w:val="20"/>
                <w:szCs w:val="20"/>
                <w:color w:val="auto"/>
              </w:rPr>
            </w:pPr>
            <w:r>
              <w:rPr>
                <w:rFonts w:ascii="Times New Roman" w:cs="Times New Roman" w:eastAsia="Times New Roman" w:hAnsi="Times New Roman"/>
                <w:sz w:val="16"/>
                <w:szCs w:val="16"/>
                <w:b w:val="1"/>
                <w:bCs w:val="1"/>
                <w:color w:val="auto"/>
                <w:w w:val="99"/>
              </w:rPr>
              <w:t>PART II</w:t>
            </w:r>
          </w:p>
        </w:tc>
        <w:tc>
          <w:tcPr>
            <w:tcW w:w="10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r>
      <w:tr>
        <w:trPr>
          <w:trHeight w:val="343"/>
        </w:trPr>
        <w:tc>
          <w:tcPr>
            <w:tcW w:w="15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5.</w:t>
            </w:r>
          </w:p>
        </w:tc>
        <w:tc>
          <w:tcPr>
            <w:tcW w:w="810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Market for Registrant’s Common Equity, Related Stockholder Matters and Issuer Purchases of Equity Securities</w:t>
            </w:r>
          </w:p>
        </w:tc>
        <w:tc>
          <w:tcPr>
            <w:tcW w:w="1140" w:type="dxa"/>
            <w:vAlign w:val="bottom"/>
            <w:gridSpan w:val="2"/>
          </w:tcPr>
          <w:p>
            <w:pPr>
              <w:jc w:val="center"/>
              <w:ind w:left="899"/>
              <w:spacing w:after="0"/>
              <w:rPr>
                <w:sz w:val="20"/>
                <w:szCs w:val="20"/>
                <w:color w:val="auto"/>
              </w:rPr>
            </w:pPr>
            <w:r>
              <w:rPr>
                <w:rFonts w:ascii="Times New Roman" w:cs="Times New Roman" w:eastAsia="Times New Roman" w:hAnsi="Times New Roman"/>
                <w:sz w:val="16"/>
                <w:szCs w:val="16"/>
                <w:color w:val="0000FF"/>
                <w:w w:val="99"/>
              </w:rPr>
              <w:t>29</w:t>
            </w:r>
          </w:p>
        </w:tc>
        <w:tc>
          <w:tcPr>
            <w:tcW w:w="260" w:type="dxa"/>
            <w:vAlign w:val="bottom"/>
          </w:tcPr>
          <w:p>
            <w:pPr>
              <w:spacing w:after="0"/>
              <w:rPr>
                <w:sz w:val="24"/>
                <w:szCs w:val="24"/>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r>
      <w:tr>
        <w:trPr>
          <w:trHeight w:val="196"/>
        </w:trPr>
        <w:tc>
          <w:tcPr>
            <w:tcW w:w="15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6.</w:t>
            </w:r>
          </w:p>
        </w:tc>
        <w:tc>
          <w:tcPr>
            <w:tcW w:w="810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Reserved</w:t>
            </w:r>
          </w:p>
        </w:tc>
        <w:tc>
          <w:tcPr>
            <w:tcW w:w="1140" w:type="dxa"/>
            <w:vAlign w:val="bottom"/>
            <w:gridSpan w:val="2"/>
          </w:tcPr>
          <w:p>
            <w:pPr>
              <w:jc w:val="center"/>
              <w:ind w:left="899"/>
              <w:spacing w:after="0"/>
              <w:rPr>
                <w:sz w:val="20"/>
                <w:szCs w:val="20"/>
                <w:color w:val="auto"/>
              </w:rPr>
            </w:pPr>
            <w:r>
              <w:rPr>
                <w:rFonts w:ascii="Times New Roman" w:cs="Times New Roman" w:eastAsia="Times New Roman" w:hAnsi="Times New Roman"/>
                <w:sz w:val="16"/>
                <w:szCs w:val="16"/>
                <w:color w:val="0000FF"/>
                <w:w w:val="99"/>
              </w:rPr>
              <w:t>31</w:t>
            </w:r>
          </w:p>
        </w:tc>
        <w:tc>
          <w:tcPr>
            <w:tcW w:w="260" w:type="dxa"/>
            <w:vAlign w:val="bottom"/>
          </w:tcPr>
          <w:p>
            <w:pPr>
              <w:spacing w:after="0"/>
              <w:rPr>
                <w:sz w:val="17"/>
                <w:szCs w:val="17"/>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r>
      <w:tr>
        <w:trPr>
          <w:trHeight w:val="196"/>
        </w:trPr>
        <w:tc>
          <w:tcPr>
            <w:tcW w:w="15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7.</w:t>
            </w:r>
          </w:p>
        </w:tc>
        <w:tc>
          <w:tcPr>
            <w:tcW w:w="810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1140" w:type="dxa"/>
            <w:vAlign w:val="bottom"/>
            <w:gridSpan w:val="2"/>
          </w:tcPr>
          <w:p>
            <w:pPr>
              <w:jc w:val="center"/>
              <w:ind w:left="899"/>
              <w:spacing w:after="0"/>
              <w:rPr>
                <w:sz w:val="20"/>
                <w:szCs w:val="20"/>
                <w:color w:val="auto"/>
              </w:rPr>
            </w:pPr>
            <w:r>
              <w:rPr>
                <w:rFonts w:ascii="Times New Roman" w:cs="Times New Roman" w:eastAsia="Times New Roman" w:hAnsi="Times New Roman"/>
                <w:sz w:val="16"/>
                <w:szCs w:val="16"/>
                <w:color w:val="0000FF"/>
                <w:w w:val="99"/>
              </w:rPr>
              <w:t>31</w:t>
            </w:r>
          </w:p>
        </w:tc>
        <w:tc>
          <w:tcPr>
            <w:tcW w:w="260" w:type="dxa"/>
            <w:vAlign w:val="bottom"/>
          </w:tcPr>
          <w:p>
            <w:pPr>
              <w:spacing w:after="0"/>
              <w:rPr>
                <w:sz w:val="17"/>
                <w:szCs w:val="17"/>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r>
      <w:tr>
        <w:trPr>
          <w:trHeight w:val="196"/>
        </w:trPr>
        <w:tc>
          <w:tcPr>
            <w:tcW w:w="6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7A.</w:t>
            </w:r>
          </w:p>
        </w:tc>
        <w:tc>
          <w:tcPr>
            <w:tcW w:w="920" w:type="dxa"/>
            <w:vAlign w:val="bottom"/>
            <w:gridSpan w:val="2"/>
          </w:tcPr>
          <w:p>
            <w:pPr>
              <w:spacing w:after="0"/>
              <w:rPr>
                <w:sz w:val="17"/>
                <w:szCs w:val="17"/>
                <w:color w:val="auto"/>
              </w:rPr>
            </w:pPr>
          </w:p>
        </w:tc>
        <w:tc>
          <w:tcPr>
            <w:tcW w:w="810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1140" w:type="dxa"/>
            <w:vAlign w:val="bottom"/>
            <w:gridSpan w:val="2"/>
          </w:tcPr>
          <w:p>
            <w:pPr>
              <w:jc w:val="center"/>
              <w:ind w:left="899"/>
              <w:spacing w:after="0"/>
              <w:rPr>
                <w:sz w:val="20"/>
                <w:szCs w:val="20"/>
                <w:color w:val="auto"/>
              </w:rPr>
            </w:pPr>
            <w:r>
              <w:rPr>
                <w:rFonts w:ascii="Times New Roman" w:cs="Times New Roman" w:eastAsia="Times New Roman" w:hAnsi="Times New Roman"/>
                <w:sz w:val="16"/>
                <w:szCs w:val="16"/>
                <w:color w:val="0000FF"/>
                <w:w w:val="99"/>
              </w:rPr>
              <w:t>42</w:t>
            </w:r>
          </w:p>
        </w:tc>
        <w:tc>
          <w:tcPr>
            <w:tcW w:w="260" w:type="dxa"/>
            <w:vAlign w:val="bottom"/>
          </w:tcPr>
          <w:p>
            <w:pPr>
              <w:spacing w:after="0"/>
              <w:rPr>
                <w:sz w:val="17"/>
                <w:szCs w:val="17"/>
                <w:color w:val="auto"/>
              </w:rPr>
            </w:pPr>
          </w:p>
        </w:tc>
      </w:tr>
      <w:tr>
        <w:trPr>
          <w:trHeight w:val="196"/>
        </w:trPr>
        <w:tc>
          <w:tcPr>
            <w:tcW w:w="5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rPr>
              <w:t>Item 8.</w:t>
            </w:r>
          </w:p>
        </w:tc>
        <w:tc>
          <w:tcPr>
            <w:tcW w:w="60" w:type="dxa"/>
            <w:vAlign w:val="bottom"/>
            <w:tcBorders>
              <w:top w:val="single" w:sz="8" w:color="0000FF"/>
            </w:tcBorders>
          </w:tcPr>
          <w:p>
            <w:pPr>
              <w:spacing w:after="0"/>
              <w:rPr>
                <w:sz w:val="17"/>
                <w:szCs w:val="17"/>
                <w:color w:val="auto"/>
              </w:rPr>
            </w:pPr>
          </w:p>
        </w:tc>
        <w:tc>
          <w:tcPr>
            <w:tcW w:w="920" w:type="dxa"/>
            <w:vAlign w:val="bottom"/>
            <w:gridSpan w:val="2"/>
          </w:tcPr>
          <w:p>
            <w:pPr>
              <w:spacing w:after="0"/>
              <w:rPr>
                <w:sz w:val="17"/>
                <w:szCs w:val="17"/>
                <w:color w:val="auto"/>
              </w:rPr>
            </w:pPr>
          </w:p>
        </w:tc>
        <w:tc>
          <w:tcPr>
            <w:tcW w:w="300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6"/>
                <w:szCs w:val="16"/>
                <w:color w:val="0000FF"/>
              </w:rPr>
              <w:t>Financial Statements and Supplementary Data</w:t>
            </w:r>
          </w:p>
        </w:tc>
        <w:tc>
          <w:tcPr>
            <w:tcW w:w="920" w:type="dxa"/>
            <w:vAlign w:val="bottom"/>
            <w:tcBorders>
              <w:top w:val="single" w:sz="8" w:color="0000FF"/>
            </w:tcBorders>
            <w:gridSpan w:val="2"/>
          </w:tcPr>
          <w:p>
            <w:pPr>
              <w:spacing w:after="0"/>
              <w:rPr>
                <w:sz w:val="17"/>
                <w:szCs w:val="17"/>
                <w:color w:val="auto"/>
              </w:rPr>
            </w:pPr>
          </w:p>
        </w:tc>
        <w:tc>
          <w:tcPr>
            <w:tcW w:w="4180" w:type="dxa"/>
            <w:vAlign w:val="bottom"/>
            <w:gridSpan w:val="6"/>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43</w:t>
            </w:r>
          </w:p>
        </w:tc>
        <w:tc>
          <w:tcPr>
            <w:tcW w:w="260" w:type="dxa"/>
            <w:vAlign w:val="bottom"/>
          </w:tcPr>
          <w:p>
            <w:pPr>
              <w:spacing w:after="0"/>
              <w:rPr>
                <w:sz w:val="17"/>
                <w:szCs w:val="17"/>
                <w:color w:val="auto"/>
              </w:rPr>
            </w:pPr>
          </w:p>
        </w:tc>
      </w:tr>
      <w:tr>
        <w:trPr>
          <w:trHeight w:val="196"/>
        </w:trPr>
        <w:tc>
          <w:tcPr>
            <w:tcW w:w="15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9.</w:t>
            </w:r>
          </w:p>
        </w:tc>
        <w:tc>
          <w:tcPr>
            <w:tcW w:w="810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Changes in and Disagreements with Accountants on Accounting and Financial Disclosure</w:t>
            </w:r>
          </w:p>
        </w:tc>
        <w:tc>
          <w:tcPr>
            <w:tcW w:w="1140" w:type="dxa"/>
            <w:vAlign w:val="bottom"/>
            <w:gridSpan w:val="2"/>
          </w:tcPr>
          <w:p>
            <w:pPr>
              <w:jc w:val="center"/>
              <w:ind w:left="899"/>
              <w:spacing w:after="0"/>
              <w:rPr>
                <w:sz w:val="20"/>
                <w:szCs w:val="20"/>
                <w:color w:val="auto"/>
              </w:rPr>
            </w:pPr>
            <w:r>
              <w:rPr>
                <w:rFonts w:ascii="Times New Roman" w:cs="Times New Roman" w:eastAsia="Times New Roman" w:hAnsi="Times New Roman"/>
                <w:sz w:val="16"/>
                <w:szCs w:val="16"/>
                <w:color w:val="0000FF"/>
                <w:w w:val="99"/>
              </w:rPr>
              <w:t>74</w:t>
            </w:r>
          </w:p>
        </w:tc>
        <w:tc>
          <w:tcPr>
            <w:tcW w:w="260" w:type="dxa"/>
            <w:vAlign w:val="bottom"/>
          </w:tcPr>
          <w:p>
            <w:pPr>
              <w:spacing w:after="0"/>
              <w:rPr>
                <w:sz w:val="17"/>
                <w:szCs w:val="17"/>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r>
      <w:tr>
        <w:trPr>
          <w:trHeight w:val="196"/>
        </w:trPr>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Item 9A.</w:t>
            </w:r>
          </w:p>
        </w:tc>
        <w:tc>
          <w:tcPr>
            <w:tcW w:w="920" w:type="dxa"/>
            <w:vAlign w:val="bottom"/>
            <w:gridSpan w:val="2"/>
          </w:tcPr>
          <w:p>
            <w:pPr>
              <w:spacing w:after="0"/>
              <w:rPr>
                <w:sz w:val="17"/>
                <w:szCs w:val="17"/>
                <w:color w:val="auto"/>
              </w:rPr>
            </w:pPr>
          </w:p>
        </w:tc>
        <w:tc>
          <w:tcPr>
            <w:tcW w:w="16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6500" w:type="dxa"/>
            <w:vAlign w:val="bottom"/>
            <w:gridSpan w:val="13"/>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74</w:t>
            </w:r>
          </w:p>
        </w:tc>
        <w:tc>
          <w:tcPr>
            <w:tcW w:w="260" w:type="dxa"/>
            <w:vAlign w:val="bottom"/>
          </w:tcPr>
          <w:p>
            <w:pPr>
              <w:spacing w:after="0"/>
              <w:rPr>
                <w:sz w:val="17"/>
                <w:szCs w:val="17"/>
                <w:color w:val="auto"/>
              </w:rPr>
            </w:pPr>
          </w:p>
        </w:tc>
      </w:tr>
      <w:tr>
        <w:trPr>
          <w:trHeight w:val="196"/>
        </w:trPr>
        <w:tc>
          <w:tcPr>
            <w:tcW w:w="5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89"/>
              </w:rPr>
              <w:t>Item 9B.</w:t>
            </w:r>
          </w:p>
        </w:tc>
        <w:tc>
          <w:tcPr>
            <w:tcW w:w="980" w:type="dxa"/>
            <w:vAlign w:val="bottom"/>
            <w:gridSpan w:val="3"/>
          </w:tcPr>
          <w:p>
            <w:pPr>
              <w:spacing w:after="0"/>
              <w:rPr>
                <w:sz w:val="17"/>
                <w:szCs w:val="17"/>
                <w:color w:val="auto"/>
              </w:rPr>
            </w:pPr>
          </w:p>
        </w:tc>
        <w:tc>
          <w:tcPr>
            <w:tcW w:w="810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1140" w:type="dxa"/>
            <w:vAlign w:val="bottom"/>
            <w:gridSpan w:val="2"/>
          </w:tcPr>
          <w:p>
            <w:pPr>
              <w:jc w:val="center"/>
              <w:ind w:left="899"/>
              <w:spacing w:after="0"/>
              <w:rPr>
                <w:sz w:val="20"/>
                <w:szCs w:val="20"/>
                <w:color w:val="auto"/>
              </w:rPr>
            </w:pPr>
            <w:r>
              <w:rPr>
                <w:rFonts w:ascii="Times New Roman" w:cs="Times New Roman" w:eastAsia="Times New Roman" w:hAnsi="Times New Roman"/>
                <w:sz w:val="16"/>
                <w:szCs w:val="16"/>
                <w:color w:val="0000FF"/>
                <w:w w:val="99"/>
              </w:rPr>
              <w:t>76</w:t>
            </w:r>
          </w:p>
        </w:tc>
        <w:tc>
          <w:tcPr>
            <w:tcW w:w="260" w:type="dxa"/>
            <w:vAlign w:val="bottom"/>
          </w:tcPr>
          <w:p>
            <w:pPr>
              <w:spacing w:after="0"/>
              <w:rPr>
                <w:sz w:val="17"/>
                <w:szCs w:val="17"/>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r>
      <w:tr>
        <w:trPr>
          <w:trHeight w:val="196"/>
        </w:trPr>
        <w:tc>
          <w:tcPr>
            <w:tcW w:w="5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89"/>
              </w:rPr>
              <w:t>Item 9C.</w:t>
            </w:r>
          </w:p>
        </w:tc>
        <w:tc>
          <w:tcPr>
            <w:tcW w:w="980" w:type="dxa"/>
            <w:vAlign w:val="bottom"/>
            <w:gridSpan w:val="3"/>
          </w:tcPr>
          <w:p>
            <w:pPr>
              <w:spacing w:after="0"/>
              <w:rPr>
                <w:sz w:val="17"/>
                <w:szCs w:val="17"/>
                <w:color w:val="auto"/>
              </w:rPr>
            </w:pPr>
          </w:p>
        </w:tc>
        <w:tc>
          <w:tcPr>
            <w:tcW w:w="810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Disclosure Regarding Foreign Jurisdictions that Prevent Inspections</w:t>
            </w:r>
          </w:p>
        </w:tc>
        <w:tc>
          <w:tcPr>
            <w:tcW w:w="1140" w:type="dxa"/>
            <w:vAlign w:val="bottom"/>
            <w:gridSpan w:val="2"/>
          </w:tcPr>
          <w:p>
            <w:pPr>
              <w:jc w:val="center"/>
              <w:ind w:left="899"/>
              <w:spacing w:after="0"/>
              <w:rPr>
                <w:sz w:val="20"/>
                <w:szCs w:val="20"/>
                <w:color w:val="auto"/>
              </w:rPr>
            </w:pPr>
            <w:r>
              <w:rPr>
                <w:rFonts w:ascii="Times New Roman" w:cs="Times New Roman" w:eastAsia="Times New Roman" w:hAnsi="Times New Roman"/>
                <w:sz w:val="16"/>
                <w:szCs w:val="16"/>
                <w:color w:val="0000FF"/>
                <w:w w:val="99"/>
              </w:rPr>
              <w:t>76</w:t>
            </w:r>
          </w:p>
        </w:tc>
        <w:tc>
          <w:tcPr>
            <w:tcW w:w="260" w:type="dxa"/>
            <w:vAlign w:val="bottom"/>
          </w:tcPr>
          <w:p>
            <w:pPr>
              <w:spacing w:after="0"/>
              <w:rPr>
                <w:sz w:val="17"/>
                <w:szCs w:val="17"/>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r>
      <w:tr>
        <w:trPr>
          <w:trHeight w:val="393"/>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20" w:type="dxa"/>
            <w:vAlign w:val="bottom"/>
            <w:gridSpan w:val="7"/>
          </w:tcPr>
          <w:p>
            <w:pPr>
              <w:jc w:val="center"/>
              <w:ind w:right="3600"/>
              <w:spacing w:after="0"/>
              <w:rPr>
                <w:sz w:val="20"/>
                <w:szCs w:val="20"/>
                <w:color w:val="auto"/>
              </w:rPr>
            </w:pPr>
            <w:r>
              <w:rPr>
                <w:rFonts w:ascii="Times New Roman" w:cs="Times New Roman" w:eastAsia="Times New Roman" w:hAnsi="Times New Roman"/>
                <w:sz w:val="16"/>
                <w:szCs w:val="16"/>
                <w:b w:val="1"/>
                <w:bCs w:val="1"/>
                <w:color w:val="auto"/>
                <w:w w:val="99"/>
              </w:rPr>
              <w:t>PART III</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43"/>
        </w:trPr>
        <w:tc>
          <w:tcPr>
            <w:tcW w:w="15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10.</w:t>
            </w:r>
          </w:p>
        </w:tc>
        <w:tc>
          <w:tcPr>
            <w:tcW w:w="810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Directors, Executive Officers and Corporate Governance</w:t>
            </w:r>
          </w:p>
        </w:tc>
        <w:tc>
          <w:tcPr>
            <w:tcW w:w="1140" w:type="dxa"/>
            <w:vAlign w:val="bottom"/>
            <w:gridSpan w:val="2"/>
          </w:tcPr>
          <w:p>
            <w:pPr>
              <w:jc w:val="center"/>
              <w:ind w:left="899"/>
              <w:spacing w:after="0"/>
              <w:rPr>
                <w:sz w:val="20"/>
                <w:szCs w:val="20"/>
                <w:color w:val="auto"/>
              </w:rPr>
            </w:pPr>
            <w:r>
              <w:rPr>
                <w:rFonts w:ascii="Times New Roman" w:cs="Times New Roman" w:eastAsia="Times New Roman" w:hAnsi="Times New Roman"/>
                <w:sz w:val="16"/>
                <w:szCs w:val="16"/>
                <w:color w:val="0000FF"/>
                <w:w w:val="99"/>
              </w:rPr>
              <w:t>76</w:t>
            </w:r>
          </w:p>
        </w:tc>
        <w:tc>
          <w:tcPr>
            <w:tcW w:w="260" w:type="dxa"/>
            <w:vAlign w:val="bottom"/>
          </w:tcPr>
          <w:p>
            <w:pPr>
              <w:spacing w:after="0"/>
              <w:rPr>
                <w:sz w:val="24"/>
                <w:szCs w:val="24"/>
                <w:color w:val="auto"/>
              </w:rPr>
            </w:pPr>
          </w:p>
        </w:tc>
      </w:tr>
      <w:tr>
        <w:trPr>
          <w:trHeight w:val="196"/>
        </w:trPr>
        <w:tc>
          <w:tcPr>
            <w:tcW w:w="5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93"/>
              </w:rPr>
              <w:t>Item 11.</w:t>
            </w:r>
          </w:p>
        </w:tc>
        <w:tc>
          <w:tcPr>
            <w:tcW w:w="980" w:type="dxa"/>
            <w:vAlign w:val="bottom"/>
            <w:gridSpan w:val="3"/>
          </w:tcPr>
          <w:p>
            <w:pPr>
              <w:spacing w:after="0"/>
              <w:rPr>
                <w:sz w:val="17"/>
                <w:szCs w:val="17"/>
                <w:color w:val="auto"/>
              </w:rPr>
            </w:pPr>
          </w:p>
        </w:tc>
        <w:tc>
          <w:tcPr>
            <w:tcW w:w="368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6"/>
                <w:szCs w:val="16"/>
                <w:color w:val="0000FF"/>
              </w:rPr>
              <w:t>Executive Compensation</w:t>
            </w:r>
          </w:p>
        </w:tc>
        <w:tc>
          <w:tcPr>
            <w:tcW w:w="4420" w:type="dxa"/>
            <w:vAlign w:val="bottom"/>
            <w:gridSpan w:val="7"/>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76</w:t>
            </w:r>
          </w:p>
        </w:tc>
        <w:tc>
          <w:tcPr>
            <w:tcW w:w="260" w:type="dxa"/>
            <w:vAlign w:val="bottom"/>
          </w:tcPr>
          <w:p>
            <w:pPr>
              <w:spacing w:after="0"/>
              <w:rPr>
                <w:sz w:val="17"/>
                <w:szCs w:val="17"/>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r>
      <w:tr>
        <w:trPr>
          <w:trHeight w:val="196"/>
        </w:trPr>
        <w:tc>
          <w:tcPr>
            <w:tcW w:w="15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12.</w:t>
            </w:r>
          </w:p>
        </w:tc>
        <w:tc>
          <w:tcPr>
            <w:tcW w:w="810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Security Ownership of Certain Beneficial Owners and Management and Related Stockholder Matters</w:t>
            </w:r>
          </w:p>
        </w:tc>
        <w:tc>
          <w:tcPr>
            <w:tcW w:w="1140" w:type="dxa"/>
            <w:vAlign w:val="bottom"/>
            <w:gridSpan w:val="2"/>
          </w:tcPr>
          <w:p>
            <w:pPr>
              <w:jc w:val="center"/>
              <w:ind w:left="899"/>
              <w:spacing w:after="0"/>
              <w:rPr>
                <w:sz w:val="20"/>
                <w:szCs w:val="20"/>
                <w:color w:val="auto"/>
              </w:rPr>
            </w:pPr>
            <w:r>
              <w:rPr>
                <w:rFonts w:ascii="Times New Roman" w:cs="Times New Roman" w:eastAsia="Times New Roman" w:hAnsi="Times New Roman"/>
                <w:sz w:val="16"/>
                <w:szCs w:val="16"/>
                <w:color w:val="0000FF"/>
                <w:w w:val="99"/>
              </w:rPr>
              <w:t>76</w:t>
            </w:r>
          </w:p>
        </w:tc>
        <w:tc>
          <w:tcPr>
            <w:tcW w:w="260" w:type="dxa"/>
            <w:vAlign w:val="bottom"/>
          </w:tcPr>
          <w:p>
            <w:pPr>
              <w:spacing w:after="0"/>
              <w:rPr>
                <w:sz w:val="17"/>
                <w:szCs w:val="17"/>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60" w:type="dxa"/>
            <w:vAlign w:val="bottom"/>
            <w:gridSpan w:val="5"/>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r>
      <w:tr>
        <w:trPr>
          <w:trHeight w:val="196"/>
        </w:trPr>
        <w:tc>
          <w:tcPr>
            <w:tcW w:w="15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13.</w:t>
            </w:r>
          </w:p>
        </w:tc>
        <w:tc>
          <w:tcPr>
            <w:tcW w:w="810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Certain Relationships and Related Transactions, and Director Independence</w:t>
            </w:r>
          </w:p>
        </w:tc>
        <w:tc>
          <w:tcPr>
            <w:tcW w:w="1140" w:type="dxa"/>
            <w:vAlign w:val="bottom"/>
            <w:gridSpan w:val="2"/>
          </w:tcPr>
          <w:p>
            <w:pPr>
              <w:jc w:val="center"/>
              <w:ind w:left="899"/>
              <w:spacing w:after="0"/>
              <w:rPr>
                <w:sz w:val="20"/>
                <w:szCs w:val="20"/>
                <w:color w:val="auto"/>
              </w:rPr>
            </w:pPr>
            <w:r>
              <w:rPr>
                <w:rFonts w:ascii="Times New Roman" w:cs="Times New Roman" w:eastAsia="Times New Roman" w:hAnsi="Times New Roman"/>
                <w:sz w:val="16"/>
                <w:szCs w:val="16"/>
                <w:color w:val="0000FF"/>
                <w:w w:val="99"/>
              </w:rPr>
              <w:t>76</w:t>
            </w:r>
          </w:p>
        </w:tc>
        <w:tc>
          <w:tcPr>
            <w:tcW w:w="260" w:type="dxa"/>
            <w:vAlign w:val="bottom"/>
          </w:tcPr>
          <w:p>
            <w:pPr>
              <w:spacing w:after="0"/>
              <w:rPr>
                <w:sz w:val="17"/>
                <w:szCs w:val="17"/>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60" w:type="dxa"/>
            <w:vAlign w:val="bottom"/>
            <w:gridSpan w:val="5"/>
            <w:shd w:val="clear" w:color="auto" w:fill="0000FF"/>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r>
      <w:tr>
        <w:trPr>
          <w:trHeight w:val="196"/>
        </w:trPr>
        <w:tc>
          <w:tcPr>
            <w:tcW w:w="15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14.</w:t>
            </w:r>
          </w:p>
        </w:tc>
        <w:tc>
          <w:tcPr>
            <w:tcW w:w="810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Principal Accountant Fees and Services</w:t>
            </w:r>
          </w:p>
        </w:tc>
        <w:tc>
          <w:tcPr>
            <w:tcW w:w="1140" w:type="dxa"/>
            <w:vAlign w:val="bottom"/>
            <w:gridSpan w:val="2"/>
          </w:tcPr>
          <w:p>
            <w:pPr>
              <w:jc w:val="center"/>
              <w:ind w:left="899"/>
              <w:spacing w:after="0"/>
              <w:rPr>
                <w:sz w:val="20"/>
                <w:szCs w:val="20"/>
                <w:color w:val="auto"/>
              </w:rPr>
            </w:pPr>
            <w:r>
              <w:rPr>
                <w:rFonts w:ascii="Times New Roman" w:cs="Times New Roman" w:eastAsia="Times New Roman" w:hAnsi="Times New Roman"/>
                <w:sz w:val="16"/>
                <w:szCs w:val="16"/>
                <w:color w:val="0000FF"/>
                <w:w w:val="99"/>
              </w:rPr>
              <w:t>76</w:t>
            </w:r>
          </w:p>
        </w:tc>
        <w:tc>
          <w:tcPr>
            <w:tcW w:w="260" w:type="dxa"/>
            <w:vAlign w:val="bottom"/>
          </w:tcPr>
          <w:p>
            <w:pPr>
              <w:spacing w:after="0"/>
              <w:rPr>
                <w:sz w:val="17"/>
                <w:szCs w:val="17"/>
                <w:color w:val="auto"/>
              </w:rPr>
            </w:pPr>
          </w:p>
        </w:tc>
      </w:tr>
      <w:tr>
        <w:trPr>
          <w:trHeight w:val="393"/>
        </w:trPr>
        <w:tc>
          <w:tcPr>
            <w:tcW w:w="4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20" w:type="dxa"/>
            <w:vAlign w:val="bottom"/>
            <w:gridSpan w:val="7"/>
          </w:tcPr>
          <w:p>
            <w:pPr>
              <w:jc w:val="center"/>
              <w:ind w:right="3620"/>
              <w:spacing w:after="0"/>
              <w:rPr>
                <w:sz w:val="20"/>
                <w:szCs w:val="20"/>
                <w:color w:val="auto"/>
              </w:rPr>
            </w:pPr>
            <w:r>
              <w:rPr>
                <w:rFonts w:ascii="Times New Roman" w:cs="Times New Roman" w:eastAsia="Times New Roman" w:hAnsi="Times New Roman"/>
                <w:sz w:val="16"/>
                <w:szCs w:val="16"/>
                <w:b w:val="1"/>
                <w:bCs w:val="1"/>
                <w:color w:val="auto"/>
                <w:w w:val="97"/>
              </w:rPr>
              <w:t>PART IV</w:t>
            </w:r>
          </w:p>
        </w:tc>
        <w:tc>
          <w:tcPr>
            <w:tcW w:w="10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r>
      <w:tr>
        <w:trPr>
          <w:trHeight w:val="344"/>
        </w:trPr>
        <w:tc>
          <w:tcPr>
            <w:tcW w:w="15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15.</w:t>
            </w:r>
          </w:p>
        </w:tc>
        <w:tc>
          <w:tcPr>
            <w:tcW w:w="810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Exhibits and Financial Statement Schedules</w:t>
            </w:r>
          </w:p>
        </w:tc>
        <w:tc>
          <w:tcPr>
            <w:tcW w:w="1140" w:type="dxa"/>
            <w:vAlign w:val="bottom"/>
            <w:gridSpan w:val="2"/>
          </w:tcPr>
          <w:p>
            <w:pPr>
              <w:jc w:val="center"/>
              <w:ind w:left="899"/>
              <w:spacing w:after="0"/>
              <w:rPr>
                <w:sz w:val="20"/>
                <w:szCs w:val="20"/>
                <w:color w:val="auto"/>
              </w:rPr>
            </w:pPr>
            <w:r>
              <w:rPr>
                <w:rFonts w:ascii="Times New Roman" w:cs="Times New Roman" w:eastAsia="Times New Roman" w:hAnsi="Times New Roman"/>
                <w:sz w:val="16"/>
                <w:szCs w:val="16"/>
                <w:color w:val="0000FF"/>
                <w:w w:val="99"/>
              </w:rPr>
              <w:t>77</w:t>
            </w:r>
          </w:p>
        </w:tc>
        <w:tc>
          <w:tcPr>
            <w:tcW w:w="260" w:type="dxa"/>
            <w:vAlign w:val="bottom"/>
          </w:tcPr>
          <w:p>
            <w:pPr>
              <w:spacing w:after="0"/>
              <w:rPr>
                <w:sz w:val="24"/>
                <w:szCs w:val="24"/>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1440" w:type="dxa"/>
            <w:vAlign w:val="bottom"/>
            <w:gridSpan w:val="5"/>
            <w:shd w:val="clear" w:color="auto" w:fill="0000FF"/>
          </w:tcPr>
          <w:p>
            <w:pPr>
              <w:spacing w:after="0" w:line="20" w:lineRule="exact"/>
              <w:rPr>
                <w:sz w:val="1"/>
                <w:szCs w:val="1"/>
                <w:color w:val="auto"/>
              </w:rPr>
            </w:pPr>
          </w:p>
        </w:tc>
        <w:tc>
          <w:tcPr>
            <w:tcW w:w="5260" w:type="dxa"/>
            <w:vAlign w:val="bottom"/>
            <w:gridSpan w:val="9"/>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r>
      <w:tr>
        <w:trPr>
          <w:trHeight w:val="196"/>
        </w:trPr>
        <w:tc>
          <w:tcPr>
            <w:tcW w:w="15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16.</w:t>
            </w:r>
          </w:p>
        </w:tc>
        <w:tc>
          <w:tcPr>
            <w:tcW w:w="810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Form 10-K Summary</w:t>
            </w:r>
          </w:p>
        </w:tc>
        <w:tc>
          <w:tcPr>
            <w:tcW w:w="1140" w:type="dxa"/>
            <w:vAlign w:val="bottom"/>
            <w:gridSpan w:val="2"/>
          </w:tcPr>
          <w:p>
            <w:pPr>
              <w:jc w:val="center"/>
              <w:ind w:left="899"/>
              <w:spacing w:after="0"/>
              <w:rPr>
                <w:sz w:val="20"/>
                <w:szCs w:val="20"/>
                <w:color w:val="auto"/>
              </w:rPr>
            </w:pPr>
            <w:r>
              <w:rPr>
                <w:rFonts w:ascii="Times New Roman" w:cs="Times New Roman" w:eastAsia="Times New Roman" w:hAnsi="Times New Roman"/>
                <w:sz w:val="16"/>
                <w:szCs w:val="16"/>
                <w:color w:val="0000FF"/>
                <w:w w:val="99"/>
              </w:rPr>
              <w:t>79</w:t>
            </w:r>
          </w:p>
        </w:tc>
        <w:tc>
          <w:tcPr>
            <w:tcW w:w="260" w:type="dxa"/>
            <w:vAlign w:val="bottom"/>
          </w:tcPr>
          <w:p>
            <w:pPr>
              <w:spacing w:after="0"/>
              <w:rPr>
                <w:sz w:val="17"/>
                <w:szCs w:val="17"/>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r>
      <w:tr>
        <w:trPr>
          <w:trHeight w:val="196"/>
        </w:trPr>
        <w:tc>
          <w:tcPr>
            <w:tcW w:w="10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8"/>
              </w:rPr>
              <w:t>SIGNATURES</w:t>
            </w: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80</w:t>
            </w:r>
          </w:p>
        </w:tc>
        <w:tc>
          <w:tcPr>
            <w:tcW w:w="2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40" w:top="887" w:right="5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This Annual Report on Form 10-K (“Annual Report”) contains statements not purely historical and which may be considered forward-looking statements within the meaning of Section 27A of the Securities Act of 1933, as amended (the “Securities Act”), and Section 21E of the Securities Exchange Act of 1934, as amended (the “Exchange Act”), including statements regarding our expectations, beliefs, future plans and strategies, anticipated events or trends concerning matters that are not historical facts or that necessarily depend upon future events. In some cases, you can identify forward-looking statements by terms such as “may,” “will,” “should,” “could,” “would,” “expect,” “plan,” “anticipate,” “believe,” “estimate,” “project,” “predict,” “potential,” “intend,” and similar expressions. This Annual Report contains, among others, forward-looking statements based upon current expectations that involve numerous risks and uncertainties, including those described in Item 1A. “Risk Factors”.</w:t>
      </w:r>
    </w:p>
    <w:p>
      <w:pPr>
        <w:spacing w:after="0" w:line="162"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Investors are cautioned that any such forward-looking statements are not guarantees of future performance, involve risks and uncertainties and that actual results may differ materially from those possible results discussed in the forward-looking statements as a result of various factors.</w:t>
      </w:r>
    </w:p>
    <w:p>
      <w:pPr>
        <w:spacing w:after="0" w:line="121"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Do not place undue reliance on such forward-looking statements as they speak only as of the date they are made. Except as required by law, Option Care Health, Inc. assumes no obligation to publicly update or revise any forward-looking statement even if experience or future changes make it clear that any projected results expressed or implied therein will not be realized.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Business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Option Care Health, Inc. (“Option Care Health”, “we”, “us”, “our”, or the “Company”) is the largest independent provider of home and alternate site infusion services through its national network of 177 locations in 43 states. Option Care Health draws on over 40 years of clinical care experience to offer patient-centered, cost-effective infusion therapy. Option Care Health’s infusion services include the clinical management of infusion therapy, nursing support and care coordination. Option Care Health’s multidisciplinary team of more than 4,500 clinicians, including pharmacists, pharmacy technicians, nurses and dietitians, are able to provide infusion service coverage for nearly all patients across the United States (“U.S.”) needing treatment for complex and chronic medical conditions.</w:t>
      </w:r>
    </w:p>
    <w:p>
      <w:pPr>
        <w:spacing w:after="0" w:line="147" w:lineRule="exact"/>
        <w:rPr>
          <w:sz w:val="20"/>
          <w:szCs w:val="20"/>
          <w:color w:val="auto"/>
        </w:rPr>
      </w:pPr>
    </w:p>
    <w:p>
      <w:pPr>
        <w:ind w:right="720" w:firstLine="324"/>
        <w:spacing w:after="0" w:line="282" w:lineRule="auto"/>
        <w:rPr>
          <w:sz w:val="20"/>
          <w:szCs w:val="20"/>
          <w:color w:val="auto"/>
        </w:rPr>
      </w:pPr>
      <w:r>
        <w:rPr>
          <w:rFonts w:ascii="Times New Roman" w:cs="Times New Roman" w:eastAsia="Times New Roman" w:hAnsi="Times New Roman"/>
          <w:sz w:val="18"/>
          <w:szCs w:val="18"/>
          <w:color w:val="auto"/>
        </w:rPr>
        <w:t>On April 7, 2015, HC Group Holdings II, Inc. (“HC II”) and its sole shareholder, HC Group Holdings I, LLC. (“HC I”), collectively acquired Walgreens Infusion Services, Inc. and its subsidiaries from Walgreen Co., and the business was rebranded as Option Care, Inc. (“Option Care”).</w:t>
      </w:r>
    </w:p>
    <w:p>
      <w:pPr>
        <w:spacing w:after="0" w:line="135"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On March 14, 2019, HC I and HC II entered into a definitive agreement to merge with and into a wholly-owned subsidiary of BioScrip, Inc. (“BioScrip”) (the “Merger”), a national provider of infusion and home care management solutions, which was completed on August 6, 2019 (the “Merger Date”). Following the close of the Merger, BioScrip was rebranded as Option Care Health, Inc.</w:t>
      </w:r>
    </w:p>
    <w:p>
      <w:pPr>
        <w:spacing w:after="0" w:line="13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Option Care Health contracts with managed care organizations, third-party payers, hospitals, physicians and other referral sources to provide pharmaceuticals and complex compounded solutions to patients for intravenous delivery in the patients’ homes or other nonhospital settings. Our services are provided in coordination with, and under the direction of, the patient’s physician. Our multidisciplinary team of clinicians, including pharmacists, nurses, dietitians and respiratory therapists, work with the physician to develop a plan of care suited to each patient’s specific needs. We provide home infusion services consisting of anti-infectives, nutrition support, chronic inflammatory disorders, neurological disorders, immunoglobulin therapy, and other therapies for chronic and acute conditions. The Company operates in one segment, infusion services.</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operating model enables it to provide favorable outcomes to its stakeholders as follows:</w:t>
      </w:r>
    </w:p>
    <w:p>
      <w:pPr>
        <w:spacing w:after="0" w:line="194" w:lineRule="exact"/>
        <w:rPr>
          <w:sz w:val="20"/>
          <w:szCs w:val="20"/>
          <w:color w:val="auto"/>
        </w:rPr>
      </w:pPr>
    </w:p>
    <w:p>
      <w:pPr>
        <w:ind w:left="660" w:right="140" w:hanging="328"/>
        <w:spacing w:after="0" w:line="262" w:lineRule="auto"/>
        <w:tabs>
          <w:tab w:leader="none" w:pos="65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Patients. </w:t>
      </w:r>
      <w:r>
        <w:rPr>
          <w:rFonts w:ascii="Times New Roman" w:cs="Times New Roman" w:eastAsia="Times New Roman" w:hAnsi="Times New Roman"/>
          <w:sz w:val="18"/>
          <w:szCs w:val="18"/>
          <w:color w:val="auto"/>
        </w:rPr>
        <w:t>The Company improves patients’ quality of life by allowing them to receive infusion therapy at home or at one of its ambulatory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infusion suites. In addition, the Company helps manage patients’ conditions through counseling and education regarding their treatment and by providing ongoing monitoring to encourage patient compliance with the prescribed therapy. The Company also provides services to help patients receive reimbursement benefits.</w:t>
      </w:r>
    </w:p>
    <w:p>
      <w:pPr>
        <w:spacing w:after="0" w:line="135" w:lineRule="exact"/>
        <w:rPr>
          <w:rFonts w:ascii="Times New Roman" w:cs="Times New Roman" w:eastAsia="Times New Roman" w:hAnsi="Times New Roman"/>
          <w:sz w:val="18"/>
          <w:szCs w:val="18"/>
          <w:b w:val="1"/>
          <w:bCs w:val="1"/>
          <w:color w:val="auto"/>
        </w:rPr>
      </w:pPr>
    </w:p>
    <w:p>
      <w:pPr>
        <w:jc w:val="both"/>
        <w:ind w:left="660" w:right="260" w:hanging="328"/>
        <w:spacing w:after="0" w:line="262" w:lineRule="auto"/>
        <w:tabs>
          <w:tab w:leader="none" w:pos="65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Payers. </w:t>
      </w:r>
      <w:r>
        <w:rPr>
          <w:rFonts w:ascii="Times New Roman" w:cs="Times New Roman" w:eastAsia="Times New Roman" w:hAnsi="Times New Roman"/>
          <w:sz w:val="18"/>
          <w:szCs w:val="18"/>
          <w:color w:val="auto"/>
        </w:rPr>
        <w:t>The Company provides payers with a comprehensive approach to meeting their pharmacy service needs and providing a cost-effective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 The Company’s provision of infusion pharmacy services in the patient’s home or at one of its local ambulatory infusion suites offers a lower cost alternative to providing these therapies in a hospital setting. The Company also provides payers with utilization and outcome data to evaluate therapy effectiveness.</w:t>
      </w:r>
    </w:p>
    <w:p>
      <w:pPr>
        <w:spacing w:after="0" w:line="135" w:lineRule="exact"/>
        <w:rPr>
          <w:rFonts w:ascii="Times New Roman" w:cs="Times New Roman" w:eastAsia="Times New Roman" w:hAnsi="Times New Roman"/>
          <w:sz w:val="18"/>
          <w:szCs w:val="18"/>
          <w:b w:val="1"/>
          <w:bCs w:val="1"/>
          <w:color w:val="auto"/>
        </w:rPr>
      </w:pPr>
    </w:p>
    <w:p>
      <w:pPr>
        <w:ind w:left="660" w:right="20" w:hanging="328"/>
        <w:spacing w:after="0" w:line="268" w:lineRule="auto"/>
        <w:tabs>
          <w:tab w:leader="none" w:pos="65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Providers. </w:t>
      </w:r>
      <w:r>
        <w:rPr>
          <w:rFonts w:ascii="Times New Roman" w:cs="Times New Roman" w:eastAsia="Times New Roman" w:hAnsi="Times New Roman"/>
          <w:sz w:val="18"/>
          <w:szCs w:val="18"/>
          <w:color w:val="auto"/>
        </w:rPr>
        <w:t>The Company provides providers with timely patient clinical support by providing care management related to their patients’ pharmacy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needs and improving compliance with therapy protocols. The Company eliminates the need for providers to carry inventories of high-cost prescriptions by distributing the medications directly to patients’ homes.</w:t>
      </w:r>
    </w:p>
    <w:p>
      <w:pPr>
        <w:spacing w:after="0" w:line="143" w:lineRule="exact"/>
        <w:rPr>
          <w:rFonts w:ascii="Times New Roman" w:cs="Times New Roman" w:eastAsia="Times New Roman" w:hAnsi="Times New Roman"/>
          <w:sz w:val="18"/>
          <w:szCs w:val="18"/>
          <w:b w:val="1"/>
          <w:bCs w:val="1"/>
          <w:color w:val="auto"/>
        </w:rPr>
      </w:pPr>
    </w:p>
    <w:p>
      <w:pPr>
        <w:ind w:left="660" w:right="20" w:hanging="328"/>
        <w:spacing w:after="0" w:line="262" w:lineRule="auto"/>
        <w:tabs>
          <w:tab w:leader="none" w:pos="65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Pharmaceutical Manufacturers. </w:t>
      </w:r>
      <w:r>
        <w:rPr>
          <w:rFonts w:ascii="Times New Roman" w:cs="Times New Roman" w:eastAsia="Times New Roman" w:hAnsi="Times New Roman"/>
          <w:sz w:val="18"/>
          <w:szCs w:val="18"/>
          <w:color w:val="auto"/>
        </w:rPr>
        <w:t>The Company collaborates with pharmaceutical manufacturers to provide a broad distribution channel for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existing pharmaceuticals and their new product launches. The Company implements patient monitoring programs that encourage compliance with the prescribed therapy. The Company also provides valuable clinical information in the form of outcomes and compliance data to manufacturers to aid in their evaluation of the efficacy of their products.</w:t>
      </w:r>
    </w:p>
    <w:p>
      <w:pPr>
        <w:spacing w:after="0" w:line="135" w:lineRule="exact"/>
        <w:rPr>
          <w:rFonts w:ascii="Times New Roman" w:cs="Times New Roman" w:eastAsia="Times New Roman" w:hAnsi="Times New Roman"/>
          <w:sz w:val="18"/>
          <w:szCs w:val="18"/>
          <w:b w:val="1"/>
          <w:bCs w:val="1"/>
          <w:color w:val="auto"/>
        </w:rPr>
      </w:pPr>
    </w:p>
    <w:p>
      <w:pPr>
        <w:ind w:left="660" w:right="40" w:hanging="328"/>
        <w:spacing w:after="0" w:line="268" w:lineRule="auto"/>
        <w:tabs>
          <w:tab w:leader="none" w:pos="65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Health Systems. </w:t>
      </w:r>
      <w:r>
        <w:rPr>
          <w:rFonts w:ascii="Times New Roman" w:cs="Times New Roman" w:eastAsia="Times New Roman" w:hAnsi="Times New Roman"/>
          <w:sz w:val="18"/>
          <w:szCs w:val="18"/>
          <w:color w:val="auto"/>
        </w:rPr>
        <w:t>The Company partners with health systems across the country to provide seamless transitional care within an effective post-acute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care network to manage patients across the continuum of care. The Company assists partnered health systems in monitoring key metrics that tie back to what most payers monitor in their value based contracts.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Quality</w:t>
      </w:r>
    </w:p>
    <w:p>
      <w:pPr>
        <w:spacing w:after="0" w:line="18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Quality is at the core of the Company’s mission as it strives to deliver quality healthcare, leading to favorable outcomes and more cost-effective care. The Company offers comprehensive services that align with specific healthcare provider needs and has demonstrated success in improving outcomes across a broad range of therapies through improved clinical-reported patient adherence rates and decreased rates of unplanned hospital re-admissions.</w:t>
      </w:r>
    </w:p>
    <w:p>
      <w:pPr>
        <w:spacing w:after="0" w:line="149" w:lineRule="exact"/>
        <w:rPr>
          <w:sz w:val="20"/>
          <w:szCs w:val="20"/>
          <w:color w:val="auto"/>
        </w:rPr>
      </w:pPr>
    </w:p>
    <w:p>
      <w:pPr>
        <w:ind w:right="660" w:firstLine="324"/>
        <w:spacing w:after="0" w:line="266" w:lineRule="auto"/>
        <w:rPr>
          <w:sz w:val="20"/>
          <w:szCs w:val="20"/>
          <w:color w:val="auto"/>
        </w:rPr>
      </w:pPr>
      <w:r>
        <w:rPr>
          <w:rFonts w:ascii="Times New Roman" w:cs="Times New Roman" w:eastAsia="Times New Roman" w:hAnsi="Times New Roman"/>
          <w:sz w:val="18"/>
          <w:szCs w:val="18"/>
          <w:color w:val="auto"/>
        </w:rPr>
        <w:t>The Company’s commitment to continuous quality improvement to provide optimal outcomes for its patients is evidenced by its national accreditations, including accreditations from Accreditation Commission for Health Care (“ACHC”), Pharmacy Compounding Accreditation Board (“PCAB”), American Society of Health-System Pharmacists (“ASHP”) and Utilization Review Accreditation Commission (“URAC”).</w:t>
      </w:r>
    </w:p>
    <w:p>
      <w:pPr>
        <w:spacing w:after="0" w:line="135"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ACHC accreditation is awarded to healthcare organizations that meet regulatory requirements and accreditation standards, and PCAB accreditation offers the most comprehensive compliance solution in the industry based on more than 40 sterile compounding standards in the U.S. Pharmacopeia Pharmaceutical Compounding - Sterile Preparations Standards (“USP 797”).</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Services</w:t>
      </w:r>
    </w:p>
    <w:p>
      <w:pPr>
        <w:spacing w:after="0" w:line="18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Company is the largest independent provider of home and alternate site infusion services. The Company’s services are most typically provided in the patient’s home, but may also be provided at clinics, physicians’ offices or ambulatory infusion suites. The Company provides a broad therapy portfolio through its network of 93 full-service pharmacies and 84 stand-alone ambulatory infusion suites. The Company’s home infusion services include medication and supplies for administration and use at home or within one of its ambulatory infusion suites, consultation and education regarding the patient’s condition and the prescribed medication nursing support, clinical monitoring and assistance in monitoring potential side effects, and assistance in obtaining reimbursement. The Company administers a wide variety of therapies and services, including the following:</w:t>
      </w:r>
    </w:p>
    <w:p>
      <w:pPr>
        <w:spacing w:after="0" w:line="156" w:lineRule="exact"/>
        <w:rPr>
          <w:sz w:val="20"/>
          <w:szCs w:val="20"/>
          <w:color w:val="auto"/>
        </w:rPr>
      </w:pPr>
    </w:p>
    <w:p>
      <w:pPr>
        <w:ind w:left="660" w:right="140" w:hanging="328"/>
        <w:spacing w:after="0" w:line="286" w:lineRule="auto"/>
        <w:tabs>
          <w:tab w:leader="none" w:pos="65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Anti-Infectives Infusion. </w:t>
      </w:r>
      <w:r>
        <w:rPr>
          <w:rFonts w:ascii="Times New Roman" w:cs="Times New Roman" w:eastAsia="Times New Roman" w:hAnsi="Times New Roman"/>
          <w:sz w:val="18"/>
          <w:szCs w:val="18"/>
          <w:color w:val="auto"/>
        </w:rPr>
        <w:t>The Company provides comprehensive home infusion services to combat serious infections in patients of all ages.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anti-infective therapy and services help avoid hospitalizations for many infections that can be safely treated at home.</w:t>
      </w:r>
    </w:p>
    <w:p>
      <w:pPr>
        <w:spacing w:after="0" w:line="114" w:lineRule="exact"/>
        <w:rPr>
          <w:rFonts w:ascii="Times New Roman" w:cs="Times New Roman" w:eastAsia="Times New Roman" w:hAnsi="Times New Roman"/>
          <w:sz w:val="18"/>
          <w:szCs w:val="18"/>
          <w:b w:val="1"/>
          <w:bCs w:val="1"/>
          <w:color w:val="auto"/>
        </w:rPr>
      </w:pPr>
    </w:p>
    <w:p>
      <w:pPr>
        <w:jc w:val="both"/>
        <w:ind w:left="660" w:right="160" w:hanging="328"/>
        <w:spacing w:after="0" w:line="268" w:lineRule="auto"/>
        <w:tabs>
          <w:tab w:leader="none" w:pos="65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Nutrition Support. </w:t>
      </w:r>
      <w:r>
        <w:rPr>
          <w:rFonts w:ascii="Times New Roman" w:cs="Times New Roman" w:eastAsia="Times New Roman" w:hAnsi="Times New Roman"/>
          <w:sz w:val="18"/>
          <w:szCs w:val="18"/>
          <w:color w:val="auto"/>
        </w:rPr>
        <w:t>The Company delivers comprehensive nutrition support across pediatric, adult, and geriatric patients. The Company’s expert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team provides home parenteral nutrition and enteral nutrition support for numerous acute and chronic conditions negatively affecting nutritional status, such as stroke, cancer, and gastrointestinal diseases.</w:t>
      </w:r>
    </w:p>
    <w:p>
      <w:pPr>
        <w:spacing w:after="0" w:line="130" w:lineRule="exact"/>
        <w:rPr>
          <w:rFonts w:ascii="Times New Roman" w:cs="Times New Roman" w:eastAsia="Times New Roman" w:hAnsi="Times New Roman"/>
          <w:sz w:val="18"/>
          <w:szCs w:val="18"/>
          <w:b w:val="1"/>
          <w:bCs w:val="1"/>
          <w:color w:val="auto"/>
        </w:rPr>
      </w:pPr>
    </w:p>
    <w:p>
      <w:pPr>
        <w:ind w:left="660" w:right="200" w:hanging="328"/>
        <w:spacing w:after="0" w:line="262" w:lineRule="auto"/>
        <w:tabs>
          <w:tab w:leader="none" w:pos="655"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Immunoglobulin Infusion. </w:t>
      </w:r>
      <w:r>
        <w:rPr>
          <w:rFonts w:ascii="Times New Roman" w:cs="Times New Roman" w:eastAsia="Times New Roman" w:hAnsi="Times New Roman"/>
          <w:sz w:val="18"/>
          <w:szCs w:val="18"/>
          <w:color w:val="auto"/>
        </w:rPr>
        <w:t>The Company offers expertise, access, and support in immunoglobulin (“IG”) infusion therapy designed to treat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immune deficiencies. Immune deficiencies are disorders that reduce the patient’s ability to identify and destroy substances that do not belong in the human body and are characterized by reduced levels of antibodies. Intravenous IG infusions are concentrated antibodies that have been purified from large numbers of human blood donors.</w:t>
      </w:r>
    </w:p>
    <w:p>
      <w:pPr>
        <w:spacing w:after="0" w:line="149" w:lineRule="exact"/>
        <w:rPr>
          <w:rFonts w:ascii="Times New Roman" w:cs="Times New Roman" w:eastAsia="Times New Roman" w:hAnsi="Times New Roman"/>
          <w:sz w:val="18"/>
          <w:szCs w:val="18"/>
          <w:b w:val="1"/>
          <w:bCs w:val="1"/>
          <w:i w:val="1"/>
          <w:iCs w:val="1"/>
          <w:color w:val="auto"/>
        </w:rPr>
      </w:pPr>
    </w:p>
    <w:p>
      <w:pPr>
        <w:ind w:left="660" w:hanging="328"/>
        <w:spacing w:after="0" w:line="286" w:lineRule="auto"/>
        <w:tabs>
          <w:tab w:leader="none" w:pos="655"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Chronic Inflammatory Disorders. </w:t>
      </w:r>
      <w:r>
        <w:rPr>
          <w:rFonts w:ascii="Times New Roman" w:cs="Times New Roman" w:eastAsia="Times New Roman" w:hAnsi="Times New Roman"/>
          <w:sz w:val="18"/>
          <w:szCs w:val="18"/>
          <w:color w:val="auto"/>
        </w:rPr>
        <w:t>The Company treats chronic inflammatory disorders, which include Crohn’s disease, plaque psoriasis, psoriatic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arthritis, rheumatoid arthritis, ulcerative colitis, and other chronic inflammatory disorders.</w:t>
      </w:r>
    </w:p>
    <w:p>
      <w:pPr>
        <w:spacing w:after="0" w:line="114" w:lineRule="exact"/>
        <w:rPr>
          <w:rFonts w:ascii="Times New Roman" w:cs="Times New Roman" w:eastAsia="Times New Roman" w:hAnsi="Times New Roman"/>
          <w:sz w:val="18"/>
          <w:szCs w:val="18"/>
          <w:b w:val="1"/>
          <w:bCs w:val="1"/>
          <w:i w:val="1"/>
          <w:iCs w:val="1"/>
          <w:color w:val="auto"/>
        </w:rPr>
      </w:pPr>
    </w:p>
    <w:p>
      <w:pPr>
        <w:ind w:left="660" w:right="300" w:hanging="328"/>
        <w:spacing w:after="0" w:line="286" w:lineRule="auto"/>
        <w:tabs>
          <w:tab w:leader="none" w:pos="655"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Neurological Disorders. </w:t>
      </w:r>
      <w:r>
        <w:rPr>
          <w:rFonts w:ascii="Times New Roman" w:cs="Times New Roman" w:eastAsia="Times New Roman" w:hAnsi="Times New Roman"/>
          <w:sz w:val="18"/>
          <w:szCs w:val="18"/>
          <w:color w:val="auto"/>
        </w:rPr>
        <w:t>The Company provides an array of treatments to manage the progression of neurological disorders such as Duchenne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Muscular Dystrophy, Multiple Sclerosis, and other neurological disorders.</w:t>
      </w:r>
    </w:p>
    <w:p>
      <w:pPr>
        <w:spacing w:after="0" w:line="114" w:lineRule="exact"/>
        <w:rPr>
          <w:rFonts w:ascii="Times New Roman" w:cs="Times New Roman" w:eastAsia="Times New Roman" w:hAnsi="Times New Roman"/>
          <w:sz w:val="18"/>
          <w:szCs w:val="18"/>
          <w:b w:val="1"/>
          <w:bCs w:val="1"/>
          <w:i w:val="1"/>
          <w:iCs w:val="1"/>
          <w:color w:val="auto"/>
        </w:rPr>
      </w:pPr>
    </w:p>
    <w:p>
      <w:pPr>
        <w:ind w:left="660" w:right="80" w:hanging="328"/>
        <w:spacing w:after="0" w:line="268" w:lineRule="auto"/>
        <w:tabs>
          <w:tab w:leader="none" w:pos="65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Bleeding Disorders Infusion. </w:t>
      </w:r>
      <w:r>
        <w:rPr>
          <w:rFonts w:ascii="Times New Roman" w:cs="Times New Roman" w:eastAsia="Times New Roman" w:hAnsi="Times New Roman"/>
          <w:sz w:val="18"/>
          <w:szCs w:val="18"/>
          <w:color w:val="auto"/>
        </w:rPr>
        <w:t>As a provider of home infusion therapy for hemophilia and von Willebrand disease, the Company streamlines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administrative burdens associated with infusion therapies for bleeding disorders. The Company works with medical specialists across the country to offer access to all approved factor products, a full range of therapies, and dedicated support services.</w:t>
      </w:r>
    </w:p>
    <w:p>
      <w:pPr>
        <w:spacing w:after="0" w:line="143" w:lineRule="exact"/>
        <w:rPr>
          <w:rFonts w:ascii="Times New Roman" w:cs="Times New Roman" w:eastAsia="Times New Roman" w:hAnsi="Times New Roman"/>
          <w:sz w:val="18"/>
          <w:szCs w:val="18"/>
          <w:b w:val="1"/>
          <w:bCs w:val="1"/>
          <w:color w:val="auto"/>
        </w:rPr>
      </w:pPr>
    </w:p>
    <w:p>
      <w:pPr>
        <w:ind w:left="660" w:right="120" w:hanging="328"/>
        <w:spacing w:after="0" w:line="286" w:lineRule="auto"/>
        <w:tabs>
          <w:tab w:leader="none" w:pos="65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Women’s Health. </w:t>
      </w:r>
      <w:r>
        <w:rPr>
          <w:rFonts w:ascii="Times New Roman" w:cs="Times New Roman" w:eastAsia="Times New Roman" w:hAnsi="Times New Roman"/>
          <w:sz w:val="18"/>
          <w:szCs w:val="18"/>
          <w:color w:val="auto"/>
        </w:rPr>
        <w:t>The Company offers therapies that women need to survive and thrive through high-risk pregnancies. Personalized programs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prematurity, nausea and vomiting hyperemesis, diabetes in pregnancy, and hypertension help meet the needs of each mother.</w:t>
      </w:r>
    </w:p>
    <w:p>
      <w:pPr>
        <w:spacing w:after="0" w:line="114" w:lineRule="exact"/>
        <w:rPr>
          <w:rFonts w:ascii="Times New Roman" w:cs="Times New Roman" w:eastAsia="Times New Roman" w:hAnsi="Times New Roman"/>
          <w:sz w:val="18"/>
          <w:szCs w:val="18"/>
          <w:b w:val="1"/>
          <w:bCs w:val="1"/>
          <w:color w:val="auto"/>
        </w:rPr>
      </w:pPr>
    </w:p>
    <w:p>
      <w:pPr>
        <w:ind w:left="660" w:right="280" w:hanging="328"/>
        <w:spacing w:after="0" w:line="286" w:lineRule="auto"/>
        <w:tabs>
          <w:tab w:leader="none" w:pos="65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Heart Failure. </w:t>
      </w:r>
      <w:r>
        <w:rPr>
          <w:rFonts w:ascii="Times New Roman" w:cs="Times New Roman" w:eastAsia="Times New Roman" w:hAnsi="Times New Roman"/>
          <w:sz w:val="18"/>
          <w:szCs w:val="18"/>
          <w:color w:val="auto"/>
        </w:rPr>
        <w:t>The Company administers home infusion services to treat heart failure, either in anticipation of cardiac transplant or to provide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palliation of heart failure symptoms.</w:t>
      </w:r>
    </w:p>
    <w:p>
      <w:pPr>
        <w:spacing w:after="0" w:line="114" w:lineRule="exact"/>
        <w:rPr>
          <w:rFonts w:ascii="Times New Roman" w:cs="Times New Roman" w:eastAsia="Times New Roman" w:hAnsi="Times New Roman"/>
          <w:sz w:val="18"/>
          <w:szCs w:val="18"/>
          <w:b w:val="1"/>
          <w:bCs w:val="1"/>
          <w:color w:val="auto"/>
        </w:rPr>
      </w:pPr>
    </w:p>
    <w:p>
      <w:pPr>
        <w:ind w:left="660" w:right="340" w:hanging="328"/>
        <w:spacing w:after="0" w:line="286" w:lineRule="auto"/>
        <w:tabs>
          <w:tab w:leader="none" w:pos="65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Other. </w:t>
      </w:r>
      <w:r>
        <w:rPr>
          <w:rFonts w:ascii="Times New Roman" w:cs="Times New Roman" w:eastAsia="Times New Roman" w:hAnsi="Times New Roman"/>
          <w:sz w:val="18"/>
          <w:szCs w:val="18"/>
          <w:color w:val="auto"/>
        </w:rPr>
        <w:t>The Company offers a range of other infusion therapies to treat a variety of conditions, including pain management, chemotherapy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respiratory medication.</w:t>
      </w:r>
    </w:p>
    <w:p>
      <w:pPr>
        <w:spacing w:after="0" w:line="132"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Company also provides nursing services to support the above therapies, comprised of its nursing team of approximately 2,800 employees, and through its network of sub-contracted nursing agencies.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8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Company’s sales and marketing efforts focus on three primary objectives: (1) building new relationships and expanding existing contracts with managed care organizations; (2) establishing, maintaining and strengthening relationships with local and regional patient referral sources; and (3) maintaining existing and developing new relationships with pharmaceutical manufacturers to gain distribution access as they release new products.</w:t>
      </w:r>
    </w:p>
    <w:p>
      <w:pPr>
        <w:spacing w:after="0" w:line="149" w:lineRule="exact"/>
        <w:rPr>
          <w:sz w:val="20"/>
          <w:szCs w:val="20"/>
          <w:color w:val="auto"/>
        </w:rPr>
      </w:pPr>
    </w:p>
    <w:p>
      <w:pPr>
        <w:ind w:right="340" w:firstLine="324"/>
        <w:spacing w:after="0" w:line="258" w:lineRule="auto"/>
        <w:rPr>
          <w:sz w:val="20"/>
          <w:szCs w:val="20"/>
          <w:color w:val="auto"/>
        </w:rPr>
      </w:pPr>
      <w:r>
        <w:rPr>
          <w:rFonts w:ascii="Times New Roman" w:cs="Times New Roman" w:eastAsia="Times New Roman" w:hAnsi="Times New Roman"/>
          <w:sz w:val="18"/>
          <w:szCs w:val="18"/>
          <w:color w:val="auto"/>
        </w:rPr>
        <w:t>The Company’s sales structure is focused on maintaining and expanding its relationships with drug manufacturers to establish its position as a participating provider when they release new products. In addition, the Company’s sales structure allows it to leverage its national managed care relationships to provide sales and contract pull-through by the Company’s local field-based sales personnel. This cross-utility enables the Company to market its services to numerous sources of patient referrals, including physicians, hospital discharge planners, hospital personnel, Health Maintenance Organizations (“HMOs”) and Preferred Provider Organizations (“PPOs”).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8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Company competes in the large and highly fragmented home and alternative site infusion market for contracts with managed care organizations and other third-party payers to receive referrals from physicians, case managers and hospital discharge planners. Competition in the home infusion market is based on quality of care, clinical outcomes, pricing and cost of service, reputation, and reliability of service. The Company’s competitors within the home infusion market include Optum Infusion Pharmacy (a unit of the United Healthcare Insurance Company), Coram CVS/specialty infusion services (a division of CVS Health), Amerita Specialty Pharmacy (a division of BrightSpring Health), KabaFusion, Soleo Health and many smaller regional and local home infusion companies, ambulatory infusion centers, or specialty pharmacies including Accredo, CVS Caremark, Optum Rx, and Orsini. The Company believes that its reputation for providing quality services, the strength of its national presence and its ability to effectively market its services at national, regional and local levels places it in a strong position against existing and potential competitors.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Company owns a variety of trademarks, licenses, and service marks, including but not limited to: “Option Care Health”, “Option Care”, “Critical Care Systems”, “Clinical Specialties”, “BioScrip”, “BioScrip Infusion Services”, “BioScrip Nursing Services”, “BioScrip Pharmacy Services”, “CarePoint Partners”, “HomeChoice Partners”, “InfuScience”, “InfusionCare”, “Infusion Partners”, “Infusion Solutions”, “New England Home Therapies”, “Option Health”, “Professional Home Care Services”, “Wilcox Home Infusion”, “Home Solutions”, as well as several others.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Suppliers</w:t>
      </w:r>
    </w:p>
    <w:p>
      <w:pPr>
        <w:spacing w:after="0" w:line="18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The Company purchases pharmaceuticals and medical supplies directly through pharmaceutical manufacturers, authorized distributors and group purchasing organizations. As a national pharmacy provider with broad coverage and clinical expertise of its 93 full-service pharmacies, the Company provides pharmaceutical manufacturers with an extensive distribution channel for its existing and prospective pharmaceutical products. Many of the pharmaceuticals that the Company purchases are available from multiple sources and are available in sufficient quantities to meet the needs of the Company and its patients. However, some drugs are only available through sole distribution sources and/or limited distribution models from the manufacturer that may be subject to limits on distribution. In such cases, it is important that the Company establishes and maintains good working relationships with the manufacturer to secure a sufficient supply to meet its patients’ needs. Additionally, certain drugs may become subject to supply shortages. Such shortages can result in cost increases or hamper the Company’s ability to obtain sufficient quantities to meet the needs of its patients. The Company actively manages its relationships with direct manufacturers and distributors to provide differentiated access and service to ensure consistent supply and cost-effective procurement. These relationships provide the Company the opportunity to become a selected partner in the launch of their new products. The Company may also receive fees, which it records as revenue, from certain biotech manufacturers for providing them with bona fide services often focused around clinical outcomes/data. The Company’s continued growth will be dependent on maintaining its existing relationships with manufacturers and establishing new relationships with additional manufacturers as the Company launches new products.</w:t>
      </w:r>
    </w:p>
    <w:p>
      <w:pPr>
        <w:spacing w:after="0" w:line="16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approximately 72% of the Company’s pharmaceutical and medical supply purchases were from four vendors. Although there are a limited number of suppliers, the Company believes that other vendors could provide similar products on comparable terms. However, a change in suppliers could cause delays in service delivery and possible losses in revenue, which could adversely affect the Company’s financial condition or operating results.</w:t>
      </w:r>
    </w:p>
    <w:p>
      <w:pPr>
        <w:spacing w:after="0" w:line="139" w:lineRule="exact"/>
        <w:rPr>
          <w:sz w:val="20"/>
          <w:szCs w:val="20"/>
          <w:color w:val="auto"/>
        </w:rPr>
      </w:pPr>
    </w:p>
    <w:p>
      <w:pPr>
        <w:ind w:right="180" w:firstLine="324"/>
        <w:spacing w:after="0" w:line="312" w:lineRule="auto"/>
        <w:rPr>
          <w:sz w:val="20"/>
          <w:szCs w:val="20"/>
          <w:color w:val="auto"/>
        </w:rPr>
      </w:pPr>
      <w:r>
        <w:rPr>
          <w:rFonts w:ascii="Times New Roman" w:cs="Times New Roman" w:eastAsia="Times New Roman" w:hAnsi="Times New Roman"/>
          <w:sz w:val="17"/>
          <w:szCs w:val="17"/>
          <w:color w:val="auto"/>
        </w:rPr>
        <w:t>Through the purchasing power of its national platform, the Company is able to negotiate favorable terms and economics, including volume purchase rebates and vendor administration fees. Such fees are recorded as reductions to cost of revenue when the pharmaceuticals are delivered to the patient.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Billing &amp; Significant Payers</w:t>
      </w:r>
    </w:p>
    <w:p>
      <w:pPr>
        <w:spacing w:after="0" w:line="20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Company generates most of its revenue from contracts with third-party payers, including managed care organizations, insurance companies, self-insured employers, Medicare, and Medicaid programs. Where permissible, the Company bills patients for any amounts not reimbursed by third-party payers. The majority of the Company’s infusion pharmacy revenue consists of reimbursements for both the cost of the pharmaceuticals sold and the cost of services provided. Pharmaceuticals are typically reimbursed on a percentage discount from the published average wholesale price (“AWP”) of each drug or on a percentage premium to average sales price (“ASP”). Nursing services are typically billed separately, while other patient support services, such as pharmacy compounding service, delivery service and ancillary medical supplies are reimbursed either separately or on a per diem basis, as applicable.</w:t>
      </w:r>
    </w:p>
    <w:p>
      <w:pPr>
        <w:spacing w:after="0" w:line="147"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Company’s largest payer represented approximately 14% of its revenue for the year ended December 31, 2023. No other single payer represented more than 10% of its revenue. The Company also provides services that are directly reimbursable through government healthcare programs such as Medicare and state Medicaid programs. For the year ended December 31, 2023, approximately 12% of the Company’s revenue was reimbursable through direct governmental programs, such as Medicare and Medicaid.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Matters Affecting Drug Prices</w:t>
      </w:r>
    </w:p>
    <w:p>
      <w:pPr>
        <w:spacing w:after="0" w:line="20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Pricing benchmarks in the pharmacy industry are periodically published by third parties such as Red Book, Medi-Span, RJ Health, and the Centers for Medicare &amp; Medicaid Services (“CMS”), and the benchmark reimbursement varies by payer contract. The most commonly used benchmarks are AWP and ASP. AWP is based on self-reported prices charged by wholesalers and manufacturers and reimbursement is generally AWP minus a percentage and may include a per diem fee or a fixed dispensing fee. ASP is based on actual sales transactions reported by wholesalers and is generally lower than AWP; reimbursement is generally ASP plus a percentage. The Company may also receive a fixed dispensing fee or a per diem fee for each day a patient is on service. Changes to these pricing benchmarks may have a significant impact on the profitability of the Company’s business.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home infusion industry is subject to extensive regulation by a number of federal, state and local governmental entities. The industry is also subject to frequent regulatory changes. Laws and regulations in the healthcare industry are complex and, at times, the industry does not benefit from significant regulatory or judicial interpretation that would clarify how these laws and regulations should be applied. Moreover, the Company’s business is also impacted by certain laws and regulations that are applicable to its managed care and other clients. If the Company fails to comply with the laws and regulations directly applicable to its business, the Company could suffer civil and/or criminal penalties, and the Company could be excluded from participating in Medicare, Medicaid and other federal and state healthcare programs, which would have an adverse impact on its business.</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Professional Licensure</w:t>
      </w:r>
    </w:p>
    <w:p>
      <w:pPr>
        <w:spacing w:after="0" w:line="189"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Nurses, pharmacists and certain other healthcare professionals employed by the Company are required to be individually licensed or certified under applicable state law. The Company performs criminal and other background checks on employees and takes steps to ensure that its employees possess all necessary licenses and certifications, and the Company believes that its employees comply in all material respects with applicable licensure laws.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Pharmacy Licensing and Registration</w:t>
      </w:r>
    </w:p>
    <w:p>
      <w:pPr>
        <w:spacing w:after="0" w:line="202"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State laws require that each pharmacy location be licensed as an in-state pharmacy to dispense pharmaceuticals in that state. Certain states also require that pharmacy locations be licensed as out-of-state pharmacies if the Company delivers prescription pharmaceuticals into those states from locations outside of the state. The Company believes that it materially complies with all applicable state licensing laws. If the Company is unable to maintain its licenses or if states place burdensome regulations on non-resident pharmacies, its ability to operate in some states would be limited, which could have an adverse impact on its business. Laws enforced by the Drug Enforcement Administration (“DEA”), as well as some similar state agencies, require its pharmacy locations to individually register in order to handle controlled substances, including prescription pharmaceuticals. A separate registration is required at each principal place of business where the Company dispenses controlled substances. Federal and state laws also require that the Company follow specific labeling, reporting and record-keeping requirements for controlled substances. The Company maintains federal and state controlled substance registrations for each of its facilities that require such registration and materially follows procedures intended to comply with all applicable federal and state requirements regarding controlled substances.</w:t>
      </w:r>
    </w:p>
    <w:p>
      <w:pPr>
        <w:spacing w:after="0" w:line="154"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Many states in which the Company operates also require home infusion companies to be licensed as home health agencies. The Company believes it is in material compliance with these laws, as applicable.</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Privacy and Security Requirements</w:t>
      </w:r>
    </w:p>
    <w:p>
      <w:pPr>
        <w:spacing w:after="0" w:line="202"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The Health Insurance Portability and Accountability Act of 1996 (“HIPAA”) as amended by the Health Information Technology for Economic and Clinical Health Act (“HITECH”), and its implementing regulations, regulate the use, disclosure, confidentiality, availability and integrity of individually identifiable health information, known as “protected health information,” and provide for a number of individual rights with respect to such information. The federal privacy regulations are designed to protect health-related information that could be used to identify an individual’s protected health information.</w:t>
      </w:r>
    </w:p>
    <w:p>
      <w:pPr>
        <w:spacing w:after="0" w:line="143"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The requirements imposed by HIPAA are extensive, and the Company has taken and intends to continue to take steps to ensure its policies and procedures are in material compliance with the applicable provisions.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Regulations</w:t>
      </w:r>
    </w:p>
    <w:p>
      <w:pPr>
        <w:spacing w:after="0" w:line="18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Food, Drug and Cosmetic Act. </w:t>
      </w:r>
      <w:r>
        <w:rPr>
          <w:rFonts w:ascii="Times New Roman" w:cs="Times New Roman" w:eastAsia="Times New Roman" w:hAnsi="Times New Roman"/>
          <w:sz w:val="18"/>
          <w:szCs w:val="18"/>
          <w:color w:val="auto"/>
        </w:rPr>
        <w:t>Certain provisions of the Food, Drug and Cosmetic Act (“FDCA”) govern the handling and distribution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pharmaceutical products. This law exempts certain pharmaceuticals and medical devices from federal labeling and packaging requirements as long as they are not adulterated or misbranded and are dispensed in accordance with and pursuant to a valid prescription. The Company believes it materially complies with all applicable requirements. The FDCA also governs interstate commerce for pharmaceutical products. The Company cannot predict the impact of any future FDCA regulations on its ability to ship drugs to different states from its pharmacies.</w:t>
      </w:r>
    </w:p>
    <w:p>
      <w:pPr>
        <w:spacing w:after="0" w:line="158" w:lineRule="exact"/>
        <w:rPr>
          <w:sz w:val="20"/>
          <w:szCs w:val="20"/>
          <w:color w:val="auto"/>
        </w:rPr>
      </w:pPr>
    </w:p>
    <w:p>
      <w:pPr>
        <w:jc w:val="both"/>
        <w:ind w:right="340" w:firstLine="324"/>
        <w:spacing w:after="0" w:line="261" w:lineRule="auto"/>
        <w:rPr>
          <w:sz w:val="20"/>
          <w:szCs w:val="20"/>
          <w:color w:val="auto"/>
        </w:rPr>
      </w:pPr>
      <w:r>
        <w:rPr>
          <w:rFonts w:ascii="Times New Roman" w:cs="Times New Roman" w:eastAsia="Times New Roman" w:hAnsi="Times New Roman"/>
          <w:sz w:val="18"/>
          <w:szCs w:val="18"/>
          <w:color w:val="auto"/>
        </w:rPr>
        <w:t>The Drug Quality and Security Act (“DQSA”) amended the FDCA to grant the Food and Drug Administration (“FDA”) authority to regulate the manufacturing of compounded pharmaceutical drugs. The Company materially complies with the PCAB Accreditation Standards for Sterile and Non-Sterile Pharmacy Compounding and pursues accreditation from quality associations. The Company believes it complies in all material respects with all applicable requirements of a non-outsourcing-facility pharmacy.</w:t>
      </w:r>
    </w:p>
    <w:p>
      <w:pPr>
        <w:spacing w:after="0" w:line="13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FDA also regulates certain medical devices, such as infusion pumps, the Company uses to provide its services. In recent years, the FDA has increased its oversight of infusion pumps, resulting in additional requirements around patient education and adverse event reporting. The Company believes it complies in all material respects with all applicable requirements and that its employees have the level of proficiency required to use these devices and provide training to its patients.</w:t>
      </w:r>
    </w:p>
    <w:p>
      <w:pPr>
        <w:spacing w:after="0" w:line="13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Anti-Kickback Statute</w:t>
      </w:r>
      <w:r>
        <w:rPr>
          <w:rFonts w:ascii="Times New Roman" w:cs="Times New Roman" w:eastAsia="Times New Roman" w:hAnsi="Times New Roman"/>
          <w:sz w:val="18"/>
          <w:szCs w:val="18"/>
          <w:color w:val="auto"/>
        </w:rPr>
        <w:t>. The federal Anti-Kickback Statute prohibits individuals and entities from knowingly and willfully paying, offering, receiving,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soliciting money or anything else of value in order to induce the referral of patients or to induce a person to purchase, lease, order, arrange for, or recommend services or goods covered by Medicare, Medicaid, or other government healthcare programs. The Anti-Kickback Statute is broad and potentially covers many standard business arrangements. A number of states also have statutes and regulations that prohibit the same general types of conduct as those prohibited by the Anti-Kickback Statute described above. Violations can lead to significant criminal or civil penalties, including imprisonment. The Office of the Inspector General (“OIG”) could also seek Civil Monetary Penalties (“CMP”) or exclusion against individuals or entities who knowingly and willfully: (1) offer or pay remuneration, directly or indirectly, to induce referrals of government healthcare program business; or (2) solicit or receive remuneration, directly or indirectly, in return for referrals of government healthcare program business. The OIG of the U.S. Department of Health and Human Services (“HHS”) has published clarifying regulations that identify a limited number of safe harbors from criminal enforcement or civil administrative actions. The Company attempts to structure its business relationships to materially comply with these statutes and to satisfy an applicable safe harbor, where applicable. However, in situations where a business relationship does not fully satisfy the elements of a safe harbor, or where no safe harbor exists, the Company attempts to satisfy as many elements of an applicable or equivalent safe harbor as possible.</w:t>
      </w:r>
    </w:p>
    <w:p>
      <w:pPr>
        <w:spacing w:after="0" w:line="16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False Claims Act</w:t>
      </w:r>
      <w:r>
        <w:rPr>
          <w:rFonts w:ascii="Times New Roman" w:cs="Times New Roman" w:eastAsia="Times New Roman" w:hAnsi="Times New Roman"/>
          <w:sz w:val="18"/>
          <w:szCs w:val="18"/>
          <w:color w:val="auto"/>
        </w:rPr>
        <w:t>. The Company is subject to state and federal laws that govern the submission of claims for reimbursement. These laws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prohibit an individual or entity from knowingly and willfully presenting a claim or causing a claim to be presented for payment from a federal healthcare program that is false or fraudulent. The standard for “knowing and willful” may include conduct that amounts to a reckless disregard for the accuracy of information presented to payers. Penalties under these statutes include substantial civil and criminal fines, exclusion from the Medicare or Medicaid programs and imprisonment. One of the most prominent of these laws is the federal False Claims Act, which may be enforced by the federal government directly or by a private plaintiff by filing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lawsuit on the government’s behalf. Under the False Claims Act, the government and private plaintiffs, if any, may recover monetary penalties in the amount of $13,946 to $27,894 per false claim, as well as an amount equal to three times the amount of damages sustained by the government as a result of the false claim. A number of states, including states in which the Company operates, have adopted their own false claims statutes as well as statutes that allow individuals to bring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The Company believes that it has procedures in place to ensure the material accuracy of its claims.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Ethics in Patient Referrals Law (“Stark Law”)</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Stark Law exempts certain business relationships that meet its exception requirements. However, unlike the Anti-Kickback Statute under which an activity may fall outside a safe harbor and still be lawful, a referral for certain Designated Health Services (“DHS”) that does not fall within an exception is strictly prohibited by the Stark Law. In addition to the Stark Law, many of the states in which the Company operates have comparable restrictions on the ability of physicians to refer patients for certain services to entities with which the Company has a financial relationship. Certain of these state statutes mirror the Stark Law while others may be more restrictive. The Company attempts to structure all of its business relationships with physicians to comply with the Stark Law and any applicable state self-referral laws.</w:t>
      </w:r>
    </w:p>
    <w:p>
      <w:pPr>
        <w:spacing w:after="0" w:line="16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federal Stark Law generally prohibits a physician from making referrals for certain DHS, reimbursable by Medicare or Medicaid, to entities with which the physician or an immediate family member has a financial relationship, unless an exception applies. A financial relationship is generally defined as an ownership, investment or compensation relationship. DHS includes outpatient pharmaceuticals, parenteral and enteral nutrition products, home health services, durable medical equipment, physical and occupational therapy services, and inpatient and outpatient hospital services. Among other sanctions, a CMP may be imposed for each bill or claim for a service a person knows or should know is for a service for which payment may not be made due to the Stark Law. Such persons or entities are also subject to exclusion from the Medicare and Medicaid programs. Any person or entity participating in a circumvention scheme to avoid the referral prohibitions is liable for CMPs, and additional fines may be imposed for failure to comply with reporting requirements regarding an entity’s ownership, investment and compensation arrangements for each day for which reporting is required to have been made under the Stark Law.</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8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Company’s mission is to transform healthcare by providing innovative services that improve outcomes, reduce costs and deliver hope for patients and their families. The values we embody support each of our team members as they deliver life-changing, extraordinary care.</w:t>
      </w:r>
    </w:p>
    <w:p>
      <w:pPr>
        <w:spacing w:after="0" w:line="135"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employed 5,809 persons on a full-time basis and 1,993 persons on a part-time basis. The majority of its part-time employees are clinicians due to the nature and timing of the services the Company provides.</w:t>
      </w:r>
    </w:p>
    <w:p>
      <w:pPr>
        <w:spacing w:after="0" w:line="121"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Attracting and retaining a highly skilled and diverse team to deliver extraordinary care is a top priority. The Company’s strategy includes four distinct areas to empower our people so that they remain focused on providing extraordinary care that changes lives:</w:t>
      </w:r>
    </w:p>
    <w:p>
      <w:pPr>
        <w:spacing w:after="0" w:line="117" w:lineRule="exact"/>
        <w:rPr>
          <w:sz w:val="20"/>
          <w:szCs w:val="20"/>
          <w:color w:val="auto"/>
        </w:rPr>
      </w:pPr>
    </w:p>
    <w:p>
      <w:pPr>
        <w:ind w:left="660" w:right="120" w:hanging="328"/>
        <w:spacing w:after="0" w:line="262" w:lineRule="auto"/>
        <w:tabs>
          <w:tab w:leader="none" w:pos="65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Talent Development. </w:t>
      </w:r>
      <w:r>
        <w:rPr>
          <w:rFonts w:ascii="Times New Roman" w:cs="Times New Roman" w:eastAsia="Times New Roman" w:hAnsi="Times New Roman"/>
          <w:sz w:val="18"/>
          <w:szCs w:val="18"/>
          <w:color w:val="auto"/>
        </w:rPr>
        <w:t>The Company strives to empower our team members by giving them the tools and resources to strengthen and expand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knowledge and skills and advance their careers through training, leadership development programs, continuing functional education and other professional development opportunities. The Company also focuses on performance management, 360 degree feedback, and succession planning through calibration assessments on each team leader’s potential, performance and readiness for advancement.</w:t>
      </w:r>
    </w:p>
    <w:p>
      <w:pPr>
        <w:spacing w:after="0" w:line="149" w:lineRule="exact"/>
        <w:rPr>
          <w:rFonts w:ascii="Times New Roman" w:cs="Times New Roman" w:eastAsia="Times New Roman" w:hAnsi="Times New Roman"/>
          <w:sz w:val="18"/>
          <w:szCs w:val="18"/>
          <w:b w:val="1"/>
          <w:bCs w:val="1"/>
          <w:color w:val="auto"/>
        </w:rPr>
      </w:pPr>
    </w:p>
    <w:p>
      <w:pPr>
        <w:ind w:left="660" w:right="40" w:hanging="328"/>
        <w:spacing w:after="0" w:line="259" w:lineRule="auto"/>
        <w:tabs>
          <w:tab w:leader="none" w:pos="655"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Employee Engagement. </w:t>
      </w:r>
      <w:r>
        <w:rPr>
          <w:rFonts w:ascii="Times New Roman" w:cs="Times New Roman" w:eastAsia="Times New Roman" w:hAnsi="Times New Roman"/>
          <w:sz w:val="18"/>
          <w:szCs w:val="18"/>
          <w:color w:val="auto"/>
        </w:rPr>
        <w:t>The Company believes that highly engaged team members deliver a better patient experience. The foundation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engagement strategy is a culture that connects our team members to our mission and values while promoting a sense of community, while also aligning behind business priorities. Our approach to employee engagement is to cultivate our culture and build relationships across geographically distributed team members. The Company promotes employee engagement with engagement surveys, an internal social media platform, quarterly and annual peer recognition programs, and company newsletters.</w:t>
      </w:r>
    </w:p>
    <w:p>
      <w:pPr>
        <w:spacing w:after="0" w:line="138" w:lineRule="exact"/>
        <w:rPr>
          <w:rFonts w:ascii="Times New Roman" w:cs="Times New Roman" w:eastAsia="Times New Roman" w:hAnsi="Times New Roman"/>
          <w:sz w:val="18"/>
          <w:szCs w:val="18"/>
          <w:b w:val="1"/>
          <w:bCs w:val="1"/>
          <w:i w:val="1"/>
          <w:iCs w:val="1"/>
          <w:color w:val="auto"/>
        </w:rPr>
      </w:pPr>
    </w:p>
    <w:p>
      <w:pPr>
        <w:ind w:left="660" w:right="140" w:hanging="328"/>
        <w:spacing w:after="0" w:line="268" w:lineRule="auto"/>
        <w:tabs>
          <w:tab w:leader="none" w:pos="655"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Health and Well being. </w:t>
      </w:r>
      <w:r>
        <w:rPr>
          <w:rFonts w:ascii="Times New Roman" w:cs="Times New Roman" w:eastAsia="Times New Roman" w:hAnsi="Times New Roman"/>
          <w:sz w:val="18"/>
          <w:szCs w:val="18"/>
          <w:color w:val="auto"/>
        </w:rPr>
        <w:t>The Company provides a holistic range of resources and programs to our team members to address each person’s unique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needs, including physical, mental and financial health and well-being with programs to support healthy lifestyles, specialized programs to help manage chronic conditions, behavioral health education, coaching, and counseling, and financial wellness resources.</w:t>
      </w:r>
    </w:p>
    <w:p>
      <w:pPr>
        <w:spacing w:after="0" w:line="130" w:lineRule="exact"/>
        <w:rPr>
          <w:rFonts w:ascii="Times New Roman" w:cs="Times New Roman" w:eastAsia="Times New Roman" w:hAnsi="Times New Roman"/>
          <w:sz w:val="18"/>
          <w:szCs w:val="18"/>
          <w:b w:val="1"/>
          <w:bCs w:val="1"/>
          <w:i w:val="1"/>
          <w:iCs w:val="1"/>
          <w:color w:val="auto"/>
        </w:rPr>
      </w:pPr>
    </w:p>
    <w:p>
      <w:pPr>
        <w:ind w:left="660" w:right="40" w:hanging="328"/>
        <w:spacing w:after="0" w:line="259" w:lineRule="auto"/>
        <w:tabs>
          <w:tab w:leader="none" w:pos="655"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Diversity, Equity, and Inclusion. </w:t>
      </w:r>
      <w:r>
        <w:rPr>
          <w:rFonts w:ascii="Times New Roman" w:cs="Times New Roman" w:eastAsia="Times New Roman" w:hAnsi="Times New Roman"/>
          <w:sz w:val="18"/>
          <w:szCs w:val="18"/>
          <w:color w:val="auto"/>
        </w:rPr>
        <w:t>The Company believes that diversity, equity and inclusion (“DE&amp;I”) makes us stronger, more innovative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better able to serve our patients. This requires people with different talents, backgrounds and perspectives, reflective of the communities we serve. The Company strives to develop a culture where everyone feels a sense of belonging and empowerment to share their experiences and ideas. The Company leverages meaningful metrics to evaluate the effectiveness of our DE&amp;I initiatives, including our efforts to eliminate bias in decision-making and build a diverse pipeline of leaders.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Company relies on its ability to attract and retain nursing staff, pharmacists and other professionals who possess the skills, experience and licenses necessary to meet the requirements of their job responsibilities. The Company’s ability to attract and retain personnel depends on several factors, including the ability to provide them with engaging assignments and competitive salaries and benefits. The Company is committed to empowering our people through specific initiatives in talent development, employee engagement, health and well-being, and DE&amp;I.</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0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Company’s corporate headquarters is located at 3000 Lakeside Drive, Suite 300N, Bannockburn, IL 60015. The Company maintains a website at www.optioncarehealth.com. The information contained on its website is not incorporated by reference into this Annual Report and should not be considered part of this Annual Report. The Company’s Annual Reports on Form 10-K, Quarterly Reports on Form 10-Q, Current Reports on Form 8-K, and Proxy Statements are available through its website at https://investors.optioncarehealth.com, free of charge, as soon as reasonably practicable after they are filed with or furnished to the SEC.</w:t>
      </w:r>
    </w:p>
    <w:p>
      <w:pPr>
        <w:spacing w:after="0" w:line="143"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SEC maintains a website that contains reports, proxy and information statements, and other information regarding issuers that file electronically with the SEC at www.sec.gov.</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Investors should carefully consider the following Company-specific and general risk factors.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Company-Specific Risk Factors</w:t>
      </w:r>
    </w:p>
    <w:p>
      <w:pPr>
        <w:spacing w:after="0" w:line="185" w:lineRule="exact"/>
        <w:rPr>
          <w:sz w:val="20"/>
          <w:szCs w:val="20"/>
          <w:color w:val="auto"/>
        </w:rPr>
      </w:pPr>
    </w:p>
    <w:p>
      <w:pPr>
        <w:ind w:right="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 and profitability will decline if the pharmaceutical industry undergoes certain changes, including limiting or discontinuing research, development, production and marketing of the pharmaceuticals that are compatible with the services we provide.</w:t>
      </w:r>
    </w:p>
    <w:p>
      <w:pPr>
        <w:spacing w:after="0" w:line="11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Our business is highly dependent on the ability of pharmaceutical manufacturers to develop, supply and market pharmaceuticals that are compatible with the services we provide. Our revenue and profitability will decline if those companies were to sell pharmaceuticals directly to the public, fail to support existing pharmaceuticals or develop new pharmaceuticals with different administration requirements than our service offerings are currently equipped to handle. Our business could also be harmed if the pharmaceutical industry experiences any supply shortages, pharmaceutical recalls, changes in the FDA approval processes, or changes to how pharmaceutical manufacturers finance, promote or sell pharmaceutical products. The Company has experienced drug and supply shortages and has leveraged its relationships with direct manufacturers and distributors to ensure consistent supply and cost-effective procurement. A reduction in the supply of and market for pharmaceuticals that are compatible with the services we provide may have a material adverse effect on our financial condition and results of operations.</w:t>
      </w:r>
    </w:p>
    <w:p>
      <w:pPr>
        <w:spacing w:after="0" w:line="161" w:lineRule="exact"/>
        <w:rPr>
          <w:sz w:val="20"/>
          <w:szCs w:val="20"/>
          <w:color w:val="auto"/>
        </w:rPr>
      </w:pPr>
    </w:p>
    <w:p>
      <w:pPr>
        <w:ind w:right="3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lose relationships with managed care organizations (“MCOs”) and other non-governmental third-party payers, we could lose access to a significant number of patients and our revenue and profitability could decline.</w:t>
      </w:r>
    </w:p>
    <w:p>
      <w:pPr>
        <w:spacing w:after="0" w:line="11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are highly dependent on reimbursement from MCOs, government programs such as Medicare and Medicaid and commercial insurers (collectively, “Third-Party Payers”). For the year ended December 31, 2023, 88% of our revenue came from MCOs and other non-governmental payers, including Medicare Advantage plans, Managed Medicaid plans, pharmacy benefit managers (“PBMs”), and self-pay patients. Many payers seek to limit the number of providers that supply pharmaceuticals to their enrollees in order to build volume that justifies their discounted pricing. From time to time, payers with whom we have relationships require that we bid against our competitors to keep their business. As a result of this bidding process, we may not be retained, and even if we are retained, the prices at which we are able to retain the business may be reduced. The loss of a payer relationship could significantly reduce the number of patients we serve and have a material adverse effect on our revenue and net income, and a reduction in pricing could reduce our gross margins and net income.</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healthcare industry is highly competitive.</w:t>
      </w:r>
    </w:p>
    <w:p>
      <w:pPr>
        <w:spacing w:after="0" w:line="20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healthcare industry is highly competitive. We compete directly with national, regional and local healthcare providers. There are many other companies and individuals currently providing healthcare services that we provide, many of which have been in business longer and/or have substantially more resources. Other companies could enter the healthcare industry in the future and divert some or all of our business. We expect to continue to encounter competition in the future that could limit our ability to grow revenue and/or maintain acceptable pricing levels.</w:t>
      </w:r>
    </w:p>
    <w:p>
      <w:pPr>
        <w:spacing w:after="0" w:line="139" w:lineRule="exact"/>
        <w:rPr>
          <w:sz w:val="20"/>
          <w:szCs w:val="20"/>
          <w:color w:val="auto"/>
        </w:rPr>
      </w:pPr>
    </w:p>
    <w:p>
      <w:pPr>
        <w:ind w:right="380" w:firstLine="324"/>
        <w:spacing w:after="0" w:line="258" w:lineRule="auto"/>
        <w:rPr>
          <w:sz w:val="20"/>
          <w:szCs w:val="20"/>
          <w:color w:val="auto"/>
        </w:rPr>
      </w:pPr>
      <w:r>
        <w:rPr>
          <w:rFonts w:ascii="Times New Roman" w:cs="Times New Roman" w:eastAsia="Times New Roman" w:hAnsi="Times New Roman"/>
          <w:sz w:val="18"/>
          <w:szCs w:val="18"/>
          <w:color w:val="auto"/>
        </w:rPr>
        <w:t>Some of our competitors have vertically integrated business models with commercial payers or are under common control with, or owned by, pharmaceutical wholesalers and distributors, MCOs, PBMs or retail pharmacy chains and may be better positioned with respect to the cost-effective distribution of pharmaceuticals. In addition, some of our competitors may have secured long-term supply or distribution arrangements for prescription pharmaceuticals necessary to treat certain chronic disease states on price terms substantially more favorable than the terms currently available to us. Consequently, we may be less price competitive than some of our competitors with respect to certain pharmaceutical products.</w:t>
      </w:r>
    </w:p>
    <w:p>
      <w:pPr>
        <w:spacing w:after="0" w:line="14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Accountable Care Organizations (“ACOs”) and other clinical integration models may result in lower reimbursement rates. Some of our competitors may negotiate exclusivity provisions with managed care plans or otherwise interfere with the ability of MCOs to contract with us. Increasing consolidation in the payer and supplier industries, including vertical integration efforts among insurers, providers, and suppliers, and cost-reduction strategies by large employer groups and their affiliates may limit our ability to negotiate favorable terms and conditions in our contracts and otherwise intensify competitive pressure. In addition, our competitive position could be adversely affected by any inability to obtain access to new biotech pharmaceutical products.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4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relationships with existing patient referral sources, our business and consolidated financial condition, results of operations, and cash flows could be materially adversely affected.</w:t>
      </w:r>
    </w:p>
    <w:p>
      <w:pPr>
        <w:spacing w:after="0" w:line="118"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Our success depends on referrals from physicians, hospitals, and other sources in the communities we serve and on our ability to maintain good relationships with existing referral sources. Our referral sources are not contractually obligated to refer patients to us and may refer their patients to other providers. Our growth and profitability depends, in part, on our ability to establish and maintain close working relationships with these patient referral sources and to increase awareness and acceptance of the benefits of home infusion by our referral sources and their patients. Our loss of, or failure to maintain, existing relationships or our failure to develop new referral relationships could have a material adverse effect on our business and consolidated financial condition, results of operations, and cash flows.</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Changes in industry pricing benchmarks could adversely affect our financial performance.</w:t>
      </w:r>
    </w:p>
    <w:p>
      <w:pPr>
        <w:spacing w:after="0" w:line="18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contracts generally use certain published benchmarks to establish pricing for the reimbursement of prescription medications we dispense. These benchmarks include AWP, wholesale acquisition cost, ASP and average manufacturer price. Many of our contracts utilize the AWP benchmark. Publication of the AWP benchmark was expected to cease in 2011 as a result of the settlement of class-action lawsuits brought against First Databank and Medi-Span, third-party publishers of various pricing benchmarks. However, Medi-Span continues to publish the AWP benchmark and has indicated that it will continue to do so until a new benchmark is widely accepted. Several industry participants have explored establishing a new benchmark but there is not currently a viable generally accepted alternative to the AWP benchmark. Without a suitable pricing benchmark in place, many of our contracts may need to be modified, which could potentially change the economic structure of our agreements.</w:t>
      </w:r>
    </w:p>
    <w:p>
      <w:pPr>
        <w:spacing w:after="0" w:line="144" w:lineRule="exact"/>
        <w:rPr>
          <w:sz w:val="20"/>
          <w:szCs w:val="20"/>
          <w:color w:val="auto"/>
        </w:rPr>
      </w:pPr>
    </w:p>
    <w:p>
      <w:pPr>
        <w:ind w:right="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our relationships with pharmaceutical suppliers, including changes in drug availability or pricing, could adversely affect our business and financial results.</w:t>
      </w:r>
    </w:p>
    <w:p>
      <w:pPr>
        <w:spacing w:after="0" w:line="132" w:lineRule="exact"/>
        <w:rPr>
          <w:sz w:val="20"/>
          <w:szCs w:val="20"/>
          <w:color w:val="auto"/>
        </w:rPr>
      </w:pPr>
    </w:p>
    <w:p>
      <w:pPr>
        <w:ind w:right="340" w:firstLine="324"/>
        <w:spacing w:after="0" w:line="258" w:lineRule="auto"/>
        <w:rPr>
          <w:sz w:val="20"/>
          <w:szCs w:val="20"/>
          <w:color w:val="auto"/>
        </w:rPr>
      </w:pPr>
      <w:r>
        <w:rPr>
          <w:rFonts w:ascii="Times New Roman" w:cs="Times New Roman" w:eastAsia="Times New Roman" w:hAnsi="Times New Roman"/>
          <w:sz w:val="18"/>
          <w:szCs w:val="18"/>
          <w:color w:val="auto"/>
        </w:rPr>
        <w:t>We have contractual relationships with pharmaceutical manufacturers to purchase the pharmaceuticals that we dispense. In order to have access to these pharmaceuticals, and to be able to participate in the launch of new pharmaceuticals, we must maintain a good working relationship with these manufacturers. Most of the manufacturers of the pharmaceuticals we sell have the right to cancel their supply contracts with us without cause and after giving only minimal notice. Any changes to these relationships, including, but not limited to, the loss of a manufacturer relationship, drug shortages or changes in pricing, could have an adverse effect on our business and financial results.</w:t>
      </w:r>
    </w:p>
    <w:p>
      <w:pPr>
        <w:spacing w:after="0" w:line="14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Some pharmaceutical manufacturers attempt to limit the number of preferred distributors that may market certain of their pharmaceutical products. We cannot provide assurance that we will be selected and retained as a preferred distributor or that we can remain a preferred distributor to market these products. Although we believe we can effectively meet our suppliers’ requirements, we cannot provide assurance that we will be able to compete effectively with other providers to retain our position as a distributor of each of our core products. Our failure to retain our position as a distributor of each of our core products could have a material adverse effect on our financial condition and results of operations.</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 disruption in pharmaceutical and medical supply could adversely impact our business.</w:t>
      </w:r>
    </w:p>
    <w:p>
      <w:pPr>
        <w:spacing w:after="0" w:line="20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2023, approximately 72% of our pharmaceutical and medical supply purchases were from four vendors. Most of the pharmaceuticals that we purchase are available from multiple sources, and we believe they are available in sufficient quantities to meet our needs and the needs of our patients. We keep safety stock to ensure continuity of service for reasonable, but limited, periods of time. Should a supply disruption result in our inability to obtain especially high margin drugs and compound components necessary for patient care, our consolidated financial statements could be negatively impacted.</w:t>
      </w:r>
    </w:p>
    <w:p>
      <w:pPr>
        <w:spacing w:after="0" w:line="139" w:lineRule="exact"/>
        <w:rPr>
          <w:sz w:val="20"/>
          <w:szCs w:val="20"/>
          <w:color w:val="auto"/>
        </w:rPr>
      </w:pPr>
    </w:p>
    <w:p>
      <w:pPr>
        <w:ind w:right="1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shortage of qualified registered nursing staff, pharmacists and other professionals could adversely affect our ability to attract, train and retain qualified personnel and could increase operating costs.</w:t>
      </w:r>
    </w:p>
    <w:p>
      <w:pPr>
        <w:spacing w:after="0" w:line="118"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Our business relies on our ability to attract, train and retain nursing staff, pharmacists and other professionals who possess the skills, experience and licenses necessary to meet the requirements of their job responsibilities. From time to time, and particularly in recent years, there have been shortages of nursing staff, pharmacists and other professionals in certain local and regional markets. As a result, we are often required to compete for personnel with other healthcare systems and our competitors. Our ability to attract, train and retain personnel depends on several factors, including our ability to provide them with engaging assignments and competitive salaries and benefits. We may not be successful in any of these areas.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In addition, where labor shortages arise in markets in which we operate, we have faced higher costs to attract personnel and we have had to provide them with more attractive benefit packages than originally anticipated or are being paid in other markets where such shortages do not exist at the time. In either case, such circumstances cause operating costs to increase and our profitability to decline. Finally, if we expand our operations into geographic areas where healthcare providers historically have unionized or unionization occurs in our existing geographic areas, negotiating collective bargaining agreements may have a negative effect on our ability to timely and successfully recruit qualified personnel and on our financial results. If we are unable to attract, train and retain nursing staff, pharmacists and other professionals, the quality of our services may decline and we could lose patients and referral sources, which could have a material adverse effect on our business and consolidated financial condition, results of operations and cash flows.</w:t>
      </w:r>
    </w:p>
    <w:p>
      <w:pPr>
        <w:spacing w:after="0" w:line="144" w:lineRule="exact"/>
        <w:rPr>
          <w:sz w:val="20"/>
          <w:szCs w:val="20"/>
          <w:color w:val="auto"/>
        </w:rPr>
      </w:pPr>
    </w:p>
    <w:p>
      <w:pPr>
        <w:ind w:right="6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Introduction of new drugs, accelerated adoption of existing lower margin drugs or withdrawal of existing drugs could adversely affect our revenues and profitability when prescribers prescribe these drugs for their patients or they are mandated by Third-Party Payers.</w:t>
      </w:r>
    </w:p>
    <w:p>
      <w:pPr>
        <w:spacing w:after="0" w:line="132"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pharmaceutical industry pipeline of new drugs includes many drugs that over the long term may replace older, more expensive therapies. As a result of such older drugs losing patent protection and being replaced by generic substitutes, new and less expensive delivery methods (such as when an infusion or injectable drug is replaced with an oral drug) or additional products that are added to a therapeutic class, increase price competition among competing manufacturers’ products in that therapeutic category. We have experienced a decrease in revenue and net income as a result of the withdrawal from the market of a drug related to the treatment of pre-term labor and the introduction of an oral alternative drug related to the treatment of ALS. In such cases, manufacturers have the ability to increase drug acquisition costs or lower the selling price of replaced products. These actions could negatively impact our revenues and/or profitability.</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Failure to develop new services or adapt to changes and trends within the healthcare industry may adversely affect our business.</w:t>
      </w:r>
    </w:p>
    <w:p>
      <w:pPr>
        <w:spacing w:after="0" w:line="18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We operate in a highly competitive environment. We develop new services from time to time to assist our clients. If we are unsuccessful in developing innovative services, our ability to attract new clients and retain existing clients may suffer.</w:t>
      </w:r>
    </w:p>
    <w:p>
      <w:pPr>
        <w:spacing w:after="0" w:line="13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Technology, including the ability to capture and report outcomes, is also an important component of our business as we continue to utilize new and better channels to communicate and interact with our clients, members and business partners. If our competitors are more successful than us in employing new technology, our ability to attract new clients, retain existing clients and operate efficiently may suffer. Any significant shifts in the structure of the healthcare products and services industry in general could alter the industry dynamics and adversely affect our ability to attract or retain clients. Our failure to anticipate or appropriately adapt to changes in the industry could negatively impact our competitive position and adversely affect our business and results of operations.</w:t>
      </w:r>
    </w:p>
    <w:p>
      <w:pPr>
        <w:spacing w:after="0" w:line="143"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future business conditions could cause business investments and/or recorded goodwill to become impaired, and our financial condition and results of operations could suffer if there is an impairment of goodwill.</w:t>
      </w:r>
    </w:p>
    <w:p>
      <w:pPr>
        <w:spacing w:after="0" w:line="11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acquisitions resulted in significant goodwill reported on our financial statements. Goodwill results when the purchase price exceeds the fair value of the net identifiable tangible and intangible assets acquired. We may not realize the full value of this goodwill. As such, we evaluate on at least an annual basis whether events and circumstances indicate that all or some of the carrying value of goodwill is no longer recoverable, in which case we would recognize the unrecoverable goodwill as a charge against our earnings. The Company completes its goodwill impairment test annually in the fourth quarter on a qualitative basis. If the fair value is more likely than not less than the carrying value, a quantitative assessment would be performed. When evaluating goodwill for potential impairment on a quantitative basis, we compare the fair value of our reporting units to their respective carrying amounts. We estimate the fair value of our reporting units using the income approach. If the carrying amount of a reporting unit exceeds its estimated fair value, a goodwill impairment loss is recognized in an amount equal to the excess to the extent of the goodwill balance. The income approach requires us to estimate a number of factors for our reporting units, including projected future operating results, economic projections, anticipated future cash flows, and discount rates. The fair value determined using the income approach is then compared to marketplace fair value data from within a comparable industry grouping for reasonableness. Because of the significance of our goodwill, any future impairment could result in material non-cash charges to our results of operations, which could have an adverse effect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change in, or noncompliance with, governmental regulations and other legal requirements could have a material adverse effect on our reputation and profitability.</w:t>
      </w:r>
    </w:p>
    <w:p>
      <w:pPr>
        <w:spacing w:after="0" w:line="11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operate in complex, highly regulated environments and could be materially and adversely affected by changes to applicable legal requirements including the related interpretations and enforcement practices, new legal requirements and/or any failure to comply with applicable regulations. Our home infusion and alternate site infusion businesses are subject to numerous federal, state and local regulations including licensing and other requirements for pharmacies and reimbursement arrangements.</w:t>
      </w:r>
    </w:p>
    <w:p>
      <w:pPr>
        <w:spacing w:after="0" w:line="153"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federal and state statutes and regulations to which we are subject include, but are not limited to, laws requiring the registration and regulation of pharmacies; laws governing the dispensing of pharmaceuticals and controlled substances; laws regulating the protection of the environment and health and safety matters, including those governing exposure to, and the management and disposal of, hazardous substances; laws regarding food and drug safety, including those of the FDA and the DEA; applicable governmental payer regulations, including those applicable to Medicare and Medicaid; data privacy and security laws, including HIPAA and its associated regulations; federal and state fraud and abuse laws, including, but not limited to, the Anti-Kickback Statute and false claims laws; trade regulations, including those of the U.S. Federal Trade Commission (“FTC”), the U.S. Foreign Corrupt Practices Act (the “FCPA”) and similar anti-corruption laws in connection with the services provided by certain of our contractors; and consumer protection and safety laws, including those of the Consumer Product Safety Commission.</w:t>
      </w:r>
    </w:p>
    <w:p>
      <w:pPr>
        <w:spacing w:after="0" w:line="15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are required to hold valid DEA and state-level licenses, meet various security and operating standards and comply with federal and various state controlled substance acts and related regulations governing the sale, dispensing, disposal, holding and distribution of controlled substances. The DEA, the FDA and state regulatory authorities have broad enforcement powers, including the ability to seize or recall products and impose significant criminal, civil and administrative sanctions for violations of these laws and regulations.</w:t>
      </w:r>
    </w:p>
    <w:p>
      <w:pPr>
        <w:spacing w:after="0" w:line="13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use, disclose and otherwise process personally identifiable information, including health information, making us subject to HIPAA and other federal and state privacy and security regulations, and failure to comply with those regulations or to adequately secure the information we hold could result in significant liability or reputational harm and, in turn, could have a material adverse effect on our patient base and revenue.</w:t>
      </w:r>
    </w:p>
    <w:p>
      <w:pPr>
        <w:spacing w:after="0" w:line="14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are also governed by federal and state laws of general applicability, including laws regulating matters of working conditions, health and safety and equal employment opportunity and other labor and employment matters as well as employee benefits, competition, antitrust, taxation and escheatment matters. Material violations of any such laws could have a material adverse effect on our patient base and revenue. In addition, we could have significant exposure if we are found to have infringed another party’s intellectual property rights.</w:t>
      </w:r>
    </w:p>
    <w:p>
      <w:pPr>
        <w:spacing w:after="0" w:line="13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Changes in laws, regulations and policies and the related interpretations and enforcement practices may alter the landscape in which we do business and may significantly affect our cost of doing business, the impact of which generally cannot be predicted. Such changes may require extensive system and operational changes, be difficult to implement, increase our operating costs and require significant capital expenditures. Ultimately, our noncompliance with applicable laws and regulations could result in the imposition of civil and criminal penalties that could adversely affect the continued operation of our business, including: suspension of payments from government programs; loss of required government certifications; loss of authorizations to participate in or exclusion from government programs, including the Medicare and Medicaid programs; loss of licenses; and significant fines or monetary penalties. Any failure to comply with applicable regulatory requirements could result in significant legal and financial exposure, damage our reputation, and have a material adverse effect on our business operations, financial condition and results of operations.</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Federal actions and legislation may reduce reimbursement rates from governmental payers and adversely affect our results of operations.</w:t>
      </w:r>
    </w:p>
    <w:p>
      <w:pPr>
        <w:spacing w:after="0" w:line="202"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In recent years, Congress has passed legislation reducing payments to healthcare providers. The Budget Control Act of 2011, as amended, requires automatic spending reductions to reduce the federal deficit, including Medicare spending reductions of up to 2% per fiscal year that extend through 2027. The Center for Medicare &amp; Medicaid Services (“CMS”) began imposing a 2% reduction on Medicare claims on April 1, 2013. The Affordable Care Act provides for material reductions in the growth of Medicare program spending. The 21st Century Cures Act (the “Cures Act”) significantly reduced the amount paid by Medicare for drug costs, while delaying the implementation of a clinical services payment, although Congress also passed a temporary transitional service payment that took effect January 1, 2019. In addition, from time to time, CMS revises the reimbursement systems used to reimburse healthcare providers, which may result in reduced Medicare payments.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2023, 12% of our revenue was derived from reimbursement by direct federal and state programs such as Medicare and Medicaid. Reimbursement from these and other government programs is subject to statutory and regulatory requirements, administrative rulings, interpretations of policy, implementation of reimbursement procedures, retroactive payment adjustments, governmental funding restrictions and changes to or new legislation, all of which may materially affect the amount and timing of reimbursement payments to us. Changes to the way Medicare pays for our services, including mandatory payment reductions, such as sequestration, may reduce our revenue and profitability on services provided to Medicare patients and increase our working capital requirements. In addition, we are sensitive to possible changes in state Medicaid programs.</w:t>
      </w:r>
    </w:p>
    <w:p>
      <w:pPr>
        <w:spacing w:after="0" w:line="14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Because most states must operate with balanced budgets and because the Medicaid program is often a state’s largest program, some states have enacted or may consider enacting legislation designed to reduce their Medicaid expenditures. Further, many states have taken steps to reduce coverage and/or enroll Medicaid recipients in managed care programs. The current economic environment has increased the budgetary pressures on many states, and these budgetary pressures have resulted, and likely will continue to result, in decreased spending, or decreased spending growth, for Medicaid programs and the Children’s Health Insurance Program in many states.</w:t>
      </w:r>
    </w:p>
    <w:p>
      <w:pPr>
        <w:spacing w:after="0" w:line="156"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some cases, Third-Party Payers rely on all or portions of Medicare payment systems to determine payment rates. Changes to government healthcare programs that reduce payments under these programs may negatively impact payments from Third-Party Payers. Current or future healthcare reform and deficit reduction efforts, changes in other laws or regulations affecting government healthcare programs, changes in the administration of government healthcare programs and changes in payment rates by Third-Party Payers could have a material, adverse effect on our financial position and results of operations.</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Delays in reimbursement may adversely affect our liquidity, cash flows and results of operations.</w:t>
      </w:r>
    </w:p>
    <w:p>
      <w:pPr>
        <w:spacing w:after="0" w:line="18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reimbursement process for the services we provide is complex, resulting in delays between the time we bill for a service and receipt of payment that can be significant. Reimbursement and procedural issues often require us to resubmit claims multiple times and respond to multiple administrative requests before payment is remitted. The collection of accounts receivable is challenging and requires constant focus and involvement by management and ongoing enhancements to information systems and billing center operating procedures. While management believes that our controls and processes are satisfactory, there can be no assurance that collections of accounts receivable will continue at historical rates. The risks associated with Third-Party Payers and the inability to collect outstanding accounts receivable could have a material adverse effect on our liquidity, cash flows and results of operations.</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pricing pressures and other risks involved with Third-Party Payers.</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Competition to provide healthcare services, efforts by traditional Third-Party Payers to contain or reduce healthcare costs, and the increasing influence of managed care payers such as HMOs, has resulted in reduced rates of reimbursement for home infusion and specialty pharmacy services. Changes in reimbursement policies of governmental Third-Party Payers, including policies relating to Medicare, Medicaid and other federal and state funded programs, could reduce the amounts reimbursed to our customers for our products and, in turn, the amount these customers would be willing to pay for our products and services, or could directly reduce the amounts payable to us by such payers. Pricing pressures by Third-Party Payers may continue, and these trends may adversely affect our business.</w:t>
      </w:r>
    </w:p>
    <w:p>
      <w:pPr>
        <w:spacing w:after="0" w:line="14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Also, continued growth in managed care plans has pressured healthcare providers to find ways of becoming more cost competitive. MCOs have grown substantially in terms of the percentage of the population they cover and in terms of the portion of the healthcare economy they control. MCOs have continued to consolidate to enhance their ability to influence the delivery of healthcare services and to exert pressure to control healthcare costs. A rapid concentration of revenue derived from individual managed care payers could harm our business.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periodic reviews and billing audits by governmental and private payers, which could result in adverse findings that may negatively impact our business.</w:t>
      </w:r>
    </w:p>
    <w:p>
      <w:pPr>
        <w:spacing w:after="0" w:line="11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a result of our participation in the Medicare and Medicaid programs, we are subject to various governmental reviews and audits to verify our compliance with these programs and applicable laws and regulations. We also are subject to audits under various government programs in which third-party firms engaged by CMS conduct extensive reviews of claims data and medical and other records to identify potential improper payments under the Medicare program. Third-Party Payers may also conduct audits. Disputes with payers can arise from these reviews. Payers can claim that payments based on certain billing practices or billing errors were made incorrectly. If billing errors are identified in the sample of reviewed claims, the billing error can be extrapolated to all claims filed, which could result in a larger overpayment than originally identified in the sample of reviewed claims. Our costs to respond to and defend claims, reviews and audits may be significant and could have a material adverse effect on our business and financial condition, results of operations and cash flows. Moreover, an adverse claim, review or audit could result in:</w:t>
      </w:r>
    </w:p>
    <w:p>
      <w:pPr>
        <w:spacing w:after="0" w:line="16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refunding or retroactive adjustment of amounts we have been paid by governmental payers or Third-Party Payers;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or federal agencies imposing fines, penalties and other sanctions on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exclusion from the Medicare program, state programs, or one or more third-party payer networks;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business and reputation in various markets.</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results could have a material adverse effect on our business and financial condition, results of operations and cash flows.</w:t>
      </w:r>
    </w:p>
    <w:p>
      <w:pPr>
        <w:spacing w:after="0" w:line="181" w:lineRule="exact"/>
        <w:rPr>
          <w:sz w:val="20"/>
          <w:szCs w:val="20"/>
          <w:color w:val="auto"/>
        </w:rPr>
      </w:pPr>
    </w:p>
    <w:p>
      <w:pPr>
        <w:ind w:right="3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our pharmacies fail to comply with the conditions of participation in the Medicare program, that pharmacy could be terminated from Medicare, which could adversely affect our consolidated financial statements.</w:t>
      </w:r>
    </w:p>
    <w:p>
      <w:pPr>
        <w:spacing w:after="0" w:line="132"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Our pharmacies must comply with the extensive conditions of participation in the Medicare program. If a pharmacy fails to meet any of the Medicare supplier standards, that pharmacy could be terminated from the Medicare program. We respond in the ordinary course to deficiency notices issued by surveyors, and none of our pharmacies has ever been terminated from the Medicare program for failure to comply with the Medicare supplier standards. Any termination of one or more of our pharmacies from the Medicare program for failure to satisfy the Medicare supplier standards could adversely affect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the impact of changing requirements on compounding pharmacies.</w:t>
      </w:r>
    </w:p>
    <w:p>
      <w:pPr>
        <w:spacing w:after="0" w:line="189"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Compounding pharmacies are closely monitored by federal and state governmental agencies. We believe that our compounding is performed in safe environments, and we have clinically appropriate policies and procedures in place. We only compound pursuant to a patient-specific prescription and do so in compliance with USP 797 standards. The DQSA amended the FDCA to grant the FDA additional authority to regulate and monitor the manufacturing of compounded pharmaceutical drugs</w:t>
      </w:r>
      <w:r>
        <w:rPr>
          <w:rFonts w:ascii="Calibri" w:cs="Calibri" w:eastAsia="Calibri" w:hAnsi="Calibri"/>
          <w:sz w:val="19"/>
          <w:szCs w:val="19"/>
          <w:color w:val="auto"/>
        </w:rPr>
        <w:t>.</w:t>
      </w:r>
      <w:r>
        <w:rPr>
          <w:rFonts w:ascii="Times New Roman" w:cs="Times New Roman" w:eastAsia="Times New Roman" w:hAnsi="Times New Roman"/>
          <w:sz w:val="18"/>
          <w:szCs w:val="18"/>
          <w:color w:val="auto"/>
        </w:rPr>
        <w:t xml:space="preserve"> In 2013, Congress passed the DQSA, which creates a new category of compounding facilities called outsourcing facilities that are regulated by the FDA. The Company complies with all federal and state regulations, as well as all PCAB Accreditation Standards for Sterile and Non-Sterile Pharmacy Compounding, and pursues accreditation from quality associations. The Company believes it complies in all material respects with all applicable requirements of a non-outsourcing-facility pharmacy, as outlined in Section 503A of the FDCA. Title II of this measure, known as the Drug Supply Chain Security Act (“DSCSA”), established requirements in November 2013 to facilitate the tracing of prescription drug products through the pharmaceutical supply distribution chain. These requirements included a 10-year timeline culminating in the building of "an electronic, interoperable system to identify and trace certain prescription drugs as they are distributed in the United States.” The law’s track and trace requirements are applicable to manufacturers, wholesalers, repackagers and dispensers (e.g., pharmacies) of prescription drugs. The Company is currently materially compliant with the DSCSA provisions currently in effect. The Company also expects to be materially compliant with the additional provisions of DSCSA, which requires the electronic receipt and exchange of transaction information (with specific product identifiers for each package) and transaction statements, by the November 2023 effective date. These regulatory measures, future DSCSA regulatory measures and the potential for increased DSCSA enforcement by the FDA could increase pharmacy costs. Noncompliance with these regulations could have an adverse impact on our reputation and profitability.</w:t>
      </w:r>
    </w:p>
    <w:p>
      <w:pPr>
        <w:spacing w:after="0" w:line="15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do not believe that our current compounding practices qualify us as an outsourcing facility and, therefore, we continue to operate consistently with USP 797 standards and applicable state pharmacy laws. Should state regulators or the FDA disagree, or should our business practices change to qualify us as an outsourcing facility, there is risk of regulatory action and/or increased resources required to comply with federal requirements imposed pursuant to the DQSA on outsourcing facilities that could significantly increase our costs or otherwise affect our results of operations. Furthermore, we cannot predict the overall impact of increased scrutiny on compounding pharmacies.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Our Indebtedness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existing indebtedness could adversely affect our business and growth prospects.</w:t>
      </w:r>
    </w:p>
    <w:p>
      <w:pPr>
        <w:spacing w:after="0" w:line="20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As of December 31, 2023, we had $1,088.0 million of outstanding borrowings, including (i) $588.0 million under our First Lien Term Loan (as defined herein) and (ii) $500.0 million under our 4.375% Senior Unsecured Notes due 2029 (the “Senior Notes”). All obligations under the First Lien Term Loan are secured by first-priority perfected security interests in substantially all of our assets and the assets of our subsidiaries, subject to permitted liens and other exceptions. Our indebtedness, or any additional indebtedness we may incur, could require us to divert funds identified for other purposes for debt service and impair our liquidity position. If we cannot generate sufficient cash flow from operations to service our debt, we may need to refinance our debt, dispose of assets or issue equity to obtain necessary funds. We do not know whether we will be able to take any of these actions on a timely basis, on terms satisfactory to us or at all.</w:t>
      </w:r>
    </w:p>
    <w:p>
      <w:pPr>
        <w:spacing w:after="0" w:line="148"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Our indebtedness, the cash flow needed to satisfy our debt and the covenants contained in our credit agreements and indenture have important consequences, including but not limited to:</w:t>
      </w:r>
    </w:p>
    <w:p>
      <w:pPr>
        <w:spacing w:after="0" w:line="121" w:lineRule="exact"/>
        <w:rPr>
          <w:sz w:val="20"/>
          <w:szCs w:val="20"/>
          <w:color w:val="auto"/>
        </w:rPr>
      </w:pPr>
    </w:p>
    <w:p>
      <w:pPr>
        <w:ind w:left="660" w:right="40" w:hanging="328"/>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funds otherwise available for financing our capital expenditures by requiring us to dedicate a portion of our cash flows from operations to the repayment of debt and the interest on this debt;</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incur additional indebtedness;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capitalize on significant business opportunities;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us more vulnerable to rising interest rates;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us more vulnerable in the event of a downturn in our business.</w:t>
      </w:r>
    </w:p>
    <w:p>
      <w:pPr>
        <w:spacing w:after="0" w:line="180"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Our level of indebtedness may place us at a competitive disadvantage to our competitors that are not as highly leveraged. Fluctuations in interest rates can increase borrowing costs. Increases in interest rates may directly impact the amount of interest we are required to pay and reduce earnings accordingly. In addition, developments in tax policy, such as the disallowance of tax deductions for interest paid on outstanding indebtedness, could have an adverse effect on our liquidity and our business, financial condition and results of operations. Further, our credit agreements and indenture contain customary affirmative and negative covenants and certain restrictions on operations that could impose operating and financial limitations and restrictions on us, including restrictions on our ability to enter into particular transactions and to engage in other actions that we may believe are advisable or necessary for our business. Our First Lien Term Loan is also subject to mandatory prepayments in certain circumstances and requires a prepayment of a certain percentage of our excess cash flow. This excess cash flow payment, and future required prepayments, will reduce our cash available for investment in our business.</w:t>
      </w:r>
    </w:p>
    <w:p>
      <w:pPr>
        <w:spacing w:after="0" w:line="148" w:lineRule="exact"/>
        <w:rPr>
          <w:sz w:val="20"/>
          <w:szCs w:val="20"/>
          <w:color w:val="auto"/>
        </w:rPr>
      </w:pPr>
    </w:p>
    <w:p>
      <w:pPr>
        <w:ind w:right="600" w:firstLine="324"/>
        <w:spacing w:after="0" w:line="266" w:lineRule="auto"/>
        <w:rPr>
          <w:sz w:val="20"/>
          <w:szCs w:val="20"/>
          <w:color w:val="auto"/>
        </w:rPr>
      </w:pPr>
      <w:r>
        <w:rPr>
          <w:rFonts w:ascii="Times New Roman" w:cs="Times New Roman" w:eastAsia="Times New Roman" w:hAnsi="Times New Roman"/>
          <w:sz w:val="18"/>
          <w:szCs w:val="18"/>
          <w:color w:val="auto"/>
        </w:rPr>
        <w:t>We expect to use cash flow from operations to meet current and future financial obligations, including funding our operations, debt service requirements and capital expenditures. The ability to make these payments depends on our financial and operating performance, which is subject to prevailing economic, industry and competitive conditions and to certain financial, business, economic and other factors beyond our control.</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Despite our indebtedness, we may still incur significantly more debt, which could exacerbate the risks associated with our substantial leverage.</w:t>
      </w:r>
    </w:p>
    <w:p>
      <w:pPr>
        <w:spacing w:after="0" w:line="20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may incur additional indebtedness, including additional secured indebtedness, in the future, in connection with future acquisitions, strategic investments and strategic relationships. Although the financing documents governing our indebtedness contain covenants and restrictions on the incurrence of additional debt, these restrictions are subject to a number of qualifications and exceptions and, under certain circumstances, debt incurred in compliance with these restrictions, including secured debt, could be substantial. Adding additional debt to current debt levels could exacerbate the leverage-related risks described above.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6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flow to service all of our indebtedness and may be forced to take other actions to satisfy our obligations under such indebtedness, which may not be successful.</w:t>
      </w:r>
    </w:p>
    <w:p>
      <w:pPr>
        <w:spacing w:after="0" w:line="11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ability to make scheduled payments or to refinance outstanding debt obligations depends on our financial and operating performance, which will be affected by prevailing economic, industry and competitive conditions and by financial, business and other factors beyond our control. We may not be able to maintain a sufficient level of cash flow from operating activities to permit us to pay the principal, premium, if any, and interest on our indebtedness. Any failure to make payments of interest and principal on our outstanding indebtedness on a timely basis would likely result in a reduction of our credit rating, which would also harm our ability to incur additional indebtedness.</w:t>
      </w:r>
    </w:p>
    <w:p>
      <w:pPr>
        <w:spacing w:after="0" w:line="15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If our cash flow and capital resources are insufficient to fund our debt service obligations, we may be required to reduce or delay capital expenditures, sell assets, seek additional capital or seek to restructure or refinance our indebtedness. Any refinancing of our indebtedness could be at higher interest rates and may require us to comply with more onerous covenants. These alternative measures may not be successful and may not permit us to meet our scheduled debt service obligations. In the absence of such cash flow and resources, we could face substantial liquidity problems and might be required to sell material assets or operations to attempt to meet our debt service obligations. The financing documents governing our First Lien Term Loan, Revolver Facility (as defined herein) and our Senior Notes restrict our ability to conduct asset sales and/or use the proceeds from asset sales. We may not be able to consummate these asset sales to raise capital or sell assets at prices and on terms that we believe are fair and any proceeds that we do receive may not be adequate to meet any debt service obligations then due. If we cannot meet our debt service obligations, the holders of our indebtedness may accelerate such indebtedness and, to the extent such indebtedness is secured, foreclose on our assets. In such an event, we may not have sufficient assets to repay all of our indebtedness.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Our Common Stock</w:t>
      </w:r>
    </w:p>
    <w:p>
      <w:pPr>
        <w:spacing w:after="0" w:line="185"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our corporate governance documents could make an acquisition of us more difficult and may prevent attempts by our stockholders to replace or remove our current management, even if beneficial to our stockholders.</w:t>
      </w:r>
    </w:p>
    <w:p>
      <w:pPr>
        <w:spacing w:after="0" w:line="13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Our third amended and restated certificate of incorporation contains provisions that could make it more difficult for a third party to acquire us, even if doing so might be beneficial to our stockholders. Among other things, these provisions:</w:t>
      </w:r>
    </w:p>
    <w:p>
      <w:pPr>
        <w:spacing w:after="0" w:line="121" w:lineRule="exact"/>
        <w:rPr>
          <w:sz w:val="20"/>
          <w:szCs w:val="20"/>
          <w:color w:val="auto"/>
        </w:rPr>
      </w:pPr>
    </w:p>
    <w:p>
      <w:pPr>
        <w:jc w:val="both"/>
        <w:ind w:left="660" w:right="140" w:hanging="328"/>
        <w:spacing w:after="0" w:line="257"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us to authorize the issuance of undesignated preferred stock, the terms of which may be established and the shares of which may be issued without stockholder approval, and which may include supermajority voting, special approval, dividend, or other rights or preferences superior to the rights of stockholders;</w:t>
      </w:r>
    </w:p>
    <w:p>
      <w:pPr>
        <w:spacing w:after="0" w:line="1" w:lineRule="exact"/>
        <w:rPr>
          <w:rFonts w:ascii="Times New Roman" w:cs="Times New Roman" w:eastAsia="Times New Roman" w:hAnsi="Times New Roman"/>
          <w:sz w:val="18"/>
          <w:szCs w:val="18"/>
          <w:color w:val="auto"/>
        </w:rPr>
      </w:pPr>
    </w:p>
    <w:p>
      <w:pPr>
        <w:ind w:left="660" w:right="10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be removed with or without cause only by the affirmative vote of holders of at least 66 2∕3% of the voting power of all the then-outstanding shares of our stock entitled to vote thereon, voting together as a single class;</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and</w:t>
      </w:r>
    </w:p>
    <w:p>
      <w:pPr>
        <w:spacing w:after="0" w:line="9" w:lineRule="exact"/>
        <w:rPr>
          <w:rFonts w:ascii="Times New Roman" w:cs="Times New Roman" w:eastAsia="Times New Roman" w:hAnsi="Times New Roman"/>
          <w:sz w:val="18"/>
          <w:szCs w:val="18"/>
          <w:color w:val="auto"/>
        </w:rPr>
      </w:pPr>
    </w:p>
    <w:p>
      <w:pPr>
        <w:jc w:val="both"/>
        <w:ind w:left="660" w:right="440" w:hanging="328"/>
        <w:spacing w:after="0" w:line="255"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any amendment, alteration, rescission or repeal of our bylaws or certificate of incorporation by our stockholders will require the affirmative vote of the holders of at least 66 2∕3% of the voting power of all the then-outstanding shares of our stock entitled to vote thereon, voting together as a single class.</w:t>
      </w:r>
    </w:p>
    <w:p>
      <w:pPr>
        <w:spacing w:after="0" w:line="145"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These and other provisions in our certificate of incorporation, bylaws and Delaware law could make it more difficult for shareholders or potential acquirers to obtain control of our Board of Directors or initiate actions that are opposed by our then-current Board, including delay or impede a merger, tender offer or proxy contest involving the Company. The existence of these provisions could negatively affect the price of our common stock and limit opportunities to realize value in a corporate transaction.</w:t>
      </w:r>
    </w:p>
    <w:p>
      <w:pPr>
        <w:spacing w:after="0" w:line="153"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Moreover, Section 203 of the Delaware General Corporation Law (“DGCL”) may discourage, delay, or prevent a change of control of the Company. Section 203 of the DGCL imposes certain restrictions on mergers, business combinations, and other transactions between us and holders of 15% or more of our common stock.</w:t>
      </w:r>
    </w:p>
    <w:p>
      <w:pPr>
        <w:spacing w:after="0" w:line="131" w:lineRule="exact"/>
        <w:rPr>
          <w:sz w:val="20"/>
          <w:szCs w:val="20"/>
          <w:color w:val="auto"/>
        </w:rPr>
      </w:pPr>
    </w:p>
    <w:p>
      <w:pPr>
        <w:jc w:val="both"/>
        <w:ind w:right="8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third amended and restated certificate of incorporation designates the Court of Chancery of the State of Delaware as the exclusive forum for certain litigation that may be initiated by our stockholders, which could limit our stockholders’ ability to obtain a favorable judicial forum for disputes with us.</w:t>
      </w:r>
    </w:p>
    <w:p>
      <w:pPr>
        <w:spacing w:after="0" w:line="134"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Pursuant to our third amended and restated certificate of incorporation, unless we consent in writing to the selection of an alternative forum, the Court of Chancery of the State of Delaware will be the sole and exclusive forum for (i) any derivative action or proceeding brought on our behalf, (ii) any action asserting a claim of breach of a fiduciary duty owed by any of our directors, officers, employees and stockholders to us or our stockholders, (iii) any action asserting a claim against us arising pursuant to any provision of the DGCL or as to which the DGCL confers jurisdiction on the Court of Chancery of the State of Delaware, our third amended and restated certificate of incorporation or our bylaws or (iv) any other action asserting a claim against us that is governed by the internal affairs doctrine; provided that, for the avoidance of doubt, the forum selection provision that identifies the Court of Chancery of the State of Delaware as the exclusive forum for certain litigation, including any “derivative action”, will not apply to suits to enforce a duty or liability created by the Exchange Act or any other claim for which the federal courts have exclusive jurisdiction. Our third amended and restated certificate of incorporation will further provide that any person or entity purchasing or otherwise acquiring any interest in shares of our capital stock is deemed to have notice of and consented to the provisions of our third amended and restated certificate of incorporation described above. The forum selection clause in our third amended and restated certificate of incorporation may have the effect of discouraging lawsuits against us or our directors and officers and may limit our stockholders’ ability to obtain a favorable judicial forum for disputes with us.</w:t>
      </w:r>
    </w:p>
    <w:p>
      <w:pPr>
        <w:spacing w:after="0" w:line="159" w:lineRule="exact"/>
        <w:rPr>
          <w:sz w:val="20"/>
          <w:szCs w:val="20"/>
          <w:color w:val="auto"/>
        </w:rPr>
      </w:pPr>
    </w:p>
    <w:p>
      <w:pPr>
        <w:ind w:right="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issue shares of preferred stock in the future, which could make it difficult for another company to acquire us or could otherwise adversely affect holders of our common stock, which could depress the price of our common stock.</w:t>
      </w:r>
    </w:p>
    <w:p>
      <w:pPr>
        <w:spacing w:after="0" w:line="118"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Our third amended and restated certificate of incorporation authorizes us to issue one or more series of preferred stock. Our Board of Directors has the authority to determine the preferences, limitations and relative rights of the shares of preferred stock and to fix the number of shares constituting any series and the designation of such series, without any further vote or action by our stockholders. Our preferred stock could be issued with voting, liquidation, dividend and other rights superior to the rights of our common stock. The potential issuance of preferred stock may delay or prevent a change in control, discouraging bids for our common stock at a premium to the market price, and materially and adversely affecting the market price and the voting and other rights of the holders of our common stock.</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cannot guarantee that our stock repurchase program will be fully implemented or that it will enhance long-term stockholder value.</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cannot guarantee that our stock repurchase program will be fully implemented or that it will enhance long-term stockholder value. In February 2023, the Board of Directors approved a new stock repurchase program authorizing the repurchase of up to $250 million of our common stock. In December 2023, the Board of Directors approved an increase to its stock repurchase program authorization from $250 million to $500 million. The repurchase program does not have an expiration date, and we are not obligated to repurchase a specified number or dollar value of shares, on any particular timetable or at all. There can be no assurance that we will repurchase stock at favorable prices. The repurchase program may be suspended or terminated at any time and, even if fully implemented, may not enhance long-term stockholder value.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Risk Factors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Pending and future litigation could subject us to significant monetary damages and/or require us to change our business practices.</w:t>
      </w:r>
    </w:p>
    <w:p>
      <w:pPr>
        <w:spacing w:after="0" w:line="202"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We employ pharmacists, dieticians, nurses and other healthcare professionals. We are subject to liability for negligent acts, omissions, or injuries occurring at any of our clinics or caused by any of our employees. We are subject to risks relating to asserted claims, litigation and other proceedings in connection with our operations. We are facing, or may face, claims or become a party to a variety of legal actions that affect our business, including breach of contract actions, employment and employment discrimination-related suits, employee benefit claims, stockholder suits and other securities laws claims, and tort claims. Due to the nature of our business, we, through our employees and caregivers who provide services on our behalf, may be the subject of medical malpractice claims. A court could find these individuals should be considered our agents, and as a result, we could be held liable for their acts or omissions.</w:t>
      </w:r>
    </w:p>
    <w:p>
      <w:pPr>
        <w:spacing w:after="0" w:line="148"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 xml:space="preserve">We may incur substantial expenses in defending such claims or litigation, regardless of merit, and such claims or litigation could result in a significant diversion of the efforts of our management personnel. Successful claims against us may result in monetary liability or a material disruption in the conduct of our business. Similarly, if we settle such legal proceedings, it may affect how we operate our business. See Note 14,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of the consolidated financial statements included in Item 8 of this Annual Report for a description of material proceedings pending against the Company. We believe that these proceedings are without merit and, to the extent they are not already concluded, we intend to contest them vigorously. However, an adverse outcome in one or more of these proceedings may have a material adverse effect on our consolidated results of operations, consolidated financial position, and/or consolidated cash flow from operations, or may require us to make material changes to our business practices.</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liability claims for damages and other expenses that are not covered by insurance.</w:t>
      </w:r>
    </w:p>
    <w:p>
      <w:pPr>
        <w:spacing w:after="0" w:line="202"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As a result of operating in the home infusion industry, our business is subject to inherent risk of claims, losses and potential lawsuits alleging incidents involving our employees that are likely to occur in a patient’s home. We maintain professional liability insurance to provide coverage to us and our subsidiaries against these risks. A successful product or professional liability claim in excess of our insurance coverage could harm our consolidated financial statements. Various aspects of our business may subject us to litigation and liability for damages. For example, a prescription drug dispensing error could result in a patient receiving the wrong or incorrect amount of medication, leading to personal injury or death. Our business and consolidated financial statements could suffer if we pay damages or defense costs in connection with a claim that is outside the scope of any applicable contractual indemnity or insurance coverage.</w:t>
      </w:r>
    </w:p>
    <w:p>
      <w:pPr>
        <w:spacing w:after="0" w:line="14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insurance coverage also includes property liability, cyber liability, clinical trials liability, crime liability, auto liability, workers’ compensation, employers’ liability, executive liability policies (employment practices liability, fiduciary liability, directors’ and officers’ liability), umbrella/excess liability and general liability with varying limits. We cannot assure that the insurance we maintain will satisfy claims made against us or that insurance coverage will continue to be available to us at commercially reasonable rates, in adequate amounts or on satisfactory terms or at all. Claims made against us will be subject to the terms, conditions and exclusions of the insurance policies we maintain. Any claims made against us, regardless of their merit or eventual outcome, could damage our reputation and business.</w:t>
      </w:r>
    </w:p>
    <w:p>
      <w:pPr>
        <w:spacing w:after="0" w:line="147"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Our insurance coverage also includes fire, property damage and general liability with varying limits. We cannot assure that the insurance we maintain will satisfy claims made against us or that insurance coverage will continue to be available to us at commercially reasonable rates, in adequate amounts or on satisfactory terms. Any claims made against us, regardless of their merit or eventual outcome, could damage our reputation and business.</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Pressures relating to downturns in the economy could adversely affect our business and consolidated financial statements.</w:t>
      </w:r>
    </w:p>
    <w:p>
      <w:pPr>
        <w:spacing w:after="0" w:line="18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Medicare and other federal and state payers account for a portion of our revenues. During economic downturns and periods of stagnant or slow economic growth, federal and state budgets are typically negatively affected, resulting in reduced reimbursements or delayed payments by the federal and state government healthcare coverage programs in which we participate, including Medicare, Medicaid, and other federal or state assistance plans. Government programs could also slow or temporarily suspend payments, negatively impacting our cash flow and increasing our working capital needs and interest payments. We have seen, and believe we will continue to see, Medicare and state Medicaid programs institute measures aimed at controlling spending growth, including reductions in reimbursement rates.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Higher unemployment rates and significant employment layoffs and downsizings may lead to lower numbers of patients enrolled in employer-provided plans. Adverse economic conditions could also cause employers to stop offering, or limit, healthcare coverage, or modify program designs, shifting more costs to the individual and exposing us to greater credit risk from patients or the discontinuance of therapy.</w:t>
      </w:r>
    </w:p>
    <w:p>
      <w:pPr>
        <w:spacing w:after="0" w:line="135"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general levels of inflation and specific inflationary pressures that we have experienced in areas such as labor, transportation and medical supplies may continue to persist due to events outside of our control, for example, the COVID-19 pandemic and other potential pandemic events, supply chain disruptions, and the broader macro-economic environment. The sustained or continued rise of inflation may adversely impact our business operations, financial condition and results of operations.</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Acquisitions, strategic investments and strategic relationships involve certain risks.</w:t>
      </w:r>
    </w:p>
    <w:p>
      <w:pPr>
        <w:spacing w:after="0" w:line="18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may pursue acquisitions of strategic investments in, or strategic relationships with businesses and technologies. Acquisitions may entail numerous risks, including difficulties in assessing values for acquired businesses, intangible assets and technologies, difficulties in the assimilation of acquired operations and products, diversion of management’s attention from other business concerns, assumption of unknown material liabilities of acquired companies, amortization of acquired intangible assets that could reduce future reported earnings, and potential loss of clients or key employees of acquired companies. We may not be able to successfully fully integrate the operations, personnel, services or products that we have acquired or may acquire in the future. Strategic investments may also entail some of the risks described above. If these investments are unsuccessful, we may need to incur charges against earnings.</w:t>
      </w:r>
    </w:p>
    <w:p>
      <w:pPr>
        <w:spacing w:after="0" w:line="14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may also pursue a number of strategic relationships. These relationships may be important to our business and growth prospects. However, we may not be able to maintain these relationships or develop new strategic alliances.</w:t>
      </w:r>
    </w:p>
    <w:p>
      <w:pPr>
        <w:spacing w:after="0" w:line="131" w:lineRule="exact"/>
        <w:rPr>
          <w:sz w:val="20"/>
          <w:szCs w:val="20"/>
          <w:color w:val="auto"/>
        </w:rPr>
      </w:pPr>
    </w:p>
    <w:p>
      <w:pPr>
        <w:ind w:right="1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Cybersecurity risks could compromise our information and expose us to liability, which may harm our ability to operate effectively and may cause harm to our business and reputation.</w:t>
      </w:r>
    </w:p>
    <w:p>
      <w:pPr>
        <w:spacing w:after="0" w:line="11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Cybersecurity refers to the combination of technologies, processes and procedures established to protect information technology systems and data from unauthorized access, attack, or damage. The Company relies on its information systems to provide security for processing, transmitting, and storing confidential information about patients, customers, and personnel, such as names, addresses and other individually identifiable information protected by HIPAA and other privacy laws. Cyber incidents can result from deliberate attacks or unintentional events. The regulatory environment surrounding information security and privacy is increasingly demanding, with the frequent imposition of new and changing requirements. Compliance with changes in privacy and information security laws and with rapidly evolving industry standards may result in the Company incurring significant expense due to increased investment in technology and the development of new operational processes.</w:t>
      </w:r>
    </w:p>
    <w:p>
      <w:pPr>
        <w:spacing w:after="0" w:line="148"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have not experienced any known attacks on our information technology systems that compromised any confidential information. We maintain our information technology systems with safeguard protections against cyber-attacks including passive intrusion protection, firewalls and virus detection software. In addition, we provide our employees with extensive training on best ways to protect our patient information, including, among others, avoiding phishing emails and sharing access to sensitive information on a need-only basis. However, these safeguards do not ensure that a significant cyber-attack could not occur. Although we have taken steps to protect the security of our information technology systems and the data maintained in those systems, it is possible that our safety and security measures will not prevent the systems’ improper functioning or damage or the improper access or disclosure of personal health information or personally identifiable information such as in the event of cyber-attacks.</w:t>
      </w:r>
    </w:p>
    <w:p>
      <w:pPr>
        <w:spacing w:after="0" w:line="162"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Security breaches, including physical or electronic break-ins, computer viruses, attacks by hackers and similar breaches can create system disruptions or shutdowns or the unauthorized use or disclosure of confidential information. If personal information or protected health information is improperly accessed, tampered with or disclosed as a result of a security breach, we may incur significant costs to notify, and mitigate potential harm to the affected individuals, and we may be subject to sanctions and civil or criminal penalties if we are found to be in violation of the privacy or security rules under HIPAA or other federal or state laws protecting confidential personal information. In addition, a security breach of our information technology systems could damage our reputation, subject us to liability claims or regulatory penalties for compromised personal information and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dependent on the services provided by third-party information technology vendors.</w:t>
      </w:r>
    </w:p>
    <w:p>
      <w:pPr>
        <w:spacing w:after="0" w:line="18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Our information technology infrastructure includes hosting services provided by third parties. While we believe these third parties are high-performing organizations with secure platforms and customary certifications, they could suffer a security breach or business interruption, which in turn could impact our operations negatively. In addition, changes in pricing terms charged by our technology vendors may adversely affect our financial performance.</w:t>
      </w:r>
    </w:p>
    <w:p>
      <w:pPr>
        <w:spacing w:after="0" w:line="145" w:lineRule="exact"/>
        <w:rPr>
          <w:sz w:val="20"/>
          <w:szCs w:val="20"/>
          <w:color w:val="auto"/>
        </w:rPr>
      </w:pPr>
    </w:p>
    <w:p>
      <w:pPr>
        <w:ind w:right="6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and may continue to expand our use of, machine learning and artificial intelligence (“AI”) technologies to deliver our services and operate our business.</w:t>
      </w:r>
    </w:p>
    <w:p>
      <w:pPr>
        <w:spacing w:after="0" w:line="118"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If we fail to successfully integrate AI into our platform and business processes, or if we fail to keep pace with rapidly evolving AI technological developments, including attracting and retaining talented AI developers and programmers, we may face a competitive disadvantage. At the same time, the use or offering of AI technologies may result in new or expanded risks and liabilities, including enhanced government or regulatory scrutiny, litigation, compliance issues, ethical concerns, confidentiality, reputational harm and security risks. It is not possible to predict all of the risks related to the use of AI and changes in laws, rules, directives, and regulations governing the use of AI may adversely affect our ability to develop and use AI or subject us to legal liability. The cost of complying with laws and regulations governing AI could be significant and would increase our operating expenses, which could adversely affect our business, financial condition and results of operations. Further, market demand and acceptance of AI technologies are uncertain, and we may be unsuccessful in efforts to further incorporate AI into our processes.</w:t>
      </w:r>
    </w:p>
    <w:p>
      <w:pPr>
        <w:spacing w:after="0" w:line="147" w:lineRule="exact"/>
        <w:rPr>
          <w:sz w:val="20"/>
          <w:szCs w:val="20"/>
          <w:color w:val="auto"/>
        </w:rPr>
      </w:pPr>
    </w:p>
    <w:p>
      <w:pPr>
        <w:ind w:right="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effective internal control over our financial reporting could have an adverse effect on our ability to report our financial results on a timely and accurate basis.</w:t>
      </w:r>
    </w:p>
    <w:p>
      <w:pPr>
        <w:spacing w:after="0" w:line="13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Exchange Act, and is required to evaluate the effectiveness of these controls and procedures on a periodic basis and publicly disclose the results of these evaluations and related matters in accordance with the requirements of Section 404 of the Sarbanes-Oxley Act of 2002. Effective internal control over financial reporting is necessary for us to provide reliable financial reports, to help mitigate the risk of fraud and to operate successfully. Any failure to implement and maintain effective internal controls could result in material weaknesses or material misstatements in our consolidated financial statements.</w:t>
      </w:r>
    </w:p>
    <w:p>
      <w:pPr>
        <w:spacing w:after="0" w:line="143"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If we fail to maintain effective internal control over financial reporting, or our independent registered public accounting firm is unable to provide us with an unqualified attestation report on our internal control, we may be required to take corrective measures or restate the affected historical financial statements. In addition, we may be subjected to investigations and/or sanctions by federal and state securities regulators and/or civil lawsuits by security holders. Any of the foregoing could also cause investors to lose confidence in our reported financial information and in us and would likely result in a decline in the market price of our stock and in our ability to raise additional financing if needed in the future.</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Acts of God, such as major weather disturbances, could disrupt our business.</w:t>
      </w:r>
    </w:p>
    <w:p>
      <w:pPr>
        <w:spacing w:after="0" w:line="20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operate in a network of prescribers, providers, patients and facilities that can be negatively impacted by local weather disturbances and other force majeure events. For example, in anticipation of major weather events, patients with impaired health may be moved to alternate sites. After a major weather event, availability of electricity, clean water and transportation can impact our ability to provide service in patients’ homes. Similarly, such events could impact key suppliers or vendors, disrupting the services or materials they provide to us. Climate change, or legal, regulatory or market measures to address climate change, could adversely affect our business and results of operations. In addition, acts of God and other force majeure events may cause a reduction in our business or increased costs, such as increased costs in our operations as we incur overtime charges or redirect services to other locations, delays in our ability to work with payers, hospitals, physicians and other strategic partners on new business initiatives, and disruption to referral patterns as patients are moved out of facilities affected by such events or are unable to return to sites of service in patients’ homes.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8"/>
          <w:szCs w:val="18"/>
          <w:b w:val="1"/>
          <w:bCs w:val="1"/>
          <w:i w:val="1"/>
          <w:iCs w:val="1"/>
          <w:color w:val="auto"/>
        </w:rPr>
        <w:t>Cybersecurity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8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have developed and implemented a cybersecurity framework designed to evaluate, identify and manage risks stemming from threats to the security of our information, systems and network using a risk-based approach. The framework is informed, in part, by the National Institute of Standards and Technology (NIST) Cybersecurity Framework, although this does not necessarily mean that we meet all technical standards, specifications or requirements outlined in the NIST framework. Additionally, we maintain a Systems and Organization Controls (SOC) 2 Type 2 attestation.</w:t>
      </w:r>
    </w:p>
    <w:p>
      <w:pPr>
        <w:spacing w:after="0" w:line="153"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Our goal is to maintain an information technology infrastructure that implements physical, administrative, and technical controls. These controls are adjusted based on risk and designed to protect the confidentiality, integrity, and availability of our information systems, including the customer information, personal information and proprietary information stored on our networks.</w:t>
      </w:r>
    </w:p>
    <w:p>
      <w:pPr>
        <w:spacing w:after="0" w:line="135"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We have a cybersecurity incident response plan and dedicated teams to respond to cybersecurity incidents. When a cybersecurity incident occurs, we have cross-functional teams that are responsible for leading the initial assessment of priority and severity. Our information security team assists in taking any remedial action in response to an incident, and external experts may also be engaged as appropriate.</w:t>
      </w:r>
    </w:p>
    <w:p>
      <w:pPr>
        <w:spacing w:after="0" w:line="13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overarching approach to cybersecurity risk management centers on governance, people, processes, and technology. We provide security awareness training to help employees understand their information protection and cybersecurity responsibilities. This includes mandatory annual cybersecurity training and monthly phishing simulations. We also perform periodic tabletops or simulation exercises involving technical experts and business and functional leaders.</w:t>
      </w:r>
    </w:p>
    <w:p>
      <w:pPr>
        <w:spacing w:after="0" w:line="153"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We conduct third party assessments of potential new vendors who process, store or transmit our data, which include a formal security review. This can include the review of documentation related to a vendor’s security attestations, such as SOC 2 Type 2 or HITRUST certifications.</w:t>
      </w:r>
    </w:p>
    <w:p>
      <w:pPr>
        <w:spacing w:after="0" w:line="121"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We leverage third party cybersecurity companies to periodically assess our cybersecurity program and procedures and reaffirm our compliance with SOC 2 standards. These assessments aid in continual improvement and help us identify and address risks from cybersecurity threats.</w:t>
      </w:r>
    </w:p>
    <w:p>
      <w:pPr>
        <w:spacing w:after="0" w:line="121" w:lineRule="exact"/>
        <w:rPr>
          <w:sz w:val="20"/>
          <w:szCs w:val="20"/>
          <w:color w:val="auto"/>
        </w:rPr>
      </w:pPr>
    </w:p>
    <w:p>
      <w:pPr>
        <w:jc w:val="both"/>
        <w:ind w:right="180" w:firstLine="324"/>
        <w:spacing w:after="0" w:line="289" w:lineRule="auto"/>
        <w:rPr>
          <w:sz w:val="20"/>
          <w:szCs w:val="20"/>
          <w:color w:val="auto"/>
        </w:rPr>
      </w:pPr>
      <w:r>
        <w:rPr>
          <w:rFonts w:ascii="Times New Roman" w:cs="Times New Roman" w:eastAsia="Times New Roman" w:hAnsi="Times New Roman"/>
          <w:sz w:val="17"/>
          <w:szCs w:val="17"/>
          <w:color w:val="auto"/>
        </w:rPr>
        <w:t>We also consider cybersecurity, along with our other top risks, within our enterprise risk management framework. This framework involves internal reporting at the business and enterprise levels, considering key risk indicators, trends and countermeasures. Our Senior Vice President, Chief Information Security Officer (CISO) serves on the Enterprise Risk Committee that assesses our enterprise-wide risks and oversees risk mitigation activities.</w:t>
      </w:r>
    </w:p>
    <w:p>
      <w:pPr>
        <w:spacing w:after="0" w:line="131"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have not identified risks from known cybersecurity threats, including as a result of any prior cybersecurity incidents, that have materially affected us or our results of operations, cash flow or financial condition. However, the scope and impact of any future incident, or the identification of new information related to prior cybersecurity incidents, cannot be predicted. See “Item 1A. Risk Factors” for more information about our cybersecurity-related risks.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89"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The Quality and Compliance Committee of our Board of Directors provides board-level oversight of cybersecurity risk. As part of its oversight role, the Quality and Compliance Committee receives reports about our practices, programs, or notable threats or incidents related to cybersecurity throughout the year, including through periodic updates from our CISO and other leaders. The Quality and Compliance Committee provides regular reports to the full Board about these matters and other areas within its responsibility, and the CISO and other leaders provide updates regarding cybersecurity matters to the full Board as appropriate.</w:t>
      </w:r>
    </w:p>
    <w:p>
      <w:pPr>
        <w:spacing w:after="0" w:line="15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CISO reports to our Chief Information Officer and leads our overall cybersecurity function. Our CISO has over 20 years of experience in various security roles, which include managing information security, development cybersecurity strategy, and implementing cybersecurity programs. Our CISO collaborates with senior leaders and other members of our organization to identify and analyze cybersecurity risks and implement controls as appropriate and feasible to mitigate these risks. The CISO also supervises efforts to prevent, detect, mitigate and remediate cybersecurity risks and incidents through various means, including by collaborating with internal and external stakeholders. Our CISO is supported by a management-led Security Council, which consists of our Chief Executive Officer, Chief Financial Officer and other senior leaders throughout our organization, and which reviews and discusses our cybersecurity program as well as emerging cyber risks, threats, and industry trends, among other topics.</w:t>
      </w:r>
    </w:p>
    <w:p>
      <w:pPr>
        <w:spacing w:after="0" w:line="14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i w:val="1"/>
          <w:iCs w:val="1"/>
          <w:color w:val="auto"/>
        </w:rPr>
        <w:t>Properties</w:t>
      </w:r>
    </w:p>
    <w:p>
      <w:pPr>
        <w:spacing w:after="0" w:line="18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currently lease all of our properties from third parties under various lease terms expiring over periods extending through 2038, in addition to a number of non-material month-to-month leases. Our corporate headquarters is located at 3000 Lakeside Drive, Suite 300N, Bannockburn, IL 60015. Our other properties mainly consist of infusion pharmacies equipped with clean room and compounding capabilities. Some infusion pharmacies are co-located with an ambulatory infusion center where patients receive infusion treatments. As of December 31, 2023, we have 93 pharmacies and 84 stand-alone ambulatory infusion suites that support our infusion services business in 43 states.</w:t>
      </w:r>
    </w:p>
    <w:p>
      <w:pPr>
        <w:spacing w:after="0" w:line="1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187" w:lineRule="exact"/>
        <w:rPr>
          <w:sz w:val="20"/>
          <w:szCs w:val="20"/>
          <w:color w:val="auto"/>
        </w:rPr>
      </w:pPr>
    </w:p>
    <w:p>
      <w:pPr>
        <w:ind w:right="440" w:firstLine="328"/>
        <w:spacing w:after="0" w:line="284" w:lineRule="auto"/>
        <w:rPr>
          <w:sz w:val="20"/>
          <w:szCs w:val="20"/>
          <w:color w:val="auto"/>
        </w:rPr>
      </w:pPr>
      <w:r>
        <w:rPr>
          <w:rFonts w:ascii="Times New Roman" w:cs="Times New Roman" w:eastAsia="Times New Roman" w:hAnsi="Times New Roman"/>
          <w:sz w:val="18"/>
          <w:szCs w:val="18"/>
          <w:color w:val="auto"/>
        </w:rPr>
        <w:t xml:space="preserve">For a summary of material legal proceedings, if any, refer to Note 14,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of the consolidated financial statements included in Item 8 of this Annual Report.</w:t>
      </w:r>
    </w:p>
    <w:p>
      <w:pPr>
        <w:spacing w:after="0" w:line="11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Item not applicable.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Market for Registrant’s Common Equity, Related Stockholder Matters and Issuer Purchases of Equity Securities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par value $0.0001 per share, is traded on the Nasdaq Global Select Market under the symbol “OPCH”.</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February 19, 2024, there were 96 stockholders of record of our Common Stock.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never paid cash dividends on our Common Stock and do not anticipate doing so in the foreseeable future.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Item 12. “Security Ownership of Certain Beneficial Owners and Management and Related Stockholder Matters” of this Annual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 of Unregistered Securities and Use of Proceeds</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8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On February 20, 2023, the Company’s Board of Directors approved a share repurchase program of up to an aggregate $250.0 million of common stock of the Company. On December 6, 2023, the Company’s Board of Directors approved an increase to its stock repurchase program authorization from $250.0 million to $500 million. This program has no specified expiration date.</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certain information with respect to the Company’s repurchases of common stock from October 1, 2023 through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00" w:type="dxa"/>
            <w:vAlign w:val="bottom"/>
          </w:tcPr>
          <w:p>
            <w:pPr>
              <w:spacing w:after="0"/>
              <w:rPr>
                <w:sz w:val="16"/>
                <w:szCs w:val="16"/>
                <w:color w:val="auto"/>
              </w:rPr>
            </w:pPr>
          </w:p>
        </w:tc>
        <w:tc>
          <w:tcPr>
            <w:tcW w:w="16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Approximate Dollar</w:t>
            </w:r>
          </w:p>
        </w:tc>
        <w:tc>
          <w:tcPr>
            <w:tcW w:w="0" w:type="dxa"/>
            <w:vAlign w:val="bottom"/>
          </w:tcPr>
          <w:p>
            <w:pPr>
              <w:spacing w:after="0"/>
              <w:rPr>
                <w:sz w:val="1"/>
                <w:szCs w:val="1"/>
                <w:color w:val="auto"/>
              </w:rPr>
            </w:pPr>
          </w:p>
        </w:tc>
      </w:tr>
      <w:tr>
        <w:trPr>
          <w:trHeight w:val="162"/>
        </w:trPr>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w w:val="99"/>
              </w:rPr>
              <w:t>Value of Shares That</w:t>
            </w:r>
          </w:p>
        </w:tc>
        <w:tc>
          <w:tcPr>
            <w:tcW w:w="0" w:type="dxa"/>
            <w:vAlign w:val="bottom"/>
          </w:tcPr>
          <w:p>
            <w:pPr>
              <w:spacing w:after="0"/>
              <w:rPr>
                <w:sz w:val="1"/>
                <w:szCs w:val="1"/>
                <w:color w:val="auto"/>
              </w:rPr>
            </w:pPr>
          </w:p>
        </w:tc>
      </w:tr>
      <w:tr>
        <w:trPr>
          <w:trHeight w:val="162"/>
        </w:trPr>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8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8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00" w:type="dxa"/>
            <w:vAlign w:val="bottom"/>
          </w:tcPr>
          <w:p>
            <w:pPr>
              <w:spacing w:after="0"/>
              <w:rPr>
                <w:sz w:val="14"/>
                <w:szCs w:val="14"/>
                <w:color w:val="auto"/>
              </w:rPr>
            </w:pPr>
          </w:p>
        </w:tc>
        <w:tc>
          <w:tcPr>
            <w:tcW w:w="166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w w:val="99"/>
              </w:rPr>
              <w:t>May Yet Be Purchased</w:t>
            </w:r>
          </w:p>
        </w:tc>
        <w:tc>
          <w:tcPr>
            <w:tcW w:w="0" w:type="dxa"/>
            <w:vAlign w:val="bottom"/>
          </w:tcPr>
          <w:p>
            <w:pPr>
              <w:spacing w:after="0"/>
              <w:rPr>
                <w:sz w:val="1"/>
                <w:szCs w:val="1"/>
                <w:color w:val="auto"/>
              </w:rPr>
            </w:pPr>
          </w:p>
        </w:tc>
      </w:tr>
      <w:tr>
        <w:trPr>
          <w:trHeight w:val="162"/>
        </w:trPr>
        <w:tc>
          <w:tcPr>
            <w:tcW w:w="3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860" w:type="dxa"/>
            <w:vAlign w:val="bottom"/>
            <w:gridSpan w:val="2"/>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8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Publicly Announced</w:t>
            </w:r>
          </w:p>
        </w:tc>
        <w:tc>
          <w:tcPr>
            <w:tcW w:w="100" w:type="dxa"/>
            <w:vAlign w:val="bottom"/>
          </w:tcPr>
          <w:p>
            <w:pPr>
              <w:spacing w:after="0"/>
              <w:rPr>
                <w:sz w:val="14"/>
                <w:szCs w:val="14"/>
                <w:color w:val="auto"/>
              </w:rPr>
            </w:pPr>
          </w:p>
        </w:tc>
        <w:tc>
          <w:tcPr>
            <w:tcW w:w="166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Under the Plans or</w:t>
            </w:r>
          </w:p>
        </w:tc>
        <w:tc>
          <w:tcPr>
            <w:tcW w:w="0" w:type="dxa"/>
            <w:vAlign w:val="bottom"/>
          </w:tcPr>
          <w:p>
            <w:pPr>
              <w:spacing w:after="0"/>
              <w:rPr>
                <w:sz w:val="1"/>
                <w:szCs w:val="1"/>
                <w:color w:val="auto"/>
              </w:rPr>
            </w:pPr>
          </w:p>
        </w:tc>
      </w:tr>
      <w:tr>
        <w:trPr>
          <w:trHeight w:val="214"/>
        </w:trPr>
        <w:tc>
          <w:tcPr>
            <w:tcW w:w="3920" w:type="dxa"/>
            <w:vAlign w:val="bottom"/>
            <w:gridSpan w:val="2"/>
            <w:vMerge w:val="continue"/>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Purchased</w:t>
            </w:r>
          </w:p>
        </w:tc>
        <w:tc>
          <w:tcPr>
            <w:tcW w:w="380" w:type="dxa"/>
            <w:vAlign w:val="bottom"/>
          </w:tcPr>
          <w:p>
            <w:pPr>
              <w:spacing w:after="0"/>
              <w:rPr>
                <w:sz w:val="18"/>
                <w:szCs w:val="18"/>
                <w:color w:val="auto"/>
              </w:rPr>
            </w:pPr>
          </w:p>
        </w:tc>
        <w:tc>
          <w:tcPr>
            <w:tcW w:w="146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Plans or Programs</w:t>
            </w:r>
          </w:p>
        </w:tc>
        <w:tc>
          <w:tcPr>
            <w:tcW w:w="100" w:type="dxa"/>
            <w:vAlign w:val="bottom"/>
          </w:tcPr>
          <w:p>
            <w:pPr>
              <w:spacing w:after="0"/>
              <w:rPr>
                <w:sz w:val="18"/>
                <w:szCs w:val="18"/>
                <w:color w:val="auto"/>
              </w:rPr>
            </w:pPr>
          </w:p>
        </w:tc>
        <w:tc>
          <w:tcPr>
            <w:tcW w:w="16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0" w:type="dxa"/>
            <w:vAlign w:val="bottom"/>
          </w:tcPr>
          <w:p>
            <w:pPr>
              <w:spacing w:after="0"/>
              <w:rPr>
                <w:sz w:val="1"/>
                <w:szCs w:val="1"/>
                <w:color w:val="auto"/>
              </w:rPr>
            </w:pPr>
          </w:p>
        </w:tc>
      </w:tr>
      <w:tr>
        <w:trPr>
          <w:trHeight w:val="211"/>
        </w:trPr>
        <w:tc>
          <w:tcPr>
            <w:tcW w:w="3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October 1, 2023 - October 31, 2023</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75,000,067</w:t>
            </w:r>
          </w:p>
        </w:tc>
        <w:tc>
          <w:tcPr>
            <w:tcW w:w="0" w:type="dxa"/>
            <w:vAlign w:val="bottom"/>
          </w:tcPr>
          <w:p>
            <w:pPr>
              <w:spacing w:after="0"/>
              <w:rPr>
                <w:sz w:val="1"/>
                <w:szCs w:val="1"/>
                <w:color w:val="auto"/>
              </w:rPr>
            </w:pPr>
          </w:p>
        </w:tc>
      </w:tr>
      <w:tr>
        <w:trPr>
          <w:trHeight w:val="213"/>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November 1, 2023 - November 30, 2023</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1,620,021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28.78</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1,620,021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28,368,824</w:t>
            </w:r>
          </w:p>
        </w:tc>
        <w:tc>
          <w:tcPr>
            <w:tcW w:w="0" w:type="dxa"/>
            <w:vAlign w:val="bottom"/>
          </w:tcPr>
          <w:p>
            <w:pPr>
              <w:spacing w:after="0"/>
              <w:rPr>
                <w:sz w:val="1"/>
                <w:szCs w:val="1"/>
                <w:color w:val="auto"/>
              </w:rPr>
            </w:pPr>
          </w:p>
        </w:tc>
      </w:tr>
      <w:tr>
        <w:trPr>
          <w:trHeight w:val="219"/>
        </w:trPr>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1, 2023 - December 31, 2023</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937,594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30.26</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937,594</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250,000,103</w:t>
            </w:r>
          </w:p>
        </w:tc>
        <w:tc>
          <w:tcPr>
            <w:tcW w:w="0" w:type="dxa"/>
            <w:vAlign w:val="bottom"/>
          </w:tcPr>
          <w:p>
            <w:pPr>
              <w:spacing w:after="0"/>
              <w:rPr>
                <w:sz w:val="1"/>
                <w:szCs w:val="1"/>
                <w:color w:val="auto"/>
              </w:rPr>
            </w:pPr>
          </w:p>
        </w:tc>
      </w:tr>
      <w:tr>
        <w:trPr>
          <w:trHeight w:val="204"/>
        </w:trPr>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2,557,615</w:t>
            </w:r>
          </w:p>
        </w:tc>
        <w:tc>
          <w:tcPr>
            <w:tcW w:w="12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29.32</w:t>
            </w:r>
          </w:p>
        </w:tc>
        <w:tc>
          <w:tcPr>
            <w:tcW w:w="1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2,557,615</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250,000,103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89" w:lineRule="exact"/>
        <w:rPr>
          <w:sz w:val="20"/>
          <w:szCs w:val="20"/>
          <w:color w:val="auto"/>
        </w:rPr>
      </w:pPr>
    </w:p>
    <w:p>
      <w:pPr>
        <w:jc w:val="both"/>
        <w:ind w:right="60" w:firstLine="324"/>
        <w:spacing w:after="0" w:line="261" w:lineRule="auto"/>
        <w:rPr>
          <w:sz w:val="20"/>
          <w:szCs w:val="20"/>
          <w:color w:val="auto"/>
        </w:rPr>
      </w:pPr>
      <w:r>
        <w:rPr>
          <w:rFonts w:ascii="Times New Roman" w:cs="Times New Roman" w:eastAsia="Times New Roman" w:hAnsi="Times New Roman"/>
          <w:sz w:val="18"/>
          <w:szCs w:val="18"/>
          <w:color w:val="auto"/>
        </w:rPr>
        <w:t>The following graph compares the total cumulative returns of BioScrip through August 6, 2019 and Option Care Health from August 7, 2019 through December 31, 2023 with the total cumulative returns of the Nasdaq Composite Index and the S&amp;P Health Care Services Select Industry Index for the five-year period from December 31, 2018 through December 31, 2023. The graph shows the performance of a $100 investment in our Common Stock and each index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108585</wp:posOffset>
            </wp:positionV>
            <wp:extent cx="5657850" cy="37458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3745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$100 invested on December 31, 2018 in stock or index, including reinvestment of dividends.</w:t>
      </w: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11"/>
        </w:trPr>
        <w:tc>
          <w:tcPr>
            <w:tcW w:w="43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 Care Health, Inc.</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199.16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210.71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235.92</w:t>
            </w:r>
          </w:p>
        </w:tc>
      </w:tr>
      <w:tr>
        <w:trPr>
          <w:trHeight w:val="213"/>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Nasdaq Composite Index</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135.23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194.24</w:t>
            </w:r>
          </w:p>
        </w:tc>
        <w:tc>
          <w:tcPr>
            <w:tcW w:w="120" w:type="dxa"/>
            <w:vAlign w:val="bottom"/>
          </w:tcPr>
          <w:p>
            <w:pPr>
              <w:spacing w:after="0"/>
              <w:rPr>
                <w:sz w:val="18"/>
                <w:szCs w:val="18"/>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235.78</w:t>
            </w:r>
          </w:p>
        </w:tc>
        <w:tc>
          <w:tcPr>
            <w:tcW w:w="120" w:type="dxa"/>
            <w:vAlign w:val="bottom"/>
          </w:tcPr>
          <w:p>
            <w:pPr>
              <w:spacing w:after="0"/>
              <w:rPr>
                <w:sz w:val="18"/>
                <w:szCs w:val="18"/>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157.74</w:t>
            </w:r>
          </w:p>
        </w:tc>
        <w:tc>
          <w:tcPr>
            <w:tcW w:w="120" w:type="dxa"/>
            <w:vAlign w:val="bottom"/>
          </w:tcPr>
          <w:p>
            <w:pPr>
              <w:spacing w:after="0"/>
              <w:rPr>
                <w:sz w:val="18"/>
                <w:szCs w:val="18"/>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226.24</w:t>
            </w:r>
          </w:p>
        </w:tc>
      </w:tr>
      <w:tr>
        <w:trPr>
          <w:trHeight w:val="219"/>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S&amp;P Health Care Services Select Industry Index</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172.35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144.10</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i w:val="1"/>
          <w:iCs w:val="1"/>
          <w:color w:val="auto"/>
        </w:rPr>
        <w:t>Reserved</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02"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is designed to assist the reader in understanding our consolidated financial statements, the changes in certain key items in those financial statements from year-to-year and the primary factors that accounted for those changes as well as how certain accounting principles affect our consolidated financial statements.</w:t>
      </w:r>
    </w:p>
    <w:p>
      <w:pPr>
        <w:spacing w:after="0" w:line="135"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Except for the historical information contained herein, the following discussion contains forward-looking statements that are subject to known and unknown risks, uncertainties and other factors that may cause our actual results to differ materially from those expressed or implied by such forward-looking statements. We discuss such risks, uncertainties and other factors throughout this Annual Report and specifically under the caption “Forward-Looking Statements” and in Item 1A. “Risk Factors” in this Annual Report. In addition, the following discussion of financial condition and results of operations should be read in conjunction with the consolidated financial statements and notes thereto appearing in Item 8 in this Annual Report.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0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Option Care Health and its wholly-owned subsidiaries provide infusion therapy and other ancillary healthcare services through a national network of 177 locations around the United States. The Company contracts with managed care organizations, third-party payers, hospitals, physicians, and other referral sources to provide pharmaceuticals and complex compounded solutions to patients for intravenous delivery in the patients’ homes or other non-hospital settings. Our services are provided in coordination with, and under the direction of, the patient’s physician. Our multidisciplinary team of clinicians, including pharmacists, nurses, dietitians and respiratory therapists, work with the physician to develop a plan of care suited to each patient’s specific needs. We provide home infusion services consisting of anti-infectives, nutrition support, therapies for chronic inflammatory disorders and neurological disorders, immunoglobulin therapy, and other therapies for chronic and acute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18" w:right="5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Results of Operations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results of operations include the accounts of Option Care Health and our subsidiaries for the years ended December 31, 2023 and 2022.</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Gross profit represents our net revenue less cost of revenue.</w:t>
      </w:r>
    </w:p>
    <w:p>
      <w:pPr>
        <w:spacing w:after="0" w:line="183" w:lineRule="exact"/>
        <w:rPr>
          <w:sz w:val="20"/>
          <w:szCs w:val="20"/>
          <w:color w:val="auto"/>
        </w:rPr>
      </w:pPr>
    </w:p>
    <w:p>
      <w:pPr>
        <w:ind w:right="1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Net Revenue</w:t>
      </w:r>
      <w:r>
        <w:rPr>
          <w:rFonts w:ascii="Times New Roman" w:cs="Times New Roman" w:eastAsia="Times New Roman" w:hAnsi="Times New Roman"/>
          <w:sz w:val="18"/>
          <w:szCs w:val="18"/>
          <w:color w:val="auto"/>
        </w:rPr>
        <w:t>. Infusion and related healthcare services revenue is reported at the estimated net realizable amounts from third-party payers and patients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goods sold and services rendered. When pharmaceuticals are provided to a patient, revenue is recognized upon delivery of the goods. When nursing services are provided, revenue is recognized when the services are rendered.</w:t>
      </w:r>
    </w:p>
    <w:p>
      <w:pPr>
        <w:spacing w:after="0" w:line="148" w:lineRule="exact"/>
        <w:rPr>
          <w:sz w:val="20"/>
          <w:szCs w:val="20"/>
          <w:color w:val="auto"/>
        </w:rPr>
      </w:pPr>
    </w:p>
    <w:p>
      <w:pPr>
        <w:ind w:right="120" w:firstLine="324"/>
        <w:spacing w:after="0" w:line="281" w:lineRule="auto"/>
        <w:rPr>
          <w:sz w:val="20"/>
          <w:szCs w:val="20"/>
          <w:color w:val="auto"/>
        </w:rPr>
      </w:pPr>
      <w:r>
        <w:rPr>
          <w:rFonts w:ascii="Times New Roman" w:cs="Times New Roman" w:eastAsia="Times New Roman" w:hAnsi="Times New Roman"/>
          <w:sz w:val="17"/>
          <w:szCs w:val="17"/>
          <w:color w:val="auto"/>
        </w:rPr>
        <w:t>Due to the nature of the healthcare industry and the reimbursement environment in which the Company operates, certain estimates are required to record revenue and accounts receivable at their net realizable values at the time goods or services are provided. Inherent in these estimates is the risk that they will have to be revised or updated as additional information becomes available. Specifically, the complexity of many third-party billing arrangements and the uncertainty of reimbursement amounts for certain services from certain payers may result in adjustments to amounts originally recorded.</w:t>
      </w:r>
    </w:p>
    <w:p>
      <w:pPr>
        <w:spacing w:after="0" w:line="12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consists of the actual cost of pharmaceuticals and other medical supplies dispensed to patients. In addition to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cost of revenue includes warehousing costs, purchasing costs, depreciation expense relating to revenue-generating assets, such as infusion pumps, shipping and handling costs, and wages and related costs for the pharmacists, nurses, and all other employees and contracted workers directly involved in providing service to the patient.</w:t>
      </w:r>
    </w:p>
    <w:p>
      <w:pPr>
        <w:spacing w:after="0" w:line="141"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Company receives volume-based rebates and prompt payment discounts from some of its pharmaceutical and medical supplies vendors. These payments are recorded as a reduction of inventory and are accounted for as a reduction of cost of revenue when the related inventory is sold.</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Costs and Expenses</w:t>
      </w:r>
    </w:p>
    <w:p>
      <w:pPr>
        <w:spacing w:after="0" w:line="187"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Selling, general and administrative expenses consist principally of salaries for administrative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directly and indirectly support the operations, occupancy costs, marketing expenditures, insurance, and professional fees.</w:t>
      </w:r>
    </w:p>
    <w:p>
      <w:pPr>
        <w:spacing w:after="0" w:line="118" w:lineRule="exact"/>
        <w:rPr>
          <w:sz w:val="20"/>
          <w:szCs w:val="20"/>
          <w:color w:val="auto"/>
        </w:rPr>
      </w:pPr>
    </w:p>
    <w:p>
      <w:pPr>
        <w:ind w:right="2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Expense. </w:t>
      </w:r>
      <w:r>
        <w:rPr>
          <w:rFonts w:ascii="Times New Roman" w:cs="Times New Roman" w:eastAsia="Times New Roman" w:hAnsi="Times New Roman"/>
          <w:sz w:val="18"/>
          <w:szCs w:val="18"/>
          <w:color w:val="auto"/>
        </w:rPr>
        <w:t>Depreciation within this caption includes infrastructure items such as intangibles amortization, computer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hardware and software, office equipment and leasehold improvements. Depreciation of revenue-generating assets, such as infusion pumps, is included in cost of revenue.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8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Interest expense consists principally of interest payments on the Company’s outstanding borrowings under the ABL Facility,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Lien Term Loan, Revolver Facility, Senior Notes, amortization of discount and deferred financing fees, and payments associated with the interest rate cap, and interest income earned on cash and cash equivalents. Refer to the “Liquidity and Capital Resources” section below for further discussion of these outstanding borrowings.</w:t>
      </w:r>
    </w:p>
    <w:p>
      <w:pPr>
        <w:spacing w:after="0" w:line="153" w:lineRule="exact"/>
        <w:rPr>
          <w:sz w:val="20"/>
          <w:szCs w:val="20"/>
          <w:color w:val="auto"/>
        </w:rPr>
      </w:pPr>
    </w:p>
    <w:p>
      <w:pPr>
        <w:ind w:right="2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Equity in Earnings of Joint Ventures</w:t>
      </w:r>
      <w:r>
        <w:rPr>
          <w:rFonts w:ascii="Times New Roman" w:cs="Times New Roman" w:eastAsia="Times New Roman" w:hAnsi="Times New Roman"/>
          <w:sz w:val="18"/>
          <w:szCs w:val="18"/>
          <w:color w:val="auto"/>
        </w:rPr>
        <w:t>. Equity in earnings of joint ventures consists of our proportionate share of equity earnings or losses from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in two infusion joint ventures with health systems.</w:t>
      </w:r>
    </w:p>
    <w:p>
      <w:pPr>
        <w:spacing w:after="0" w:line="118"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Other, Net</w:t>
      </w:r>
      <w:r>
        <w:rPr>
          <w:rFonts w:ascii="Times New Roman" w:cs="Times New Roman" w:eastAsia="Times New Roman" w:hAnsi="Times New Roman"/>
          <w:sz w:val="18"/>
          <w:szCs w:val="18"/>
          <w:color w:val="auto"/>
        </w:rPr>
        <w:t>. On May 3, 2023, the Company entered into a definitive merger agreement (the “Amedisys Merger Agreement”) with Amedisys, Inc.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(“Amedisys”), a leading provider of healthcare in home health and hospice settings. On June 26, 2023, the Company entered into an agreement to terminate the Amedisys Merger Agreement (the “Mutual Termination Agreement”). Under the terms of the Mutual Termination Agreement, the Company received a payment of $106.0 million in cash on behalf of Amedisys (the “Termination Fee”). Other income (expense) primarily includes the termination fee, net of merger-related expenses, received on behalf of Amedisys during the year ended December 31, 2023. During the year ended December 31, 2022, other income (expense) primarily includes the gain on the sale of respiratory therapy assets, which closed in December 2022.</w:t>
      </w:r>
    </w:p>
    <w:p>
      <w:pPr>
        <w:spacing w:after="0" w:line="142" w:lineRule="exact"/>
        <w:rPr>
          <w:sz w:val="20"/>
          <w:szCs w:val="20"/>
          <w:color w:val="auto"/>
        </w:rPr>
      </w:pPr>
    </w:p>
    <w:p>
      <w:pPr>
        <w:ind w:right="58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Income Tax Benefit Expense</w:t>
      </w:r>
      <w:r>
        <w:rPr>
          <w:rFonts w:ascii="Times New Roman" w:cs="Times New Roman" w:eastAsia="Times New Roman" w:hAnsi="Times New Roman"/>
          <w:sz w:val="18"/>
          <w:szCs w:val="18"/>
          <w:color w:val="auto"/>
        </w:rPr>
        <w:t>. The Company is subject to taxation in the United States and various states. The Company’s income tax expense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reflective of the current federal and state tax rates.</w:t>
      </w:r>
    </w:p>
    <w:p>
      <w:pPr>
        <w:spacing w:after="0" w:line="131" w:lineRule="exact"/>
        <w:rPr>
          <w:sz w:val="20"/>
          <w:szCs w:val="20"/>
          <w:color w:val="auto"/>
        </w:rPr>
      </w:pPr>
    </w:p>
    <w:p>
      <w:pPr>
        <w:jc w:val="both"/>
        <w:ind w:right="2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Change in Unrealized Gain (Loss) on Cash Flow Hedge, Net of Income Tax Benefit (Expense)</w:t>
      </w:r>
      <w:r>
        <w:rPr>
          <w:rFonts w:ascii="Times New Roman" w:cs="Times New Roman" w:eastAsia="Times New Roman" w:hAnsi="Times New Roman"/>
          <w:sz w:val="18"/>
          <w:szCs w:val="18"/>
          <w:color w:val="auto"/>
        </w:rPr>
        <w:t>. Change in unrealized gain (loss) on cash flow hedge,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of income tax benefit (expense), consists of the gain (loss) associated with the changes in the fair value of hedging instruments related to the interest rate cap, net of income taxes.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presents Option Care Health’s consolidated results of operations for the years ended December 31, 2023 and 2022 (in thousands, except for percentages). For a discussion of Option Care Health’s consolidated results of operations for the year ended December 31, 2022 compared to the year ended December 31, 2021, refer to Part II, Item 7. “Management’s Discussion and Analysis of Financial Condition and Results of Operations” in our 2022 Annual Report on Form 10-K filed with the Securities and Exchange Commission on February 23, 2023.</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3"/>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of Revenue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3"/>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 of Revenue</w:t>
            </w:r>
          </w:p>
        </w:tc>
        <w:tc>
          <w:tcPr>
            <w:tcW w:w="0" w:type="dxa"/>
            <w:vAlign w:val="bottom"/>
          </w:tcPr>
          <w:p>
            <w:pPr>
              <w:spacing w:after="0"/>
              <w:rPr>
                <w:sz w:val="1"/>
                <w:szCs w:val="1"/>
                <w:color w:val="auto"/>
              </w:rPr>
            </w:pPr>
          </w:p>
        </w:tc>
      </w:tr>
      <w:tr>
        <w:trPr>
          <w:trHeight w:val="211"/>
        </w:trPr>
        <w:tc>
          <w:tcPr>
            <w:tcW w:w="5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4,302,324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3,944,735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13"/>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3,321,101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77.2 %</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3,077,817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78.0 %</w:t>
            </w:r>
          </w:p>
        </w:tc>
        <w:tc>
          <w:tcPr>
            <w:tcW w:w="0" w:type="dxa"/>
            <w:vAlign w:val="bottom"/>
          </w:tcPr>
          <w:p>
            <w:pPr>
              <w:spacing w:after="0"/>
              <w:rPr>
                <w:sz w:val="1"/>
                <w:szCs w:val="1"/>
                <w:color w:val="auto"/>
              </w:rPr>
            </w:pPr>
          </w:p>
        </w:tc>
      </w:tr>
      <w:tr>
        <w:trPr>
          <w:trHeight w:val="212"/>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981,223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866,918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22.0 %</w:t>
            </w:r>
          </w:p>
        </w:tc>
        <w:tc>
          <w:tcPr>
            <w:tcW w:w="0" w:type="dxa"/>
            <w:vAlign w:val="bottom"/>
          </w:tcPr>
          <w:p>
            <w:pPr>
              <w:spacing w:after="0"/>
              <w:rPr>
                <w:sz w:val="1"/>
                <w:szCs w:val="1"/>
                <w:color w:val="auto"/>
              </w:rPr>
            </w:pPr>
          </w:p>
        </w:tc>
      </w:tr>
      <w:tr>
        <w:trPr>
          <w:trHeight w:val="257"/>
        </w:trPr>
        <w:tc>
          <w:tcPr>
            <w:tcW w:w="5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COSTS AND EXPENSES: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607,427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566,122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14.4 %</w:t>
            </w:r>
          </w:p>
        </w:tc>
        <w:tc>
          <w:tcPr>
            <w:tcW w:w="0" w:type="dxa"/>
            <w:vAlign w:val="bottom"/>
          </w:tcPr>
          <w:p>
            <w:pPr>
              <w:spacing w:after="0"/>
              <w:rPr>
                <w:sz w:val="1"/>
                <w:szCs w:val="1"/>
                <w:color w:val="auto"/>
              </w:rPr>
            </w:pPr>
          </w:p>
        </w:tc>
      </w:tr>
      <w:tr>
        <w:trPr>
          <w:trHeight w:val="219"/>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0" w:type="dxa"/>
            <w:vAlign w:val="bottom"/>
          </w:tcPr>
          <w:p>
            <w:pPr>
              <w:spacing w:after="0"/>
              <w:rPr>
                <w:sz w:val="1"/>
                <w:szCs w:val="1"/>
                <w:color w:val="auto"/>
              </w:rPr>
            </w:pPr>
          </w:p>
        </w:tc>
      </w:tr>
      <w:tr>
        <w:trPr>
          <w:trHeight w:val="207"/>
        </w:trPr>
        <w:tc>
          <w:tcPr>
            <w:tcW w:w="53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666,628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15.5 %</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626,687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15.9 %</w:t>
            </w:r>
          </w:p>
        </w:tc>
        <w:tc>
          <w:tcPr>
            <w:tcW w:w="0" w:type="dxa"/>
            <w:vAlign w:val="bottom"/>
          </w:tcPr>
          <w:p>
            <w:pPr>
              <w:spacing w:after="0"/>
              <w:rPr>
                <w:sz w:val="1"/>
                <w:szCs w:val="1"/>
                <w:color w:val="auto"/>
              </w:rPr>
            </w:pPr>
          </w:p>
        </w:tc>
      </w:tr>
      <w:tr>
        <w:trPr>
          <w:trHeight w:val="20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314,595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7.3 %</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240,231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0" w:type="dxa"/>
            <w:vAlign w:val="bottom"/>
          </w:tcPr>
          <w:p>
            <w:pPr>
              <w:spacing w:after="0"/>
              <w:rPr>
                <w:sz w:val="1"/>
                <w:szCs w:val="1"/>
                <w:color w:val="auto"/>
              </w:rPr>
            </w:pPr>
          </w:p>
        </w:tc>
      </w:tr>
      <w:tr>
        <w:trPr>
          <w:trHeight w:val="199"/>
        </w:trPr>
        <w:tc>
          <w:tcPr>
            <w:tcW w:w="5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9"/>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in earnings of joint ventures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0" w:type="dxa"/>
            <w:vAlign w:val="bottom"/>
          </w:tcPr>
          <w:p>
            <w:pPr>
              <w:spacing w:after="0"/>
              <w:rPr>
                <w:sz w:val="1"/>
                <w:szCs w:val="1"/>
                <w:color w:val="auto"/>
              </w:rPr>
            </w:pPr>
          </w:p>
        </w:tc>
      </w:tr>
      <w:tr>
        <w:trPr>
          <w:trHeight w:val="213"/>
        </w:trPr>
        <w:tc>
          <w:tcPr>
            <w:tcW w:w="5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net</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89,865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14,218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0" w:type="dxa"/>
            <w:vAlign w:val="bottom"/>
          </w:tcPr>
          <w:p>
            <w:pPr>
              <w:spacing w:after="0"/>
              <w:rPr>
                <w:sz w:val="1"/>
                <w:szCs w:val="1"/>
                <w:color w:val="auto"/>
              </w:rPr>
            </w:pPr>
          </w:p>
        </w:tc>
      </w:tr>
      <w:tr>
        <w:trPr>
          <w:trHeight w:val="209"/>
        </w:trPr>
        <w:tc>
          <w:tcPr>
            <w:tcW w:w="5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199"/>
        </w:trPr>
        <w:tc>
          <w:tcPr>
            <w:tcW w:w="5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358,742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205,768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0" w:type="dxa"/>
            <w:vAlign w:val="bottom"/>
          </w:tcPr>
          <w:p>
            <w:pPr>
              <w:spacing w:after="0"/>
              <w:rPr>
                <w:sz w:val="1"/>
                <w:szCs w:val="1"/>
                <w:color w:val="auto"/>
              </w:rPr>
            </w:pPr>
          </w:p>
        </w:tc>
      </w:tr>
      <w:tr>
        <w:trPr>
          <w:trHeight w:val="213"/>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91,652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55,212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237"/>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267,090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150,556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NET OF TAX:</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3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Change in unrealized (loss) gain on cash flow hedge, net of income tax benefit</w:t>
            </w:r>
          </w:p>
        </w:tc>
        <w:tc>
          <w:tcPr>
            <w:tcW w:w="2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(6,181)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21,610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0" w:type="dxa"/>
            <w:vAlign w:val="bottom"/>
          </w:tcPr>
          <w:p>
            <w:pPr>
              <w:spacing w:after="0"/>
              <w:rPr>
                <w:sz w:val="1"/>
                <w:szCs w:val="1"/>
                <w:color w:val="auto"/>
              </w:rPr>
            </w:pPr>
          </w:p>
        </w:tc>
      </w:tr>
      <w:tr>
        <w:trPr>
          <w:trHeight w:val="213"/>
        </w:trPr>
        <w:tc>
          <w:tcPr>
            <w:tcW w:w="5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(expense) of $2,158 and $(7,259), respectively</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0" w:type="dxa"/>
            <w:vAlign w:val="bottom"/>
          </w:tcPr>
          <w:p>
            <w:pPr>
              <w:spacing w:after="0"/>
              <w:rPr>
                <w:sz w:val="1"/>
                <w:szCs w:val="1"/>
                <w:color w:val="auto"/>
              </w:rPr>
            </w:pPr>
          </w:p>
        </w:tc>
      </w:tr>
      <w:tr>
        <w:trPr>
          <w:trHeight w:val="212"/>
        </w:trPr>
        <w:tc>
          <w:tcPr>
            <w:tcW w:w="5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COMPREHENSIVE INCOME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260,909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172,166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2023 Compared to Year Ended December 31, 2022</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selected consolidated comparative results of operations for the years ended December 31, 2023 and 2022:</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80" w:type="dxa"/>
            <w:vAlign w:val="bottom"/>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74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gridSpan w:val="2"/>
          </w:tcPr>
          <w:p>
            <w:pPr>
              <w:ind w:left="66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7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6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4,302,324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3,944,735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357,589</w:t>
            </w:r>
          </w:p>
        </w:tc>
        <w:tc>
          <w:tcPr>
            <w:tcW w:w="6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0" w:type="dxa"/>
            <w:vAlign w:val="bottom"/>
          </w:tcPr>
          <w:p>
            <w:pPr>
              <w:spacing w:after="0"/>
              <w:rPr>
                <w:sz w:val="1"/>
                <w:szCs w:val="1"/>
                <w:color w:val="auto"/>
              </w:rPr>
            </w:pPr>
          </w:p>
        </w:tc>
      </w:tr>
      <w:tr>
        <w:trPr>
          <w:trHeight w:val="213"/>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3,321,101</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3,077,817</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243,284</w:t>
            </w:r>
          </w:p>
        </w:tc>
        <w:tc>
          <w:tcPr>
            <w:tcW w:w="66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7.9 %</w:t>
            </w:r>
          </w:p>
        </w:tc>
        <w:tc>
          <w:tcPr>
            <w:tcW w:w="0" w:type="dxa"/>
            <w:vAlign w:val="bottom"/>
          </w:tcPr>
          <w:p>
            <w:pPr>
              <w:spacing w:after="0"/>
              <w:rPr>
                <w:sz w:val="1"/>
                <w:szCs w:val="1"/>
                <w:color w:val="auto"/>
              </w:rPr>
            </w:pPr>
          </w:p>
        </w:tc>
      </w:tr>
      <w:tr>
        <w:trPr>
          <w:trHeight w:val="237"/>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981,223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866,918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114,305</w:t>
            </w:r>
          </w:p>
        </w:tc>
        <w:tc>
          <w:tcPr>
            <w:tcW w:w="6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13.2 %</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Gross profit margin</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7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22.8%</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right="40" w:firstLine="324"/>
        <w:spacing w:after="0" w:line="274" w:lineRule="auto"/>
        <w:rPr>
          <w:sz w:val="20"/>
          <w:szCs w:val="20"/>
          <w:color w:val="auto"/>
        </w:rPr>
      </w:pPr>
      <w:r>
        <w:rPr>
          <w:rFonts w:ascii="Times New Roman" w:cs="Times New Roman" w:eastAsia="Times New Roman" w:hAnsi="Times New Roman"/>
          <w:sz w:val="17"/>
          <w:szCs w:val="17"/>
          <w:color w:val="auto"/>
        </w:rPr>
        <w:t>The increase in net revenue during the year ended December 31, 2023 was primarily driven by organic growth in the Company’s portfolio of therapies, consisting of acute revenue that had mid-single-digit growth relative to the prior year while chronic revenue grew in the low-double-digits. The increase in net revenue was partially offset by the divestiture of respiratory therapy assets in December 2022 as well as therapies related to the treatment of ALS and pre-term labor. The increase in cost of revenue and gross profit was primarily driven by the growth in revenue, which outpaced the increase in cost of revenue primarily due to our disciplined procurement strategies, certain temporary favorable therapy pricing dynamics that emerged due to the timing in variances in reference prices that affects our costs relative to reimbursement, and efficient utilization of our clinical workforce and infusion suite network.</w:t>
      </w:r>
    </w:p>
    <w:p>
      <w:pPr>
        <w:spacing w:after="0" w:line="1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80" w:type="dxa"/>
            <w:vAlign w:val="bottom"/>
          </w:tcPr>
          <w:p>
            <w:pPr>
              <w:spacing w:after="0"/>
              <w:rPr>
                <w:sz w:val="18"/>
                <w:szCs w:val="18"/>
                <w:color w:val="auto"/>
              </w:rPr>
            </w:pPr>
          </w:p>
        </w:tc>
        <w:tc>
          <w:tcPr>
            <w:tcW w:w="2900" w:type="dxa"/>
            <w:vAlign w:val="bottom"/>
            <w:tcBorders>
              <w:bottom w:val="single" w:sz="8" w:color="auto"/>
            </w:tcBorders>
            <w:gridSpan w:val="4"/>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211"/>
        </w:trPr>
        <w:tc>
          <w:tcPr>
            <w:tcW w:w="478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780" w:type="dxa"/>
            <w:vAlign w:val="bottom"/>
            <w:tcBorders>
              <w:bottom w:val="single" w:sz="8" w:color="auto"/>
            </w:tcBorders>
          </w:tcPr>
          <w:p>
            <w:pPr>
              <w:spacing w:after="0"/>
              <w:rPr>
                <w:sz w:val="18"/>
                <w:szCs w:val="18"/>
                <w:color w:val="auto"/>
              </w:rPr>
            </w:pPr>
          </w:p>
        </w:tc>
      </w:tr>
      <w:tr>
        <w:trPr>
          <w:trHeight w:val="249"/>
        </w:trPr>
        <w:tc>
          <w:tcPr>
            <w:tcW w:w="4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60" w:type="dxa"/>
            <w:vAlign w:val="bottom"/>
            <w:gridSpan w:val="6"/>
          </w:tcPr>
          <w:p>
            <w:pPr>
              <w:ind w:left="100"/>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780" w:type="dxa"/>
            <w:vAlign w:val="bottom"/>
          </w:tcPr>
          <w:p>
            <w:pPr>
              <w:spacing w:after="0"/>
              <w:rPr>
                <w:sz w:val="21"/>
                <w:szCs w:val="21"/>
                <w:color w:val="auto"/>
              </w:rPr>
            </w:pPr>
          </w:p>
        </w:tc>
      </w:tr>
      <w:tr>
        <w:trPr>
          <w:trHeight w:val="219"/>
        </w:trPr>
        <w:tc>
          <w:tcPr>
            <w:tcW w:w="4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607,427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566,122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41,305</w:t>
            </w:r>
          </w:p>
        </w:tc>
        <w:tc>
          <w:tcPr>
            <w:tcW w:w="6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7.3 %</w:t>
            </w:r>
          </w:p>
        </w:tc>
      </w:tr>
      <w:tr>
        <w:trPr>
          <w:trHeight w:val="213"/>
        </w:trPr>
        <w:tc>
          <w:tcPr>
            <w:tcW w:w="47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0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59,201</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60,565</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(1,364)</w:t>
            </w:r>
          </w:p>
        </w:tc>
        <w:tc>
          <w:tcPr>
            <w:tcW w:w="66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37"/>
        </w:trPr>
        <w:tc>
          <w:tcPr>
            <w:tcW w:w="4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666,628</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626,687</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39,941</w:t>
            </w:r>
          </w:p>
        </w:tc>
        <w:tc>
          <w:tcPr>
            <w:tcW w:w="6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6.4 %</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increase in selling, general and administrative expenses during the year ended December 31, 2023 is primarily due to an increase in salaries, benefits, and equity compensation as a result of expansion of team members to adjust to current volumes, however, these expenses have remained relatively consistent as a percentage of revenue at 14.1% and 14.4% for the years ended December 31, 2023 and 2022, respectively, due to the Company’s focus on controlling spending leverage.</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80" w:type="dxa"/>
            <w:vAlign w:val="bottom"/>
          </w:tcPr>
          <w:p>
            <w:pPr>
              <w:spacing w:after="0"/>
              <w:rPr>
                <w:sz w:val="18"/>
                <w:szCs w:val="18"/>
                <w:color w:val="auto"/>
              </w:rPr>
            </w:pPr>
          </w:p>
        </w:tc>
        <w:tc>
          <w:tcPr>
            <w:tcW w:w="2920" w:type="dxa"/>
            <w:vAlign w:val="bottom"/>
            <w:tcBorders>
              <w:bottom w:val="single" w:sz="8" w:color="auto"/>
            </w:tcBorders>
            <w:gridSpan w:val="4"/>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11"/>
        </w:trPr>
        <w:tc>
          <w:tcPr>
            <w:tcW w:w="478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860" w:type="dxa"/>
            <w:vAlign w:val="bottom"/>
            <w:tcBorders>
              <w:bottom w:val="single" w:sz="8" w:color="auto"/>
            </w:tcBorders>
          </w:tcPr>
          <w:p>
            <w:pPr>
              <w:spacing w:after="0"/>
              <w:rPr>
                <w:sz w:val="18"/>
                <w:szCs w:val="18"/>
                <w:color w:val="auto"/>
              </w:rPr>
            </w:pPr>
          </w:p>
        </w:tc>
      </w:tr>
      <w:tr>
        <w:trPr>
          <w:trHeight w:val="249"/>
        </w:trPr>
        <w:tc>
          <w:tcPr>
            <w:tcW w:w="4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80" w:type="dxa"/>
            <w:vAlign w:val="bottom"/>
            <w:gridSpan w:val="6"/>
          </w:tcPr>
          <w:p>
            <w:pPr>
              <w:ind w:left="100"/>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860" w:type="dxa"/>
            <w:vAlign w:val="bottom"/>
          </w:tcPr>
          <w:p>
            <w:pPr>
              <w:spacing w:after="0"/>
              <w:rPr>
                <w:sz w:val="21"/>
                <w:szCs w:val="21"/>
                <w:color w:val="auto"/>
              </w:rPr>
            </w:pPr>
          </w:p>
        </w:tc>
      </w:tr>
      <w:tr>
        <w:trPr>
          <w:trHeight w:val="21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(51,248)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(53,806)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2,558</w:t>
            </w: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3"/>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 earnings of joint ventures</w:t>
            </w: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5,530</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7.9 %</w:t>
            </w:r>
          </w:p>
        </w:tc>
      </w:tr>
      <w:tr>
        <w:trPr>
          <w:trHeight w:val="21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10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89,865</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14,218</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75,647</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532.1 %</w:t>
            </w:r>
          </w:p>
        </w:tc>
      </w:tr>
      <w:tr>
        <w:trPr>
          <w:trHeight w:val="212"/>
        </w:trPr>
        <w:tc>
          <w:tcPr>
            <w:tcW w:w="4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44,147</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(34,463)</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78,610</w:t>
            </w: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(228.1)%</w:t>
            </w:r>
          </w:p>
        </w:tc>
      </w:tr>
      <w:tr>
        <w:trPr>
          <w:trHeight w:val="20"/>
        </w:trPr>
        <w:tc>
          <w:tcPr>
            <w:tcW w:w="47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decrease in interest expense, net during the year ended December 31, 2023 was primarily attributable to an increase in interest income generated from our cash and cash equivalents, partially offset by increases in the First Lien Term Loan’s variable interest rate compared to the year ended December 31, 2022.</w:t>
      </w:r>
    </w:p>
    <w:p>
      <w:pPr>
        <w:spacing w:after="0" w:line="14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increase in other, net during the year ended December 31, 2023 is primarily attributable to the receipt of the Termination Fee, net of merger-related expenses. During the year ended December 31, 2022, the change in other, net is primarily due to a $10.3 million pre-tax gain from the sale of respiratory therapy assets (“Respiratory Therapy Asset Sale”), which closed in December 2022.</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231F20"/>
        </w:rPr>
        <w:t>Income Tax Expense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80" w:type="dxa"/>
            <w:vAlign w:val="bottom"/>
          </w:tcPr>
          <w:p>
            <w:pPr>
              <w:spacing w:after="0"/>
              <w:rPr>
                <w:sz w:val="18"/>
                <w:szCs w:val="18"/>
                <w:color w:val="auto"/>
              </w:rPr>
            </w:pPr>
          </w:p>
        </w:tc>
        <w:tc>
          <w:tcPr>
            <w:tcW w:w="2940" w:type="dxa"/>
            <w:vAlign w:val="bottom"/>
            <w:tcBorders>
              <w:bottom w:val="single" w:sz="8" w:color="auto"/>
            </w:tcBorders>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211"/>
        </w:trPr>
        <w:tc>
          <w:tcPr>
            <w:tcW w:w="4780" w:type="dxa"/>
            <w:vAlign w:val="bottom"/>
          </w:tcPr>
          <w:p>
            <w:pPr>
              <w:spacing w:after="0"/>
              <w:rPr>
                <w:sz w:val="18"/>
                <w:szCs w:val="18"/>
                <w:color w:val="auto"/>
              </w:rPr>
            </w:pPr>
          </w:p>
        </w:tc>
        <w:tc>
          <w:tcPr>
            <w:tcW w:w="11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780" w:type="dxa"/>
            <w:vAlign w:val="bottom"/>
            <w:tcBorders>
              <w:bottom w:val="single" w:sz="8" w:color="auto"/>
            </w:tcBorders>
          </w:tcPr>
          <w:p>
            <w:pPr>
              <w:spacing w:after="0"/>
              <w:rPr>
                <w:sz w:val="18"/>
                <w:szCs w:val="18"/>
                <w:color w:val="auto"/>
              </w:rPr>
            </w:pPr>
          </w:p>
        </w:tc>
      </w:tr>
      <w:tr>
        <w:trPr>
          <w:trHeight w:val="249"/>
        </w:trPr>
        <w:tc>
          <w:tcPr>
            <w:tcW w:w="4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60" w:type="dxa"/>
            <w:vAlign w:val="bottom"/>
            <w:gridSpan w:val="5"/>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780" w:type="dxa"/>
            <w:vAlign w:val="bottom"/>
          </w:tcPr>
          <w:p>
            <w:pPr>
              <w:spacing w:after="0"/>
              <w:rPr>
                <w:sz w:val="21"/>
                <w:szCs w:val="21"/>
                <w:color w:val="auto"/>
              </w:rPr>
            </w:pPr>
          </w:p>
        </w:tc>
      </w:tr>
      <w:tr>
        <w:trPr>
          <w:trHeight w:val="21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91,652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55,212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rPr>
              <w:t>36,440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66.0 %</w:t>
            </w:r>
          </w:p>
        </w:tc>
      </w:tr>
    </w:tbl>
    <w:p>
      <w:pPr>
        <w:spacing w:after="0" w:line="171"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The Company recorded income tax expense of $91.7 million and $55.2 million, which represents an effective tax rate of 25.5% and 26.8% for the years ended December 31, 2023 and 2022, respectively. The income tax expense for the year ended December 31, 2023 includes $21.8 million of tax expense related to the Termination Fee received, under the terms of the Mutual Termination Agreement, net of merger-related expenses, and the release of $5.8 million of state valuation allowance in September 2023. The variance in the Company’s effective tax rate of 25.5% and 26.8% for the years ended December 31, 2023 and 2022, respectively, is primarily attributable to the difference in state taxes, various non-deductible expenses, and a change in state valuation allowance. The variance in the Company’s effective tax rate of 25.5% for the year ended December 31, 2023, compared to the federal statutory rate of 21%, is also primarily attributable to state taxes, various non-deductible expenses, and a change in state valuation allowance.</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231F20"/>
        </w:rPr>
        <w:t>Net Income and Other Comprehensive (Loss) Income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80" w:type="dxa"/>
            <w:vAlign w:val="bottom"/>
          </w:tcPr>
          <w:p>
            <w:pPr>
              <w:spacing w:after="0"/>
              <w:rPr>
                <w:sz w:val="18"/>
                <w:szCs w:val="18"/>
                <w:color w:val="auto"/>
              </w:rPr>
            </w:pPr>
          </w:p>
        </w:tc>
        <w:tc>
          <w:tcPr>
            <w:tcW w:w="2900" w:type="dxa"/>
            <w:vAlign w:val="bottom"/>
            <w:tcBorders>
              <w:bottom w:val="single" w:sz="8" w:color="auto"/>
            </w:tcBorders>
            <w:gridSpan w:val="4"/>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78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80" w:type="dxa"/>
            <w:vAlign w:val="bottom"/>
            <w:gridSpan w:val="6"/>
          </w:tcPr>
          <w:p>
            <w:pPr>
              <w:ind w:left="100"/>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267,090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150,556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116,534</w:t>
            </w: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77.4 %</w:t>
            </w:r>
          </w:p>
        </w:tc>
        <w:tc>
          <w:tcPr>
            <w:tcW w:w="0" w:type="dxa"/>
            <w:vAlign w:val="bottom"/>
          </w:tcPr>
          <w:p>
            <w:pPr>
              <w:spacing w:after="0"/>
              <w:rPr>
                <w:sz w:val="1"/>
                <w:szCs w:val="1"/>
                <w:color w:val="auto"/>
              </w:rPr>
            </w:pPr>
          </w:p>
        </w:tc>
      </w:tr>
      <w:tr>
        <w:trPr>
          <w:trHeight w:val="213"/>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net of tax:</w:t>
            </w: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7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Change in unrealized (loss) gain on cash flow hedge, net of income tax</w:t>
            </w:r>
          </w:p>
        </w:tc>
        <w:tc>
          <w:tcPr>
            <w:tcW w:w="108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(6,181)</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(27,791)</w:t>
            </w:r>
          </w:p>
        </w:tc>
        <w:tc>
          <w:tcPr>
            <w:tcW w:w="5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benefit (expense)</w:t>
            </w:r>
          </w:p>
        </w:tc>
        <w:tc>
          <w:tcPr>
            <w:tcW w:w="10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10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(6,181)</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21,610</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(27,791)</w:t>
            </w:r>
          </w:p>
        </w:tc>
        <w:tc>
          <w:tcPr>
            <w:tcW w:w="58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0" w:type="dxa"/>
            <w:vAlign w:val="bottom"/>
          </w:tcPr>
          <w:p>
            <w:pPr>
              <w:spacing w:after="0"/>
              <w:rPr>
                <w:sz w:val="1"/>
                <w:szCs w:val="1"/>
                <w:color w:val="auto"/>
              </w:rPr>
            </w:pPr>
          </w:p>
        </w:tc>
      </w:tr>
      <w:tr>
        <w:trPr>
          <w:trHeight w:val="237"/>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comprehensive income</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260,909</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172,166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88,743</w:t>
            </w:r>
          </w:p>
        </w:tc>
        <w:tc>
          <w:tcPr>
            <w:tcW w:w="5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51.5 %</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change in net income for the year ended December 31, 2023 was attributable to organic growth from additional revenue related to the factors described in the above sections and the Termination Fee received under the terms of the Mutual Termination Agreement, net of merger-related expenses. There was no comparable activity during the year ended December 31, 2022.</w:t>
      </w:r>
    </w:p>
    <w:p>
      <w:pPr>
        <w:spacing w:after="0" w:line="135"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the change in unrealized (loss) gain on cash flow hedge, net of income tax benefit (expense) was related to the change in fair market value of the $300.0 million interest rate cap hedge executed in October 2021.</w:t>
      </w:r>
    </w:p>
    <w:p>
      <w:pPr>
        <w:spacing w:after="0" w:line="121" w:lineRule="exact"/>
        <w:rPr>
          <w:sz w:val="20"/>
          <w:szCs w:val="20"/>
          <w:color w:val="auto"/>
        </w:rPr>
      </w:pPr>
    </w:p>
    <w:p>
      <w:pPr>
        <w:jc w:val="both"/>
        <w:ind w:right="420" w:firstLine="324"/>
        <w:spacing w:after="0" w:line="266" w:lineRule="auto"/>
        <w:rPr>
          <w:sz w:val="20"/>
          <w:szCs w:val="20"/>
          <w:color w:val="auto"/>
        </w:rPr>
      </w:pPr>
      <w:r>
        <w:rPr>
          <w:rFonts w:ascii="Times New Roman" w:cs="Times New Roman" w:eastAsia="Times New Roman" w:hAnsi="Times New Roman"/>
          <w:sz w:val="18"/>
          <w:szCs w:val="18"/>
          <w:color w:val="auto"/>
        </w:rPr>
        <w:t>Net comprehensive income increased to $260.9 million for the year ended December 31, 2023, compared to net comprehensive income of $172.2 million for the year ended December 31, 2022, primarily as a result of the changes in net income discussed above, partially offset by the impact of the change in fair market value of the interest rate cap hedge discussed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2023 and 2022, the Company’s primary sources of liquidity were cash on hand of $343.8 million and $294.2 million, respectively. As of December 31, 2023, the Company had $394.7 million of borrowings available under its credit facilities (net of $5.3 million undrawn letters of credit issued and outstanding), described further below. During the years ended December 31, 2023 and 2022, the Company’s positive cash flows from operations have enabled investments in pharmacy, infusion suites, and information technology infrastructure to support growth and create additional capacity in the future, as well as to pursue acquisitions and share repurchases.</w:t>
      </w:r>
    </w:p>
    <w:p>
      <w:pPr>
        <w:spacing w:after="0" w:line="156"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Company’s primary uses of cash include supporting our ongoing business activities, investment in capital expenditures in both facilities and technology, and the pursuit of acquisitions and share repurchases. Ongoing operating cash outflows are associated with procuring and dispensing drugs, personnel and other costs associated with servicing patients, as well as paying cash interest on outstanding debt and cash taxes. Ongoing investing cash flows are primarily associated with capital projects and business acquisitions, the improvement and maintenance of our pharmacy facilities and investment in our information technology systems. Ongoing financing cash flows are primarily associated with the quarterly principal payments on our outstanding debt, along with potential future share repurchases.</w:t>
      </w:r>
    </w:p>
    <w:p>
      <w:pPr>
        <w:spacing w:after="0" w:line="14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business strategy includes the deployment of capital to pursue acquisitions that complement our existing operations. We continue to evaluate acquisition opportunities and view acquisitions as a key part of our growth strategy. The Company historically has funded its acquisitions with cash and cash equivalents with the exception of the Merger. The Company may require additional capital in excess of current availability in order to complete future acquisitions. It is impossible to predict the amount of capital that may be required for acquisitions, and there is no assurance that sufficient financing for these activities will be available on acceptable terms.</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Short-Term and Long-Term Liquidity Requirements</w:t>
      </w:r>
    </w:p>
    <w:p>
      <w:pPr>
        <w:spacing w:after="0" w:line="20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Company’s ability to make principal and interest payments on any borrowings under our credit facilities and our ability to fund planned capital expenditures will depend on our ability to generate cash and cash equivalents in the future, which to a certain extent, is subject to general economic, financial, competitive, regulatory and other conditions. Based on our current level of operations and planned capital expenditures, we believe that our existing cash and cash equivalents balances and expected cash flows generated from operations will be sufficient to meet our operating requirements for at least the next 12 months and beyond. We may require additional borrowings under our credit facilities and alternative forms of financings or investments to achieve our longer-term strategic plans.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18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On December 7, 2023, the Company amended its First Lien Credit Agreement to, among other things, create a Revolver Facility which provides for borrowings up to $400.0 million. The Revolver Facility matures on the date that is the earlier of (i) December 7, 2028 and (ii) the date that is 91 days prior to the stated maturity date applicable to any Term B Loans. Borrowings under the Revolver Facility will bear interest at a rate equal to, at the option of the Company, either (i) the Term Secured Overnight Financing Rate (“SOFR”) applicable thereto plus the Applicable Rate or (ii) the then-applicable Base Rate plus the Applicable Rate, which Applicable Rate shall be, subject to certain caveats thereto, as follows (i) until delivery of financial statements and related Compliance Certificate for the first full fiscal quarter ending after the effective date of the Amendment, (A) for Term SOFR Loans, 1.75%, (B) for Base Rate Loans, 0.75% and (ii) thereafter, the following percentages per annum, based upon the Total Net Leverage Ratio as set forth in the most recent compliance certificate received by the Administrative Agent pursuant to the terms of the Credit Agreement. As of December 31, 2023, the Company had $5.3 million of undrawn letters of credit issued and outstanding, resulting in net borrowing availability under the Revolver Facility of $394.7 million. The table below illustrates the aforementioned interest rate terms:</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Pricing Level</w:t>
            </w:r>
          </w:p>
        </w:tc>
        <w:tc>
          <w:tcPr>
            <w:tcW w:w="4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Total Net Leverage Ratio</w:t>
            </w:r>
          </w:p>
        </w:tc>
        <w:tc>
          <w:tcPr>
            <w:tcW w:w="2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Applicable Rate for Term</w:t>
            </w: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Applicable Rate for Base</w:t>
            </w:r>
          </w:p>
        </w:tc>
        <w:tc>
          <w:tcPr>
            <w:tcW w:w="0" w:type="dxa"/>
            <w:vAlign w:val="bottom"/>
          </w:tcPr>
          <w:p>
            <w:pPr>
              <w:spacing w:after="0"/>
              <w:rPr>
                <w:sz w:val="1"/>
                <w:szCs w:val="1"/>
                <w:color w:val="auto"/>
              </w:rPr>
            </w:pPr>
          </w:p>
        </w:tc>
      </w:tr>
      <w:tr>
        <w:trPr>
          <w:trHeight w:val="214"/>
        </w:trPr>
        <w:tc>
          <w:tcPr>
            <w:tcW w:w="2180" w:type="dxa"/>
            <w:vAlign w:val="bottom"/>
            <w:gridSpan w:val="2"/>
            <w:vMerge w:val="continue"/>
          </w:tcPr>
          <w:p>
            <w:pPr>
              <w:spacing w:after="0"/>
              <w:rPr>
                <w:sz w:val="18"/>
                <w:szCs w:val="18"/>
                <w:color w:val="auto"/>
              </w:rPr>
            </w:pPr>
          </w:p>
        </w:tc>
        <w:tc>
          <w:tcPr>
            <w:tcW w:w="4780" w:type="dxa"/>
            <w:vAlign w:val="bottom"/>
            <w:gridSpan w:val="2"/>
            <w:vMerge w:val="continue"/>
          </w:tcPr>
          <w:p>
            <w:pPr>
              <w:spacing w:after="0"/>
              <w:rPr>
                <w:sz w:val="18"/>
                <w:szCs w:val="18"/>
                <w:color w:val="auto"/>
              </w:rPr>
            </w:pPr>
          </w:p>
        </w:tc>
        <w:tc>
          <w:tcPr>
            <w:tcW w:w="2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SOFR Loans</w:t>
            </w: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Rate Loans</w:t>
            </w:r>
          </w:p>
        </w:tc>
        <w:tc>
          <w:tcPr>
            <w:tcW w:w="0" w:type="dxa"/>
            <w:vAlign w:val="bottom"/>
          </w:tcPr>
          <w:p>
            <w:pPr>
              <w:spacing w:after="0"/>
              <w:rPr>
                <w:sz w:val="1"/>
                <w:szCs w:val="1"/>
                <w:color w:val="auto"/>
              </w:rPr>
            </w:pPr>
          </w:p>
        </w:tc>
      </w:tr>
      <w:tr>
        <w:trPr>
          <w:trHeight w:val="211"/>
        </w:trPr>
        <w:tc>
          <w:tcPr>
            <w:tcW w:w="2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I</w:t>
            </w:r>
          </w:p>
        </w:tc>
        <w:tc>
          <w:tcPr>
            <w:tcW w:w="120" w:type="dxa"/>
            <w:vAlign w:val="bottom"/>
            <w:tcBorders>
              <w:top w:val="single" w:sz="8" w:color="CCEEFF"/>
            </w:tcBorders>
            <w:shd w:val="clear" w:color="auto" w:fill="CCEEFF"/>
          </w:tcPr>
          <w:p>
            <w:pPr>
              <w:spacing w:after="0"/>
              <w:rPr>
                <w:sz w:val="18"/>
                <w:szCs w:val="18"/>
                <w:color w:val="auto"/>
              </w:rPr>
            </w:pPr>
          </w:p>
        </w:tc>
        <w:tc>
          <w:tcPr>
            <w:tcW w:w="4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Greater than or equal to 3.00x</w:t>
            </w:r>
          </w:p>
        </w:tc>
        <w:tc>
          <w:tcPr>
            <w:tcW w:w="12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13"/>
        </w:trPr>
        <w:tc>
          <w:tcPr>
            <w:tcW w:w="2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3"/>
              </w:rPr>
              <w:t>II</w:t>
            </w:r>
          </w:p>
        </w:tc>
        <w:tc>
          <w:tcPr>
            <w:tcW w:w="4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Less than 3.00x, but greater than or equal to 2.25x</w:t>
            </w: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9"/>
        </w:trPr>
        <w:tc>
          <w:tcPr>
            <w:tcW w:w="2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III</w:t>
            </w:r>
          </w:p>
        </w:tc>
        <w:tc>
          <w:tcPr>
            <w:tcW w:w="4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Less than 2.25x, but greater than or equal to 1.50x</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0.75%</w:t>
            </w:r>
          </w:p>
        </w:tc>
        <w:tc>
          <w:tcPr>
            <w:tcW w:w="0" w:type="dxa"/>
            <w:vAlign w:val="bottom"/>
          </w:tcPr>
          <w:p>
            <w:pPr>
              <w:spacing w:after="0"/>
              <w:rPr>
                <w:sz w:val="1"/>
                <w:szCs w:val="1"/>
                <w:color w:val="auto"/>
              </w:rPr>
            </w:pPr>
          </w:p>
        </w:tc>
      </w:tr>
      <w:tr>
        <w:trPr>
          <w:trHeight w:val="213"/>
        </w:trPr>
        <w:tc>
          <w:tcPr>
            <w:tcW w:w="2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IV</w:t>
            </w:r>
          </w:p>
        </w:tc>
        <w:tc>
          <w:tcPr>
            <w:tcW w:w="4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Less than 1.50x, but greater than or equal to 1.00x</w:t>
            </w: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0.50%</w:t>
            </w:r>
          </w:p>
        </w:tc>
        <w:tc>
          <w:tcPr>
            <w:tcW w:w="0" w:type="dxa"/>
            <w:vAlign w:val="bottom"/>
          </w:tcPr>
          <w:p>
            <w:pPr>
              <w:spacing w:after="0"/>
              <w:rPr>
                <w:sz w:val="1"/>
                <w:szCs w:val="1"/>
                <w:color w:val="auto"/>
              </w:rPr>
            </w:pPr>
          </w:p>
        </w:tc>
      </w:tr>
      <w:tr>
        <w:trPr>
          <w:trHeight w:val="219"/>
        </w:trPr>
        <w:tc>
          <w:tcPr>
            <w:tcW w:w="2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V</w:t>
            </w:r>
          </w:p>
        </w:tc>
        <w:tc>
          <w:tcPr>
            <w:tcW w:w="4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Less than 1.00x</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0.25%</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Concurrently with the creation of the Revolver Facility, the Company terminated the asset-based-lending revolving credit facility, which provided for borrowings up to $225.0 million with a maturity date of October 27, 2026 (the “ABL Facility”). The ABL Facility bore interest at a rate equal to, at the Company’s election, either (i) a base rate determined in accordance with the ABL Credit Agreement plus an applicable margin, which is equal to between 0.25% and 0.75% based on the historical excess availability as a percentage of the Line Cap (as such term is defined in the ABL Credit Agreement) and (ii) SOFR (with a floor of 0.00% per annum) plus an applicable margin, which is equal to between 1.25% and 1.75% based on the historical excess availability as a percentage of the Line Cap. As of December 31, 2023, the Company’s ABL Facility was terminated. Effective January 13, 2023, the Company entered into an agreement to amend the ABL Facility and increase the amount of borrowing availability by $50.0 million to $225.0 million total borrowing availability. As a result of the amended agreement, SOFR was established as the new reference rate, replacing LIBOR.</w:t>
      </w:r>
    </w:p>
    <w:p>
      <w:pPr>
        <w:spacing w:after="0" w:line="15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Effective June 30, 2023, the Company entered into an agreement, dated as of June 8, 2023, to amend the First Lien Term Loan to replace LIBOR and related definitions and provisions with SOFR as the new reference rate. The principal balance of the First Lien Term Loan is repayable in quarterly installments of $1.5 million plus interest, with a final payment of all remaining outstanding principal due on October 27, 2028. The quarterly principal payments commenced in March 2022. Interest on the First Lien Term Loan is payable monthly on either (i) SOFR (with a floor of 0.50% per annum) plus an applicable margin of 2.75% for Term SOFR Loans (as such term is defined in the First Lien Credit Agreement Amendment); or (ii) a base rate determined in accordance with the new First Lien Credit Agreement Amendment, plus 1.75% for Base Rate Loans (as such term is defined in the First Lien Credit Agreement Amendment).</w:t>
      </w:r>
    </w:p>
    <w:p>
      <w:pPr>
        <w:spacing w:after="0" w:line="14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Senior Notes bear interest at a rate of 4.375% per annum, which are payable semi-annually in arrears on October 31 and April 30 of each year, and which began on April 30, 2022. The Senior Notes mature on October 31, 2029.</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payments over the course of long-term debt obligations total an estimated $359.8 million based on final maturity dates of the Company’s credit facilities. Interest payments are calculated based on current rates as of December 31, 2023. Actual payments are based on changes in SOFR and exclude the interest rate cap derivative instrument.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2023 Compared to Year Ended December 31, 2022</w:t>
      </w:r>
    </w:p>
    <w:p>
      <w:pPr>
        <w:spacing w:after="0" w:line="202"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selected data from Option Care Health’s consolidated statements of cash flows for the years ended December 31, 2023 and 2022:</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40" w:type="dxa"/>
            <w:vAlign w:val="bottom"/>
          </w:tcPr>
          <w:p>
            <w:pPr>
              <w:spacing w:after="0"/>
              <w:rPr>
                <w:sz w:val="18"/>
                <w:szCs w:val="18"/>
                <w:color w:val="auto"/>
              </w:rPr>
            </w:pPr>
          </w:p>
        </w:tc>
        <w:tc>
          <w:tcPr>
            <w:tcW w:w="3740" w:type="dxa"/>
            <w:vAlign w:val="bottom"/>
            <w:gridSpan w:val="6"/>
          </w:tcPr>
          <w:p>
            <w:pPr>
              <w:ind w:left="9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1"/>
        </w:trPr>
        <w:tc>
          <w:tcPr>
            <w:tcW w:w="574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Variance</w:t>
            </w:r>
          </w:p>
        </w:tc>
      </w:tr>
      <w:tr>
        <w:trPr>
          <w:trHeight w:val="249"/>
        </w:trPr>
        <w:tc>
          <w:tcPr>
            <w:tcW w:w="57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1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371,295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267,547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103,748</w:t>
            </w:r>
          </w:p>
        </w:tc>
      </w:tr>
      <w:tr>
        <w:trPr>
          <w:trHeight w:val="213"/>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(56,506)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(108,052)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51,546</w:t>
            </w:r>
          </w:p>
        </w:tc>
      </w:tr>
      <w:tr>
        <w:trPr>
          <w:trHeight w:val="21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(265,126)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(280,394)</w:t>
            </w:r>
          </w:p>
        </w:tc>
      </w:tr>
      <w:tr>
        <w:trPr>
          <w:trHeight w:val="207"/>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10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49,663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174,763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(125,100)</w:t>
            </w:r>
          </w:p>
        </w:tc>
      </w:tr>
      <w:tr>
        <w:trPr>
          <w:trHeight w:val="21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 beginning of period</w:t>
            </w:r>
          </w:p>
        </w:tc>
        <w:tc>
          <w:tcPr>
            <w:tcW w:w="10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294,186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119,423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174,763</w:t>
            </w:r>
          </w:p>
        </w:tc>
      </w:tr>
      <w:tr>
        <w:trPr>
          <w:trHeight w:val="212"/>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 end of period</w:t>
            </w: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343,849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294,186</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49,663</w:t>
            </w:r>
          </w:p>
        </w:tc>
      </w:tr>
      <w:tr>
        <w:trPr>
          <w:trHeight w:val="20"/>
        </w:trPr>
        <w:tc>
          <w:tcPr>
            <w:tcW w:w="57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8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increase in cash provided by operating activities is primarily due to higher net income, the Termination Fee received under the terms of the Mutual Termination Agreement, net of merger-related expenses and taxes, stock-based incentive compensation expense, changes in accrued compensation and employee benefits, timing of collections on accounts receivable, partially offset by cash paid for taxes, changes in inventory, and certain accruals and timing of vendor payments during the year ended December 31, 2023 as compared to the year ended December 31, 2022.</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89" w:lineRule="exact"/>
        <w:rPr>
          <w:sz w:val="20"/>
          <w:szCs w:val="20"/>
          <w:color w:val="auto"/>
        </w:rPr>
      </w:pPr>
    </w:p>
    <w:p>
      <w:pPr>
        <w:jc w:val="both"/>
        <w:ind w:right="420"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decrease in cash used in investing activities during the year ended December 31, 2023 is primarily due to a decrease in acquisition activity as compared to the year ended December 31, 2022. See Note 3, </w:t>
      </w:r>
      <w:r>
        <w:rPr>
          <w:rFonts w:ascii="Times New Roman" w:cs="Times New Roman" w:eastAsia="Times New Roman" w:hAnsi="Times New Roman"/>
          <w:sz w:val="18"/>
          <w:szCs w:val="18"/>
          <w:i w:val="1"/>
          <w:iCs w:val="1"/>
          <w:color w:val="auto"/>
        </w:rPr>
        <w:t>Business Acquisitions and Divestitures</w:t>
      </w:r>
      <w:r>
        <w:rPr>
          <w:rFonts w:ascii="Times New Roman" w:cs="Times New Roman" w:eastAsia="Times New Roman" w:hAnsi="Times New Roman"/>
          <w:sz w:val="18"/>
          <w:szCs w:val="18"/>
          <w:color w:val="auto"/>
        </w:rPr>
        <w:t>, of the consolidated financial statements for more information.</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02" w:lineRule="exact"/>
        <w:rPr>
          <w:sz w:val="20"/>
          <w:szCs w:val="20"/>
          <w:color w:val="auto"/>
        </w:rPr>
      </w:pPr>
    </w:p>
    <w:p>
      <w:pPr>
        <w:ind w:right="320" w:firstLine="324"/>
        <w:spacing w:after="0" w:line="312" w:lineRule="auto"/>
        <w:rPr>
          <w:sz w:val="20"/>
          <w:szCs w:val="20"/>
          <w:color w:val="auto"/>
        </w:rPr>
      </w:pPr>
      <w:r>
        <w:rPr>
          <w:rFonts w:ascii="Times New Roman" w:cs="Times New Roman" w:eastAsia="Times New Roman" w:hAnsi="Times New Roman"/>
          <w:sz w:val="17"/>
          <w:szCs w:val="17"/>
          <w:color w:val="auto"/>
        </w:rPr>
        <w:t>The cash used in financing activities is primarily related to the Company’s repurchase of common stock during the year ended December 31, 2023, whereas the cash provided by financing activities in the year ended December 31, 2022 was primarily related to the proceeds of warrant exercises.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Company prepares its consolidated financial statements in accordance with United States generally accepted accounting principles (“GAAP”), which requires the Company to make estimates and assumptions. The Company evaluates its estimates and judgments on an ongoing basis. Estimates and judgments are based on historical experience and on various other factors that are believed to be reasonable under the circumstances, the results of which form the basis for making judgments about the carrying values of assets and liabilities at the date of the financial statements and the reported amounts of revenues and expenses for the period presented. The Company’s actual results may differ from these estimates, and different assumptions or conditions may yield different estimates.</w:t>
      </w:r>
    </w:p>
    <w:p>
      <w:pPr>
        <w:spacing w:after="0" w:line="160"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following discussion is not intended to be a comprehensive list of all the accounting policies, estimates or judgments made in the preparation of our financial statements. A discussion of our significant accounting policies, including further discussion of the accounting policies described below, can be found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within the notes to the consolidated financial statements included in Item 8 of this Annual Report.</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Accounts Receivable</w:t>
      </w:r>
    </w:p>
    <w:p>
      <w:pPr>
        <w:spacing w:after="0" w:line="18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Net revenue is reported at the net realizable value amount that reflects the consideration the Company expects to receive in exchange for providing services. Revenues are from commercial payers, government payers, and patients for goods and services provided and are based on a gross price based on payer contracts, fee schedules, or other arrangements less any implicit price concessions.</w:t>
      </w:r>
    </w:p>
    <w:p>
      <w:pPr>
        <w:spacing w:after="0" w:line="14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Due to the nature of the healthcare industry and the reimbursement environment in which the Company operates, certain estimates are required to record revenue and accounts receivable at their net realizable values at the time goods or services are provided. Inherent in these estimates is the risk that they will have to be revised or updated as additional information becomes available.</w:t>
      </w:r>
    </w:p>
    <w:p>
      <w:pPr>
        <w:spacing w:after="0" w:line="135" w:lineRule="exact"/>
        <w:rPr>
          <w:sz w:val="20"/>
          <w:szCs w:val="20"/>
          <w:color w:val="auto"/>
        </w:rPr>
      </w:pPr>
    </w:p>
    <w:p>
      <w:pPr>
        <w:jc w:val="both"/>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Company assesses the expected consideration to be received at the time of patient acceptance based on the verification of the patient’s insurance coverage, historical information with the patient, similar patients, or the payer. Performance obligations are determined based on the nature of the services provided by the Company. The majority of the Company’s performance obligations are to provide infusion services to deliver medicine, nutrients, or fluids directly into the body.</w:t>
      </w:r>
    </w:p>
    <w:p>
      <w:pPr>
        <w:spacing w:after="0" w:line="13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Company provides a variety of infusion-related therapies to patients, which frequently include multiple deliverables of pharmaceutical drugs and related nursing services. After applying the criteria from Accounting Standards Codification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the Company concluded that multiple performance obligations exist in its contracts with its customers. Revenue is allocated to each performance obligation based on relative standalone price, determined based on reimbursement rates established in the third-party payer contracts. Pharmaceutical drug revenue is recognized at the time the pharmaceutical drug is delivered to the patient, and nursing revenue is recognized on the date of service.</w:t>
      </w:r>
    </w:p>
    <w:p>
      <w:pPr>
        <w:spacing w:after="0" w:line="160"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Company’s accounts receivable are reported at the net realizable value amount that reflects the consideration the Company expects to receive in exchange for providing services, which is inclusive of adjustments for price concessions. The majority of accounts receivable are due from private insurance carriers and governmental healthcare programs, such as Medicare and Medicaid.</w:t>
      </w:r>
    </w:p>
    <w:p>
      <w:pPr>
        <w:spacing w:after="0" w:line="135"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Price concessions may result from patient hardships, patient uncollectible accounts sent to collection agencies, lack of recovery due to not receiving prior authorization, differing interpretations of covered therapies in payer contracts, different pricing methodologies, or various other reasons.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Included in accounts receivable are earned but unbilled gross receivables. Delays ranging from one day up to several weeks between the date of service and billing can occur due to delays in obtaining certain required payer-specific documentation from internal and external sources.</w:t>
      </w:r>
    </w:p>
    <w:p>
      <w:pPr>
        <w:spacing w:after="0" w:line="13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After applying the criteria from ASC 606, an allowance for doubtful accounts is established only as a result of an adverse change in the payers’ ability to pay outstanding billings. As of December 31, 2023 and 2022, the Company had no allowance for doubtful accounts. The Company recorded an allowance for implicit price concessions based on its historical experience of additional revenue being recorded or revenue being written off when amounts received are greater than or less than the originally estimated net realizable value. The detailed assessments included, among other factors, current over/under payments which had not yet been applied to an account, historical contractual adjustments, and historical payments. Contractual allowance estimates are adjusted to actual amounts as cash is received and claims are settled.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Business Acquisitions</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business acquisitions in accordance with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with assets and liabilities being recorded at their acquisition date fair values and goodwill being calculated as the purchase price in excess of the net identifiable assets. The application of ASC 805 requires management to make estimates and assumptions when determining the acquisition date fair values of acquired assets and assumed liabilities. Management’s estimates and assumptions include, but are not limited to, the future cash flows an asset is expected to generate and the weighted-average cost of capital. See Note 3, </w:t>
      </w:r>
      <w:r>
        <w:rPr>
          <w:rFonts w:ascii="Times New Roman" w:cs="Times New Roman" w:eastAsia="Times New Roman" w:hAnsi="Times New Roman"/>
          <w:sz w:val="18"/>
          <w:szCs w:val="18"/>
          <w:i w:val="1"/>
          <w:iCs w:val="1"/>
          <w:color w:val="auto"/>
        </w:rPr>
        <w:t>Business Acquisitions and Divestitures</w:t>
      </w:r>
      <w:r>
        <w:rPr>
          <w:rFonts w:ascii="Times New Roman" w:cs="Times New Roman" w:eastAsia="Times New Roman" w:hAnsi="Times New Roman"/>
          <w:sz w:val="18"/>
          <w:szCs w:val="18"/>
          <w:color w:val="auto"/>
        </w:rPr>
        <w:t>, for further discussion of business acquisitions.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8"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61" w:lineRule="exact"/>
        <w:rPr>
          <w:sz w:val="20"/>
          <w:szCs w:val="20"/>
          <w:color w:val="auto"/>
        </w:rPr>
      </w:pPr>
    </w:p>
    <w:p>
      <w:pPr>
        <w:ind w:firstLine="324"/>
        <w:spacing w:after="0" w:line="231" w:lineRule="exact"/>
        <w:rPr>
          <w:sz w:val="20"/>
          <w:szCs w:val="20"/>
          <w:color w:val="auto"/>
        </w:rPr>
      </w:pPr>
      <w:r>
        <w:rPr>
          <w:rFonts w:ascii="Times New Roman" w:cs="Times New Roman" w:eastAsia="Times New Roman" w:hAnsi="Times New Roman"/>
          <w:sz w:val="18"/>
          <w:szCs w:val="18"/>
          <w:color w:val="auto"/>
        </w:rPr>
        <w:t>The Company’s primary market risk exposure is changing SOFR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based interest rates. Interest rate risk is highly sensitive due to many factors, including U.S. monetary and tax policies, U.S. and international economic factors and other factors beyond our control. At December 31, 2023, we had outstanding debt of $588.0 million under our First Lien Term Loan with a variable interest rate component. See Note 11, </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of the consolidated financial statements for more information.</w:t>
      </w:r>
    </w:p>
    <w:p>
      <w:pPr>
        <w:spacing w:after="0" w:line="15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To reduce interest rate risk, the Company has utilized an interest rate derivative contract to hedge against fluctuations in SOFR rates on the First Lien Term Loan. In conjunction with the October 2021 debt refinancing, the Company entered into an interest rate cap hedge with a notional amount of $300.0 million for a five-year term, effective on November 30, 2021. See Note 12,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of the consolidated financial statements for more information.</w:t>
      </w:r>
    </w:p>
    <w:p>
      <w:pPr>
        <w:spacing w:after="0" w:line="13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A hypothetical 100-basis point increase or decrease in market interest rates associated with the unhedged variable-rate debt over a 12-month period would result in a change to interest expense of approximately $2.9 million.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Financial Statements and Supplementary Data</w:t>
      </w:r>
    </w:p>
    <w:p>
      <w:pPr>
        <w:spacing w:after="0" w:line="18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Care Health, Inc.:</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06"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Option Care Health, Inc. and subsidiaries (the Company) as of December 31, 2023 and 2022, the related consolidated statements of comprehensive income, stockholders’ equity, and cash flows for each of the years in the three-year period ended December 31, 2023, and the related notes (collectively, the consolidated financial statements). In our opinion, the consolidated financial statements present fairly, in all material respects, the financial position of the Company as of December 31, 2023 and 2022, and the results of its operations and its cash flows for each of the years in the three-year period ended December 31, 2023, in conformity with U.S. generally accepted accounting principles.</w:t>
      </w:r>
    </w:p>
    <w:p>
      <w:pPr>
        <w:spacing w:after="0" w:line="1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2023, based on criteria established in Internal Control – Integrated Framework (2013) issued by the Committee of Sponsoring Organizations of the Treadway Commission, and our report dated February 22, 2024 expressed an unqualified opinion on the effectiveness of the Company’s internal control over financial reporting.</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9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3"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10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Sufficiency of audit evidence over the evaluation of transaction price adjustments</w:t>
      </w:r>
    </w:p>
    <w:p>
      <w:pPr>
        <w:spacing w:after="0" w:line="106" w:lineRule="exact"/>
        <w:rPr>
          <w:sz w:val="20"/>
          <w:szCs w:val="20"/>
          <w:color w:val="auto"/>
        </w:rPr>
      </w:pPr>
    </w:p>
    <w:p>
      <w:pPr>
        <w:ind w:left="340" w:right="400"/>
        <w:spacing w:after="0" w:line="261" w:lineRule="auto"/>
        <w:rPr>
          <w:sz w:val="20"/>
          <w:szCs w:val="20"/>
          <w:color w:val="auto"/>
        </w:rPr>
      </w:pPr>
      <w:r>
        <w:rPr>
          <w:rFonts w:ascii="Times New Roman" w:cs="Times New Roman" w:eastAsia="Times New Roman" w:hAnsi="Times New Roman"/>
          <w:sz w:val="18"/>
          <w:szCs w:val="18"/>
          <w:color w:val="auto"/>
        </w:rPr>
        <w:t>As discussed in Notes 2 and 4 to the consolidated financial statements, net revenue is reported at the net realizable value amount that reflects the consideration the Company expects to receive in exchange for providing services. Revenues are from commercial payers, government payers, and patients for infusion therapy and other ancillary health care services. The Company estimates the transaction price adjustments based on the verification of the patient’s insurance coverage, historical price concessions, and historical payments.</w:t>
      </w:r>
    </w:p>
    <w:p>
      <w:pPr>
        <w:spacing w:after="0" w:line="139" w:lineRule="exact"/>
        <w:rPr>
          <w:sz w:val="20"/>
          <w:szCs w:val="20"/>
          <w:color w:val="auto"/>
        </w:rPr>
      </w:pPr>
    </w:p>
    <w:p>
      <w:pPr>
        <w:ind w:left="340" w:right="460"/>
        <w:spacing w:after="0" w:line="266" w:lineRule="auto"/>
        <w:rPr>
          <w:sz w:val="20"/>
          <w:szCs w:val="20"/>
          <w:color w:val="auto"/>
        </w:rPr>
      </w:pPr>
      <w:r>
        <w:rPr>
          <w:rFonts w:ascii="Times New Roman" w:cs="Times New Roman" w:eastAsia="Times New Roman" w:hAnsi="Times New Roman"/>
          <w:sz w:val="18"/>
          <w:szCs w:val="18"/>
          <w:color w:val="auto"/>
        </w:rPr>
        <w:t>We identified the sufficiency of audit evidence over the evaluation of transaction price adjustments as a critical audit matter. Complex auditor judgment was required to evaluate the sufficiency of audit evidence obtained due to the large volume of data and the information technology (IT) applications utilized in the transaction price adjustment process to capture and aggregate the data.</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line="256"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over the Company’s transaction price adjustment process, including general IT controls and IT application controls. We involved IT professionals with specialized skills and knowledge who assisted in the identification and testing of certain IT systems used by the Company for processing and recording of transaction price adjustments. We tested the relevance and reliability of the underlying data that served as the basis for the transaction price adjustments by agreeing a selection of certain data elements to underlying support. We assessed the sufficiency of audit evidence obtained related to transaction price adjustments by evaluating the cumulative results of the audit procedures.</w:t>
      </w:r>
    </w:p>
    <w:p>
      <w:pPr>
        <w:spacing w:after="0" w:line="14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 KPMG LLP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2024</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8" w:right="4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CARE HEALTH,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AMOUNTS)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6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98"/>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343,849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294,186</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377,658</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377,542</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274,004</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224,281</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98,744</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98,330</w:t>
            </w:r>
          </w:p>
        </w:tc>
        <w:tc>
          <w:tcPr>
            <w:tcW w:w="0" w:type="dxa"/>
            <w:vAlign w:val="bottom"/>
          </w:tcPr>
          <w:p>
            <w:pPr>
              <w:spacing w:after="0"/>
              <w:rPr>
                <w:sz w:val="1"/>
                <w:szCs w:val="1"/>
                <w:color w:val="auto"/>
              </w:rPr>
            </w:pPr>
          </w:p>
        </w:tc>
      </w:tr>
      <w:tr>
        <w:trPr>
          <w:trHeight w:val="209"/>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10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1,094,255</w:t>
            </w: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994,339</w:t>
            </w:r>
          </w:p>
        </w:tc>
        <w:tc>
          <w:tcPr>
            <w:tcW w:w="0" w:type="dxa"/>
            <w:vAlign w:val="bottom"/>
          </w:tcPr>
          <w:p>
            <w:pPr>
              <w:spacing w:after="0"/>
              <w:rPr>
                <w:sz w:val="1"/>
                <w:szCs w:val="1"/>
                <w:color w:val="auto"/>
              </w:rPr>
            </w:pPr>
          </w:p>
        </w:tc>
      </w:tr>
      <w:tr>
        <w:trPr>
          <w:trHeight w:val="239"/>
        </w:trPr>
        <w:tc>
          <w:tcPr>
            <w:tcW w:w="76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ASSETS:</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120,630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108,321</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right-of-use asset</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84,159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72,424</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Intangible assets, net</w:t>
            </w: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20,092</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22,371</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Referral sources, net</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315,304</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341,744</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1,540,246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1,533,424</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noncurrent assets</w:t>
            </w:r>
          </w:p>
        </w:tc>
        <w:tc>
          <w:tcPr>
            <w:tcW w:w="10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42,349</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40,313</w:t>
            </w:r>
          </w:p>
        </w:tc>
        <w:tc>
          <w:tcPr>
            <w:tcW w:w="0" w:type="dxa"/>
            <w:vAlign w:val="bottom"/>
          </w:tcPr>
          <w:p>
            <w:pPr>
              <w:spacing w:after="0"/>
              <w:rPr>
                <w:sz w:val="1"/>
                <w:szCs w:val="1"/>
                <w:color w:val="auto"/>
              </w:rPr>
            </w:pPr>
          </w:p>
        </w:tc>
      </w:tr>
      <w:tr>
        <w:trPr>
          <w:trHeight w:val="207"/>
        </w:trPr>
        <w:tc>
          <w:tcPr>
            <w:tcW w:w="7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noncurrent assets</w:t>
            </w:r>
          </w:p>
        </w:tc>
        <w:tc>
          <w:tcPr>
            <w:tcW w:w="10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2,122,780</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2,118,597</w:t>
            </w:r>
          </w:p>
        </w:tc>
        <w:tc>
          <w:tcPr>
            <w:tcW w:w="0" w:type="dxa"/>
            <w:vAlign w:val="bottom"/>
          </w:tcPr>
          <w:p>
            <w:pPr>
              <w:spacing w:after="0"/>
              <w:rPr>
                <w:sz w:val="1"/>
                <w:szCs w:val="1"/>
                <w:color w:val="auto"/>
              </w:rPr>
            </w:pPr>
          </w:p>
        </w:tc>
      </w:tr>
      <w:tr>
        <w:trPr>
          <w:trHeight w:val="237"/>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3,217,035</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3,112,936</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426,513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378,763</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compensation and employee benefits</w:t>
            </w: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92,508</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76,906</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75,010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84,302</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operating lease liability</w:t>
            </w: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18,278</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19,380</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0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0" w:type="dxa"/>
            <w:vAlign w:val="bottom"/>
          </w:tcPr>
          <w:p>
            <w:pPr>
              <w:spacing w:after="0"/>
              <w:rPr>
                <w:sz w:val="1"/>
                <w:szCs w:val="1"/>
                <w:color w:val="auto"/>
              </w:rPr>
            </w:pPr>
          </w:p>
        </w:tc>
      </w:tr>
      <w:tr>
        <w:trPr>
          <w:trHeight w:val="207"/>
        </w:trPr>
        <w:tc>
          <w:tcPr>
            <w:tcW w:w="7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0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618,309</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565,351</w:t>
            </w:r>
          </w:p>
        </w:tc>
        <w:tc>
          <w:tcPr>
            <w:tcW w:w="0" w:type="dxa"/>
            <w:vAlign w:val="bottom"/>
          </w:tcPr>
          <w:p>
            <w:pPr>
              <w:spacing w:after="0"/>
              <w:rPr>
                <w:sz w:val="1"/>
                <w:szCs w:val="1"/>
                <w:color w:val="auto"/>
              </w:rPr>
            </w:pPr>
          </w:p>
        </w:tc>
      </w:tr>
      <w:tr>
        <w:trPr>
          <w:trHeight w:val="239"/>
        </w:trPr>
        <w:tc>
          <w:tcPr>
            <w:tcW w:w="76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LIABILITIES:</w:t>
            </w: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 net of discount, deferred financing costs and current portion</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1,056,650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1,058,204</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liability, net of current portion</w:t>
            </w: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85,484</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71,441</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34,920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22,154</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0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9,683</w:t>
            </w:r>
          </w:p>
        </w:tc>
        <w:tc>
          <w:tcPr>
            <w:tcW w:w="0" w:type="dxa"/>
            <w:vAlign w:val="bottom"/>
          </w:tcPr>
          <w:p>
            <w:pPr>
              <w:spacing w:after="0"/>
              <w:rPr>
                <w:sz w:val="1"/>
                <w:szCs w:val="1"/>
                <w:color w:val="auto"/>
              </w:rPr>
            </w:pPr>
          </w:p>
        </w:tc>
      </w:tr>
      <w:tr>
        <w:trPr>
          <w:trHeight w:val="212"/>
        </w:trPr>
        <w:tc>
          <w:tcPr>
            <w:tcW w:w="76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10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1,177,054</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1,161,482</w:t>
            </w:r>
          </w:p>
        </w:tc>
        <w:tc>
          <w:tcPr>
            <w:tcW w:w="0" w:type="dxa"/>
            <w:vAlign w:val="bottom"/>
          </w:tcPr>
          <w:p>
            <w:pPr>
              <w:spacing w:after="0"/>
              <w:rPr>
                <w:sz w:val="1"/>
                <w:szCs w:val="1"/>
                <w:color w:val="auto"/>
              </w:rPr>
            </w:pPr>
          </w:p>
        </w:tc>
      </w:tr>
      <w:tr>
        <w:trPr>
          <w:trHeight w:val="207"/>
        </w:trPr>
        <w:tc>
          <w:tcPr>
            <w:tcW w:w="7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10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1,795,363</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1,726,833</w:t>
            </w:r>
          </w:p>
        </w:tc>
        <w:tc>
          <w:tcPr>
            <w:tcW w:w="0" w:type="dxa"/>
            <w:vAlign w:val="bottom"/>
          </w:tcPr>
          <w:p>
            <w:pPr>
              <w:spacing w:after="0"/>
              <w:rPr>
                <w:sz w:val="1"/>
                <w:szCs w:val="1"/>
                <w:color w:val="auto"/>
              </w:rPr>
            </w:pPr>
          </w:p>
        </w:tc>
      </w:tr>
      <w:tr>
        <w:trPr>
          <w:trHeight w:val="239"/>
        </w:trPr>
        <w:tc>
          <w:tcPr>
            <w:tcW w:w="76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60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Preferred stock; $0.0001 par value; 12,500,000 shares authorized, no shares outstanding as of December 31, 2023</w:t>
            </w:r>
          </w:p>
        </w:tc>
        <w:tc>
          <w:tcPr>
            <w:tcW w:w="10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and 2022, respectively.</w:t>
            </w:r>
          </w:p>
        </w:tc>
        <w:tc>
          <w:tcPr>
            <w:tcW w:w="10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Common stock; $0.0001 par value: 250,000,000 shares authorized, 182,905,559 shares issued and 174,575,537</w:t>
            </w: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shares outstanding as of December 31, 2023; 182,341,420 shares issued and 181,957,698 shares outstanding as of</w:t>
            </w:r>
          </w:p>
        </w:tc>
        <w:tc>
          <w:tcPr>
            <w:tcW w:w="10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December 31, 2022.</w:t>
            </w:r>
          </w:p>
        </w:tc>
        <w:tc>
          <w:tcPr>
            <w:tcW w:w="10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60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Treasury stock; 8,330,022 and 383,722 shares outstanding, at cost, as of December 31, 2023 and 2022,</w:t>
            </w:r>
          </w:p>
        </w:tc>
        <w:tc>
          <w:tcPr>
            <w:tcW w:w="10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(255,107)</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(2,403)</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respectively.</w:t>
            </w:r>
          </w:p>
        </w:tc>
        <w:tc>
          <w:tcPr>
            <w:tcW w:w="10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Paid-in capital</w:t>
            </w: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1,204,270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1,176,906</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457,513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190,423</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0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14,978</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21,159</w:t>
            </w:r>
          </w:p>
        </w:tc>
        <w:tc>
          <w:tcPr>
            <w:tcW w:w="0" w:type="dxa"/>
            <w:vAlign w:val="bottom"/>
          </w:tcPr>
          <w:p>
            <w:pPr>
              <w:spacing w:after="0"/>
              <w:rPr>
                <w:sz w:val="1"/>
                <w:szCs w:val="1"/>
                <w:color w:val="auto"/>
              </w:rPr>
            </w:pPr>
          </w:p>
        </w:tc>
      </w:tr>
      <w:tr>
        <w:trPr>
          <w:trHeight w:val="209"/>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0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1,421,672</w:t>
            </w: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1,386,103</w:t>
            </w:r>
          </w:p>
        </w:tc>
        <w:tc>
          <w:tcPr>
            <w:tcW w:w="0" w:type="dxa"/>
            <w:vAlign w:val="bottom"/>
          </w:tcPr>
          <w:p>
            <w:pPr>
              <w:spacing w:after="0"/>
              <w:rPr>
                <w:sz w:val="1"/>
                <w:szCs w:val="1"/>
                <w:color w:val="auto"/>
              </w:rPr>
            </w:pPr>
          </w:p>
        </w:tc>
      </w:tr>
      <w:tr>
        <w:trPr>
          <w:trHeight w:val="212"/>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3,217,035</w:t>
            </w:r>
          </w:p>
        </w:tc>
        <w:tc>
          <w:tcPr>
            <w:tcW w:w="120" w:type="dxa"/>
            <w:vAlign w:val="bottom"/>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3,112,936</w:t>
            </w:r>
          </w:p>
        </w:tc>
        <w:tc>
          <w:tcPr>
            <w:tcW w:w="0" w:type="dxa"/>
            <w:vAlign w:val="bottom"/>
          </w:tcPr>
          <w:p>
            <w:pPr>
              <w:spacing w:after="0"/>
              <w:rPr>
                <w:sz w:val="1"/>
                <w:szCs w:val="1"/>
                <w:color w:val="auto"/>
              </w:rPr>
            </w:pPr>
          </w:p>
        </w:tc>
      </w:tr>
      <w:tr>
        <w:trPr>
          <w:trHeight w:val="21"/>
        </w:trPr>
        <w:tc>
          <w:tcPr>
            <w:tcW w:w="76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to consolidated financial statements are an integral part of these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CARE HEALTH,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4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7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1"/>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4,302,324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3,944,735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3,438,640</w:t>
            </w:r>
          </w:p>
        </w:tc>
        <w:tc>
          <w:tcPr>
            <w:tcW w:w="0" w:type="dxa"/>
            <w:vAlign w:val="bottom"/>
          </w:tcPr>
          <w:p>
            <w:pPr>
              <w:spacing w:after="0"/>
              <w:rPr>
                <w:sz w:val="1"/>
                <w:szCs w:val="1"/>
                <w:color w:val="auto"/>
              </w:rPr>
            </w:pPr>
          </w:p>
        </w:tc>
      </w:tr>
      <w:tr>
        <w:trPr>
          <w:trHeight w:val="213"/>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0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3,321,101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3,077,817</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2,659,034</w:t>
            </w:r>
          </w:p>
        </w:tc>
        <w:tc>
          <w:tcPr>
            <w:tcW w:w="0" w:type="dxa"/>
            <w:vAlign w:val="bottom"/>
          </w:tcPr>
          <w:p>
            <w:pPr>
              <w:spacing w:after="0"/>
              <w:rPr>
                <w:sz w:val="1"/>
                <w:szCs w:val="1"/>
                <w:color w:val="auto"/>
              </w:rPr>
            </w:pPr>
          </w:p>
        </w:tc>
      </w:tr>
      <w:tr>
        <w:trPr>
          <w:trHeight w:val="212"/>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981,223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866,918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779,606</w:t>
            </w:r>
          </w:p>
        </w:tc>
        <w:tc>
          <w:tcPr>
            <w:tcW w:w="0" w:type="dxa"/>
            <w:vAlign w:val="bottom"/>
          </w:tcPr>
          <w:p>
            <w:pPr>
              <w:spacing w:after="0"/>
              <w:rPr>
                <w:sz w:val="1"/>
                <w:szCs w:val="1"/>
                <w:color w:val="auto"/>
              </w:rPr>
            </w:pPr>
          </w:p>
        </w:tc>
      </w:tr>
      <w:tr>
        <w:trPr>
          <w:trHeight w:val="257"/>
        </w:trPr>
        <w:tc>
          <w:tcPr>
            <w:tcW w:w="57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COSTS AND EXPENSES:</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607,427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566,122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525,707</w:t>
            </w: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0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59,201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60,565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63,058</w:t>
            </w:r>
          </w:p>
        </w:tc>
        <w:tc>
          <w:tcPr>
            <w:tcW w:w="0" w:type="dxa"/>
            <w:vAlign w:val="bottom"/>
          </w:tcPr>
          <w:p>
            <w:pPr>
              <w:spacing w:after="0"/>
              <w:rPr>
                <w:sz w:val="1"/>
                <w:szCs w:val="1"/>
                <w:color w:val="auto"/>
              </w:rPr>
            </w:pPr>
          </w:p>
        </w:tc>
      </w:tr>
      <w:tr>
        <w:trPr>
          <w:trHeight w:val="207"/>
        </w:trPr>
        <w:tc>
          <w:tcPr>
            <w:tcW w:w="5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666,628</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626,687</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588,765</w:t>
            </w:r>
          </w:p>
        </w:tc>
        <w:tc>
          <w:tcPr>
            <w:tcW w:w="0" w:type="dxa"/>
            <w:vAlign w:val="bottom"/>
          </w:tcPr>
          <w:p>
            <w:pPr>
              <w:spacing w:after="0"/>
              <w:rPr>
                <w:sz w:val="1"/>
                <w:szCs w:val="1"/>
                <w:color w:val="auto"/>
              </w:rPr>
            </w:pPr>
          </w:p>
        </w:tc>
      </w:tr>
      <w:tr>
        <w:trPr>
          <w:trHeight w:val="20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0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314,595</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240,231</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190,841</w:t>
            </w:r>
          </w:p>
        </w:tc>
        <w:tc>
          <w:tcPr>
            <w:tcW w:w="0" w:type="dxa"/>
            <w:vAlign w:val="bottom"/>
          </w:tcPr>
          <w:p>
            <w:pPr>
              <w:spacing w:after="0"/>
              <w:rPr>
                <w:sz w:val="1"/>
                <w:szCs w:val="1"/>
                <w:color w:val="auto"/>
              </w:rPr>
            </w:pPr>
          </w:p>
        </w:tc>
      </w:tr>
      <w:tr>
        <w:trPr>
          <w:trHeight w:val="199"/>
        </w:trPr>
        <w:tc>
          <w:tcPr>
            <w:tcW w:w="5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(51,248)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(53,806)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(67,003)</w:t>
            </w: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in earnings of joint ventures</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6,030</w:t>
            </w:r>
          </w:p>
        </w:tc>
        <w:tc>
          <w:tcPr>
            <w:tcW w:w="0" w:type="dxa"/>
            <w:vAlign w:val="bottom"/>
          </w:tcPr>
          <w:p>
            <w:pPr>
              <w:spacing w:after="0"/>
              <w:rPr>
                <w:sz w:val="1"/>
                <w:szCs w:val="1"/>
                <w:color w:val="auto"/>
              </w:rPr>
            </w:pPr>
          </w:p>
        </w:tc>
      </w:tr>
      <w:tr>
        <w:trPr>
          <w:trHeight w:val="213"/>
        </w:trPr>
        <w:tc>
          <w:tcPr>
            <w:tcW w:w="5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net</w:t>
            </w:r>
          </w:p>
        </w:tc>
        <w:tc>
          <w:tcPr>
            <w:tcW w:w="10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89,865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14,218</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(13,374)</w:t>
            </w:r>
          </w:p>
        </w:tc>
        <w:tc>
          <w:tcPr>
            <w:tcW w:w="0" w:type="dxa"/>
            <w:vAlign w:val="bottom"/>
          </w:tcPr>
          <w:p>
            <w:pPr>
              <w:spacing w:after="0"/>
              <w:rPr>
                <w:sz w:val="1"/>
                <w:szCs w:val="1"/>
                <w:color w:val="auto"/>
              </w:rPr>
            </w:pPr>
          </w:p>
        </w:tc>
      </w:tr>
      <w:tr>
        <w:trPr>
          <w:trHeight w:val="209"/>
        </w:trPr>
        <w:tc>
          <w:tcPr>
            <w:tcW w:w="5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10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44,147</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(34,463)</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(74,347)</w:t>
            </w:r>
          </w:p>
        </w:tc>
        <w:tc>
          <w:tcPr>
            <w:tcW w:w="0" w:type="dxa"/>
            <w:vAlign w:val="bottom"/>
          </w:tcPr>
          <w:p>
            <w:pPr>
              <w:spacing w:after="0"/>
              <w:rPr>
                <w:sz w:val="1"/>
                <w:szCs w:val="1"/>
                <w:color w:val="auto"/>
              </w:rPr>
            </w:pPr>
          </w:p>
        </w:tc>
      </w:tr>
      <w:tr>
        <w:trPr>
          <w:trHeight w:val="199"/>
        </w:trPr>
        <w:tc>
          <w:tcPr>
            <w:tcW w:w="5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358,742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205,768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116,494</w:t>
            </w:r>
          </w:p>
        </w:tc>
        <w:tc>
          <w:tcPr>
            <w:tcW w:w="0" w:type="dxa"/>
            <w:vAlign w:val="bottom"/>
          </w:tcPr>
          <w:p>
            <w:pPr>
              <w:spacing w:after="0"/>
              <w:rPr>
                <w:sz w:val="1"/>
                <w:szCs w:val="1"/>
                <w:color w:val="auto"/>
              </w:rPr>
            </w:pPr>
          </w:p>
        </w:tc>
      </w:tr>
      <w:tr>
        <w:trPr>
          <w:trHeight w:val="213"/>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10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91,652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55,212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(23,404)</w:t>
            </w:r>
          </w:p>
        </w:tc>
        <w:tc>
          <w:tcPr>
            <w:tcW w:w="0" w:type="dxa"/>
            <w:vAlign w:val="bottom"/>
          </w:tcPr>
          <w:p>
            <w:pPr>
              <w:spacing w:after="0"/>
              <w:rPr>
                <w:sz w:val="1"/>
                <w:szCs w:val="1"/>
                <w:color w:val="auto"/>
              </w:rPr>
            </w:pPr>
          </w:p>
        </w:tc>
      </w:tr>
      <w:tr>
        <w:trPr>
          <w:trHeight w:val="237"/>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267,090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150,556</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139,898</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NET OF TAX:</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7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Change in unrealized (losses) gains on cash flow hedges, net of income tax benefit</w:t>
            </w:r>
          </w:p>
        </w:tc>
        <w:tc>
          <w:tcPr>
            <w:tcW w:w="1040" w:type="dxa"/>
            <w:vAlign w:val="bottom"/>
            <w:vMerge w:val="restart"/>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(6,181)</w:t>
            </w:r>
          </w:p>
        </w:tc>
        <w:tc>
          <w:tcPr>
            <w:tcW w:w="520" w:type="dxa"/>
            <w:vAlign w:val="bottom"/>
            <w:gridSpan w:val="2"/>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21,610</w:t>
            </w:r>
          </w:p>
        </w:tc>
        <w:tc>
          <w:tcPr>
            <w:tcW w:w="120" w:type="dxa"/>
            <w:vAlign w:val="bottom"/>
          </w:tcPr>
          <w:p>
            <w:pPr>
              <w:spacing w:after="0"/>
              <w:rPr>
                <w:sz w:val="14"/>
                <w:szCs w:val="14"/>
                <w:color w:val="auto"/>
              </w:rPr>
            </w:pPr>
          </w:p>
        </w:tc>
        <w:tc>
          <w:tcPr>
            <w:tcW w:w="40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10,721</w:t>
            </w:r>
          </w:p>
        </w:tc>
        <w:tc>
          <w:tcPr>
            <w:tcW w:w="0" w:type="dxa"/>
            <w:vAlign w:val="bottom"/>
          </w:tcPr>
          <w:p>
            <w:pPr>
              <w:spacing w:after="0"/>
              <w:rPr>
                <w:sz w:val="1"/>
                <w:szCs w:val="1"/>
                <w:color w:val="auto"/>
              </w:rPr>
            </w:pPr>
          </w:p>
        </w:tc>
      </w:tr>
      <w:tr>
        <w:trPr>
          <w:trHeight w:val="213"/>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(expense) of $2,158, $(7,259) and $0, respectively</w:t>
            </w:r>
          </w:p>
        </w:tc>
        <w:tc>
          <w:tcPr>
            <w:tcW w:w="104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10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(6,181)</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21,610</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10,721</w:t>
            </w:r>
          </w:p>
        </w:tc>
        <w:tc>
          <w:tcPr>
            <w:tcW w:w="0" w:type="dxa"/>
            <w:vAlign w:val="bottom"/>
          </w:tcPr>
          <w:p>
            <w:pPr>
              <w:spacing w:after="0"/>
              <w:rPr>
                <w:sz w:val="1"/>
                <w:szCs w:val="1"/>
                <w:color w:val="auto"/>
              </w:rPr>
            </w:pPr>
          </w:p>
        </w:tc>
      </w:tr>
      <w:tr>
        <w:trPr>
          <w:trHeight w:val="210"/>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COMPREHENSIVE INCOME</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260,909</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172,166</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150,619</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COMMON SHARE:</w:t>
            </w: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Earnings per share, basic</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0.78</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Earnings per share, diluted</w:t>
            </w:r>
          </w:p>
        </w:tc>
        <w:tc>
          <w:tcPr>
            <w:tcW w:w="1040" w:type="dxa"/>
            <w:vAlign w:val="bottom"/>
            <w:tcBorders>
              <w:top w:val="single" w:sz="8" w:color="auto"/>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Pr>
          <w:p>
            <w:pPr>
              <w:spacing w:after="0"/>
              <w:rPr>
                <w:sz w:val="16"/>
                <w:szCs w:val="16"/>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0.83</w:t>
            </w:r>
          </w:p>
        </w:tc>
        <w:tc>
          <w:tcPr>
            <w:tcW w:w="12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0.77</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basic</w:t>
            </w:r>
          </w:p>
        </w:tc>
        <w:tc>
          <w:tcPr>
            <w:tcW w:w="10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178,973</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181,105</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179,855</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diluted</w:t>
            </w:r>
          </w:p>
        </w:tc>
        <w:tc>
          <w:tcPr>
            <w:tcW w:w="10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180,375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182,075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181,205</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to consolidated financial statements are an integral part of these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CARE HEALTH,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7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r>
      <w:tr>
        <w:trPr>
          <w:trHeight w:val="211"/>
        </w:trPr>
        <w:tc>
          <w:tcPr>
            <w:tcW w:w="57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8"/>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0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3"/>
        </w:trPr>
        <w:tc>
          <w:tcPr>
            <w:tcW w:w="5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267,090</w:t>
            </w:r>
          </w:p>
        </w:tc>
        <w:tc>
          <w:tcPr>
            <w:tcW w:w="52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150,556</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139,898</w:t>
            </w:r>
          </w:p>
        </w:tc>
      </w:tr>
      <w:tr>
        <w:trPr>
          <w:trHeight w:val="21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operations: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3"/>
        </w:trPr>
        <w:tc>
          <w:tcPr>
            <w:tcW w:w="5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65,434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68,804</w:t>
            </w:r>
          </w:p>
        </w:tc>
      </w:tr>
      <w:tr>
        <w:trPr>
          <w:trHeight w:val="219"/>
        </w:trPr>
        <w:tc>
          <w:tcPr>
            <w:tcW w:w="5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operating lease costs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18,533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19,713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15,168</w:t>
            </w:r>
          </w:p>
        </w:tc>
      </w:tr>
      <w:tr>
        <w:trPr>
          <w:trHeight w:val="213"/>
        </w:trPr>
        <w:tc>
          <w:tcPr>
            <w:tcW w:w="5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taxes - net</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49,187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(30,372)</w:t>
            </w:r>
          </w:p>
        </w:tc>
      </w:tr>
      <w:tr>
        <w:trPr>
          <w:trHeight w:val="219"/>
        </w:trPr>
        <w:tc>
          <w:tcPr>
            <w:tcW w:w="5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(Gain)/loss on sale of assets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w:t>
            </w:r>
          </w:p>
        </w:tc>
      </w:tr>
      <w:tr>
        <w:trPr>
          <w:trHeight w:val="213"/>
        </w:trPr>
        <w:tc>
          <w:tcPr>
            <w:tcW w:w="5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13,387</w:t>
            </w:r>
          </w:p>
        </w:tc>
      </w:tr>
      <w:tr>
        <w:trPr>
          <w:trHeight w:val="219"/>
        </w:trPr>
        <w:tc>
          <w:tcPr>
            <w:tcW w:w="5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4,998</w:t>
            </w:r>
          </w:p>
        </w:tc>
      </w:tr>
      <w:tr>
        <w:trPr>
          <w:trHeight w:val="213"/>
        </w:trPr>
        <w:tc>
          <w:tcPr>
            <w:tcW w:w="5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Equity in earnings of joint ventures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(6,030)</w:t>
            </w:r>
          </w:p>
        </w:tc>
      </w:tr>
      <w:tr>
        <w:trPr>
          <w:trHeight w:val="219"/>
        </w:trPr>
        <w:tc>
          <w:tcPr>
            <w:tcW w:w="5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incentive compensation expense</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30,479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16,783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9,575</w:t>
            </w:r>
          </w:p>
        </w:tc>
      </w:tr>
      <w:tr>
        <w:trPr>
          <w:trHeight w:val="213"/>
        </w:trPr>
        <w:tc>
          <w:tcPr>
            <w:tcW w:w="5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Capital distribution from equity method investments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2,900</w:t>
            </w:r>
          </w:p>
        </w:tc>
      </w:tr>
      <w:tr>
        <w:trPr>
          <w:trHeight w:val="219"/>
        </w:trPr>
        <w:tc>
          <w:tcPr>
            <w:tcW w:w="5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adjustments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w:t>
            </w:r>
          </w:p>
        </w:tc>
      </w:tr>
      <w:tr>
        <w:trPr>
          <w:trHeight w:val="213"/>
        </w:trPr>
        <w:tc>
          <w:tcPr>
            <w:tcW w:w="5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5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receivable, net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(36,889)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(4,273)</w:t>
            </w:r>
          </w:p>
        </w:tc>
      </w:tr>
      <w:tr>
        <w:trPr>
          <w:trHeight w:val="213"/>
        </w:trPr>
        <w:tc>
          <w:tcPr>
            <w:tcW w:w="57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Inventories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(41,010)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(22,700)</w:t>
            </w:r>
          </w:p>
        </w:tc>
      </w:tr>
      <w:tr>
        <w:trPr>
          <w:trHeight w:val="219"/>
        </w:trPr>
        <w:tc>
          <w:tcPr>
            <w:tcW w:w="5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(16,798)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w:t>
            </w:r>
          </w:p>
        </w:tc>
      </w:tr>
      <w:tr>
        <w:trPr>
          <w:trHeight w:val="213"/>
        </w:trPr>
        <w:tc>
          <w:tcPr>
            <w:tcW w:w="57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47,703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98,885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(10,381)</w:t>
            </w:r>
          </w:p>
        </w:tc>
      </w:tr>
      <w:tr>
        <w:trPr>
          <w:trHeight w:val="219"/>
        </w:trPr>
        <w:tc>
          <w:tcPr>
            <w:tcW w:w="5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compensation and employee benefits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23,977</w:t>
            </w:r>
          </w:p>
        </w:tc>
      </w:tr>
      <w:tr>
        <w:trPr>
          <w:trHeight w:val="213"/>
        </w:trPr>
        <w:tc>
          <w:tcPr>
            <w:tcW w:w="57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18,383</w:t>
            </w:r>
          </w:p>
        </w:tc>
      </w:tr>
      <w:tr>
        <w:trPr>
          <w:trHeight w:val="219"/>
        </w:trPr>
        <w:tc>
          <w:tcPr>
            <w:tcW w:w="5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(21,395)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(18,496)</w:t>
            </w:r>
          </w:p>
        </w:tc>
      </w:tr>
      <w:tr>
        <w:trPr>
          <w:trHeight w:val="213"/>
        </w:trPr>
        <w:tc>
          <w:tcPr>
            <w:tcW w:w="5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noncurrent assets and liabilities</w:t>
            </w: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(8,372)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(15,335)</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700</w:t>
            </w:r>
          </w:p>
        </w:tc>
      </w:tr>
      <w:tr>
        <w:trPr>
          <w:trHeight w:val="209"/>
        </w:trPr>
        <w:tc>
          <w:tcPr>
            <w:tcW w:w="5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371,295</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267,547</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208,569</w:t>
            </w:r>
          </w:p>
        </w:tc>
      </w:tr>
      <w:tr>
        <w:trPr>
          <w:trHeight w:val="239"/>
        </w:trPr>
        <w:tc>
          <w:tcPr>
            <w:tcW w:w="57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16"/>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5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 of property and equipment</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(41,866)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(35,358)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(25,632)</w:t>
            </w:r>
          </w:p>
        </w:tc>
      </w:tr>
      <w:tr>
        <w:trPr>
          <w:trHeight w:val="21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sale of assets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Business acquisitions, net of cash acquired</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(12,494)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(87,364)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(85,909)</w:t>
            </w:r>
          </w:p>
        </w:tc>
      </w:tr>
      <w:tr>
        <w:trPr>
          <w:trHeight w:val="21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7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(56,506)</w:t>
            </w:r>
          </w:p>
        </w:tc>
        <w:tc>
          <w:tcPr>
            <w:tcW w:w="100" w:type="dxa"/>
            <w:vAlign w:val="bottom"/>
            <w:tcBorders>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(108,052)</w:t>
            </w:r>
          </w:p>
        </w:tc>
        <w:tc>
          <w:tcPr>
            <w:tcW w:w="12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(111,541)</w:t>
            </w:r>
          </w:p>
        </w:tc>
      </w:tr>
      <w:tr>
        <w:trPr>
          <w:trHeight w:val="239"/>
        </w:trPr>
        <w:tc>
          <w:tcPr>
            <w:tcW w:w="57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13"/>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Exercise of stock options, vesting of restricted stock, and related tax withholdings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13"/>
        </w:trPr>
        <w:tc>
          <w:tcPr>
            <w:tcW w:w="5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company stock</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(250,261)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warrant exercises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20,916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issuance of debt</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855,136</w:t>
            </w:r>
          </w:p>
        </w:tc>
      </w:tr>
      <w:tr>
        <w:trPr>
          <w:trHeight w:val="21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Repayments of debt principal</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(8,832)</w:t>
            </w:r>
          </w:p>
        </w:tc>
      </w:tr>
      <w:tr>
        <w:trPr>
          <w:trHeight w:val="213"/>
        </w:trPr>
        <w:tc>
          <w:tcPr>
            <w:tcW w:w="5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Retirement of debt obligations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(910,345)</w:t>
            </w:r>
          </w:p>
        </w:tc>
      </w:tr>
      <w:tr>
        <w:trPr>
          <w:trHeight w:val="21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financing costs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(10,339)</w:t>
            </w:r>
          </w:p>
        </w:tc>
      </w:tr>
      <w:tr>
        <w:trPr>
          <w:trHeight w:val="213"/>
        </w:trPr>
        <w:tc>
          <w:tcPr>
            <w:tcW w:w="5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Debt prepayment fees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(2,458)</w:t>
            </w:r>
          </w:p>
        </w:tc>
      </w:tr>
      <w:tr>
        <w:trPr>
          <w:trHeight w:val="21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7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10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(265,126)</w:t>
            </w:r>
          </w:p>
        </w:tc>
        <w:tc>
          <w:tcPr>
            <w:tcW w:w="100" w:type="dxa"/>
            <w:vAlign w:val="bottom"/>
            <w:tcBorders>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15,268</w:t>
            </w:r>
          </w:p>
        </w:tc>
        <w:tc>
          <w:tcPr>
            <w:tcW w:w="12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(76,870)</w:t>
            </w:r>
          </w:p>
        </w:tc>
      </w:tr>
      <w:tr>
        <w:trPr>
          <w:trHeight w:val="199"/>
        </w:trPr>
        <w:tc>
          <w:tcPr>
            <w:tcW w:w="57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3"/>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49,663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174,763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20,158</w:t>
            </w:r>
          </w:p>
        </w:tc>
      </w:tr>
      <w:tr>
        <w:trPr>
          <w:trHeight w:val="21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 - beginning of the period</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294,186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119,423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99,265</w:t>
            </w:r>
          </w:p>
        </w:tc>
      </w:tr>
      <w:tr>
        <w:trPr>
          <w:trHeight w:val="210"/>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 END OF PERIOD</w:t>
            </w: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343,849</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294,186</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119,423</w:t>
            </w: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3"/>
        </w:trPr>
        <w:tc>
          <w:tcPr>
            <w:tcW w:w="57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3"/>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disclosure of cash flows information:</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5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paid for interest</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69,804</w:t>
            </w:r>
          </w:p>
        </w:tc>
        <w:tc>
          <w:tcPr>
            <w:tcW w:w="52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50,372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60,920</w:t>
            </w:r>
          </w:p>
        </w:tc>
      </w:tr>
      <w:tr>
        <w:trPr>
          <w:trHeight w:val="213"/>
        </w:trPr>
        <w:tc>
          <w:tcPr>
            <w:tcW w:w="5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75,241</w:t>
            </w:r>
          </w:p>
        </w:tc>
        <w:tc>
          <w:tcPr>
            <w:tcW w:w="52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13,438</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5,706</w:t>
            </w:r>
          </w:p>
        </w:tc>
      </w:tr>
      <w:tr>
        <w:trPr>
          <w:trHeight w:val="219"/>
        </w:trPr>
        <w:tc>
          <w:tcPr>
            <w:tcW w:w="5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paid for operating leases</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27,391</w:t>
            </w:r>
          </w:p>
        </w:tc>
        <w:tc>
          <w:tcPr>
            <w:tcW w:w="52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25,311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26,174</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to consolidated financial statements are an integral part of these statements.</w:t>
      </w:r>
    </w:p>
    <w:p>
      <w:pPr>
        <w:sectPr>
          <w:pgSz w:w="11900" w:h="16838" w:orient="portrait"/>
          <w:cols w:equalWidth="0" w:num="1">
            <w:col w:w="11220"/>
          </w:cols>
          <w:pgMar w:left="320" w:top="118" w:right="359" w:bottom="1440" w:gutter="0" w:footer="0" w:header="0"/>
        </w:sectPr>
      </w:pP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CARE HEALTH,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0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220" w:type="dxa"/>
            <w:vAlign w:val="bottom"/>
          </w:tcPr>
          <w:p>
            <w:pPr>
              <w:spacing w:after="0"/>
              <w:rPr>
                <w:sz w:val="16"/>
                <w:szCs w:val="16"/>
                <w:color w:val="auto"/>
              </w:rPr>
            </w:pPr>
          </w:p>
        </w:tc>
        <w:tc>
          <w:tcPr>
            <w:tcW w:w="900" w:type="dxa"/>
            <w:vAlign w:val="bottom"/>
            <w:vMerge w:val="restart"/>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Preferred</w:t>
            </w: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Earnings</w:t>
            </w:r>
          </w:p>
        </w:tc>
        <w:tc>
          <w:tcPr>
            <w:tcW w:w="100" w:type="dxa"/>
            <w:vAlign w:val="bottom"/>
          </w:tcPr>
          <w:p>
            <w:pPr>
              <w:spacing w:after="0"/>
              <w:rPr>
                <w:sz w:val="14"/>
                <w:szCs w:val="14"/>
                <w:color w:val="auto"/>
              </w:rPr>
            </w:pPr>
          </w:p>
        </w:tc>
        <w:tc>
          <w:tcPr>
            <w:tcW w:w="11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124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122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12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20" w:type="dxa"/>
            <w:vAlign w:val="bottom"/>
            <w:gridSpan w:val="3"/>
            <w:vMerge w:val="continue"/>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220" w:type="dxa"/>
            <w:vAlign w:val="bottom"/>
          </w:tcPr>
          <w:p>
            <w:pPr>
              <w:spacing w:after="0"/>
              <w:rPr>
                <w:sz w:val="18"/>
                <w:szCs w:val="18"/>
                <w:color w:val="auto"/>
              </w:rPr>
            </w:pPr>
          </w:p>
        </w:tc>
        <w:tc>
          <w:tcPr>
            <w:tcW w:w="90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1"/>
        </w:trPr>
        <w:tc>
          <w:tcPr>
            <w:tcW w:w="2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 December 31, 2020</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(2,403)</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1,129,312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(100,031)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1,015,724</w:t>
            </w:r>
          </w:p>
        </w:tc>
        <w:tc>
          <w:tcPr>
            <w:tcW w:w="0" w:type="dxa"/>
            <w:vAlign w:val="bottom"/>
          </w:tcPr>
          <w:p>
            <w:pPr>
              <w:spacing w:after="0"/>
              <w:rPr>
                <w:sz w:val="1"/>
                <w:szCs w:val="1"/>
                <w:color w:val="auto"/>
              </w:rPr>
            </w:pPr>
          </w:p>
        </w:tc>
      </w:tr>
      <w:tr>
        <w:trPr>
          <w:trHeight w:val="213"/>
        </w:trPr>
        <w:tc>
          <w:tcPr>
            <w:tcW w:w="2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Stock-based incentive compensation</w:t>
            </w:r>
          </w:p>
        </w:tc>
        <w:tc>
          <w:tcPr>
            <w:tcW w:w="16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9,575</w:t>
            </w:r>
          </w:p>
        </w:tc>
        <w:tc>
          <w:tcPr>
            <w:tcW w:w="0" w:type="dxa"/>
            <w:vAlign w:val="bottom"/>
          </w:tcPr>
          <w:p>
            <w:pPr>
              <w:spacing w:after="0"/>
              <w:rPr>
                <w:sz w:val="1"/>
                <w:szCs w:val="1"/>
                <w:color w:val="auto"/>
              </w:rPr>
            </w:pPr>
          </w:p>
        </w:tc>
      </w:tr>
      <w:tr>
        <w:trPr>
          <w:trHeight w:val="165"/>
        </w:trPr>
        <w:tc>
          <w:tcPr>
            <w:tcW w:w="274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Exercise of stock options, vesting of</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6"/>
                <w:szCs w:val="16"/>
                <w:color w:val="auto"/>
              </w:rPr>
              <w:t>restricted stock, and related tax</w:t>
            </w:r>
          </w:p>
        </w:tc>
        <w:tc>
          <w:tcPr>
            <w:tcW w:w="1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withholdings</w:t>
            </w:r>
          </w:p>
        </w:tc>
        <w:tc>
          <w:tcPr>
            <w:tcW w:w="1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139,898</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10,721</w:t>
            </w:r>
          </w:p>
        </w:tc>
        <w:tc>
          <w:tcPr>
            <w:tcW w:w="0" w:type="dxa"/>
            <w:vAlign w:val="bottom"/>
          </w:tcPr>
          <w:p>
            <w:pPr>
              <w:spacing w:after="0"/>
              <w:rPr>
                <w:sz w:val="1"/>
                <w:szCs w:val="1"/>
                <w:color w:val="auto"/>
              </w:rPr>
            </w:pPr>
          </w:p>
        </w:tc>
      </w:tr>
      <w:tr>
        <w:trPr>
          <w:trHeight w:val="207"/>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Balance - December 31, 2021</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7"/>
                <w:szCs w:val="17"/>
                <w:color w:val="auto"/>
              </w:rPr>
            </w:pPr>
          </w:p>
        </w:tc>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(2,403)</w:t>
            </w: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1,138,855</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39,867</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1,175,886</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Stock-based incentive compensation</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16,783</w:t>
            </w:r>
          </w:p>
        </w:tc>
        <w:tc>
          <w:tcPr>
            <w:tcW w:w="0" w:type="dxa"/>
            <w:vAlign w:val="bottom"/>
          </w:tcPr>
          <w:p>
            <w:pPr>
              <w:spacing w:after="0"/>
              <w:rPr>
                <w:sz w:val="1"/>
                <w:szCs w:val="1"/>
                <w:color w:val="auto"/>
              </w:rPr>
            </w:pPr>
          </w:p>
        </w:tc>
      </w:tr>
      <w:tr>
        <w:trPr>
          <w:trHeight w:val="162"/>
        </w:trPr>
        <w:tc>
          <w:tcPr>
            <w:tcW w:w="274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Exercise of stock options, vesting of</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restricted stock, and related tax</w:t>
            </w:r>
          </w:p>
        </w:tc>
        <w:tc>
          <w:tcPr>
            <w:tcW w:w="160" w:type="dxa"/>
            <w:vAlign w:val="bottom"/>
          </w:tcPr>
          <w:p>
            <w:pPr>
              <w:spacing w:after="0"/>
              <w:rPr>
                <w:sz w:val="14"/>
                <w:szCs w:val="14"/>
                <w:color w:val="auto"/>
              </w:rPr>
            </w:pPr>
          </w:p>
        </w:tc>
        <w:tc>
          <w:tcPr>
            <w:tcW w:w="10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96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0" w:type="dxa"/>
            <w:vAlign w:val="bottom"/>
          </w:tcPr>
          <w:p>
            <w:pPr>
              <w:spacing w:after="0"/>
              <w:rPr>
                <w:sz w:val="1"/>
                <w:szCs w:val="1"/>
                <w:color w:val="auto"/>
              </w:rPr>
            </w:pPr>
          </w:p>
        </w:tc>
      </w:tr>
      <w:tr>
        <w:trPr>
          <w:trHeight w:val="213"/>
        </w:trPr>
        <w:tc>
          <w:tcPr>
            <w:tcW w:w="2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withholdings</w:t>
            </w: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Exercise of warrants</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20,916</w:t>
            </w:r>
          </w:p>
        </w:tc>
        <w:tc>
          <w:tcPr>
            <w:tcW w:w="0" w:type="dxa"/>
            <w:vAlign w:val="bottom"/>
          </w:tcPr>
          <w:p>
            <w:pPr>
              <w:spacing w:after="0"/>
              <w:rPr>
                <w:sz w:val="1"/>
                <w:szCs w:val="1"/>
                <w:color w:val="auto"/>
              </w:rPr>
            </w:pPr>
          </w:p>
        </w:tc>
      </w:tr>
      <w:tr>
        <w:trPr>
          <w:trHeight w:val="213"/>
        </w:trPr>
        <w:tc>
          <w:tcPr>
            <w:tcW w:w="2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150,556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150,556</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21,610</w:t>
            </w:r>
          </w:p>
        </w:tc>
        <w:tc>
          <w:tcPr>
            <w:tcW w:w="0" w:type="dxa"/>
            <w:vAlign w:val="bottom"/>
          </w:tcPr>
          <w:p>
            <w:pPr>
              <w:spacing w:after="0"/>
              <w:rPr>
                <w:sz w:val="1"/>
                <w:szCs w:val="1"/>
                <w:color w:val="auto"/>
              </w:rPr>
            </w:pPr>
          </w:p>
        </w:tc>
      </w:tr>
      <w:tr>
        <w:trPr>
          <w:trHeight w:val="207"/>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Balance - December 31, 2022</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7"/>
                <w:szCs w:val="17"/>
                <w:color w:val="auto"/>
              </w:rPr>
            </w:pPr>
          </w:p>
        </w:tc>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(2,403)</w:t>
            </w: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1,176,906</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190,423</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21,159</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1,386,103</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Stock-based incentive compensation</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30,479</w:t>
            </w:r>
          </w:p>
        </w:tc>
        <w:tc>
          <w:tcPr>
            <w:tcW w:w="0" w:type="dxa"/>
            <w:vAlign w:val="bottom"/>
          </w:tcPr>
          <w:p>
            <w:pPr>
              <w:spacing w:after="0"/>
              <w:rPr>
                <w:sz w:val="1"/>
                <w:szCs w:val="1"/>
                <w:color w:val="auto"/>
              </w:rPr>
            </w:pPr>
          </w:p>
        </w:tc>
      </w:tr>
      <w:tr>
        <w:trPr>
          <w:trHeight w:val="162"/>
        </w:trPr>
        <w:tc>
          <w:tcPr>
            <w:tcW w:w="274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Exercise of stock options, vesting of</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restricted stock, and related tax</w:t>
            </w:r>
          </w:p>
        </w:tc>
        <w:tc>
          <w:tcPr>
            <w:tcW w:w="160" w:type="dxa"/>
            <w:vAlign w:val="bottom"/>
          </w:tcPr>
          <w:p>
            <w:pPr>
              <w:spacing w:after="0"/>
              <w:rPr>
                <w:sz w:val="14"/>
                <w:szCs w:val="14"/>
                <w:color w:val="auto"/>
              </w:rPr>
            </w:pPr>
          </w:p>
        </w:tc>
        <w:tc>
          <w:tcPr>
            <w:tcW w:w="10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96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(3,115)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(3,115)</w:t>
            </w:r>
          </w:p>
        </w:tc>
        <w:tc>
          <w:tcPr>
            <w:tcW w:w="0" w:type="dxa"/>
            <w:vAlign w:val="bottom"/>
          </w:tcPr>
          <w:p>
            <w:pPr>
              <w:spacing w:after="0"/>
              <w:rPr>
                <w:sz w:val="1"/>
                <w:szCs w:val="1"/>
                <w:color w:val="auto"/>
              </w:rPr>
            </w:pPr>
          </w:p>
        </w:tc>
      </w:tr>
      <w:tr>
        <w:trPr>
          <w:trHeight w:val="213"/>
        </w:trPr>
        <w:tc>
          <w:tcPr>
            <w:tcW w:w="2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withholdings</w:t>
            </w: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74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Purchase of company stock, and related</w:t>
            </w:r>
          </w:p>
        </w:tc>
        <w:tc>
          <w:tcPr>
            <w:tcW w:w="1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(252,704)</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(252,704)</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tax effects</w:t>
            </w:r>
          </w:p>
        </w:tc>
        <w:tc>
          <w:tcPr>
            <w:tcW w:w="1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267,090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267,090</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(6,181)</w:t>
            </w:r>
          </w:p>
        </w:tc>
        <w:tc>
          <w:tcPr>
            <w:tcW w:w="0" w:type="dxa"/>
            <w:vAlign w:val="bottom"/>
          </w:tcPr>
          <w:p>
            <w:pPr>
              <w:spacing w:after="0"/>
              <w:rPr>
                <w:sz w:val="1"/>
                <w:szCs w:val="1"/>
                <w:color w:val="auto"/>
              </w:rPr>
            </w:pPr>
          </w:p>
        </w:tc>
      </w:tr>
      <w:tr>
        <w:trPr>
          <w:trHeight w:val="210"/>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Balance - December 31, 2023</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(255,107)</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1,204,270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457,513</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14,978</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1,421,672</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to consolidated financial statements are an integral part of these statements.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CARE HEALTH,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 AND PRESENTATION OF FINANCIAL STATEMENTS</w:t>
      </w:r>
    </w:p>
    <w:p>
      <w:pPr>
        <w:spacing w:after="0" w:line="198" w:lineRule="exact"/>
        <w:rPr>
          <w:sz w:val="20"/>
          <w:szCs w:val="20"/>
          <w:color w:val="auto"/>
        </w:rPr>
      </w:pPr>
    </w:p>
    <w:p>
      <w:pPr>
        <w:ind w:right="40"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Corporate Organization and Business </w:t>
      </w:r>
      <w:r>
        <w:rPr>
          <w:rFonts w:ascii="Times New Roman" w:cs="Times New Roman" w:eastAsia="Times New Roman" w:hAnsi="Times New Roman"/>
          <w:sz w:val="18"/>
          <w:szCs w:val="18"/>
          <w:color w:val="auto"/>
        </w:rPr>
        <w:t>— The Company’s stock is listed on the Nasdaq Global Select Market as of December 31, 2023.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year ended December 31, 2023, HC Group Holdings I, LLC. (“HC I”) completed sales of 23,771,926 shares of its Option Care common stock. In addition, the Company repurchased 2,475,166 shares from HC I on March 3, 2023 under the Company’s share repurchase program. See Note 16, </w:t>
      </w:r>
      <w:r>
        <w:rPr>
          <w:rFonts w:ascii="Times New Roman" w:cs="Times New Roman" w:eastAsia="Times New Roman" w:hAnsi="Times New Roman"/>
          <w:sz w:val="18"/>
          <w:szCs w:val="18"/>
          <w:i w:val="1"/>
          <w:iCs w:val="1"/>
          <w:color w:val="auto"/>
        </w:rPr>
        <w:t>Stockholders’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for further discussion of the Company’s share repurchase program. As of December 31, 2023, HC I no longer holds shares of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w:t>
      </w:r>
    </w:p>
    <w:p>
      <w:pPr>
        <w:spacing w:after="0" w:line="14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Option Care Health, and its wholly-owned subsidiaries, provides infusion therapy and other ancillary healthcare services through a national network of 93 full service pharmacies and 84 stand-alone ambulatory infusion sites. The Company contracts with managed care organizations, third-party payers, hospitals, physicians, and other referral sources to provide pharmaceuticals and complex compounded solutions to patients for intravenous delivery in the patients’ homes or other nonhospital settings. The Company operates in one segment, infusion services.</w:t>
      </w:r>
    </w:p>
    <w:p>
      <w:pPr>
        <w:spacing w:after="0" w:line="135" w:lineRule="exact"/>
        <w:rPr>
          <w:sz w:val="20"/>
          <w:szCs w:val="20"/>
          <w:color w:val="auto"/>
        </w:rPr>
      </w:pPr>
    </w:p>
    <w:p>
      <w:pPr>
        <w:ind w:right="12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color w:val="auto"/>
        </w:rPr>
        <w:t>— The accompanying consolidated financial statements have been prepared in conformity with generally accepted accounting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principles (“GAAP”) in the United States. GAAP requires management to make certain estimates and assumptions in determining assets, liabilities, revenue, expenses, and related disclosures. Actual amounts could differ materially from those estimates.</w:t>
      </w:r>
    </w:p>
    <w:p>
      <w:pPr>
        <w:spacing w:after="0" w:line="144" w:lineRule="exact"/>
        <w:rPr>
          <w:sz w:val="20"/>
          <w:szCs w:val="20"/>
          <w:color w:val="auto"/>
        </w:rPr>
      </w:pPr>
    </w:p>
    <w:p>
      <w:pPr>
        <w:ind w:right="90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Principles of Consolidation </w:t>
      </w:r>
      <w:r>
        <w:rPr>
          <w:rFonts w:ascii="Times New Roman" w:cs="Times New Roman" w:eastAsia="Times New Roman" w:hAnsi="Times New Roman"/>
          <w:sz w:val="18"/>
          <w:szCs w:val="18"/>
          <w:color w:val="auto"/>
        </w:rPr>
        <w:t>— The Company’s consolidated financial statements include the accounts of Option Care Health, Inc.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All intercompany transactions and balances are eliminated in consolidation.</w:t>
      </w:r>
    </w:p>
    <w:p>
      <w:pPr>
        <w:spacing w:after="0" w:line="118" w:lineRule="exact"/>
        <w:rPr>
          <w:sz w:val="20"/>
          <w:szCs w:val="20"/>
          <w:color w:val="auto"/>
        </w:rPr>
      </w:pPr>
    </w:p>
    <w:p>
      <w:pPr>
        <w:ind w:right="5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investments in companies that are 50% owned and are accounted for as equity-method investments. The Company’s share of earnings from equity-method investments is included in the line entitled “Equity in earnings of joint ventures” in the consolidated statements of comprehensive income. See “Equity-Method Investments” within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for further discussion of the Company’s equity-method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85" w:lineRule="exact"/>
        <w:rPr>
          <w:sz w:val="20"/>
          <w:szCs w:val="20"/>
          <w:color w:val="auto"/>
        </w:rPr>
      </w:pPr>
    </w:p>
    <w:p>
      <w:pPr>
        <w:ind w:right="4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 The Company considers all highly liquid investments with original maturities of three months or less to be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equivalents. As of December 31, 2023, cash equivalents consisted of money market funds.</w:t>
      </w:r>
    </w:p>
    <w:p>
      <w:pPr>
        <w:spacing w:after="0" w:line="128" w:lineRule="exact"/>
        <w:rPr>
          <w:sz w:val="20"/>
          <w:szCs w:val="20"/>
          <w:color w:val="auto"/>
        </w:rPr>
      </w:pPr>
    </w:p>
    <w:p>
      <w:pPr>
        <w:jc w:val="both"/>
        <w:ind w:right="56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Accounts Receivable </w:t>
      </w:r>
      <w:r>
        <w:rPr>
          <w:rFonts w:ascii="Times New Roman" w:cs="Times New Roman" w:eastAsia="Times New Roman" w:hAnsi="Times New Roman"/>
          <w:sz w:val="18"/>
          <w:szCs w:val="18"/>
          <w:color w:val="auto"/>
        </w:rPr>
        <w:t>— The Company’s accounts receivable are reported at the net realizable value amount that reflects the consideration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expects to receive in exchange for providing services, which is inclusive of adjustments for price concessions. The majority of accounts receivable are due from private insurance carriers and governmental healthcare programs, such as Medicare and Medicaid.</w:t>
      </w:r>
    </w:p>
    <w:p>
      <w:pPr>
        <w:spacing w:after="0" w:line="134"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 xml:space="preserve">Price concessions may result from patient hardships, patient uncollectible accounts sent to collection agencies, lack of recovery due to not receiving prior authorization, differing interpretations of covered therapies in payer contracts, different pricing methodologies, or various other reasons. In accordance with Financial Accounting Standards Board (“FASB”) Accounting Standards Codification (“ASC”) Topic 606,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Customers </w:t>
      </w:r>
      <w:r>
        <w:rPr>
          <w:rFonts w:ascii="Times New Roman" w:cs="Times New Roman" w:eastAsia="Times New Roman" w:hAnsi="Times New Roman"/>
          <w:sz w:val="18"/>
          <w:szCs w:val="18"/>
          <w:color w:val="auto"/>
        </w:rPr>
        <w:t>(“ASC 606”), an allowance for doubtful accounts is established only as a result of an adverse change in the Company’s payers’ ability to pay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billings. The Company had no allowance for doubtful accounts as of December 31, 2023 and 2022.</w:t>
      </w:r>
    </w:p>
    <w:p>
      <w:pPr>
        <w:spacing w:after="0" w:line="143"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Included in accounts receivable are earned but unbilled gross receivables of $89.1 million and $101.5 million as of December 31, 2023 and 2022, respectively. Delays ranging from one day up to several weeks between the date of service and billing can occur due to delays in obtaining certain required payer-specific documentation from internal and external sources.</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for a further discussion of the Company’s revenue recognition policy.</w:t>
      </w:r>
    </w:p>
    <w:p>
      <w:pPr>
        <w:spacing w:after="0" w:line="146" w:lineRule="exact"/>
        <w:rPr>
          <w:sz w:val="20"/>
          <w:szCs w:val="20"/>
          <w:color w:val="auto"/>
        </w:rPr>
      </w:pPr>
    </w:p>
    <w:p>
      <w:pPr>
        <w:ind w:right="200" w:firstLine="324"/>
        <w:spacing w:after="0" w:line="245" w:lineRule="exact"/>
        <w:rPr>
          <w:sz w:val="20"/>
          <w:szCs w:val="20"/>
          <w:color w:val="auto"/>
        </w:rPr>
      </w:pPr>
      <w:r>
        <w:rPr>
          <w:rFonts w:ascii="Times New Roman" w:cs="Times New Roman" w:eastAsia="Times New Roman" w:hAnsi="Times New Roman"/>
          <w:sz w:val="18"/>
          <w:szCs w:val="18"/>
          <w:b w:val="1"/>
          <w:bCs w:val="1"/>
          <w:color w:val="auto"/>
        </w:rPr>
        <w:t xml:space="preserve">Inventories </w:t>
      </w:r>
      <w:r>
        <w:rPr>
          <w:rFonts w:ascii="Times New Roman" w:cs="Times New Roman" w:eastAsia="Times New Roman" w:hAnsi="Times New Roman"/>
          <w:sz w:val="18"/>
          <w:szCs w:val="18"/>
          <w:color w:val="auto"/>
        </w:rPr>
        <w:t>— Inventories, which consists primarily of pharmaceuticals, is stated at the lower of first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first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 cost or net realizable value basis,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the Company believes is reflective of the physical flow of inventories.</w:t>
      </w:r>
    </w:p>
    <w:p>
      <w:pPr>
        <w:spacing w:after="0" w:line="154" w:lineRule="exact"/>
        <w:rPr>
          <w:sz w:val="20"/>
          <w:szCs w:val="20"/>
          <w:color w:val="auto"/>
        </w:rPr>
      </w:pPr>
    </w:p>
    <w:p>
      <w:pPr>
        <w:ind w:right="18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Prepaid Expenses and Other Current Assets </w:t>
      </w:r>
      <w:r>
        <w:rPr>
          <w:rFonts w:ascii="Times New Roman" w:cs="Times New Roman" w:eastAsia="Times New Roman" w:hAnsi="Times New Roman"/>
          <w:sz w:val="18"/>
          <w:szCs w:val="18"/>
          <w:color w:val="auto"/>
        </w:rPr>
        <w:t>— Included in prepaid expenses and other current assets are rebates receivable from pharmaceutical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medical supply manufacturers of $52.0 million and $53.4 million for the years ended December 31, 2023 and 2022, respectively.</w:t>
      </w:r>
    </w:p>
    <w:p>
      <w:pPr>
        <w:spacing w:after="0" w:line="128"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 The Company has lease agreements for facilities, warehouses, office space and property and equipment. At the inception of a contract,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determines if the contract is a lease or contains an embedded lease arrangement. Operating leases are included in the operating lease right-of-use asset (“ROU asset”) and operating lease liabilities in the consolidated financial statements.</w:t>
      </w:r>
    </w:p>
    <w:p>
      <w:pPr>
        <w:spacing w:after="0" w:line="134" w:lineRule="exact"/>
        <w:rPr>
          <w:sz w:val="20"/>
          <w:szCs w:val="20"/>
          <w:color w:val="auto"/>
        </w:rPr>
      </w:pPr>
    </w:p>
    <w:p>
      <w:pPr>
        <w:ind w:right="60" w:firstLine="324"/>
        <w:spacing w:after="0" w:line="272" w:lineRule="auto"/>
        <w:rPr>
          <w:sz w:val="20"/>
          <w:szCs w:val="20"/>
          <w:color w:val="auto"/>
        </w:rPr>
      </w:pPr>
      <w:r>
        <w:rPr>
          <w:rFonts w:ascii="Times New Roman" w:cs="Times New Roman" w:eastAsia="Times New Roman" w:hAnsi="Times New Roman"/>
          <w:sz w:val="17"/>
          <w:szCs w:val="17"/>
          <w:color w:val="auto"/>
        </w:rPr>
        <w:t>ROU assets, which represent the Company’s right to use the leased assets, and operating lease liabilities, which represent the present value of unpaid lease payments, are both recognized by the Company at the lease commencement date. The Company utilizes its estimated incremental borrowing rate at the lease commencement date to determine the present value of unpaid lease obligations. The rates are estimated primarily using a methodology dependent on the Company’s financial condition, creditworthiness, and availability of certain observable data. In particular, the Company considers its actual cost of borrowing for collateralized loans and its credit rating, along with the corporate bond yield curve in estimating its incremental borrowing rates. ROU assets are recorded as the amount of operating lease liability, adjusted for prepayments, accrued lease payments, initial direct costs, lease incentives, and impairment of the ROU asset. Tenant improvement allowances used to fund leasehold improvements are recognized when earned and reduce the related ROU asset. Tenant improvement allowances are recognized through the ROU asset as a reduction of expense over the term of the lease.</w:t>
      </w:r>
    </w:p>
    <w:p>
      <w:pPr>
        <w:spacing w:after="0" w:line="131"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Leases may contain rent escalations, however the Company recognizes the lease expense on a straight-line basis over the expected lease term. The Company reviews the terms of any lease renewal options to determine if it is reasonably certain that the renewal options will be exercised. The Company has determined that the expected lease term is typically the minimum non-cancelable period of the lease.</w:t>
      </w:r>
    </w:p>
    <w:p>
      <w:pPr>
        <w:spacing w:after="0" w:line="14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lease agreements that contain both lease and non-lease components which the Company has elected to account for as a single lease component for all asset classes. Leases with an initial term of 12 months or less are not recorded on the consolidated balance sheet and are expensed on a straight-line basis over the term of the lease. The Company’s lease agreements do not contain any material residual value guarantees or material restrictive covenants. See Note 8,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for further discussion of leases.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80"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Goodwill, Intangible Assets, Property and Equipment, and Referral Sources </w:t>
      </w:r>
      <w:r>
        <w:rPr>
          <w:rFonts w:ascii="Times New Roman" w:cs="Times New Roman" w:eastAsia="Times New Roman" w:hAnsi="Times New Roman"/>
          <w:sz w:val="18"/>
          <w:szCs w:val="18"/>
          <w:color w:val="auto"/>
        </w:rPr>
        <w:t>— Goodwill represents the excess of the purchase price over the fair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value of assets acquired and liabilities assumed. The Company accounts for goodwill under ASC Topic 350, </w:t>
      </w:r>
      <w:r>
        <w:rPr>
          <w:rFonts w:ascii="Times New Roman" w:cs="Times New Roman" w:eastAsia="Times New Roman" w:hAnsi="Times New Roman"/>
          <w:sz w:val="18"/>
          <w:szCs w:val="18"/>
          <w:i w:val="1"/>
          <w:iCs w:val="1"/>
          <w:color w:val="auto"/>
        </w:rPr>
        <w:t>Intangibles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Goodwill and Other.</w:t>
      </w:r>
      <w:r>
        <w:rPr>
          <w:rFonts w:ascii="Times New Roman" w:cs="Times New Roman" w:eastAsia="Times New Roman" w:hAnsi="Times New Roman"/>
          <w:sz w:val="18"/>
          <w:szCs w:val="18"/>
          <w:color w:val="auto"/>
        </w:rPr>
        <w:t xml:space="preserve"> The Company tests goodwill for impairment annually, or more frequently whenever events or circumstances indicate impairment may exist. Goodwill is stated at cost less accumulated impairment losses. The Company completes its goodwill impairment test annually in the fourth quarter on a qualitative basis. See Note 10,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for further discussion of the Company’s goodwill and other intangible assets.</w:t>
      </w:r>
    </w:p>
    <w:p>
      <w:pPr>
        <w:spacing w:after="0" w:line="102" w:lineRule="exact"/>
        <w:rPr>
          <w:sz w:val="20"/>
          <w:szCs w:val="20"/>
          <w:color w:val="auto"/>
        </w:rPr>
      </w:pPr>
    </w:p>
    <w:p>
      <w:pPr>
        <w:ind w:right="240" w:firstLine="324"/>
        <w:spacing w:after="0" w:line="245" w:lineRule="exact"/>
        <w:rPr>
          <w:sz w:val="20"/>
          <w:szCs w:val="20"/>
          <w:color w:val="auto"/>
        </w:rPr>
      </w:pPr>
      <w:r>
        <w:rPr>
          <w:rFonts w:ascii="Times New Roman" w:cs="Times New Roman" w:eastAsia="Times New Roman" w:hAnsi="Times New Roman"/>
          <w:sz w:val="18"/>
          <w:szCs w:val="18"/>
          <w:color w:val="auto"/>
        </w:rPr>
        <w:t>Intangible assets arising from the Company’s acquisitions are amortized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the estimated useful life of each asset. Referral sources have a useful life of fifteen to twenty years. Trademarks/names have a useful life ranging from two to fifteen years. The useful lives for other amortizable intangible assets range from approximately two to nine years. The Company does not have any indefinite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intangible assets.</w:t>
      </w:r>
    </w:p>
    <w:p>
      <w:pPr>
        <w:spacing w:after="0" w:line="143" w:lineRule="exact"/>
        <w:rPr>
          <w:sz w:val="20"/>
          <w:szCs w:val="20"/>
          <w:color w:val="auto"/>
        </w:rPr>
      </w:pPr>
    </w:p>
    <w:p>
      <w:pPr>
        <w:ind w:right="40" w:firstLine="324"/>
        <w:spacing w:after="0" w:line="219" w:lineRule="exact"/>
        <w:rPr>
          <w:sz w:val="20"/>
          <w:szCs w:val="20"/>
          <w:color w:val="auto"/>
        </w:rPr>
      </w:pPr>
      <w:r>
        <w:rPr>
          <w:rFonts w:ascii="Times New Roman" w:cs="Times New Roman" w:eastAsia="Times New Roman" w:hAnsi="Times New Roman"/>
          <w:sz w:val="18"/>
          <w:szCs w:val="18"/>
          <w:color w:val="auto"/>
        </w:rPr>
        <w:t>Property and equipment is recorded at cost, net of accumulated depreciation. Depreciation on owned property and equipment is provided for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the estimated useful lives of owned assets. Leasehold improvements are amortized over the estimated useful life of the property or over the term of the lease, whichever is shorter. Estimated useful lives are seven years for infusion pumps and three to thirteen years for equipment. Major repairs, which extend the useful life of an asset, are capitalized in the property and equipment accounts. Routine maintenance and repairs are expensed as incurred. Computer software is included in property and equipment and consists of purchased software and internally-developed software. The Company capitalizes application-stage development costs for significant internally-developed software projects. Once the software is ready for its intended use, these costs are amortized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the software’s estimated useful life, generally five years. Costs recognized in the preliminary project phase and the post-implementation phase, as well as maintenance and training costs, are expensed as incurred.</w:t>
      </w:r>
    </w:p>
    <w:p>
      <w:pPr>
        <w:spacing w:after="0" w:line="117" w:lineRule="exact"/>
        <w:rPr>
          <w:sz w:val="20"/>
          <w:szCs w:val="20"/>
          <w:color w:val="auto"/>
        </w:rPr>
      </w:pPr>
    </w:p>
    <w:p>
      <w:pPr>
        <w:ind w:firstLine="324"/>
        <w:spacing w:after="0" w:line="231" w:lineRule="exact"/>
        <w:rPr>
          <w:sz w:val="20"/>
          <w:szCs w:val="20"/>
          <w:color w:val="auto"/>
        </w:rPr>
      </w:pPr>
      <w:r>
        <w:rPr>
          <w:rFonts w:ascii="Times New Roman" w:cs="Times New Roman" w:eastAsia="Times New Roman" w:hAnsi="Times New Roman"/>
          <w:sz w:val="18"/>
          <w:szCs w:val="18"/>
          <w:color w:val="auto"/>
        </w:rPr>
        <w:t>The Company assesses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for impairment whenever events or circumstances indicate that a certain asset or asset group may be impaired. If circumstances require a long-lived asset or asset group be tested for possible impairment, the Company first compares undiscounted cash flows expected to be generated by that asset or asset group to its carrying amount. If the carrying amount of the long-lived asset or asset group is not recoverable on an undiscounted cash flows basis, an impairment is recognized to the extent that the carrying amount exceeds its fair value.</w:t>
      </w:r>
    </w:p>
    <w:p>
      <w:pPr>
        <w:spacing w:after="0" w:line="15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Equity-Method Investments </w:t>
      </w:r>
      <w:r>
        <w:rPr>
          <w:rFonts w:ascii="Times New Roman" w:cs="Times New Roman" w:eastAsia="Times New Roman" w:hAnsi="Times New Roman"/>
          <w:sz w:val="18"/>
          <w:szCs w:val="18"/>
          <w:color w:val="auto"/>
        </w:rPr>
        <w:t>— The Company’s investments in certain unconsolidated entities are accounted for under the equity method.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balance of these investments is included in other noncurrent assets in the accompanying consolidated balance sheets. As of December 31, 2023 and 2022, the balance of the investments was $20.9 million and $19.4 million, respectively. The investments are increased to reflect the Company’s capital contributions and equity in earnings of the investees. The investments are decreased to reflect the Company’s equity in losses of the investees and for distributions received that are not in excess of the carrying amount of the investments. The Company’s proportionate share of earnings or losses of the investees is recorded in equity in earnings of joint ventures in the accompanying consolidated statements of comprehensive income. The Company’s proportionate share of earnings was $5.5 million, $5.1 million and $6.0 million for the years ended December 31, 2023, 2022 and 2021, respectively. Distributions from the investees are treated as cash inflows from operating activities in the consolidated statements of cash flows. During the years ended December 31, 2023, 2022 and 2021, the Company received distributions from the investees of $4.0 million, $5.9 million and $2.9 million, respectively. See Note 17, </w:t>
      </w:r>
      <w:r>
        <w:rPr>
          <w:rFonts w:ascii="Times New Roman" w:cs="Times New Roman" w:eastAsia="Times New Roman" w:hAnsi="Times New Roman"/>
          <w:sz w:val="18"/>
          <w:szCs w:val="18"/>
          <w:i w:val="1"/>
          <w:iCs w:val="1"/>
          <w:color w:val="auto"/>
        </w:rPr>
        <w:t>Related-Party Transactions</w:t>
      </w:r>
      <w:r>
        <w:rPr>
          <w:rFonts w:ascii="Times New Roman" w:cs="Times New Roman" w:eastAsia="Times New Roman" w:hAnsi="Times New Roman"/>
          <w:sz w:val="18"/>
          <w:szCs w:val="18"/>
          <w:color w:val="auto"/>
        </w:rPr>
        <w:t>, for discussion of related-party transactions with these investees.</w:t>
      </w:r>
    </w:p>
    <w:p>
      <w:pPr>
        <w:spacing w:after="0" w:line="158" w:lineRule="exact"/>
        <w:rPr>
          <w:sz w:val="20"/>
          <w:szCs w:val="20"/>
          <w:color w:val="auto"/>
        </w:rPr>
      </w:pPr>
    </w:p>
    <w:p>
      <w:pPr>
        <w:ind w:right="4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Hedging Instruments </w:t>
      </w:r>
      <w:r>
        <w:rPr>
          <w:rFonts w:ascii="Times New Roman" w:cs="Times New Roman" w:eastAsia="Times New Roman" w:hAnsi="Times New Roman"/>
          <w:sz w:val="18"/>
          <w:szCs w:val="18"/>
          <w:color w:val="auto"/>
        </w:rPr>
        <w:t>— The Company uses derivative financial instruments to limit its exposure to increases in the interest rate of its variable 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debt instruments. The derivative financial instruments are recognized on the consolidated balance sheets at fair value. See Note 12,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for additional information.</w:t>
      </w:r>
    </w:p>
    <w:p>
      <w:pPr>
        <w:spacing w:after="0" w:line="134"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At inception of the hedge, the Company designated the derivative instruments as a hedge of the cash flows related to the interest on the variable rate debt. For all instruments designated as hedges, the Company documents the hedging relationships and its risk management objective of the hedging relationship. For all hedging instruments, the terms of the hedge perfectly offset the hedged expected cash flows.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right="16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 Net revenue is reported at the net realizable value amount that reflects the consideration the Company expects to receive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for providing goods and services. Revenues are from government payers, commercial payers, and patients for goods and services provided and are based on a gross price based on payer contracts, fee schedules, or other arrangements less any implicit price concessions.</w:t>
      </w:r>
    </w:p>
    <w:p>
      <w:pPr>
        <w:spacing w:after="0" w:line="134"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Due to the nature of the healthcare industry and the reimbursement environment in which the Company operates, certain estimates are required to record revenue and accounts receivable at their net realizable values at the time goods or services are provided. Inherent in these estimates is the risk that they will have to be revised or updated as additional information becomes available.</w:t>
      </w:r>
    </w:p>
    <w:p>
      <w:pPr>
        <w:spacing w:after="0" w:line="149" w:lineRule="exact"/>
        <w:rPr>
          <w:sz w:val="20"/>
          <w:szCs w:val="20"/>
          <w:color w:val="auto"/>
        </w:rPr>
      </w:pPr>
    </w:p>
    <w:p>
      <w:pPr>
        <w:jc w:val="both"/>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Company assesses the expected consideration to be received at the time of patient acceptance, based on the verification of the patient’s insurance coverage, historical information with the patient, similar patients, or the payer. Performance obligations are determined based on the nature of the services provided by the Company. The majority of the Company’s performance obligations are to provide infusion services to deliver medicine, nutrients, or fluids directly into the body.</w:t>
      </w:r>
    </w:p>
    <w:p>
      <w:pPr>
        <w:spacing w:after="0" w:line="13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 provides a variety of infusion-related therapies to patients, which frequently include multiple deliverables of pharmaceutical drugs and related nursing services. After applying the criteria from ASC 606, the Company concluded that multiple performance obligations exist in its contracts with its customers. Revenue is allocated to each performance obligation based on relative standalone price, determined based on reimbursement rates established in the third-party payer contracts. Pharmaceutical drug revenue is recognized at the time the pharmaceutical drug is delivered to the patient, and nursing revenue is recognized on the date of service.</w:t>
      </w:r>
    </w:p>
    <w:p>
      <w:pPr>
        <w:spacing w:after="0" w:line="143"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Company's outstanding performance obligations relate to contracts with a duration of less than one year. Therefore, the Company has elected to apply the practical expedient provided by ASC 606 and is not required to disclose the aggregate amount of the transaction price allocated to performance obligations that are unsatisfied or partially unsatisfied at the end of the reporting period. Any unsatisfied or partially unsatisfied performance obligations at the end of a reporting period are generally completed prior to the patient being discharged. See Note 4,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for a further discussion of revenue.</w:t>
      </w:r>
    </w:p>
    <w:p>
      <w:pPr>
        <w:spacing w:after="0" w:line="149" w:lineRule="exact"/>
        <w:rPr>
          <w:sz w:val="20"/>
          <w:szCs w:val="20"/>
          <w:color w:val="auto"/>
        </w:rPr>
      </w:pPr>
    </w:p>
    <w:p>
      <w:pPr>
        <w:jc w:val="both"/>
        <w:ind w:right="2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Cost of Revenue </w:t>
      </w:r>
      <w:r>
        <w:rPr>
          <w:rFonts w:ascii="Times New Roman" w:cs="Times New Roman" w:eastAsia="Times New Roman" w:hAnsi="Times New Roman"/>
          <w:sz w:val="18"/>
          <w:szCs w:val="18"/>
          <w:color w:val="auto"/>
        </w:rPr>
        <w:t>— Cost of revenue consists of the actual cost of pharmaceuticals and other medical supplies dispensed to patients, as well as all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costs directly related to the production of revenue. These costs include warehousing costs, purchasing costs, freight costs, cash discounts, wages and related costs for pharmacists and nurses, along with depreciation expense relating to revenue-generating assets, such as infusion pumps.</w:t>
      </w:r>
    </w:p>
    <w:p>
      <w:pPr>
        <w:spacing w:after="0" w:line="134"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Company also receives rebates from pharmaceutical and medical supply manufacturers. Rebates are generally volume-based incentives and are recorded as a reduction of inventory and are accounted for as a reduction of cost of goods sold when the related inventory is sold.</w:t>
      </w:r>
    </w:p>
    <w:p>
      <w:pPr>
        <w:spacing w:after="0" w:line="117" w:lineRule="exact"/>
        <w:rPr>
          <w:sz w:val="20"/>
          <w:szCs w:val="20"/>
          <w:color w:val="auto"/>
        </w:rPr>
      </w:pPr>
    </w:p>
    <w:p>
      <w:pPr>
        <w:ind w:right="720" w:firstLine="324"/>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Selling, General and Administrative Expenses </w:t>
      </w:r>
      <w:r>
        <w:rPr>
          <w:rFonts w:ascii="Times New Roman" w:cs="Times New Roman" w:eastAsia="Times New Roman" w:hAnsi="Times New Roman"/>
          <w:sz w:val="17"/>
          <w:szCs w:val="17"/>
          <w:color w:val="auto"/>
        </w:rPr>
        <w:t>— Selling, general and administrative expenses mainly consist of salaries for administrative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employees that directly and indirectly support the operations, occupancy costs, marketing expenditures, insurance, and professional fees.</w:t>
      </w:r>
    </w:p>
    <w:p>
      <w:pPr>
        <w:spacing w:after="0" w:line="10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Stock Based Incentive Compensation </w:t>
      </w:r>
      <w:r>
        <w:rPr>
          <w:rFonts w:ascii="Times New Roman" w:cs="Times New Roman" w:eastAsia="Times New Roman" w:hAnsi="Times New Roman"/>
          <w:sz w:val="18"/>
          <w:szCs w:val="18"/>
          <w:color w:val="auto"/>
        </w:rPr>
        <w:t>— The Company accounts for stock-based incentive compensation expense in accordance with ASC Topic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(“ASC 718”). Stock-based incentive compensation expense is based on the grant date fair value. The Company estimates the fair value of stock option awards using a Black-Scholes option pricing model and the fair value of restricted stock unit awards using the closing price of the Company’s common stock on the grant date. For awards with a service-based vesting condition, the Company recognizes expense on a straight-line basis over the service period of the award. For awards with performance-based vesting conditions, the Company will recognize expense when it is probable that the performance-based conditions will be met. When the Company determines that it is probable that the performance-based conditions will be met, a cumulative catch-up of expense will be recorded as if the award had been vesting on a straight-line basis from the award date. The award will continue to be expensed on a straight-line basis through the remainder of the vesting period and will be updated if the Company determines that there has been a change in the probability of achieving the performance-based conditions. The Company records the impact of forfeited awards in the period in which the forfeiture occurs.</w:t>
      </w:r>
    </w:p>
    <w:p>
      <w:pPr>
        <w:spacing w:after="0" w:line="145" w:lineRule="exact"/>
        <w:rPr>
          <w:sz w:val="20"/>
          <w:szCs w:val="20"/>
          <w:color w:val="auto"/>
        </w:rPr>
      </w:pPr>
    </w:p>
    <w:p>
      <w:pPr>
        <w:ind w:right="12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Business Acquisitions </w:t>
      </w:r>
      <w:r>
        <w:rPr>
          <w:rFonts w:ascii="Times New Roman" w:cs="Times New Roman" w:eastAsia="Times New Roman" w:hAnsi="Times New Roman"/>
          <w:sz w:val="18"/>
          <w:szCs w:val="18"/>
          <w:color w:val="auto"/>
        </w:rPr>
        <w:t>— The Company accounts for business acquisitions in accordance with ASC Topic 805,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with assets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liabilities being recorded at their acquisition date fair value and goodwill being calculated as the purchase price in excess of the net identifiable assets. See Note 3, </w:t>
      </w:r>
      <w:r>
        <w:rPr>
          <w:rFonts w:ascii="Times New Roman" w:cs="Times New Roman" w:eastAsia="Times New Roman" w:hAnsi="Times New Roman"/>
          <w:sz w:val="18"/>
          <w:szCs w:val="18"/>
          <w:i w:val="1"/>
          <w:iCs w:val="1"/>
          <w:color w:val="auto"/>
        </w:rPr>
        <w:t>Business Acquisitions and Divestitures</w:t>
      </w:r>
      <w:r>
        <w:rPr>
          <w:rFonts w:ascii="Times New Roman" w:cs="Times New Roman" w:eastAsia="Times New Roman" w:hAnsi="Times New Roman"/>
          <w:sz w:val="18"/>
          <w:szCs w:val="18"/>
          <w:color w:val="auto"/>
        </w:rPr>
        <w:t>, for further discussion of the Company’s business acquisitions.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4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 The Company accounts for income taxes using the asset and liability method. Deferred tax assets and liabilities are reported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book-tax basis differences and are measured based on currently enacted tax laws using rates expected to apply to taxable income in the years in which the differences are expected to reverse. The effect of a change in tax rate on deferred taxes is recognized in income tax expense in the period that includes the enactment date of the change.</w:t>
      </w:r>
    </w:p>
    <w:p>
      <w:pPr>
        <w:spacing w:after="0" w:line="140"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or all of the deferred tax assets will not be realized. Valuation allowances are established when necessary to reduce deferred tax assets to the amounts more likely than not to be realized.</w:t>
      </w:r>
    </w:p>
    <w:p>
      <w:pPr>
        <w:spacing w:after="0" w:line="14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recognizes income tax positions that are more likely than not to be sustained on their technical merits. The Company measures recognized income tax positions at the maximum benefit that is more likely than not, based on cumulative probability, realizable upon final settlement of the position. Interest and penalties related to unrecognized tax benefits are reported in income tax expense (benefit).</w:t>
      </w:r>
    </w:p>
    <w:p>
      <w:pPr>
        <w:spacing w:after="0" w:line="131"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Concentrations of Business Risk </w:t>
      </w:r>
      <w:r>
        <w:rPr>
          <w:rFonts w:ascii="Times New Roman" w:cs="Times New Roman" w:eastAsia="Times New Roman" w:hAnsi="Times New Roman"/>
          <w:sz w:val="18"/>
          <w:szCs w:val="18"/>
          <w:color w:val="auto"/>
        </w:rPr>
        <w:t>— The Company generates revenue from managed care contracts and other agreements with commercial third-party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payers. Revenue related to the Company’s largest payer was approximately 14%, 14% and 16% for the years ended December 31, 2023, 2022 and 2021, respectively. There were no other managed care contracts that represent greater than 10% of revenue for the years presented.</w:t>
      </w:r>
    </w:p>
    <w:p>
      <w:pPr>
        <w:spacing w:after="0" w:line="134"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2023, 2022 and 2021, approximately 12%, 12% and 12%, respectively, of the Company’s revenue was reimbursable through direct government healthcare programs such as Medicare and Medicaid. As of December 31, 2023 and 2022, approximately 12% and 13%, respectively, of the Company’s accounts receivable was related to these programs. Governmental programs pay for services based on fee schedules and rates that are determined by the related governmental agency. Laws and regulations pertaining to government programs are complex and subject to interpretation. As a result, there is at least a reasonable possibility that recorded estimates will change in the near term.</w:t>
      </w:r>
    </w:p>
    <w:p>
      <w:pPr>
        <w:spacing w:after="0" w:line="15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Company does not require its patients nor other payers to carry collateral for any amounts owed for goods or services provided. Other than as discussed above, concentrations of credit risk relating to trade accounts receivable is limited due to the Company’s diversity of patients and payers. Further, the Company generally does not provide charity care; however, Option Care Health offers a financial assistance program for patients that meet certain defined hardship criteria.</w:t>
      </w:r>
    </w:p>
    <w:p>
      <w:pPr>
        <w:spacing w:after="0" w:line="13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2023, 2022, and 2021, approximately 72%, 73% and 74%, respectively, of the Company’s pharmaceutical and medical supply purchases were from four vendors. Although there are a limited number of suppliers, the Company believes that other vendors could provide similar products on comparable terms. However, a change in suppliers could cause delays in service delivery and possible losses in revenue, which could adversely affect the Company’s financial condition or operating results.</w:t>
      </w:r>
    </w:p>
    <w:p>
      <w:pPr>
        <w:spacing w:after="0" w:line="13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Fair Value Measurements </w:t>
      </w:r>
      <w:r>
        <w:rPr>
          <w:rFonts w:ascii="Times New Roman" w:cs="Times New Roman" w:eastAsia="Times New Roman" w:hAnsi="Times New Roman"/>
          <w:sz w:val="18"/>
          <w:szCs w:val="18"/>
          <w:color w:val="auto"/>
        </w:rPr>
        <w:t>— The fair value measurement accounting standard, ASC Topic 820,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(“ASC 820”), provides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framework for measuring fair value and defines fair value as the price that would be received to sell an asset or paid to transfer a liability. Fair value is a market-based measurement that should be determined using assumptions that market participants would use in pricing an asset or liability. The standard establishes a valuation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developed based on independent market data sources. Unobservable inputs are inputs that reflect the Company’s assumptions about the factors market participants would use in valuing the asset or liability developed based upon the best information available. The valuation hierarchy is composed of three categories. The categorization within the valuation hierarchy is based on the lowest level of input that is significant to the fair value measurement. The categories within the valuation hierarchy are described as follows:</w:t>
      </w:r>
    </w:p>
    <w:p>
      <w:pPr>
        <w:spacing w:after="0" w:line="16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fair value measurement are quoted prices in active markets for identical assets or liabilities.</w:t>
      </w:r>
    </w:p>
    <w:p>
      <w:pPr>
        <w:spacing w:after="0" w:line="27" w:lineRule="exact"/>
        <w:rPr>
          <w:rFonts w:ascii="Times New Roman" w:cs="Times New Roman" w:eastAsia="Times New Roman" w:hAnsi="Times New Roman"/>
          <w:sz w:val="18"/>
          <w:szCs w:val="18"/>
          <w:color w:val="auto"/>
        </w:rPr>
      </w:pPr>
    </w:p>
    <w:p>
      <w:pPr>
        <w:ind w:left="660" w:right="4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fair value measurement include quoted prices in active markets for similar assets or liabilities, quoted prices for identical or similar assets or liabilities in markets that are not active, and inputs other than quoted prices that are observable for the asset or liability, either directly or indirectly.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fair value measurement are unobservable inputs or valuation techniques.</w:t>
      </w:r>
    </w:p>
    <w:p>
      <w:pPr>
        <w:spacing w:after="0" w:line="166"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While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Recently Issued Accounting Pronouncements </w:t>
      </w:r>
      <w:r>
        <w:rPr>
          <w:rFonts w:ascii="Times New Roman" w:cs="Times New Roman" w:eastAsia="Times New Roman" w:hAnsi="Times New Roman"/>
          <w:sz w:val="18"/>
          <w:szCs w:val="18"/>
          <w:color w:val="auto"/>
        </w:rPr>
        <w:t>— In December 2023, the FASB issued ASU 2023-09,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Income Taxes (Topic 740): Improvements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Income Tax Disclosures</w:t>
      </w:r>
      <w:r>
        <w:rPr>
          <w:rFonts w:ascii="Times New Roman" w:cs="Times New Roman" w:eastAsia="Times New Roman" w:hAnsi="Times New Roman"/>
          <w:sz w:val="18"/>
          <w:szCs w:val="18"/>
          <w:color w:val="auto"/>
        </w:rPr>
        <w:t>. This ASU addresses investor requests for more transparency about income tax information through improvements to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disclosures primarily related to the rate reconciliation and income taxes paid information. The ASU improves the transparency of income tax disclosures by requiring consistent categories and greater disaggregation of information in the rate reconciliation and income taxes paid disaggregated by jurisdiction. The ASU allows investors to better assess, in their capital allocation decisions, how an entity’s worldwide operations and related tax risks and tax planning and operational opportunities affect its income tax rate and prospects for future cash flows. This ASU also improves the effectiveness and comparability of disclosures by adding disclosures of pretax income (loss) and income tax expense (benefit) to be consistent with U.S. Securities and Exchange Commission (“SEC”) Regulation S-X and removing disclosures that no longer are considered cost beneficial or relevant. The Company is required to adopt this ASU for annual periods beginning after December 15, 2024, with early adoption permitted. The Company is currently evaluating the impact of this ASU on its results of operations, cash flows, financial position, and disclosures.</w:t>
      </w:r>
    </w:p>
    <w:p>
      <w:pPr>
        <w:spacing w:after="0" w:line="14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This ASU improves the disclosures about a public entity’s reportable segments and addresses requests from investors for additional, more detailed information about a reportable segment’s expenses. The ASU improves financial reporting by requiring disclosure of incremental segment information on an annual and interim basis for all public entities, including those public entities that have a single reportable segment, to enable investors to develop more decision-useful financial analyses. The Company is required to adopt this ASU for fiscal years beginning after December 15, 2023, and interim periods within fiscal years beginning after December 15, 2024, with early adoption permitted. Once adopted the Company will apply the ASU retrospectively to all prior periods presented in the financial statements. The Company is currently evaluating the impact of this ASU on its results of operations, cash flows, financial position, and disclosures.</w:t>
      </w:r>
    </w:p>
    <w:p>
      <w:pPr>
        <w:spacing w:after="0" w:line="15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October 2023, the FASB issued ASU 2023-06, </w:t>
      </w:r>
      <w:r>
        <w:rPr>
          <w:rFonts w:ascii="Times New Roman" w:cs="Times New Roman" w:eastAsia="Times New Roman" w:hAnsi="Times New Roman"/>
          <w:sz w:val="18"/>
          <w:szCs w:val="18"/>
          <w:i w:val="1"/>
          <w:iCs w:val="1"/>
          <w:color w:val="auto"/>
        </w:rPr>
        <w:t>Disclosure Improvements: Codification Amendments in Response to the SEC’s Disclosure Update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Simplification Initiative</w:t>
      </w:r>
      <w:r>
        <w:rPr>
          <w:rFonts w:ascii="Times New Roman" w:cs="Times New Roman" w:eastAsia="Times New Roman" w:hAnsi="Times New Roman"/>
          <w:sz w:val="18"/>
          <w:szCs w:val="18"/>
          <w:color w:val="auto"/>
        </w:rPr>
        <w:t>. This ASU is the result of the Board’s decision to incorporate into the Codification 14 disclosures referred by the SEC.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represents changes to clarify or improve disclosure and presentation requirements of a variety of Topics. Many of the amendments allow users to more easily compare entities subject to the SEC’s existing disclosures with those entities that were not previously subject to the SEC’s requirements. Also, the amendments align the requirements in the Codification with the SEC’s regulations. The effective date for each amendment will be the date on which the SEC’s removal of that related disclosure from Regulation S-X or Regulation S-K becomes effective, with early adoption permitted. If by June 30, 2027, the SEC has not removed the applicable requirement from Regulation S-X or Regulation S-K, the pending content of the related amendment will be removed from the Codification and will not become effective. The Company is currently evaluating the impact of this ASU on its results of operations, cash flows, financial position, and disclosures.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BUSINESS ACQUISITIONS AND DIVESTITURES</w:t>
      </w:r>
    </w:p>
    <w:p>
      <w:pPr>
        <w:spacing w:after="0" w:line="185" w:lineRule="exact"/>
        <w:rPr>
          <w:sz w:val="20"/>
          <w:szCs w:val="20"/>
          <w:color w:val="auto"/>
        </w:rPr>
      </w:pPr>
    </w:p>
    <w:p>
      <w:pPr>
        <w:ind w:right="42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Amedisys, Inc. — </w:t>
      </w:r>
      <w:r>
        <w:rPr>
          <w:rFonts w:ascii="Times New Roman" w:cs="Times New Roman" w:eastAsia="Times New Roman" w:hAnsi="Times New Roman"/>
          <w:sz w:val="18"/>
          <w:szCs w:val="18"/>
          <w:color w:val="auto"/>
        </w:rPr>
        <w:t>On May 3, 2023, the Company entered into a definitive merger agreement with Amedisys. Under the terms of the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Company would issue new shares of its common stock to Amedisys’s stockholders, which would result in the Company’s stockholders holding approximately 64.5% of the combined company.</w:t>
      </w:r>
    </w:p>
    <w:p>
      <w:pPr>
        <w:spacing w:after="0" w:line="148"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On June 26, 2023, the Company entered into an agreement to terminate the Amedisys Merger Agreement. Under the terms of the Mutual Termination Agreement, the Company received a payment of $106.0 million in cash on behalf of Amedisys. The Termination Fee is included in Other, net in the consolidated statements of comprehensive income and in Net cash provided by operating activities in the consolidated statements of cash flows.</w:t>
      </w:r>
    </w:p>
    <w:p>
      <w:pPr>
        <w:spacing w:after="0" w:line="135"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incurred $21.1 million in merger-related expenses, which are included in Other, net in the consolidated statements of comprehensive income and in Net cash provided by operating activities in the consolidated statements of cash flows.</w:t>
      </w:r>
    </w:p>
    <w:p>
      <w:pPr>
        <w:spacing w:after="0" w:line="117" w:lineRule="exact"/>
        <w:rPr>
          <w:sz w:val="20"/>
          <w:szCs w:val="20"/>
          <w:color w:val="auto"/>
        </w:rPr>
      </w:pPr>
    </w:p>
    <w:p>
      <w:pPr>
        <w:ind w:right="6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Revitalized, LLC — </w:t>
      </w:r>
      <w:r>
        <w:rPr>
          <w:rFonts w:ascii="Times New Roman" w:cs="Times New Roman" w:eastAsia="Times New Roman" w:hAnsi="Times New Roman"/>
          <w:sz w:val="18"/>
          <w:szCs w:val="18"/>
          <w:color w:val="auto"/>
        </w:rPr>
        <w:t>In May 2023, pursuant to the equity purchase agreement dated May 1, 2023, the Company completed the acquisition of 100%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membership interests in Revitalized, LLC for a purchase price, net of cash acquired, of $12.5 million, which primarily consisted of $6.7 million of goodwill and $5.5 million of intangible assets.</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Respiratory Therapy Asset Sale — </w:t>
      </w:r>
      <w:r>
        <w:rPr>
          <w:rFonts w:ascii="Times New Roman" w:cs="Times New Roman" w:eastAsia="Times New Roman" w:hAnsi="Times New Roman"/>
          <w:sz w:val="18"/>
          <w:szCs w:val="18"/>
          <w:color w:val="auto"/>
        </w:rPr>
        <w:t>The Company closed the transaction in December 2022, for a sale price of $18.4 million comprised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$14.7 million in proceeds received at the time of closing and $3.7 million recorded as a current asset was paid in the year ended December 31,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final transaction terms, $8.8 million of assets were sold, along with $0.7 million of liabilities that were previously classified as held for sale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lower of their carrying amount or fair values less cost to sell. As a result of the transaction, a $10.3 million pre-tax gain on sale was recorded within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net in the Company’s consolidated statements of comprehensive income within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5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Rochester Home Infusion, Inc. — </w:t>
      </w:r>
      <w:r>
        <w:rPr>
          <w:rFonts w:ascii="Times New Roman" w:cs="Times New Roman" w:eastAsia="Times New Roman" w:hAnsi="Times New Roman"/>
          <w:sz w:val="18"/>
          <w:szCs w:val="18"/>
          <w:color w:val="auto"/>
        </w:rPr>
        <w:t>In August 2022, pursuant to the stock purchase agreement dated June 10, 2022, the Company completed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of 100% of the equity interests in Rochester Home Infusion, Inc. (“RHI”) for a purchase price, net of cash acquired, of $27.4 million.</w:t>
      </w:r>
    </w:p>
    <w:p>
      <w:pPr>
        <w:spacing w:after="0" w:line="116" w:lineRule="exact"/>
        <w:rPr>
          <w:sz w:val="20"/>
          <w:szCs w:val="20"/>
          <w:color w:val="auto"/>
        </w:rPr>
      </w:pPr>
    </w:p>
    <w:p>
      <w:pPr>
        <w:jc w:val="both"/>
        <w:ind w:right="60"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The allocation of the purchase price of RHI was accounted for as a business combination in accordance with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with the total purchase price being allocated to the assets and liabilities acquired based on the relative fair value of each asset and liability. The following is a final allocation of the consideration transferred to acquired identifiable assets and assumed liabilities, net of cash acquired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1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w:t>
            </w: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4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5,449</w:t>
            </w: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w:t>
            </w:r>
          </w:p>
        </w:tc>
      </w:tr>
      <w:tr>
        <w:trPr>
          <w:trHeight w:val="213"/>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4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w:t>
            </w:r>
          </w:p>
        </w:tc>
      </w:tr>
      <w:tr>
        <w:trPr>
          <w:trHeight w:val="212"/>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identifiable assets and liabilities</w:t>
            </w:r>
          </w:p>
        </w:tc>
        <w:tc>
          <w:tcPr>
            <w:tcW w:w="4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6,095</w:t>
            </w: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(1)</w:t>
            </w:r>
          </w:p>
        </w:tc>
        <w:tc>
          <w:tcPr>
            <w:tcW w:w="4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21,323</w:t>
            </w: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acquired</w:t>
            </w:r>
          </w:p>
        </w:tc>
        <w:tc>
          <w:tcPr>
            <w:tcW w:w="4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207"/>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price</w:t>
            </w:r>
          </w:p>
        </w:tc>
        <w:tc>
          <w:tcPr>
            <w:tcW w:w="4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27,619</w:t>
            </w:r>
          </w:p>
        </w:tc>
      </w:tr>
      <w:tr>
        <w:trPr>
          <w:trHeight w:val="216"/>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cash acquired</w:t>
            </w:r>
          </w:p>
        </w:tc>
        <w:tc>
          <w:tcPr>
            <w:tcW w:w="44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212"/>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price, net of cash acquired</w:t>
            </w: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27,418</w:t>
            </w:r>
          </w:p>
        </w:tc>
      </w:tr>
      <w:tr>
        <w:trPr>
          <w:trHeight w:val="21"/>
        </w:trPr>
        <w:tc>
          <w:tcPr>
            <w:tcW w:w="90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Goodwill is attributable to cost synergies from procurement and operational efficiencies and elimination of duplicative administrative costs.</w:t>
      </w:r>
    </w:p>
    <w:p>
      <w:pPr>
        <w:spacing w:after="0" w:line="181" w:lineRule="exact"/>
        <w:rPr>
          <w:sz w:val="20"/>
          <w:szCs w:val="20"/>
          <w:color w:val="auto"/>
        </w:rPr>
      </w:pPr>
    </w:p>
    <w:p>
      <w:pPr>
        <w:ind w:right="46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Specialty Pharmacy Nursing Network, Inc. — </w:t>
      </w:r>
      <w:r>
        <w:rPr>
          <w:rFonts w:ascii="Times New Roman" w:cs="Times New Roman" w:eastAsia="Times New Roman" w:hAnsi="Times New Roman"/>
          <w:sz w:val="18"/>
          <w:szCs w:val="18"/>
          <w:color w:val="auto"/>
        </w:rPr>
        <w:t>In April 2022, pursuant to the equity purchase agreement dated February 7, 2022,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completed the acquisition of 100% of the equity interests in Specialty Pharmacy Nursing Network, Inc. (“SPNN”) for a purchase price, net of cash acquired, of $59.9 million.</w:t>
      </w:r>
    </w:p>
    <w:p>
      <w:pPr>
        <w:spacing w:after="0" w:line="132"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allocation of the purchase price of SPNN was accounted for as a business combination in accordance with ASC Topic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 with the total purchase price being allocated to the assets and liabilities acquired based on the relative fair value of each asset and liability.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December 31, 2022, the Company finalized the purchase price allocation of the acquisition. Certain adjustments were made to preliminary valuation amounts related to accrued compensation. The following is a final allocation of the consideration transferred to acquired identifiable assets and assumed liabilities, net of cash acquired,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12"/>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2,303</w:t>
            </w: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4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25,580</w:t>
            </w: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compensation</w:t>
            </w:r>
          </w:p>
        </w:tc>
        <w:tc>
          <w:tcPr>
            <w:tcW w:w="4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w:t>
            </w: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4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w:t>
            </w:r>
          </w:p>
        </w:tc>
      </w:tr>
      <w:tr>
        <w:trPr>
          <w:trHeight w:val="207"/>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identifiable assets and liabilities</w:t>
            </w:r>
          </w:p>
        </w:tc>
        <w:tc>
          <w:tcPr>
            <w:tcW w:w="4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26,200</w:t>
            </w: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(1)</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33,746</w:t>
            </w:r>
          </w:p>
        </w:tc>
      </w:tr>
      <w:tr>
        <w:trPr>
          <w:trHeight w:val="213"/>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acquired</w:t>
            </w:r>
          </w:p>
        </w:tc>
        <w:tc>
          <w:tcPr>
            <w:tcW w:w="4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661</w:t>
            </w:r>
          </w:p>
        </w:tc>
      </w:tr>
      <w:tr>
        <w:trPr>
          <w:trHeight w:val="212"/>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price</w:t>
            </w:r>
          </w:p>
        </w:tc>
        <w:tc>
          <w:tcPr>
            <w:tcW w:w="4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60,607</w:t>
            </w:r>
          </w:p>
        </w:tc>
      </w:tr>
      <w:tr>
        <w:trPr>
          <w:trHeight w:val="213"/>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cash acquired</w:t>
            </w:r>
          </w:p>
        </w:tc>
        <w:tc>
          <w:tcPr>
            <w:tcW w:w="4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(661)</w:t>
            </w:r>
          </w:p>
        </w:tc>
      </w:tr>
      <w:tr>
        <w:trPr>
          <w:trHeight w:val="237"/>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price, net of cash acquired</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59,946</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600" w:firstLine="332"/>
        <w:spacing w:after="0" w:line="282" w:lineRule="auto"/>
        <w:tabs>
          <w:tab w:leader="none" w:pos="57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is attributable to cost synergies from operational efficiencies and establishing a more comprehensive clinical platform through the Company’s national infrastructure and SPNN’s nursing network.</w:t>
      </w:r>
    </w:p>
    <w:p>
      <w:pPr>
        <w:spacing w:after="0" w:line="117" w:lineRule="exact"/>
        <w:rPr>
          <w:sz w:val="20"/>
          <w:szCs w:val="20"/>
          <w:color w:val="auto"/>
        </w:rPr>
      </w:pPr>
    </w:p>
    <w:p>
      <w:pPr>
        <w:ind w:right="16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Wasatch Infusion LLC Acquisition </w:t>
      </w:r>
      <w:r>
        <w:rPr>
          <w:rFonts w:ascii="Times New Roman" w:cs="Times New Roman" w:eastAsia="Times New Roman" w:hAnsi="Times New Roman"/>
          <w:sz w:val="18"/>
          <w:szCs w:val="18"/>
          <w:color w:val="auto"/>
        </w:rPr>
        <w:t>— In December 2021, pursuant to the executed asset purchase agreement on December 29, 2021,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completed the acquisition of Wasatch Infusion LLC for a purchase price of $19.5 million, which primarily consisted of $17.4 million of goodwill, $4.2 million of intangible assets, $2.7 million of accounts receivable, $2.0 million in inventories, and $(6.7) million of accounts payable.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8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Infinity Infusion Nursing LLC </w:t>
      </w:r>
      <w:r>
        <w:rPr>
          <w:rFonts w:ascii="Times New Roman" w:cs="Times New Roman" w:eastAsia="Times New Roman" w:hAnsi="Times New Roman"/>
          <w:sz w:val="18"/>
          <w:szCs w:val="18"/>
          <w:color w:val="auto"/>
        </w:rPr>
        <w:t>— In October 2021, pursuant to the equity purchase agreement dated October 1, 2021, the Company completed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100% acquisition of the equity interest in Infinity Infusion LLC (“Infinity”) for a purchase price, net of cash acquired of $59.6 million, which is comprised of a $50.0 million cash payment, two contingent $5.0 million payments (included as a non-cash change in other noncurrent assets and liabilities within the consolidated statements of cash flows), and $(0.4) million of other purchase price adjustments.</w:t>
      </w:r>
    </w:p>
    <w:p>
      <w:pPr>
        <w:spacing w:after="0" w:line="138"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allocation of the purchase price of Infinity was accounted for as a business combination in accordance with ASC Topic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 with the total purchase price being allocated to the assets and liabilities acquired based on the relative fair value of each asset and liability.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has finalized the purchase price allocation of the acquisition and no purchase accounting adjustments were made. The following is an allocation of acquired identifiable assets and assumed liabilities, net of cash acquired,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1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2,219</w:t>
            </w: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4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25,400</w:t>
            </w: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 and other assumed liabilities</w:t>
            </w:r>
          </w:p>
        </w:tc>
        <w:tc>
          <w:tcPr>
            <w:tcW w:w="4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w:t>
            </w:r>
          </w:p>
        </w:tc>
      </w:tr>
      <w:tr>
        <w:trPr>
          <w:trHeight w:val="207"/>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identifiable assets and liabilities</w:t>
            </w:r>
          </w:p>
        </w:tc>
        <w:tc>
          <w:tcPr>
            <w:tcW w:w="4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27,080</w:t>
            </w: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(1)</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32,524</w:t>
            </w:r>
          </w:p>
        </w:tc>
      </w:tr>
      <w:tr>
        <w:trPr>
          <w:trHeight w:val="213"/>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acquired</w:t>
            </w:r>
          </w:p>
        </w:tc>
        <w:tc>
          <w:tcPr>
            <w:tcW w:w="4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1,426</w:t>
            </w:r>
          </w:p>
        </w:tc>
      </w:tr>
      <w:tr>
        <w:trPr>
          <w:trHeight w:val="212"/>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price</w:t>
            </w:r>
          </w:p>
        </w:tc>
        <w:tc>
          <w:tcPr>
            <w:tcW w:w="4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61,030</w:t>
            </w:r>
          </w:p>
        </w:tc>
      </w:tr>
      <w:tr>
        <w:trPr>
          <w:trHeight w:val="213"/>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cash acquired</w:t>
            </w:r>
          </w:p>
        </w:tc>
        <w:tc>
          <w:tcPr>
            <w:tcW w:w="4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(1,426)</w:t>
            </w:r>
          </w:p>
        </w:tc>
      </w:tr>
      <w:tr>
        <w:trPr>
          <w:trHeight w:val="237"/>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price, net of cash acquired</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59,604</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600" w:firstLine="332"/>
        <w:spacing w:after="0" w:line="282" w:lineRule="auto"/>
        <w:tabs>
          <w:tab w:leader="none" w:pos="57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is attributable to cost synergies from operational efficiencies and establishing a more comprehensive clinical platform through the Company’s national infrastructure and Infinity’s nursing network.</w:t>
      </w:r>
    </w:p>
    <w:p>
      <w:pPr>
        <w:spacing w:after="0" w:line="117" w:lineRule="exact"/>
        <w:rPr>
          <w:sz w:val="20"/>
          <w:szCs w:val="20"/>
          <w:color w:val="auto"/>
        </w:rPr>
      </w:pPr>
    </w:p>
    <w:p>
      <w:pPr>
        <w:ind w:right="2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BioCure Asset Acquisition </w:t>
      </w:r>
      <w:r>
        <w:rPr>
          <w:rFonts w:ascii="Times New Roman" w:cs="Times New Roman" w:eastAsia="Times New Roman" w:hAnsi="Times New Roman"/>
          <w:sz w:val="18"/>
          <w:szCs w:val="18"/>
          <w:color w:val="auto"/>
        </w:rPr>
        <w:t>— In April 2021, pursuant to the asset purchase agreement dated April 7, 2021, the Company completed the acquisition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assets of BioCure, LLC for a purchase price of $18.9 million, which is comprised of $18.3 million of intangible assets, net and $0.6 million of inventories.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net revenue earned by category of payer for the years ended December 31, 2023, 2022 and 2021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4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11"/>
        </w:trPr>
        <w:tc>
          <w:tcPr>
            <w:tcW w:w="57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payers</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3,747,568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3,421,888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2,971,900</w:t>
            </w:r>
          </w:p>
        </w:tc>
      </w:tr>
      <w:tr>
        <w:trPr>
          <w:trHeight w:val="213"/>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Government payers</w:t>
            </w: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500,891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477,818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417,088</w:t>
            </w:r>
          </w:p>
        </w:tc>
      </w:tr>
      <w:tr>
        <w:trPr>
          <w:trHeight w:val="21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Patients</w:t>
            </w:r>
          </w:p>
        </w:tc>
        <w:tc>
          <w:tcPr>
            <w:tcW w:w="10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53,865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45,029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49,652</w:t>
            </w:r>
          </w:p>
        </w:tc>
      </w:tr>
      <w:tr>
        <w:trPr>
          <w:trHeight w:val="210"/>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4,302,324</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3,944,735</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3,438,640</w:t>
            </w:r>
          </w:p>
        </w:tc>
      </w:tr>
      <w:tr>
        <w:trPr>
          <w:trHeight w:val="20"/>
        </w:trPr>
        <w:tc>
          <w:tcPr>
            <w:tcW w:w="5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EMPLOYEE BENEFIT PLANS</w:t>
      </w:r>
    </w:p>
    <w:p>
      <w:pPr>
        <w:spacing w:after="0" w:line="189"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The Company maintains a 401(k) plan and matches 100% of employee contributions, up to 4% of employee compensation. The Company recorded expense for the defined contribution plan of $13.1 million, $12.2 million and $11.6 million for the years ended December 31, 2023, 2022 and 2021, respectively. In the years ended December 31, 2023, 2022 and 2021, Company contributions of $12.4 million, $11.8 million and $10.9 million, respectively, were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INCOME TAXES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income tax expense (benefit) consists of the following for the years ended December 31, 2023, 2022 and 2021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11"/>
        </w:trPr>
        <w:tc>
          <w:tcPr>
            <w:tcW w:w="57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8"/>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federal income tax expense (benefit):</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3"/>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56,474</w:t>
            </w:r>
          </w:p>
        </w:tc>
        <w:tc>
          <w:tcPr>
            <w:tcW w:w="52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4,103</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w:t>
            </w: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18,739</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38,810</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(30,411)</w:t>
            </w:r>
          </w:p>
        </w:tc>
      </w:tr>
      <w:tr>
        <w:trPr>
          <w:trHeight w:val="210"/>
        </w:trPr>
        <w:tc>
          <w:tcPr>
            <w:tcW w:w="57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rPr>
              <w:t>75,213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42,913</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(30,411)</w:t>
            </w:r>
          </w:p>
        </w:tc>
      </w:tr>
      <w:tr>
        <w:trPr>
          <w:trHeight w:val="19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 income tax expense:</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3"/>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w:t>
            </w:r>
          </w:p>
        </w:tc>
        <w:tc>
          <w:tcPr>
            <w:tcW w:w="420" w:type="dxa"/>
            <w:vAlign w:val="bottom"/>
          </w:tcPr>
          <w:p>
            <w:pPr>
              <w:spacing w:after="0"/>
              <w:rPr>
                <w:sz w:val="18"/>
                <w:szCs w:val="18"/>
                <w:color w:val="auto"/>
              </w:rPr>
            </w:pPr>
          </w:p>
        </w:tc>
        <w:tc>
          <w:tcPr>
            <w:tcW w:w="134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20,253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6,817</w:t>
            </w:r>
          </w:p>
        </w:tc>
      </w:tr>
      <w:tr>
        <w:trPr>
          <w:trHeight w:val="216"/>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w:t>
            </w: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(3,814)</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3,117</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r>
      <w:tr>
        <w:trPr>
          <w:trHeight w:val="210"/>
        </w:trPr>
        <w:tc>
          <w:tcPr>
            <w:tcW w:w="57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rPr>
              <w:t>16,439</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12,299</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7,007</w:t>
            </w:r>
          </w:p>
        </w:tc>
      </w:tr>
      <w:tr>
        <w:trPr>
          <w:trHeight w:val="237"/>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income tax expense (benefit)</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91,652</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55,212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(23,404)</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difference between the statutory federal income tax rate and the effective tax rate is as follows for the years ended December 31, 2023, 2022 and 2021:</w:t>
      </w:r>
    </w:p>
    <w:p>
      <w:pPr>
        <w:spacing w:after="0" w:line="164"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5640" w:type="dxa"/>
            <w:vAlign w:val="bottom"/>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900" w:type="dxa"/>
            <w:vAlign w:val="bottom"/>
            <w:tcBorders>
              <w:top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federal statutory tax rate</w:t>
            </w:r>
          </w:p>
        </w:tc>
        <w:tc>
          <w:tcPr>
            <w:tcW w:w="1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13"/>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State and local income taxes net of federal tax benefit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4.9 %</w:t>
            </w:r>
          </w:p>
        </w:tc>
      </w:tr>
      <w:tr>
        <w:trPr>
          <w:trHeight w:val="219"/>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Non-deductible expenses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r>
      <w:tr>
        <w:trPr>
          <w:trHeight w:val="213"/>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Valuation allowance</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w:t>
            </w:r>
          </w:p>
        </w:tc>
      </w:tr>
      <w:tr>
        <w:trPr>
          <w:trHeight w:val="219"/>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Non-deductible and stock-based compensation</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0.0 %</w:t>
            </w:r>
          </w:p>
        </w:tc>
      </w:tr>
      <w:tr>
        <w:trPr>
          <w:trHeight w:val="213"/>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1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2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32"/>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25.5 %</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26.8 %</w:t>
            </w:r>
          </w:p>
        </w:tc>
        <w:tc>
          <w:tcPr>
            <w:tcW w:w="12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Company recorded income tax expense of $91.7 million and $55.2 million, which represents an effective tax rate of 25.5% and 26.8% for the years ended December 31, 2023 and 2022, respectively. The income tax expense for the year ended December 31, 2023 includes $21.8 million of tax expense related to the Termination Fee payment received on behalf of Amedisys, under the terms of the Mutual Termination Agreement, net of merger-related expenses. In September 2023, the Company released $5.8 million of state valuation allowance. The variance in the Company’s effective tax rate of 25.5% and 26.8% for the years ended December 31, 2023 and 2022, respectively, is primarily attributable to the difference in state taxes, various non-deductible expenses, and a change in state valuation allowance. The variance in the Company’s effective tax rate of 25.5% for the year ended December 31, 2023 compared to the federal statutory rate of 21% is also primarily attributable to state taxes, various non-deductible expenses, and a change in state valuation allowance. The variance in the Company’s effective tax rate of 26.8% and negative 20.1% for the years ended December 31, 2022 and 2021, respectively, is primarily attributable to the release of the Company’s federal valuation allowance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deferred income tax assets and liabilities were as follows as of December 31, 2023 and 2022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60" w:type="dxa"/>
            <w:vAlign w:val="bottom"/>
          </w:tcPr>
          <w:p>
            <w:pPr>
              <w:spacing w:after="0"/>
              <w:rPr>
                <w:sz w:val="18"/>
                <w:szCs w:val="18"/>
                <w:color w:val="auto"/>
              </w:rPr>
            </w:pPr>
          </w:p>
        </w:tc>
        <w:tc>
          <w:tcPr>
            <w:tcW w:w="16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199"/>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Price concessions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6,169</w:t>
            </w:r>
          </w:p>
        </w:tc>
      </w:tr>
      <w:tr>
        <w:trPr>
          <w:trHeight w:val="219"/>
        </w:trPr>
        <w:tc>
          <w:tcPr>
            <w:tcW w:w="7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5,517</w:t>
            </w:r>
          </w:p>
        </w:tc>
      </w:tr>
      <w:tr>
        <w:trPr>
          <w:trHeight w:val="213"/>
        </w:trPr>
        <w:tc>
          <w:tcPr>
            <w:tcW w:w="7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limitation carryforward</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29,453</w:t>
            </w:r>
          </w:p>
        </w:tc>
      </w:tr>
      <w:tr>
        <w:trPr>
          <w:trHeight w:val="219"/>
        </w:trPr>
        <w:tc>
          <w:tcPr>
            <w:tcW w:w="7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22,765</w:t>
            </w:r>
          </w:p>
        </w:tc>
      </w:tr>
      <w:tr>
        <w:trPr>
          <w:trHeight w:val="213"/>
        </w:trPr>
        <w:tc>
          <w:tcPr>
            <w:tcW w:w="7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operating losses</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56,980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62,027</w:t>
            </w:r>
          </w:p>
        </w:tc>
      </w:tr>
      <w:tr>
        <w:trPr>
          <w:trHeight w:val="219"/>
        </w:trPr>
        <w:tc>
          <w:tcPr>
            <w:tcW w:w="7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6,576</w:t>
            </w:r>
          </w:p>
        </w:tc>
      </w:tr>
      <w:tr>
        <w:trPr>
          <w:trHeight w:val="207"/>
        </w:trPr>
        <w:tc>
          <w:tcPr>
            <w:tcW w:w="76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Deferred tax assets before valuation allowance</w:t>
            </w: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117,690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132,507</w:t>
            </w:r>
          </w:p>
        </w:tc>
      </w:tr>
      <w:tr>
        <w:trPr>
          <w:trHeight w:val="21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Valuation allowance</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(13,056)</w:t>
            </w:r>
          </w:p>
        </w:tc>
      </w:tr>
      <w:tr>
        <w:trPr>
          <w:trHeight w:val="207"/>
        </w:trPr>
        <w:tc>
          <w:tcPr>
            <w:tcW w:w="7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Deferred tax assets net of valuation allowance</w:t>
            </w: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111,319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119,451</w:t>
            </w:r>
          </w:p>
        </w:tc>
      </w:tr>
      <w:tr>
        <w:trPr>
          <w:trHeight w:val="239"/>
        </w:trPr>
        <w:tc>
          <w:tcPr>
            <w:tcW w:w="7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Accelerated depreciation</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(7,026)</w:t>
            </w: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right-of-use asset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(18,076)</w:t>
            </w: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assets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(57,673)</w:t>
            </w: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(52,188)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(44,949)</w:t>
            </w: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(13,881)</w:t>
            </w:r>
          </w:p>
        </w:tc>
      </w:tr>
      <w:tr>
        <w:trPr>
          <w:trHeight w:val="207"/>
        </w:trPr>
        <w:tc>
          <w:tcPr>
            <w:tcW w:w="7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(146,239)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(141,605)</w:t>
            </w:r>
          </w:p>
        </w:tc>
      </w:tr>
      <w:tr>
        <w:trPr>
          <w:trHeight w:val="237"/>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deferred tax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(34,920)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(22,154)</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Deferred tax assets are generally required to be reduced by a valuation allowance if it is more likely than not that some portion or all of the deferred tax assets will not be realized. For the year ended December 31, 2023, the Company maintains a valuation allowance of $6.4 million against certain state net operating losses (“NOL”). In assessing the realizability of deferred tax assets, the Company considers whether it is more likely than not that some or all the deferred tax assets will not be realized. The ultimate realization of deferred tax assets depends on the generation of future taxable income during the periods in which those temporary differences are deductible. The Company considers the scheduled reversal of deferred tax liabilities, including the effect in available carryback and carryforward periods, projected taxable income and tax-planning strategies, in making this assessment. On a quarterly basis, the Company evaluates all positive and negative evidence in determining if the valuation allowance is fairly stated.</w:t>
      </w:r>
    </w:p>
    <w:p>
      <w:pPr>
        <w:spacing w:after="0" w:line="16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Company is subject to taxation in the United States and various states. At December 31, 2023, the Company had $39.3 million of tax-effected federal NOL carryforwards all of which are currently available to offset future taxable income in the United States and reflected as a deferred tax asset of the company. Tax-effected federal NOL carryforwards of $28.4 million expire beginning in 2028 through 2036, and $10.9 million of tax-effected federal NOLs have an indefinite carryforward period. At December 31, 2022, the Company had $42.3 million of tax-effected federal NOLs. At December 31, 2023 and 2022, the Company had $13.8 million and $29.4 million tax-effected amounts of interest limitation carryforwards which have an indefinite carryforward period. At December 31, 2023 and 2022, the Company also had $17.7 million and $19.5 million tax-effected amounts of cumulative state NOL carryforwards available to offset future taxable income in various states. These state NOL carryforwards will begin to expire beginning in 2024 through 2042, with some having an indefinite carryforward period.</w:t>
      </w:r>
    </w:p>
    <w:p>
      <w:pPr>
        <w:spacing w:after="0" w:line="1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December 31, 2023 and 2022, there were no unrecognized tax benefits for uncertain tax positions.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table presents the valuation allowance for deferred tax assets for the years ended December 31, 2023, 2022 and 2021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60" w:type="dxa"/>
            <w:vAlign w:val="bottom"/>
            <w:gridSpan w:val="5"/>
          </w:tcPr>
          <w:p>
            <w:pPr>
              <w:ind w:left="1320"/>
              <w:spacing w:after="0"/>
              <w:rPr>
                <w:sz w:val="20"/>
                <w:szCs w:val="20"/>
                <w:color w:val="auto"/>
              </w:rPr>
            </w:pPr>
            <w:r>
              <w:rPr>
                <w:rFonts w:ascii="Times New Roman" w:cs="Times New Roman" w:eastAsia="Times New Roman" w:hAnsi="Times New Roman"/>
                <w:sz w:val="16"/>
                <w:szCs w:val="16"/>
                <w:b w:val="1"/>
                <w:bCs w:val="1"/>
                <w:color w:val="auto"/>
              </w:rPr>
              <w:t>Additions</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3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840" w:type="dxa"/>
            <w:vAlign w:val="bottom"/>
            <w:gridSpan w:val="3"/>
          </w:tcPr>
          <w:p>
            <w:pPr>
              <w:jc w:val="center"/>
              <w:ind w:right="120"/>
              <w:spacing w:after="0" w:line="161" w:lineRule="exact"/>
              <w:rPr>
                <w:sz w:val="20"/>
                <w:szCs w:val="20"/>
                <w:color w:val="auto"/>
              </w:rPr>
            </w:pPr>
            <w:r>
              <w:rPr>
                <w:rFonts w:ascii="Times New Roman" w:cs="Times New Roman" w:eastAsia="Times New Roman" w:hAnsi="Times New Roman"/>
                <w:sz w:val="16"/>
                <w:szCs w:val="16"/>
                <w:b w:val="1"/>
                <w:bCs w:val="1"/>
                <w:color w:val="auto"/>
              </w:rPr>
              <w:t>Balance at Beginning of</w:t>
            </w:r>
          </w:p>
        </w:tc>
        <w:tc>
          <w:tcPr>
            <w:tcW w:w="140" w:type="dxa"/>
            <w:vAlign w:val="bottom"/>
            <w:tcBorders>
              <w:top w:val="single" w:sz="8" w:color="auto"/>
            </w:tcBorders>
          </w:tcPr>
          <w:p>
            <w:pPr>
              <w:spacing w:after="0"/>
              <w:rPr>
                <w:sz w:val="14"/>
                <w:szCs w:val="14"/>
                <w:color w:val="auto"/>
              </w:rPr>
            </w:pPr>
          </w:p>
        </w:tc>
        <w:tc>
          <w:tcPr>
            <w:tcW w:w="1720" w:type="dxa"/>
            <w:vAlign w:val="bottom"/>
            <w:tcBorders>
              <w:top w:val="single" w:sz="8" w:color="auto"/>
            </w:tcBorders>
            <w:gridSpan w:val="2"/>
          </w:tcPr>
          <w:p>
            <w:pPr>
              <w:jc w:val="center"/>
              <w:ind w:right="260"/>
              <w:spacing w:after="0" w:line="161" w:lineRule="exact"/>
              <w:rPr>
                <w:sz w:val="20"/>
                <w:szCs w:val="20"/>
                <w:color w:val="auto"/>
              </w:rPr>
            </w:pPr>
            <w:r>
              <w:rPr>
                <w:rFonts w:ascii="Times New Roman" w:cs="Times New Roman" w:eastAsia="Times New Roman" w:hAnsi="Times New Roman"/>
                <w:sz w:val="16"/>
                <w:szCs w:val="16"/>
                <w:b w:val="1"/>
                <w:bCs w:val="1"/>
                <w:color w:val="auto"/>
              </w:rPr>
              <w:t>Charged (Benefit) to</w:t>
            </w:r>
          </w:p>
        </w:tc>
        <w:tc>
          <w:tcPr>
            <w:tcW w:w="12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tcPr>
          <w:p>
            <w:pPr>
              <w:jc w:val="center"/>
              <w:ind w:right="39"/>
              <w:spacing w:after="0" w:line="161" w:lineRule="exact"/>
              <w:rPr>
                <w:sz w:val="20"/>
                <w:szCs w:val="20"/>
                <w:color w:val="auto"/>
              </w:rPr>
            </w:pPr>
            <w:r>
              <w:rPr>
                <w:rFonts w:ascii="Times New Roman" w:cs="Times New Roman" w:eastAsia="Times New Roman" w:hAnsi="Times New Roman"/>
                <w:sz w:val="16"/>
                <w:szCs w:val="16"/>
                <w:b w:val="1"/>
                <w:bCs w:val="1"/>
                <w:color w:val="auto"/>
              </w:rPr>
              <w:t>Charged (Benefit) to</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jc w:val="right"/>
              <w:ind w:right="179"/>
              <w:spacing w:after="0" w:line="161" w:lineRule="exact"/>
              <w:rPr>
                <w:sz w:val="20"/>
                <w:szCs w:val="20"/>
                <w:color w:val="auto"/>
              </w:rPr>
            </w:pPr>
            <w:r>
              <w:rPr>
                <w:rFonts w:ascii="Times New Roman" w:cs="Times New Roman" w:eastAsia="Times New Roman" w:hAnsi="Times New Roman"/>
                <w:sz w:val="16"/>
                <w:szCs w:val="16"/>
                <w:b w:val="1"/>
                <w:bCs w:val="1"/>
                <w:color w:val="auto"/>
              </w:rPr>
              <w:t>Balance at End of</w:t>
            </w:r>
          </w:p>
        </w:tc>
        <w:tc>
          <w:tcPr>
            <w:tcW w:w="0" w:type="dxa"/>
            <w:vAlign w:val="bottom"/>
          </w:tcPr>
          <w:p>
            <w:pPr>
              <w:spacing w:after="0"/>
              <w:rPr>
                <w:sz w:val="1"/>
                <w:szCs w:val="1"/>
                <w:color w:val="auto"/>
              </w:rPr>
            </w:pPr>
          </w:p>
        </w:tc>
      </w:tr>
      <w:tr>
        <w:trPr>
          <w:trHeight w:val="214"/>
        </w:trPr>
        <w:tc>
          <w:tcPr>
            <w:tcW w:w="39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4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Other Accounts</w:t>
            </w:r>
          </w:p>
        </w:tc>
        <w:tc>
          <w:tcPr>
            <w:tcW w:w="180" w:type="dxa"/>
            <w:vAlign w:val="bottom"/>
          </w:tcPr>
          <w:p>
            <w:pPr>
              <w:spacing w:after="0"/>
              <w:rPr>
                <w:sz w:val="18"/>
                <w:szCs w:val="18"/>
                <w:color w:val="auto"/>
              </w:rPr>
            </w:pPr>
          </w:p>
        </w:tc>
        <w:tc>
          <w:tcPr>
            <w:tcW w:w="158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0" w:type="dxa"/>
            <w:vAlign w:val="bottom"/>
          </w:tcPr>
          <w:p>
            <w:pPr>
              <w:spacing w:after="0"/>
              <w:rPr>
                <w:sz w:val="1"/>
                <w:szCs w:val="1"/>
                <w:color w:val="auto"/>
              </w:rPr>
            </w:pPr>
          </w:p>
        </w:tc>
      </w:tr>
      <w:tr>
        <w:trPr>
          <w:trHeight w:val="211"/>
        </w:trPr>
        <w:tc>
          <w:tcPr>
            <w:tcW w:w="3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2021: Valuation allowance for deferred tax assets</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112,085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(96,136)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13,151</w:t>
            </w:r>
          </w:p>
        </w:tc>
        <w:tc>
          <w:tcPr>
            <w:tcW w:w="0" w:type="dxa"/>
            <w:vAlign w:val="bottom"/>
          </w:tcPr>
          <w:p>
            <w:pPr>
              <w:spacing w:after="0"/>
              <w:rPr>
                <w:sz w:val="1"/>
                <w:szCs w:val="1"/>
                <w:color w:val="auto"/>
              </w:rPr>
            </w:pPr>
          </w:p>
        </w:tc>
      </w:tr>
      <w:tr>
        <w:trPr>
          <w:trHeight w:val="213"/>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2022: Valuation allowance for deferred tax assets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gridSpan w:val="2"/>
          </w:tcPr>
          <w:p>
            <w:pPr>
              <w:ind w:left="13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13,056</w:t>
            </w:r>
          </w:p>
        </w:tc>
        <w:tc>
          <w:tcPr>
            <w:tcW w:w="0" w:type="dxa"/>
            <w:vAlign w:val="bottom"/>
          </w:tcPr>
          <w:p>
            <w:pPr>
              <w:spacing w:after="0"/>
              <w:rPr>
                <w:sz w:val="1"/>
                <w:szCs w:val="1"/>
                <w:color w:val="auto"/>
              </w:rPr>
            </w:pPr>
          </w:p>
        </w:tc>
      </w:tr>
      <w:tr>
        <w:trPr>
          <w:trHeight w:val="219"/>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 Valuation allowance for deferred tax assets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6,371</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Currently, the Company is not subject to any U.S. Federal income tax audits. The Company is subject to various state tax audits and believes that the outcome of these audits will not have a material impact on the Company.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EARNINGS PER SHARE</w:t>
      </w:r>
    </w:p>
    <w:p>
      <w:pPr>
        <w:spacing w:after="0" w:line="18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Company presents basic and diluted earnings per share for its common stock. Basic earnings per share is calculated by dividing the net income of the Company by the weighted average number of shares of common stock outstanding during the period. Diluted earnings per share is determined by adjusting the profit or loss and the weighted average number of shares of common stock outstanding for the effects of all potentially dilutive securities.</w:t>
      </w:r>
    </w:p>
    <w:p>
      <w:pPr>
        <w:spacing w:after="0" w:line="135"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earnings are used as the basis of determining whether the inclusion of common stock equivalents would be anti-dilutive. The computation of diluted shares for the years ended December 31, 2023, 2022 and 2021 includes the effect of shares that would be issued in connection with warrants, stock options, restricted stock awards and performance stock unit awards, as these common stock equivalents are dilutive to the earnings per share.</w:t>
      </w:r>
    </w:p>
    <w:p>
      <w:pPr>
        <w:spacing w:after="0" w:line="14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common stock equivalents that were excluded from the calculation of earnings per share as they would be anti-dilutive:</w:t>
      </w:r>
    </w:p>
    <w:p>
      <w:pPr>
        <w:spacing w:after="0" w:line="164"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74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94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Warrants</w:t>
            </w:r>
          </w:p>
        </w:tc>
        <w:tc>
          <w:tcPr>
            <w:tcW w:w="10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457,753</w:t>
            </w:r>
          </w:p>
        </w:tc>
      </w:tr>
      <w:tr>
        <w:trPr>
          <w:trHeight w:val="213"/>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 option awards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1,214,560</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629,690</w:t>
            </w: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490,968</w:t>
            </w:r>
          </w:p>
        </w:tc>
      </w:tr>
      <w:tr>
        <w:trPr>
          <w:trHeight w:val="219"/>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awards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340,331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205,652</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316,454</w:t>
            </w:r>
          </w:p>
        </w:tc>
      </w:tr>
      <w:tr>
        <w:trPr>
          <w:trHeight w:val="210"/>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Performance stock unit awards</w:t>
            </w:r>
          </w:p>
        </w:tc>
        <w:tc>
          <w:tcPr>
            <w:tcW w:w="1940" w:type="dxa"/>
            <w:vAlign w:val="bottom"/>
            <w:gridSpan w:val="3"/>
          </w:tcPr>
          <w:p>
            <w:pPr>
              <w:jc w:val="right"/>
              <w:ind w:right="12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Company’s basic earnings per share and shares outstanding (in thousands, except per share data):</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11"/>
        </w:trPr>
        <w:tc>
          <w:tcPr>
            <w:tcW w:w="57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(1) (2) (3)</w:t>
            </w: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267,090</w:t>
            </w:r>
          </w:p>
        </w:tc>
        <w:tc>
          <w:tcPr>
            <w:tcW w:w="52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150,556</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139,898</w:t>
            </w: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number of common shares outstanding</w:t>
            </w: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178,973</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181,105</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179,855</w:t>
            </w: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8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Common Share:</w:t>
            </w:r>
          </w:p>
        </w:tc>
        <w:tc>
          <w:tcPr>
            <w:tcW w:w="1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spacing w:after="0"/>
              <w:rPr>
                <w:sz w:val="15"/>
                <w:szCs w:val="15"/>
                <w:color w:val="auto"/>
              </w:rPr>
            </w:pPr>
          </w:p>
        </w:tc>
      </w:tr>
      <w:tr>
        <w:trPr>
          <w:trHeight w:val="210"/>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Earnings per common share, basic</w:t>
            </w:r>
          </w:p>
        </w:tc>
        <w:tc>
          <w:tcPr>
            <w:tcW w:w="110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0.83</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0.78</w:t>
            </w:r>
          </w:p>
        </w:tc>
      </w:tr>
      <w:tr>
        <w:trPr>
          <w:trHeight w:val="20"/>
        </w:trPr>
        <w:tc>
          <w:tcPr>
            <w:tcW w:w="57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60" w:firstLine="332"/>
        <w:spacing w:after="0" w:line="266" w:lineRule="auto"/>
        <w:tabs>
          <w:tab w:leader="none" w:pos="57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Net income for the year ended December 31, 2023 includes $63.1 million related to the termination payment received on behalf of Amedisys, under the terms of the Mutual Termination Agreement, net of merger-related expenses and taxes. See Note 3, </w:t>
      </w:r>
      <w:r>
        <w:rPr>
          <w:rFonts w:ascii="Times New Roman" w:cs="Times New Roman" w:eastAsia="Times New Roman" w:hAnsi="Times New Roman"/>
          <w:sz w:val="18"/>
          <w:szCs w:val="18"/>
          <w:i w:val="1"/>
          <w:iCs w:val="1"/>
          <w:color w:val="auto"/>
        </w:rPr>
        <w:t>Business Acquisitions and Divestitures</w:t>
      </w:r>
      <w:r>
        <w:rPr>
          <w:rFonts w:ascii="Times New Roman" w:cs="Times New Roman" w:eastAsia="Times New Roman" w:hAnsi="Times New Roman"/>
          <w:sz w:val="18"/>
          <w:szCs w:val="18"/>
          <w:color w:val="auto"/>
        </w:rPr>
        <w:t>, for further discussion. In addition, net income includes approximately $5.3 million of other non-operating income.</w:t>
      </w:r>
    </w:p>
    <w:p>
      <w:pPr>
        <w:spacing w:after="0" w:line="146" w:lineRule="exact"/>
        <w:rPr>
          <w:rFonts w:ascii="Times New Roman" w:cs="Times New Roman" w:eastAsia="Times New Roman" w:hAnsi="Times New Roman"/>
          <w:sz w:val="18"/>
          <w:szCs w:val="18"/>
          <w:color w:val="auto"/>
        </w:rPr>
      </w:pPr>
    </w:p>
    <w:p>
      <w:pPr>
        <w:ind w:right="320" w:firstLine="332"/>
        <w:spacing w:after="0" w:line="284" w:lineRule="auto"/>
        <w:tabs>
          <w:tab w:leader="none" w:pos="57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Net income for the year ended December 31, 2022 includes the impact of the Company’s Respiratory Therapy Asset Sale. See Note 3,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Acquisitions and Divestitures</w:t>
      </w:r>
      <w:r>
        <w:rPr>
          <w:rFonts w:ascii="Times New Roman" w:cs="Times New Roman" w:eastAsia="Times New Roman" w:hAnsi="Times New Roman"/>
          <w:sz w:val="18"/>
          <w:szCs w:val="18"/>
          <w:color w:val="auto"/>
        </w:rPr>
        <w:t>, for further discussion.</w:t>
      </w:r>
    </w:p>
    <w:p>
      <w:pPr>
        <w:spacing w:after="0" w:line="11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for the year ended December 31, 2021 includes the impact of the Company’s release of its valuation allowance.</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Company’s diluted earnings per share and shares outstanding (in thousands, except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11"/>
        </w:trPr>
        <w:tc>
          <w:tcPr>
            <w:tcW w:w="57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(1) (2) (3)</w:t>
            </w: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267,090</w:t>
            </w:r>
          </w:p>
        </w:tc>
        <w:tc>
          <w:tcPr>
            <w:tcW w:w="52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150,556</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139,898</w:t>
            </w: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3"/>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number of common shares outstanding</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178,973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181,105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179,855</w:t>
            </w:r>
          </w:p>
        </w:tc>
      </w:tr>
      <w:tr>
        <w:trPr>
          <w:trHeight w:val="216"/>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1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w:t>
            </w:r>
          </w:p>
        </w:tc>
      </w:tr>
      <w:tr>
        <w:trPr>
          <w:trHeight w:val="212"/>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number of common shares outstanding, diluted</w:t>
            </w: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180,375</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182,075</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181,205</w:t>
            </w: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8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Common Share:</w:t>
            </w:r>
          </w:p>
        </w:tc>
        <w:tc>
          <w:tcPr>
            <w:tcW w:w="1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spacing w:after="0"/>
              <w:rPr>
                <w:sz w:val="15"/>
                <w:szCs w:val="15"/>
                <w:color w:val="auto"/>
              </w:rPr>
            </w:pPr>
          </w:p>
        </w:tc>
      </w:tr>
      <w:tr>
        <w:trPr>
          <w:trHeight w:val="210"/>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Earnings per common share, diluted</w:t>
            </w:r>
          </w:p>
        </w:tc>
        <w:tc>
          <w:tcPr>
            <w:tcW w:w="110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0.83</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0.77</w:t>
            </w:r>
          </w:p>
        </w:tc>
      </w:tr>
      <w:tr>
        <w:trPr>
          <w:trHeight w:val="20"/>
        </w:trPr>
        <w:tc>
          <w:tcPr>
            <w:tcW w:w="57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60" w:firstLine="332"/>
        <w:spacing w:after="0" w:line="266" w:lineRule="auto"/>
        <w:tabs>
          <w:tab w:leader="none" w:pos="57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Net income for the year ended December 31, 2023 includes $63.1 million related to the termination payment received on behalf of Amedisys, under the terms of the Mutual Termination Agreement, net of merger-related expenses and taxes. See Note 3, </w:t>
      </w:r>
      <w:r>
        <w:rPr>
          <w:rFonts w:ascii="Times New Roman" w:cs="Times New Roman" w:eastAsia="Times New Roman" w:hAnsi="Times New Roman"/>
          <w:sz w:val="18"/>
          <w:szCs w:val="18"/>
          <w:i w:val="1"/>
          <w:iCs w:val="1"/>
          <w:color w:val="auto"/>
        </w:rPr>
        <w:t>Business Acquisitions and Divestitures</w:t>
      </w:r>
      <w:r>
        <w:rPr>
          <w:rFonts w:ascii="Times New Roman" w:cs="Times New Roman" w:eastAsia="Times New Roman" w:hAnsi="Times New Roman"/>
          <w:sz w:val="18"/>
          <w:szCs w:val="18"/>
          <w:color w:val="auto"/>
        </w:rPr>
        <w:t>, for further discussion. In addition, net income includes approximately $5.3 million of other non-operating income.</w:t>
      </w:r>
    </w:p>
    <w:p>
      <w:pPr>
        <w:spacing w:after="0" w:line="133" w:lineRule="exact"/>
        <w:rPr>
          <w:rFonts w:ascii="Times New Roman" w:cs="Times New Roman" w:eastAsia="Times New Roman" w:hAnsi="Times New Roman"/>
          <w:sz w:val="18"/>
          <w:szCs w:val="18"/>
          <w:color w:val="auto"/>
        </w:rPr>
      </w:pPr>
    </w:p>
    <w:p>
      <w:pPr>
        <w:ind w:right="320" w:firstLine="332"/>
        <w:spacing w:after="0" w:line="284" w:lineRule="auto"/>
        <w:tabs>
          <w:tab w:leader="none" w:pos="57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Net income for the year ended December 31, 2022 includes the impact of the Company’s Respiratory Therapy Asset Sale. See Note 3,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Acquisitions and Divestitures</w:t>
      </w:r>
      <w:r>
        <w:rPr>
          <w:rFonts w:ascii="Times New Roman" w:cs="Times New Roman" w:eastAsia="Times New Roman" w:hAnsi="Times New Roman"/>
          <w:sz w:val="18"/>
          <w:szCs w:val="18"/>
          <w:color w:val="auto"/>
        </w:rPr>
        <w:t>, for further discussion.</w:t>
      </w:r>
    </w:p>
    <w:p>
      <w:pPr>
        <w:spacing w:after="0" w:line="11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for the year ended December 31, 2021 includes the impact of the Company’s release of its valuation allowance.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2023, 2022 and 2021, the Company incurred operating lease expenses of $30.6 million, $29.1 million, and $29.8 million, respectively, including short-term lease expenses, which were included as a component of selling, general and administrative expenses in the consolidated statements of comprehensive income. As of December 31, 2023, the weighted-average remaining lease term was 6.8 years, and the weighted-average discount rate was 6.16%.</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Operating leases mature as follows (in thousands):</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 Ended December 31,</w:t>
            </w:r>
          </w:p>
        </w:tc>
        <w:tc>
          <w:tcPr>
            <w:tcW w:w="240" w:type="dxa"/>
            <w:vAlign w:val="bottom"/>
          </w:tcPr>
          <w:p>
            <w:pPr>
              <w:spacing w:after="0"/>
              <w:rPr>
                <w:sz w:val="18"/>
                <w:szCs w:val="18"/>
                <w:color w:val="auto"/>
              </w:rPr>
            </w:pPr>
          </w:p>
        </w:tc>
        <w:tc>
          <w:tcPr>
            <w:tcW w:w="19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Minimum Payments</w:t>
            </w:r>
          </w:p>
        </w:tc>
      </w:tr>
      <w:tr>
        <w:trPr>
          <w:trHeight w:val="212"/>
        </w:trPr>
        <w:tc>
          <w:tcPr>
            <w:tcW w:w="8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24,610</w:t>
            </w:r>
          </w:p>
        </w:tc>
      </w:tr>
      <w:tr>
        <w:trPr>
          <w:trHeight w:val="213"/>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22,447</w:t>
            </w:r>
          </w:p>
        </w:tc>
      </w:tr>
      <w:tr>
        <w:trPr>
          <w:trHeight w:val="219"/>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19,567</w:t>
            </w:r>
          </w:p>
        </w:tc>
      </w:tr>
      <w:tr>
        <w:trPr>
          <w:trHeight w:val="213"/>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16,281</w:t>
            </w:r>
          </w:p>
        </w:tc>
      </w:tr>
      <w:tr>
        <w:trPr>
          <w:trHeight w:val="219"/>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10,980</w:t>
            </w:r>
          </w:p>
        </w:tc>
      </w:tr>
      <w:tr>
        <w:trPr>
          <w:trHeight w:val="213"/>
        </w:trPr>
        <w:tc>
          <w:tcPr>
            <w:tcW w:w="9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2029 and beyond</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34,528</w:t>
            </w:r>
          </w:p>
        </w:tc>
      </w:tr>
      <w:tr>
        <w:trPr>
          <w:trHeight w:val="212"/>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24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128,413</w:t>
            </w:r>
          </w:p>
        </w:tc>
      </w:tr>
      <w:tr>
        <w:trPr>
          <w:trHeight w:val="213"/>
        </w:trPr>
        <w:tc>
          <w:tcPr>
            <w:tcW w:w="9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Less: interest</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(24,651)</w:t>
            </w:r>
          </w:p>
        </w:tc>
      </w:tr>
      <w:tr>
        <w:trPr>
          <w:trHeight w:val="237"/>
        </w:trPr>
        <w:tc>
          <w:tcPr>
            <w:tcW w:w="9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103,762</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600"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commenced new leases, extensions and amendments, resulting in non-cash operating activities in the consolidated statements of cash flows of $30.5 million related to the increases in the operating lease ROU asset and operating lease liabilities. As of December 31, 2023, the Company did not have any significant operating or financing leases that had not yet commenced.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PROPERTY AND EQUIPMENT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and equipment was as follows as of December 31, 2023 and 2022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60" w:type="dxa"/>
            <w:vAlign w:val="bottom"/>
          </w:tcPr>
          <w:p>
            <w:pPr>
              <w:spacing w:after="0"/>
              <w:rPr>
                <w:sz w:val="18"/>
                <w:szCs w:val="18"/>
                <w:color w:val="auto"/>
              </w:rPr>
            </w:pPr>
          </w:p>
        </w:tc>
        <w:tc>
          <w:tcPr>
            <w:tcW w:w="16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13"/>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Infusion pumps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36,943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34,942</w:t>
            </w: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Equipment, furniture and other</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31,929</w:t>
            </w:r>
          </w:p>
        </w:tc>
      </w:tr>
      <w:tr>
        <w:trPr>
          <w:trHeight w:val="21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99,085</w:t>
            </w: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Computer software, purchased and internally developed</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50,572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34,922</w:t>
            </w: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 under development</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33,668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29,411</w:t>
            </w:r>
          </w:p>
        </w:tc>
      </w:tr>
      <w:tr>
        <w:trPr>
          <w:trHeight w:val="209"/>
        </w:trPr>
        <w:tc>
          <w:tcPr>
            <w:tcW w:w="7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244,501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230,289</w:t>
            </w: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(123,871)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(121,968)</w:t>
            </w:r>
          </w:p>
        </w:tc>
      </w:tr>
      <w:tr>
        <w:trPr>
          <w:trHeight w:val="212"/>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120,630</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108,321</w:t>
            </w:r>
          </w:p>
        </w:tc>
      </w:tr>
      <w:tr>
        <w:trPr>
          <w:trHeight w:val="20"/>
        </w:trPr>
        <w:tc>
          <w:tcPr>
            <w:tcW w:w="7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Depreciation expense is recorded within cost of revenue and operating expenses within the consolidated statements of comprehensive income, depending on the nature of the underlying fixed assets. The depreciation expense included in cost of revenue relates to revenue-generating assets, such as infusion pumps. The depreciation expense included in operating expenses is related to infrastructure items, such as furniture, computer and office equipment, and leasehold improvements. The following table presents the amount of depreciation expense recorded in cost of revenue and operating expenses for the years ended December 31, 2023, 2022 and 2021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4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11"/>
        </w:trPr>
        <w:tc>
          <w:tcPr>
            <w:tcW w:w="574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expense in cost of revenue</w:t>
            </w: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5,746</w:t>
            </w:r>
          </w:p>
        </w:tc>
      </w:tr>
      <w:tr>
        <w:trPr>
          <w:trHeight w:val="213"/>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Depreciation expense in operating expenses</w:t>
            </w: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24,820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27,374</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29,865</w:t>
            </w:r>
          </w:p>
        </w:tc>
      </w:tr>
      <w:tr>
        <w:trPr>
          <w:trHeight w:val="237"/>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depreciation expense</w:t>
            </w: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27,819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32,243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35,611</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GOODWILL AND OTHER INTANGIBLE ASSETS</w:t>
      </w:r>
    </w:p>
    <w:p>
      <w:pPr>
        <w:spacing w:after="0" w:line="18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Goodwill is not amortized, but is evaluated for impairment annually in the fourth quarter of the fiscal year, or more frequently if an event occurs or circumstances change that would more likely than not reduce the fair value of a reporting unit below its carrying value.</w:t>
      </w:r>
    </w:p>
    <w:p>
      <w:pPr>
        <w:spacing w:after="0" w:line="13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Circumstances that could trigger an interim impairment test include: a significant adverse change in the business climate or legal factors; an adverse action or assessment by a regulator; unanticipated competition; the loss of key personnel; a change in reporting units; the likelihood that a reporting unit or significant portion of a reporting unit will be sold or otherwise disposed of; and the results of testing for recoverability of a significant asset group within a reporting unit.</w:t>
      </w:r>
    </w:p>
    <w:p>
      <w:pPr>
        <w:spacing w:after="0" w:line="13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 qualitative impairment analysis was performed in the fourth quarter of 2023, 2022 and 2021, to assess whether it is more likely than not that the fair value of the Company’s reporting unit is less than its carrying value. The Company assessed relevant events and circumstances including macroeconomic conditions, industry and market considerations, overall financial performance, entity-specific events, and changes in the Company’s stock price. The Company determined that there was no goodwill impairment in 2023, 2022 or 2021.</w:t>
      </w:r>
    </w:p>
    <w:p>
      <w:pPr>
        <w:spacing w:after="0" w:line="13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determination of fair value for acquisitions and the allocation of that value requires the Company to make significant estimates and assumptions. These estimates and assumptions primarily include, but are not limited to, the selection of appropriate peer group companies; control premiums appropriate for acquisitions in the industries in which the Company competes; the discount rate; terminal growth rates; and forecasts of revenue, operating income, depreciation and amortization, and capital expenditures. Actual financial results could differ from those estimates due to the inherent uncertainty involved in making such estimates. Changes in assumptions concerning future financial results or other underlying assumptions could have a significant impact on either the fair value of the reporting unit, the amount of the goodwill impairment charge, or both. The Company did not recognize any accumulated impairment losses at the beginning of the period.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the carrying amount of goodwill consist of the following activity for the years ended December 31, 2023, 2022 and 2021 (in thousands):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2020</w:t>
            </w:r>
          </w:p>
        </w:tc>
        <w:tc>
          <w:tcPr>
            <w:tcW w:w="78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1,428,610</w:t>
            </w:r>
          </w:p>
        </w:tc>
      </w:tr>
      <w:tr>
        <w:trPr>
          <w:trHeight w:val="213"/>
        </w:trPr>
        <w:tc>
          <w:tcPr>
            <w:tcW w:w="9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Acquisitions</w:t>
            </w:r>
          </w:p>
        </w:tc>
        <w:tc>
          <w:tcPr>
            <w:tcW w:w="7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48,954</w:t>
            </w:r>
          </w:p>
        </w:tc>
      </w:tr>
      <w:tr>
        <w:trPr>
          <w:trHeight w:val="212"/>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2021</w:t>
            </w:r>
          </w:p>
        </w:tc>
        <w:tc>
          <w:tcPr>
            <w:tcW w:w="78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1,477,564</w:t>
            </w:r>
          </w:p>
        </w:tc>
      </w:tr>
      <w:tr>
        <w:trPr>
          <w:trHeight w:val="213"/>
        </w:trPr>
        <w:tc>
          <w:tcPr>
            <w:tcW w:w="9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Acquisitions</w:t>
            </w:r>
          </w:p>
        </w:tc>
        <w:tc>
          <w:tcPr>
            <w:tcW w:w="7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54,543</w:t>
            </w:r>
          </w:p>
        </w:tc>
      </w:tr>
      <w:tr>
        <w:trPr>
          <w:trHeight w:val="219"/>
        </w:trPr>
        <w:tc>
          <w:tcPr>
            <w:tcW w:w="9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accounting adjustments</w:t>
            </w:r>
          </w:p>
        </w:tc>
        <w:tc>
          <w:tcPr>
            <w:tcW w:w="7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w:t>
            </w:r>
          </w:p>
        </w:tc>
      </w:tr>
      <w:tr>
        <w:trPr>
          <w:trHeight w:val="207"/>
        </w:trPr>
        <w:tc>
          <w:tcPr>
            <w:tcW w:w="9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78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1,533,424</w:t>
            </w:r>
          </w:p>
        </w:tc>
      </w:tr>
      <w:tr>
        <w:trPr>
          <w:trHeight w:val="219"/>
        </w:trPr>
        <w:tc>
          <w:tcPr>
            <w:tcW w:w="9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Acquisitions</w:t>
            </w:r>
          </w:p>
        </w:tc>
        <w:tc>
          <w:tcPr>
            <w:tcW w:w="7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6,998</w:t>
            </w:r>
          </w:p>
        </w:tc>
      </w:tr>
      <w:tr>
        <w:trPr>
          <w:trHeight w:val="213"/>
        </w:trPr>
        <w:tc>
          <w:tcPr>
            <w:tcW w:w="9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Purchase accounting adjustments</w:t>
            </w:r>
          </w:p>
        </w:tc>
        <w:tc>
          <w:tcPr>
            <w:tcW w:w="7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w:t>
            </w:r>
          </w:p>
        </w:tc>
      </w:tr>
      <w:tr>
        <w:trPr>
          <w:trHeight w:val="237"/>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780" w:type="dxa"/>
            <w:vAlign w:val="bottom"/>
            <w:tcBorders>
              <w:bottom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1,540,246</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carrying amount and accumulated amortization of intangible assets consist of the following as of December 31, 2023 and 2022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60" w:type="dxa"/>
            <w:vAlign w:val="bottom"/>
          </w:tcPr>
          <w:p>
            <w:pPr>
              <w:spacing w:after="0"/>
              <w:rPr>
                <w:sz w:val="18"/>
                <w:szCs w:val="18"/>
                <w:color w:val="auto"/>
              </w:rPr>
            </w:pPr>
          </w:p>
        </w:tc>
        <w:tc>
          <w:tcPr>
            <w:tcW w:w="16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199"/>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intangible assets:</w:t>
            </w: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Referral sources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514,388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509,646</w:t>
            </w: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Trademarks/names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38,508</w:t>
            </w:r>
          </w:p>
        </w:tc>
      </w:tr>
      <w:tr>
        <w:trPr>
          <w:trHeight w:val="213"/>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amortizable intangible assets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912</w:t>
            </w:r>
          </w:p>
        </w:tc>
      </w:tr>
      <w:tr>
        <w:trPr>
          <w:trHeight w:val="210"/>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gross intangible assets</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554,519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549,066</w:t>
            </w:r>
          </w:p>
        </w:tc>
      </w:tr>
      <w:tr>
        <w:trPr>
          <w:trHeight w:val="239"/>
        </w:trPr>
        <w:tc>
          <w:tcPr>
            <w:tcW w:w="7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amortization:</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Referral sources</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(199,084)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(167,902)</w:t>
            </w: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Trademarks/names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(19,698)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(16,901)</w:t>
            </w:r>
          </w:p>
        </w:tc>
      </w:tr>
      <w:tr>
        <w:trPr>
          <w:trHeight w:val="213"/>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amortizable intangible assets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w:t>
            </w:r>
          </w:p>
        </w:tc>
      </w:tr>
      <w:tr>
        <w:trPr>
          <w:trHeight w:val="210"/>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accumulated amortization</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(219,123)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(184,951)</w:t>
            </w:r>
          </w:p>
        </w:tc>
      </w:tr>
      <w:tr>
        <w:trPr>
          <w:trHeight w:val="212"/>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intangible assets,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335,396</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364,115</w:t>
            </w:r>
          </w:p>
        </w:tc>
      </w:tr>
      <w:tr>
        <w:trPr>
          <w:trHeight w:val="21"/>
        </w:trPr>
        <w:tc>
          <w:tcPr>
            <w:tcW w:w="7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40" w:firstLine="324"/>
        <w:spacing w:after="0" w:line="282" w:lineRule="auto"/>
        <w:rPr>
          <w:sz w:val="20"/>
          <w:szCs w:val="20"/>
          <w:color w:val="auto"/>
        </w:rPr>
      </w:pPr>
      <w:r>
        <w:rPr>
          <w:rFonts w:ascii="Times New Roman" w:cs="Times New Roman" w:eastAsia="Times New Roman" w:hAnsi="Times New Roman"/>
          <w:sz w:val="18"/>
          <w:szCs w:val="18"/>
          <w:color w:val="auto"/>
        </w:rPr>
        <w:t>Amortization expense for intangible assets was $34.2 million, $32.9 million and $32.9 million for the years ended December 31, 2023, 2022 and 2021, respectively.</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Expected future amortization expense for intangible assets recorded at December 31, 2023, is as follows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1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34,386</w:t>
            </w: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4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34,176</w:t>
            </w: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34,071</w:t>
            </w: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4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33,931</w:t>
            </w: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33,881</w:t>
            </w:r>
          </w:p>
        </w:tc>
      </w:tr>
      <w:tr>
        <w:trPr>
          <w:trHeight w:val="213"/>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2029 and beyond</w:t>
            </w:r>
          </w:p>
        </w:tc>
        <w:tc>
          <w:tcPr>
            <w:tcW w:w="4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164,951</w:t>
            </w:r>
          </w:p>
        </w:tc>
      </w:tr>
      <w:tr>
        <w:trPr>
          <w:trHeight w:val="237"/>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335,396</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INDEBTEDNESS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Long-term debt consisted of the following as of December 31, 2023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Principal Amount</w:t>
            </w:r>
          </w:p>
        </w:tc>
        <w:tc>
          <w:tcPr>
            <w:tcW w:w="340" w:type="dxa"/>
            <w:vAlign w:val="bottom"/>
          </w:tcPr>
          <w:p>
            <w:pPr>
              <w:spacing w:after="0"/>
              <w:rPr>
                <w:sz w:val="18"/>
                <w:szCs w:val="18"/>
                <w:color w:val="auto"/>
              </w:rPr>
            </w:pPr>
          </w:p>
        </w:tc>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Discount</w:t>
            </w:r>
          </w:p>
        </w:tc>
        <w:tc>
          <w:tcPr>
            <w:tcW w:w="140" w:type="dxa"/>
            <w:vAlign w:val="bottom"/>
          </w:tcPr>
          <w:p>
            <w:pPr>
              <w:spacing w:after="0"/>
              <w:rPr>
                <w:sz w:val="18"/>
                <w:szCs w:val="18"/>
                <w:color w:val="auto"/>
              </w:rPr>
            </w:pPr>
          </w:p>
        </w:tc>
        <w:tc>
          <w:tcPr>
            <w:tcW w:w="1980" w:type="dxa"/>
            <w:vAlign w:val="bottom"/>
            <w:gridSpan w:val="3"/>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Debt Issuance Costs</w:t>
            </w:r>
          </w:p>
        </w:tc>
        <w:tc>
          <w:tcPr>
            <w:tcW w:w="14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Net Balance</w:t>
            </w:r>
          </w:p>
        </w:tc>
      </w:tr>
      <w:tr>
        <w:trPr>
          <w:trHeight w:val="212"/>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Revolver Facility</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First Lien Term Loan</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571,348</w:t>
            </w:r>
          </w:p>
        </w:tc>
      </w:tr>
      <w:tr>
        <w:trPr>
          <w:trHeight w:val="21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491,302</w:t>
            </w:r>
          </w:p>
        </w:tc>
      </w:tr>
      <w:tr>
        <w:trPr>
          <w:trHeight w:val="212"/>
        </w:trPr>
        <w:tc>
          <w:tcPr>
            <w:tcW w:w="39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1,088,000</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(6,974)</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(18,376)</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1,062,650</w:t>
            </w: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r>
      <w:tr>
        <w:trPr>
          <w:trHeight w:val="18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w:t>
            </w:r>
          </w:p>
        </w:tc>
        <w:tc>
          <w:tcPr>
            <w:tcW w:w="1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r>
      <w:tr>
        <w:trPr>
          <w:trHeight w:val="210"/>
        </w:trPr>
        <w:tc>
          <w:tcPr>
            <w:tcW w:w="3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long-term debt</w:t>
            </w: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1,056,650</w:t>
            </w:r>
          </w:p>
        </w:tc>
      </w:tr>
      <w:tr>
        <w:trPr>
          <w:trHeight w:val="20"/>
        </w:trPr>
        <w:tc>
          <w:tcPr>
            <w:tcW w:w="3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Long-term debt consisted of the following as of December 31, 2022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Principal Amount</w:t>
            </w:r>
          </w:p>
        </w:tc>
        <w:tc>
          <w:tcPr>
            <w:tcW w:w="340" w:type="dxa"/>
            <w:vAlign w:val="bottom"/>
          </w:tcPr>
          <w:p>
            <w:pPr>
              <w:spacing w:after="0"/>
              <w:rPr>
                <w:sz w:val="18"/>
                <w:szCs w:val="18"/>
                <w:color w:val="auto"/>
              </w:rPr>
            </w:pPr>
          </w:p>
        </w:tc>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Discount</w:t>
            </w:r>
          </w:p>
        </w:tc>
        <w:tc>
          <w:tcPr>
            <w:tcW w:w="140" w:type="dxa"/>
            <w:vAlign w:val="bottom"/>
          </w:tcPr>
          <w:p>
            <w:pPr>
              <w:spacing w:after="0"/>
              <w:rPr>
                <w:sz w:val="18"/>
                <w:szCs w:val="18"/>
                <w:color w:val="auto"/>
              </w:rPr>
            </w:pPr>
          </w:p>
        </w:tc>
        <w:tc>
          <w:tcPr>
            <w:tcW w:w="1980" w:type="dxa"/>
            <w:vAlign w:val="bottom"/>
            <w:gridSpan w:val="3"/>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Debt Issuance Costs</w:t>
            </w:r>
          </w:p>
        </w:tc>
        <w:tc>
          <w:tcPr>
            <w:tcW w:w="14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Net Balance</w:t>
            </w:r>
          </w:p>
        </w:tc>
      </w:tr>
      <w:tr>
        <w:trPr>
          <w:trHeight w:val="212"/>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ABL Facility</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First Lien Term Loan</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574,164</w:t>
            </w:r>
          </w:p>
        </w:tc>
      </w:tr>
      <w:tr>
        <w:trPr>
          <w:trHeight w:val="21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490,040</w:t>
            </w:r>
          </w:p>
        </w:tc>
      </w:tr>
      <w:tr>
        <w:trPr>
          <w:trHeight w:val="212"/>
        </w:trPr>
        <w:tc>
          <w:tcPr>
            <w:tcW w:w="39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1,094,000</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(8,307)</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(21,489)</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1,064,204</w:t>
            </w: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r>
      <w:tr>
        <w:trPr>
          <w:trHeight w:val="18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w:t>
            </w:r>
          </w:p>
        </w:tc>
        <w:tc>
          <w:tcPr>
            <w:tcW w:w="1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r>
      <w:tr>
        <w:trPr>
          <w:trHeight w:val="209"/>
        </w:trPr>
        <w:tc>
          <w:tcPr>
            <w:tcW w:w="3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long-term debt</w:t>
            </w: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1,058,204</w:t>
            </w:r>
          </w:p>
        </w:tc>
      </w:tr>
      <w:tr>
        <w:trPr>
          <w:trHeight w:val="21"/>
        </w:trPr>
        <w:tc>
          <w:tcPr>
            <w:tcW w:w="3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On December 7, 2023, the Company entered into the second amendment (the “Amendment”) to the amended and restated First Lien Credit Agreement dated as of October 27, 2021. The Amendment, among other things, provides for revolving credit commitments by the applicable Revolving Credit Lenders in an aggregate amount of $400.0 million (the “Revolver Facility”) pursuant to which such lenders have agreed to make Revolving Credit Loans to the Company. As of December 31, 2023, the Company had $5.3 million of undrawn letters of credit issued and outstanding, resulting in net borrowing availability under the Revolver Facility of $394.7 million. The Revolver Facility matures on the date that is the earlier of (i) December 7, 2028 and (ii) the date that is 91 days prior to the stated maturity date applicable to any Term B Loans. Borrowings under the Revolver Facility bear interest at a rate equal to, at the option of the Company, either (i) the Term Secured Overnight Financing Rate (“SOFR”) applicable thereto plus the Applicable Rate or (ii) the then applicable Base Rate plus the Applicable Rate, which Applicable Rate shall be, subject to certain caveats thereto, as follows (i) until delivery of financial statements and related Compliance Certificate for the first full fiscal quarter ending after the effective date of the Amendment, (A) for Term SOFR Loans,</w:t>
      </w:r>
    </w:p>
    <w:p>
      <w:pPr>
        <w:spacing w:after="0" w:line="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1.75%, (B) for Base Rate Loans, 0.75% and (ii) thereafter, the following percentages per annum, based upon the Total Net Leverage Ratio as set forth in the most recent Compliance Certificate received by the Administrative Agent pursuant to the terms of the Credit Agreement. The table below illustrates the aforementioned interest rate terms: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Pricing Level</w:t>
            </w:r>
          </w:p>
        </w:tc>
        <w:tc>
          <w:tcPr>
            <w:tcW w:w="4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Total Net Leverage Ratio</w:t>
            </w:r>
          </w:p>
        </w:tc>
        <w:tc>
          <w:tcPr>
            <w:tcW w:w="2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Applicable Rate for Term</w:t>
            </w: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Applicable Rate for Base</w:t>
            </w:r>
          </w:p>
        </w:tc>
        <w:tc>
          <w:tcPr>
            <w:tcW w:w="0" w:type="dxa"/>
            <w:vAlign w:val="bottom"/>
          </w:tcPr>
          <w:p>
            <w:pPr>
              <w:spacing w:after="0"/>
              <w:rPr>
                <w:sz w:val="1"/>
                <w:szCs w:val="1"/>
                <w:color w:val="auto"/>
              </w:rPr>
            </w:pPr>
          </w:p>
        </w:tc>
      </w:tr>
      <w:tr>
        <w:trPr>
          <w:trHeight w:val="214"/>
        </w:trPr>
        <w:tc>
          <w:tcPr>
            <w:tcW w:w="2180" w:type="dxa"/>
            <w:vAlign w:val="bottom"/>
            <w:gridSpan w:val="2"/>
            <w:vMerge w:val="continue"/>
          </w:tcPr>
          <w:p>
            <w:pPr>
              <w:spacing w:after="0"/>
              <w:rPr>
                <w:sz w:val="18"/>
                <w:szCs w:val="18"/>
                <w:color w:val="auto"/>
              </w:rPr>
            </w:pPr>
          </w:p>
        </w:tc>
        <w:tc>
          <w:tcPr>
            <w:tcW w:w="4800" w:type="dxa"/>
            <w:vAlign w:val="bottom"/>
            <w:gridSpan w:val="2"/>
            <w:vMerge w:val="continue"/>
          </w:tcPr>
          <w:p>
            <w:pPr>
              <w:spacing w:after="0"/>
              <w:rPr>
                <w:sz w:val="18"/>
                <w:szCs w:val="18"/>
                <w:color w:val="auto"/>
              </w:rPr>
            </w:pPr>
          </w:p>
        </w:tc>
        <w:tc>
          <w:tcPr>
            <w:tcW w:w="2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SOFR Loans</w:t>
            </w: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Rate Loans</w:t>
            </w:r>
          </w:p>
        </w:tc>
        <w:tc>
          <w:tcPr>
            <w:tcW w:w="0" w:type="dxa"/>
            <w:vAlign w:val="bottom"/>
          </w:tcPr>
          <w:p>
            <w:pPr>
              <w:spacing w:after="0"/>
              <w:rPr>
                <w:sz w:val="1"/>
                <w:szCs w:val="1"/>
                <w:color w:val="auto"/>
              </w:rPr>
            </w:pPr>
          </w:p>
        </w:tc>
      </w:tr>
      <w:tr>
        <w:trPr>
          <w:trHeight w:val="211"/>
        </w:trPr>
        <w:tc>
          <w:tcPr>
            <w:tcW w:w="2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74"/>
              </w:rPr>
              <w:t>I</w:t>
            </w:r>
          </w:p>
        </w:tc>
        <w:tc>
          <w:tcPr>
            <w:tcW w:w="100" w:type="dxa"/>
            <w:vAlign w:val="bottom"/>
            <w:tcBorders>
              <w:top w:val="single" w:sz="8" w:color="CCEEFF"/>
            </w:tcBorders>
            <w:shd w:val="clear" w:color="auto" w:fill="CCEEFF"/>
          </w:tcPr>
          <w:p>
            <w:pPr>
              <w:spacing w:after="0"/>
              <w:rPr>
                <w:sz w:val="18"/>
                <w:szCs w:val="18"/>
                <w:color w:val="auto"/>
              </w:rPr>
            </w:pPr>
          </w:p>
        </w:tc>
        <w:tc>
          <w:tcPr>
            <w:tcW w:w="4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Greater than or equal to 3.00x</w:t>
            </w:r>
          </w:p>
        </w:tc>
        <w:tc>
          <w:tcPr>
            <w:tcW w:w="12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1.25%</w:t>
            </w:r>
          </w:p>
        </w:tc>
        <w:tc>
          <w:tcPr>
            <w:tcW w:w="0" w:type="dxa"/>
            <w:vAlign w:val="bottom"/>
          </w:tcPr>
          <w:p>
            <w:pPr>
              <w:spacing w:after="0"/>
              <w:rPr>
                <w:sz w:val="1"/>
                <w:szCs w:val="1"/>
                <w:color w:val="auto"/>
              </w:rPr>
            </w:pPr>
          </w:p>
        </w:tc>
      </w:tr>
      <w:tr>
        <w:trPr>
          <w:trHeight w:val="213"/>
        </w:trPr>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II</w:t>
            </w:r>
          </w:p>
        </w:tc>
        <w:tc>
          <w:tcPr>
            <w:tcW w:w="4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Less than 3.00x, but greater than or equal to 2.25x</w:t>
            </w: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0" w:type="dxa"/>
            <w:vAlign w:val="bottom"/>
          </w:tcPr>
          <w:p>
            <w:pPr>
              <w:spacing w:after="0"/>
              <w:rPr>
                <w:sz w:val="1"/>
                <w:szCs w:val="1"/>
                <w:color w:val="auto"/>
              </w:rPr>
            </w:pPr>
          </w:p>
        </w:tc>
      </w:tr>
      <w:tr>
        <w:trPr>
          <w:trHeight w:val="219"/>
        </w:trPr>
        <w:tc>
          <w:tcPr>
            <w:tcW w:w="2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III</w:t>
            </w:r>
          </w:p>
        </w:tc>
        <w:tc>
          <w:tcPr>
            <w:tcW w:w="4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Less than 2.25x, but greater than or equal to 1.50x</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0.75%</w:t>
            </w:r>
          </w:p>
        </w:tc>
        <w:tc>
          <w:tcPr>
            <w:tcW w:w="0" w:type="dxa"/>
            <w:vAlign w:val="bottom"/>
          </w:tcPr>
          <w:p>
            <w:pPr>
              <w:spacing w:after="0"/>
              <w:rPr>
                <w:sz w:val="1"/>
                <w:szCs w:val="1"/>
                <w:color w:val="auto"/>
              </w:rPr>
            </w:pPr>
          </w:p>
        </w:tc>
      </w:tr>
      <w:tr>
        <w:trPr>
          <w:trHeight w:val="213"/>
        </w:trPr>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4"/>
              </w:rPr>
              <w:t>IV</w:t>
            </w:r>
          </w:p>
        </w:tc>
        <w:tc>
          <w:tcPr>
            <w:tcW w:w="4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Less than 1.50x, but greater than or equal to 1.00x</w:t>
            </w: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0.50%</w:t>
            </w:r>
          </w:p>
        </w:tc>
        <w:tc>
          <w:tcPr>
            <w:tcW w:w="0" w:type="dxa"/>
            <w:vAlign w:val="bottom"/>
          </w:tcPr>
          <w:p>
            <w:pPr>
              <w:spacing w:after="0"/>
              <w:rPr>
                <w:sz w:val="1"/>
                <w:szCs w:val="1"/>
                <w:color w:val="auto"/>
              </w:rPr>
            </w:pPr>
          </w:p>
        </w:tc>
      </w:tr>
      <w:tr>
        <w:trPr>
          <w:trHeight w:val="219"/>
        </w:trPr>
        <w:tc>
          <w:tcPr>
            <w:tcW w:w="2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V</w:t>
            </w:r>
          </w:p>
        </w:tc>
        <w:tc>
          <w:tcPr>
            <w:tcW w:w="4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Less than 1.00x</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0.25%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Concurrently with the creation of the Revolver Facility, the Company terminated the ABL Credit Agreement. Prior to the transition to the Revolver Facility, the ABL Facility had been in effect from August 6, 2019 to December 7, 2023. As of December 31, 2022, the Company’s ABL Facility provided for borrowings up to $175.0 million and had a maturity date of October 27, 2026. Effective January 13, 2023, the Company entered into an agreement to amend the ABL Facility and increase the amount of borrowing availability by $50.0 million to $225.0 million total borrowing availability. As a result of the amended agreement, SOFR was established as the new reference rate, replacing LIBOR. Prior to the termination of the ABL Facility in December 2023, the ABL Facility bore interest at a rate equal to, at the Company’s election, either (i) a base rate determined in accordance with the ABL Credit Agreement plus an applicable margin, which is equal to between 0.25% and 0.75% based on the historical excess availability as a percentage of the Line Cap (as such term is defined in the ABL Credit Agreement); and (ii) SOFR plus an applicable margin, which is equal to between 1.25% and 1.75% based on the historical excess availability as a percentage of the Line Cap. The ABL Facility contained commitment fees payable on the unused portion ranging from 0.25% to 0.375%, depending on various factors including the Company’s leverage ratio, type of loan and rate type, and letter of credit fees of 2.50%. Borrowings under the ABL Facility were secured by a first priority security interest in the Company’s and each of its subsidiaries’ inventory, accounts receivable, cash, deposit accounts and certain assets and property related thereto (the “ABL Priority Collateral”), in each case subject to certain exceptions, and a third priority security interest in each of the Company’s subsidiaries’ capital stock (subject to certain exceptions) and substantially all of the Company’s property and assets (other than the ABL Priority Collateral). The Company had $6.7 million of undrawn letters of credit issued and outstanding, resulting in net borrowing availability under the ABL Facility of $168.3 million, as of December 31, 2022.</w:t>
      </w:r>
    </w:p>
    <w:p>
      <w:pPr>
        <w:spacing w:after="0" w:line="156" w:lineRule="exact"/>
        <w:rPr>
          <w:sz w:val="20"/>
          <w:szCs w:val="20"/>
          <w:color w:val="auto"/>
        </w:rPr>
      </w:pPr>
    </w:p>
    <w:p>
      <w:pPr>
        <w:ind w:right="160" w:firstLine="324"/>
        <w:spacing w:after="0" w:line="253" w:lineRule="auto"/>
        <w:rPr>
          <w:sz w:val="20"/>
          <w:szCs w:val="20"/>
          <w:color w:val="auto"/>
        </w:rPr>
      </w:pPr>
      <w:r>
        <w:rPr>
          <w:rFonts w:ascii="Times New Roman" w:cs="Times New Roman" w:eastAsia="Times New Roman" w:hAnsi="Times New Roman"/>
          <w:sz w:val="18"/>
          <w:szCs w:val="18"/>
          <w:color w:val="auto"/>
        </w:rPr>
        <w:t>Effective June 30, 2023, the Company entered into an agreement, dated as of June 8, 2023, to amend the First Lien Term Loan to replace LIBOR and related definitions and provisions with SOFR as the new reference rate. The Company entered into the First Lien Term Loan Agreement (the “First Lien Credit Agreement Amendment”), which commenced in October 2021 (the “October 2021 Refinancing”) to provide $600.0 million of refinanced borrowings. The First Lien Term Loan (the “First Lien Term Loan Facility”) is charged an interest rate equal to, at the Company’s option, either (i) SOFR (with a floor of 0.50% per annum) plus an applicable margin of 2.75% for Term SOFR Loans (as such term is defined in the First Lien Credit Agreement Amendment); and (ii) a base rate determined in accordance with the First Lien Credit Agreement Amendment, plus 1.75% for Base Rate Loans (as such term is defined in the First Lien Credit Agreement Amendment). The First Lien Term Loan Facility is repayable in quarterly installments, which began in March 2022, and matures on October 27, 2028. The interest rate on the First Lien Term Loan was 8.21% and 6.82% as of December 31, 2023 and 2022, respectively. The weighted average interest rate incurred on the First Lien Term Loan was 7.83% and 4.52% for the years ended December 31, 2023 and 2022, respectively.</w:t>
      </w:r>
    </w:p>
    <w:p>
      <w:pPr>
        <w:spacing w:after="0" w:line="16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In conjunction with the October 2021 Refinancing, the Company also issued $500.0 million in aggregate principal of unsecured senior notes (“Senior Notes”). The Senior Notes bear interest at a rate of 4.375% per annum payable semi-annually in arrears on October 31 and April 30 of each year, commencing on April 30, 2022. The Senior Notes mature on October 31, 2029. The interest rate on the Senior Notes was 4.375% as of both December 31, 2023 and 2022. The weighted average interest rate incurred on the Senior Notes was 4.375% for both years ended December 31, 2023 and 2022.</w:t>
      </w:r>
    </w:p>
    <w:p>
      <w:pPr>
        <w:spacing w:after="0" w:line="13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The Company assessed whether the October 2021 Refinancing resulted in an insubstantial modification or an extinguishment of the existing debt for each loan in the syndication by grouping lenders as follows: (i) Lenders continuing to participate in either the First Lien Term Loan Facility and Senior Notes; (ii) previous lenders that exited; and (iii) new lenders. The Company determined that $35.7 million of the First Lien Term Loan was extinguished, which was disclosed as an outflow from financing activities in the condensed consolidated statements of cash flows. The First Lien Term Loan had insubstantial modifications for lenders that continued to participate in either debt instrument, which resulted in a cash outflow from financing activities of $558.3 million in the consolidated statements of cash flows. The Company determined that $501.4 million of new debt was issued related to the First Lien Term Loan, which is disclosed as an inflow from financing activities in the consolidated statements of cash flows. In connection with the refinancing of the First Lien Term Loan and issuance of the Senior Notes, the Company incurred $10.7 million in debt issuance costs and third-party fees, of which</w:t>
      </w:r>
    </w:p>
    <w:p>
      <w:pPr>
        <w:spacing w:after="0" w:line="1" w:lineRule="exact"/>
        <w:rPr>
          <w:sz w:val="20"/>
          <w:szCs w:val="20"/>
          <w:color w:val="auto"/>
        </w:rPr>
      </w:pPr>
    </w:p>
    <w:p>
      <w:pPr>
        <w:jc w:val="both"/>
        <w:ind w:right="60"/>
        <w:spacing w:after="0" w:line="253" w:lineRule="auto"/>
        <w:rPr>
          <w:sz w:val="20"/>
          <w:szCs w:val="20"/>
          <w:color w:val="auto"/>
        </w:rPr>
      </w:pPr>
      <w:r>
        <w:rPr>
          <w:rFonts w:ascii="Times New Roman" w:cs="Times New Roman" w:eastAsia="Times New Roman" w:hAnsi="Times New Roman"/>
          <w:sz w:val="18"/>
          <w:szCs w:val="18"/>
          <w:color w:val="auto"/>
        </w:rPr>
        <w:t>$8.8 million was capitalized, $1.7 million was expensed as a component of other expense and $0.2 million was expensed as a loss on extinguishment as a component of other expense in the consolidated statements of comprehensive income. Further, $1.5 million of the total fees incurred of $10.7 million was netted against the $501.4 million of proceeds from debt as a component of the cash flows from financing activities, $7.4 million was presented as deferred financing costs as a component of cash flows from financing activities, and the remaining $1.8 million was included in cash flows from operating activities in the consolidated statements of cash flows.</w:t>
      </w:r>
    </w:p>
    <w:p>
      <w:pPr>
        <w:spacing w:after="0" w:line="146"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recognized a loss on extinguishment of debt of $1.0 million included in the line entitled “Other, net” in the consolidated statements of comprehensive income, of which $0.2 million related to debt issuance costs incurred with the First Lien Term Loan refinancing and issuance of the Senior Notes, as discussed above, and $0.8 million related to existing deferred financing fees that were written off upon extinguishment within the consolidated statements of comprehensive income and cash flows during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Prior to the October 2021 Refinancing, the Company entered into an amendment on the First Lien Term Loan in January 2021 (the “January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Refinancing”) which resulted in additional First Lien Term Loan indebtedness. The proceeds of the First Lien Term Loan indebtedness were used to prepay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balance of the previous senior secured second lien pay-in-kind toggle floating rate notes due 2027 (“Second Lien Notes”).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assessed whether the repayment of the Second Lien Notes by issuing incremental First Lien Term Loan indebtedness resulted in an insubstantial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modification or an extinguishment of the existing debt for each loan in the syndication by grouping lenders as follows: (i) Lenders participating in both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Lien Term Loan and Second Lien Notes; (ii) previous lenders that exited; and (iii) new lenders. The Company determined that $161.2 million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Lien Term Loan was extinguished and $122.9 million of the $150.0 million second lien term loan (“Second Lien Term Loan”) was extinguished,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is disclosed as an outflow from financing activities in the consolidated statements of cash flows. The First Lien Term Loan and Second Lien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had insubstantial modifications for lenders that participated in both debt instruments, which resulted in a cash outflow from financing activities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$352.0 million in the consolidated statements of cash flows. The Company determined that $356.2 million of new debt was issued related to the First Lien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Term Loan, which is disclosed as an inflow from financing activities in the consolidated statements of cash flows. In connection with the prepayment 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Lien Notes and incremental First Lien Term Loan indebtedness, the Company incurred $7.2 million in debt issuance costs and third-party fees,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$3.7 million was capitalized, $0.9 million was expensed as a component of other expense and $2.6 million was expensed as a loss on extinguishment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component of other expense in the consolidated statements of comprehensive income. Further, $1.0 million of the total fees incurred of $7.2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netted against the $356.2 million of proceeds from debt as a component of the cash flows from financing activities, $2.9 million was presented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financing costs as a component of cash flows from financing activities, $2.4 million was presented as debt prepayment fees as a component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financing activities, and the remaining $0.9 million was included in cash flows from operating activities in the consolidated statements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w:t>
      </w:r>
    </w:p>
    <w:p>
      <w:pPr>
        <w:spacing w:after="0" w:line="166"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recognized a loss on extinguishment of debt of $12.4 million included in the line entitled “Other, net” in the consolidated statements of comprehensive income, of which $2.6 million related to debt issuance costs incurred with the incremental First Lien Term Loan indebtedness and prepayment of the Second Lien Notes, as discussed above, and $9.8 million related to existing deferred financing fees that were written off upon extinguishment within the consolidated statements of comprehensive income and cash flows during the year ended December 31, 2021.</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Long-term debt matures as follows (in thousands):</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 Ended December 31,</w:t>
            </w:r>
          </w:p>
        </w:tc>
        <w:tc>
          <w:tcPr>
            <w:tcW w:w="240" w:type="dxa"/>
            <w:vAlign w:val="bottom"/>
          </w:tcPr>
          <w:p>
            <w:pPr>
              <w:spacing w:after="0"/>
              <w:rPr>
                <w:sz w:val="18"/>
                <w:szCs w:val="18"/>
                <w:color w:val="auto"/>
              </w:rPr>
            </w:pPr>
          </w:p>
        </w:tc>
        <w:tc>
          <w:tcPr>
            <w:tcW w:w="19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Minimum Payments</w:t>
            </w:r>
          </w:p>
        </w:tc>
      </w:tr>
      <w:tr>
        <w:trPr>
          <w:trHeight w:val="213"/>
        </w:trPr>
        <w:tc>
          <w:tcPr>
            <w:tcW w:w="8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r>
      <w:tr>
        <w:trPr>
          <w:trHeight w:val="213"/>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r>
      <w:tr>
        <w:trPr>
          <w:trHeight w:val="219"/>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r>
      <w:tr>
        <w:trPr>
          <w:trHeight w:val="213"/>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r>
      <w:tr>
        <w:trPr>
          <w:trHeight w:val="219"/>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564,000</w:t>
            </w:r>
          </w:p>
        </w:tc>
      </w:tr>
      <w:tr>
        <w:trPr>
          <w:trHeight w:val="213"/>
        </w:trPr>
        <w:tc>
          <w:tcPr>
            <w:tcW w:w="9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2029 and beyond</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37"/>
        </w:trPr>
        <w:tc>
          <w:tcPr>
            <w:tcW w:w="9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1,088,000</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 xml:space="preserve">During the year ended December 31, 2023, the Company engaged in hedging activities to limit its exposure to changes in interest rates. See Note 12,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for further discussion.</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estimated fair values of the Company’s debt obligations as of December 31, 2023 (in thousands):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Carrying Value as of</w:t>
            </w:r>
          </w:p>
        </w:tc>
        <w:tc>
          <w:tcPr>
            <w:tcW w:w="100" w:type="dxa"/>
            <w:vAlign w:val="bottom"/>
          </w:tcPr>
          <w:p>
            <w:pPr>
              <w:spacing w:after="0"/>
              <w:rPr>
                <w:sz w:val="16"/>
                <w:szCs w:val="16"/>
                <w:color w:val="auto"/>
              </w:rPr>
            </w:pPr>
          </w:p>
        </w:tc>
        <w:tc>
          <w:tcPr>
            <w:tcW w:w="17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Markets for Identical</w:t>
            </w:r>
          </w:p>
        </w:tc>
        <w:tc>
          <w:tcPr>
            <w:tcW w:w="180" w:type="dxa"/>
            <w:vAlign w:val="bottom"/>
          </w:tcPr>
          <w:p>
            <w:pPr>
              <w:spacing w:after="0"/>
              <w:rPr>
                <w:sz w:val="16"/>
                <w:szCs w:val="16"/>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Significant Other</w:t>
            </w:r>
          </w:p>
        </w:tc>
        <w:tc>
          <w:tcPr>
            <w:tcW w:w="120" w:type="dxa"/>
            <w:vAlign w:val="bottom"/>
          </w:tcPr>
          <w:p>
            <w:pPr>
              <w:spacing w:after="0"/>
              <w:rPr>
                <w:sz w:val="16"/>
                <w:szCs w:val="16"/>
                <w:color w:val="auto"/>
              </w:rPr>
            </w:pPr>
          </w:p>
        </w:tc>
        <w:tc>
          <w:tcPr>
            <w:tcW w:w="16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0" w:type="dxa"/>
            <w:vAlign w:val="bottom"/>
          </w:tcPr>
          <w:p>
            <w:pPr>
              <w:spacing w:after="0"/>
              <w:rPr>
                <w:sz w:val="1"/>
                <w:szCs w:val="1"/>
                <w:color w:val="auto"/>
              </w:rPr>
            </w:pPr>
          </w:p>
        </w:tc>
      </w:tr>
      <w:tr>
        <w:trPr>
          <w:trHeight w:val="162"/>
        </w:trPr>
        <w:tc>
          <w:tcPr>
            <w:tcW w:w="3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Instrument</w:t>
            </w:r>
          </w:p>
        </w:tc>
        <w:tc>
          <w:tcPr>
            <w:tcW w:w="12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Observable Inputs</w:t>
            </w:r>
          </w:p>
        </w:tc>
        <w:tc>
          <w:tcPr>
            <w:tcW w:w="120" w:type="dxa"/>
            <w:vAlign w:val="bottom"/>
          </w:tcPr>
          <w:p>
            <w:pPr>
              <w:spacing w:after="0"/>
              <w:rPr>
                <w:sz w:val="14"/>
                <w:szCs w:val="14"/>
                <w:color w:val="auto"/>
              </w:rPr>
            </w:pPr>
          </w:p>
        </w:tc>
        <w:tc>
          <w:tcPr>
            <w:tcW w:w="162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Unobservable Inputs</w:t>
            </w:r>
          </w:p>
        </w:tc>
        <w:tc>
          <w:tcPr>
            <w:tcW w:w="0" w:type="dxa"/>
            <w:vAlign w:val="bottom"/>
          </w:tcPr>
          <w:p>
            <w:pPr>
              <w:spacing w:after="0"/>
              <w:rPr>
                <w:sz w:val="1"/>
                <w:szCs w:val="1"/>
                <w:color w:val="auto"/>
              </w:rPr>
            </w:pPr>
          </w:p>
        </w:tc>
      </w:tr>
      <w:tr>
        <w:trPr>
          <w:trHeight w:val="214"/>
        </w:trPr>
        <w:tc>
          <w:tcPr>
            <w:tcW w:w="3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Item (Level 1)</w:t>
            </w:r>
          </w:p>
        </w:tc>
        <w:tc>
          <w:tcPr>
            <w:tcW w:w="180" w:type="dxa"/>
            <w:vAlign w:val="bottom"/>
          </w:tcPr>
          <w:p>
            <w:pPr>
              <w:spacing w:after="0"/>
              <w:rPr>
                <w:sz w:val="18"/>
                <w:szCs w:val="18"/>
                <w:color w:val="auto"/>
              </w:rPr>
            </w:pPr>
          </w:p>
        </w:tc>
        <w:tc>
          <w:tcPr>
            <w:tcW w:w="17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20" w:type="dxa"/>
            <w:vAlign w:val="bottom"/>
          </w:tcPr>
          <w:p>
            <w:pPr>
              <w:spacing w:after="0"/>
              <w:rPr>
                <w:sz w:val="18"/>
                <w:szCs w:val="18"/>
                <w:color w:val="auto"/>
              </w:rPr>
            </w:pPr>
          </w:p>
        </w:tc>
        <w:tc>
          <w:tcPr>
            <w:tcW w:w="16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211"/>
        </w:trPr>
        <w:tc>
          <w:tcPr>
            <w:tcW w:w="3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First Lien Term Loan</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571,348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590,234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Notes</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491,302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448,750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386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debt instruments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1,062,650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bottom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1,038,984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bottom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Company had no fair value measurements that utilized Level 3 inputs of the fair value hierarchy for the year ended December 31, 2023. See Note 13,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for further discussion.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DERIVATIVE INSTRUMENTS</w:t>
      </w:r>
    </w:p>
    <w:p>
      <w:pPr>
        <w:spacing w:after="0" w:line="18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The Company utilizes derivative financial instruments for hedging and non-trading purposes to limit the Company’s exposure to its variable interest rate risk. Use of derivative financial instruments in hedging strategies subjects the Company to certain risks, such as market and credit risks. Market risk represents the possibility that the value of the derivative financial instrument will change. Credit risk related to a derivative financial instrument represents the possibility that the counterparty will not fulfill the terms of the contract. The notional, or contractual, amount of the Company’s derivative financial instruments is used to measure interest to be paid or received and does not represent the Company’s exposure due to credit risk. Credit risk is monitored through established approval procedures, including reviewing credit ratings when appropriate.</w:t>
      </w:r>
    </w:p>
    <w:p>
      <w:pPr>
        <w:spacing w:after="0" w:line="160"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August 2019, the Company entered into an interest rate swap agreement that reduced the variability in the interest rates on the newly-issued debt obligations following the Merger with BioScrip. The interest rate swap for $925.0 million notional was effective in August 2019 with $911.1 million designated as a cash flows hedge against the underlying interest rate on the First Lien Term Loan interest payments indexed to one-month LIBOR through August 2021. In accordance with ASU 2017-12, </w:t>
      </w:r>
      <w:r>
        <w:rPr>
          <w:rFonts w:ascii="Times New Roman" w:cs="Times New Roman" w:eastAsia="Times New Roman" w:hAnsi="Times New Roman"/>
          <w:sz w:val="18"/>
          <w:szCs w:val="18"/>
          <w:i w:val="1"/>
          <w:iCs w:val="1"/>
          <w:color w:val="auto"/>
        </w:rPr>
        <w:t>Targeted Improvements to Accounting for Hedges</w:t>
      </w:r>
      <w:r>
        <w:rPr>
          <w:rFonts w:ascii="Times New Roman" w:cs="Times New Roman" w:eastAsia="Times New Roman" w:hAnsi="Times New Roman"/>
          <w:sz w:val="18"/>
          <w:szCs w:val="18"/>
          <w:color w:val="auto"/>
        </w:rPr>
        <w:t>, the Company had determined that the $911.1 million designated cash flows hedge is perfectly effective. The remaining $13.9 million notional amount of the interest rate swap is not designated as a hedging instrument. The interest rate swap expired in August 2021.</w:t>
      </w:r>
    </w:p>
    <w:p>
      <w:pPr>
        <w:spacing w:after="0" w:line="147" w:lineRule="exact"/>
        <w:rPr>
          <w:sz w:val="20"/>
          <w:szCs w:val="20"/>
          <w:color w:val="auto"/>
        </w:rPr>
      </w:pPr>
    </w:p>
    <w:p>
      <w:pPr>
        <w:ind w:right="480" w:firstLine="324"/>
        <w:spacing w:after="0" w:line="266" w:lineRule="auto"/>
        <w:rPr>
          <w:sz w:val="20"/>
          <w:szCs w:val="20"/>
          <w:color w:val="auto"/>
        </w:rPr>
      </w:pPr>
      <w:r>
        <w:rPr>
          <w:rFonts w:ascii="Times New Roman" w:cs="Times New Roman" w:eastAsia="Times New Roman" w:hAnsi="Times New Roman"/>
          <w:sz w:val="18"/>
          <w:szCs w:val="18"/>
          <w:color w:val="auto"/>
        </w:rPr>
        <w:t>In October 2021, the Company entered into an interest rate cap hedge with a notional amount of $300.0 million for a five-year term beginning November 30, 2021. The hedge partially offsets risk associated with the First Lien Term Loan’s variable interest rate. The interest rate cap instrument perfectly offsets the terms of the interest rates associated with the variable interest rate of the First Lien Term Loan.</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amount and location of the Company’s derivative instruments in the consolidated balance sheets (in thousands):</w:t>
      </w: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20" w:type="dxa"/>
            <w:vAlign w:val="bottom"/>
            <w:tcBorders>
              <w:bottom w:val="single" w:sz="8" w:color="auto"/>
            </w:tcBorders>
            <w:gridSpan w:val="5"/>
          </w:tcPr>
          <w:p>
            <w:pPr>
              <w:ind w:left="2220"/>
              <w:spacing w:after="0"/>
              <w:rPr>
                <w:sz w:val="20"/>
                <w:szCs w:val="20"/>
                <w:color w:val="auto"/>
              </w:rPr>
            </w:pPr>
            <w:r>
              <w:rPr>
                <w:rFonts w:ascii="Times New Roman" w:cs="Times New Roman" w:eastAsia="Times New Roman" w:hAnsi="Times New Roman"/>
                <w:sz w:val="16"/>
                <w:szCs w:val="16"/>
                <w:b w:val="1"/>
                <w:bCs w:val="1"/>
                <w:color w:val="auto"/>
              </w:rPr>
              <w:t>Fair Value - Derivatives in Asset Position</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r>
      <w:tr>
        <w:trPr>
          <w:trHeight w:val="214"/>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36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Sheet Caption</w:t>
            </w:r>
          </w:p>
        </w:tc>
        <w:tc>
          <w:tcPr>
            <w:tcW w:w="160" w:type="dxa"/>
            <w:vAlign w:val="bottom"/>
          </w:tcPr>
          <w:p>
            <w:pPr>
              <w:spacing w:after="0"/>
              <w:rPr>
                <w:sz w:val="18"/>
                <w:szCs w:val="18"/>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60" w:type="dxa"/>
            <w:vAlign w:val="bottom"/>
          </w:tcPr>
          <w:p>
            <w:pPr>
              <w:spacing w:after="0"/>
              <w:rPr>
                <w:sz w:val="18"/>
                <w:szCs w:val="18"/>
                <w:color w:val="auto"/>
              </w:rPr>
            </w:pPr>
          </w:p>
        </w:tc>
        <w:tc>
          <w:tcPr>
            <w:tcW w:w="15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11"/>
        </w:trPr>
        <w:tc>
          <w:tcPr>
            <w:tcW w:w="3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cap designated as cash flows hedge</w:t>
            </w:r>
          </w:p>
        </w:tc>
        <w:tc>
          <w:tcPr>
            <w:tcW w:w="100" w:type="dxa"/>
            <w:vAlign w:val="bottom"/>
            <w:tcBorders>
              <w:top w:val="single" w:sz="8" w:color="CCEEFF"/>
            </w:tcBorders>
            <w:shd w:val="clear" w:color="auto" w:fill="CCEEFF"/>
          </w:tcPr>
          <w:p>
            <w:pPr>
              <w:spacing w:after="0"/>
              <w:rPr>
                <w:sz w:val="18"/>
                <w:szCs w:val="18"/>
                <w:color w:val="auto"/>
              </w:rPr>
            </w:pPr>
          </w:p>
        </w:tc>
        <w:tc>
          <w:tcPr>
            <w:tcW w:w="3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10,926</w:t>
            </w:r>
          </w:p>
        </w:tc>
      </w:tr>
      <w:tr>
        <w:trPr>
          <w:trHeight w:val="213"/>
        </w:trPr>
        <w:tc>
          <w:tcPr>
            <w:tcW w:w="3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Interest rate cap designated as cash flows hedge</w:t>
            </w:r>
          </w:p>
        </w:tc>
        <w:tc>
          <w:tcPr>
            <w:tcW w:w="3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10,183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17,342</w:t>
            </w:r>
          </w:p>
        </w:tc>
      </w:tr>
      <w:tr>
        <w:trPr>
          <w:trHeight w:val="237"/>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derivative assets</w:t>
            </w:r>
          </w:p>
        </w:tc>
        <w:tc>
          <w:tcPr>
            <w:tcW w:w="3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19,929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28,268</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gain and loss associated with the changes in the fair value of the effective portion of hedging instruments are recorded into other comprehensive (loss) income. The gain and loss associated with the changes in the fair value of the hedging instruments not designated are recognized in net income through interest expense. The following table presents the pre-tax (loss) gain from derivative instruments recognized in other comprehensive (loss) income in the Company’s consolidated statements of comprehensive income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14"/>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400" w:type="dxa"/>
            <w:vAlign w:val="bottom"/>
          </w:tcPr>
          <w:p>
            <w:pPr>
              <w:spacing w:after="0"/>
              <w:rPr>
                <w:sz w:val="18"/>
                <w:szCs w:val="18"/>
                <w:color w:val="auto"/>
              </w:rPr>
            </w:pPr>
          </w:p>
        </w:tc>
        <w:tc>
          <w:tcPr>
            <w:tcW w:w="134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5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cap designated as cash flows hedge</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(8,339)</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28,869</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w:t>
            </w:r>
          </w:p>
        </w:tc>
      </w:tr>
      <w:tr>
        <w:trPr>
          <w:trHeight w:val="213"/>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rate swap designated as cash flows hedge</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11,172</w:t>
            </w:r>
          </w:p>
        </w:tc>
      </w:tr>
      <w:tr>
        <w:trPr>
          <w:trHeight w:val="237"/>
        </w:trPr>
        <w:tc>
          <w:tcPr>
            <w:tcW w:w="57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28,869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10,571</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amount and location of pre-tax income (loss) recognized in the Company’s consolidated statement of comprehensive income related to the Company’s derivative instruments (in thousands):</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820" w:type="dxa"/>
            <w:vAlign w:val="bottom"/>
            <w:gridSpan w:val="2"/>
          </w:tcPr>
          <w:p>
            <w:pPr>
              <w:ind w:left="20"/>
              <w:spacing w:after="0" w:line="148" w:lineRule="exact"/>
              <w:rPr>
                <w:sz w:val="20"/>
                <w:szCs w:val="20"/>
                <w:color w:val="auto"/>
              </w:rPr>
            </w:pPr>
            <w:r>
              <w:rPr>
                <w:rFonts w:ascii="Times New Roman" w:cs="Times New Roman" w:eastAsia="Times New Roman" w:hAnsi="Times New Roman"/>
                <w:sz w:val="16"/>
                <w:szCs w:val="16"/>
                <w:b w:val="1"/>
                <w:bCs w:val="1"/>
                <w:color w:val="auto"/>
              </w:rPr>
              <w:t>Income Statement</w:t>
            </w:r>
          </w:p>
        </w:tc>
        <w:tc>
          <w:tcPr>
            <w:tcW w:w="400" w:type="dxa"/>
            <w:vAlign w:val="bottom"/>
          </w:tcPr>
          <w:p>
            <w:pPr>
              <w:spacing w:after="0"/>
              <w:rPr>
                <w:sz w:val="12"/>
                <w:szCs w:val="12"/>
                <w:color w:val="auto"/>
              </w:rPr>
            </w:pPr>
          </w:p>
        </w:tc>
        <w:tc>
          <w:tcPr>
            <w:tcW w:w="134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40" w:type="dxa"/>
            <w:vAlign w:val="bottom"/>
            <w:vMerge w:val="restart"/>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4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4"/>
        </w:trPr>
        <w:tc>
          <w:tcPr>
            <w:tcW w:w="3940" w:type="dxa"/>
            <w:vAlign w:val="bottom"/>
            <w:gridSpan w:val="2"/>
            <w:vMerge w:val="continue"/>
          </w:tcPr>
          <w:p>
            <w:pPr>
              <w:spacing w:after="0"/>
              <w:rPr>
                <w:sz w:val="18"/>
                <w:szCs w:val="18"/>
                <w:color w:val="auto"/>
              </w:rPr>
            </w:pP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Caption</w:t>
            </w:r>
          </w:p>
        </w:tc>
        <w:tc>
          <w:tcPr>
            <w:tcW w:w="4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cap designated as cash flows hedge</w:t>
            </w: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10,974</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0" w:type="dxa"/>
            <w:vAlign w:val="bottom"/>
          </w:tcPr>
          <w:p>
            <w:pPr>
              <w:spacing w:after="0"/>
              <w:rPr>
                <w:sz w:val="1"/>
                <w:szCs w:val="1"/>
                <w:color w:val="auto"/>
              </w:rPr>
            </w:pPr>
          </w:p>
        </w:tc>
      </w:tr>
      <w:tr>
        <w:trPr>
          <w:trHeight w:val="213"/>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rate swap designated as cash flows hedge</w:t>
            </w: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(11,298)</w:t>
            </w:r>
          </w:p>
        </w:tc>
        <w:tc>
          <w:tcPr>
            <w:tcW w:w="0" w:type="dxa"/>
            <w:vAlign w:val="bottom"/>
          </w:tcPr>
          <w:p>
            <w:pPr>
              <w:spacing w:after="0"/>
              <w:rPr>
                <w:sz w:val="1"/>
                <w:szCs w:val="1"/>
                <w:color w:val="auto"/>
              </w:rPr>
            </w:pPr>
          </w:p>
        </w:tc>
      </w:tr>
      <w:tr>
        <w:trPr>
          <w:trHeight w:val="219"/>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 not designated as hedge</w:t>
            </w:r>
          </w:p>
        </w:tc>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9"/>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10,974</w:t>
            </w:r>
          </w:p>
        </w:tc>
        <w:tc>
          <w:tcPr>
            <w:tcW w:w="12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1,090</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(11,539)</w:t>
            </w:r>
          </w:p>
        </w:tc>
        <w:tc>
          <w:tcPr>
            <w:tcW w:w="0" w:type="dxa"/>
            <w:vAlign w:val="bottom"/>
          </w:tcPr>
          <w:p>
            <w:pPr>
              <w:spacing w:after="0"/>
              <w:rPr>
                <w:sz w:val="1"/>
                <w:szCs w:val="1"/>
                <w:color w:val="auto"/>
              </w:rPr>
            </w:pPr>
          </w:p>
        </w:tc>
      </w:tr>
      <w:tr>
        <w:trPr>
          <w:trHeight w:val="21"/>
        </w:trPr>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The Company expects to reclassify $2.8 million of total interest rate costs from accumulated other comprehensive income (loss) against interest expense during the next 12 months.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FAIR VALUE MEASUREMENTS</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Fair value measurements are determined by maximizing the use of observable inputs and minimizing the use of unobservable inputs. The hierarchy places the highest priority on unadjusted quoted market prices in active markets for identical assets or liabilities (Level 1 measurements) and gives the lowest priority to unobservable inputs (Level 3 measurements). The three levels of inputs within the fair value hierarchy are defined in Note 2, </w:t>
      </w:r>
      <w:r>
        <w:rPr>
          <w:rFonts w:ascii="Times New Roman" w:cs="Times New Roman" w:eastAsia="Times New Roman" w:hAnsi="Times New Roman"/>
          <w:sz w:val="18"/>
          <w:szCs w:val="18"/>
          <w:i w:val="1"/>
          <w:iCs w:val="1"/>
          <w:color w:val="auto"/>
        </w:rPr>
        <w:t>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Significant Accounting Policies. </w:t>
      </w:r>
      <w:r>
        <w:rPr>
          <w:rFonts w:ascii="Times New Roman" w:cs="Times New Roman" w:eastAsia="Times New Roman" w:hAnsi="Times New Roman"/>
          <w:sz w:val="18"/>
          <w:szCs w:val="18"/>
          <w:color w:val="auto"/>
        </w:rPr>
        <w:t>While the Company believes its valuation methods are appropriate and consistent with other market participants, the use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different methodologies or assumptions to determine the fair value of certain financial instruments could result in a different fair value measurement at the reporting date.</w:t>
      </w:r>
    </w:p>
    <w:p>
      <w:pPr>
        <w:spacing w:after="0" w:line="158" w:lineRule="exact"/>
        <w:rPr>
          <w:sz w:val="20"/>
          <w:szCs w:val="20"/>
          <w:color w:val="auto"/>
        </w:rPr>
      </w:pPr>
    </w:p>
    <w:p>
      <w:pPr>
        <w:ind w:right="20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First Lien Term Loan</w:t>
      </w:r>
      <w:r>
        <w:rPr>
          <w:rFonts w:ascii="Times New Roman" w:cs="Times New Roman" w:eastAsia="Times New Roman" w:hAnsi="Times New Roman"/>
          <w:sz w:val="18"/>
          <w:szCs w:val="18"/>
          <w:color w:val="auto"/>
        </w:rPr>
        <w:t>: The fair value of the First Lien Term Loan is derived from a broker quote on the loans in the syndication (Level 2 inputs). 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Note 11, </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for further discussion of the carrying amount and fair value of the First Lien Term Loan.</w:t>
      </w:r>
    </w:p>
    <w:p>
      <w:pPr>
        <w:spacing w:after="0" w:line="118" w:lineRule="exact"/>
        <w:rPr>
          <w:sz w:val="20"/>
          <w:szCs w:val="20"/>
          <w:color w:val="auto"/>
        </w:rPr>
      </w:pPr>
    </w:p>
    <w:p>
      <w:pPr>
        <w:ind w:right="20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Senior Notes</w:t>
      </w:r>
      <w:r>
        <w:rPr>
          <w:rFonts w:ascii="Times New Roman" w:cs="Times New Roman" w:eastAsia="Times New Roman" w:hAnsi="Times New Roman"/>
          <w:sz w:val="18"/>
          <w:szCs w:val="18"/>
          <w:color w:val="auto"/>
        </w:rPr>
        <w:t>: The fair value of the Senior Notes is derived from a broker quote (Level 2 inputs). See Note 11,</w:t>
      </w:r>
      <w:r>
        <w:rPr>
          <w:rFonts w:ascii="Times New Roman" w:cs="Times New Roman" w:eastAsia="Times New Roman" w:hAnsi="Times New Roman"/>
          <w:sz w:val="18"/>
          <w:szCs w:val="18"/>
          <w:i w:val="1"/>
          <w:iCs w:val="1"/>
          <w:color w:val="auto"/>
        </w:rPr>
        <w:t xml:space="preserve"> Indebtedness</w:t>
      </w:r>
      <w:r>
        <w:rPr>
          <w:rFonts w:ascii="Times New Roman" w:cs="Times New Roman" w:eastAsia="Times New Roman" w:hAnsi="Times New Roman"/>
          <w:sz w:val="18"/>
          <w:szCs w:val="18"/>
          <w:color w:val="auto"/>
        </w:rPr>
        <w:t>, for further discussion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carrying amount and fair value of the Senior Notes.</w:t>
      </w:r>
    </w:p>
    <w:p>
      <w:pPr>
        <w:spacing w:after="0" w:line="118" w:lineRule="exact"/>
        <w:rPr>
          <w:sz w:val="20"/>
          <w:szCs w:val="20"/>
          <w:color w:val="auto"/>
        </w:rPr>
      </w:pPr>
    </w:p>
    <w:p>
      <w:pPr>
        <w:ind w:right="3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Interest Rate Cap</w:t>
      </w:r>
      <w:r>
        <w:rPr>
          <w:rFonts w:ascii="Times New Roman" w:cs="Times New Roman" w:eastAsia="Times New Roman" w:hAnsi="Times New Roman"/>
          <w:sz w:val="18"/>
          <w:szCs w:val="18"/>
          <w:color w:val="auto"/>
        </w:rPr>
        <w:t>: The fair value of the interest rate cap is derived from the interest rates prevalent in the market and future expectations of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interest rates (Level 2 inputs). The Company determines the fair value of the investments based on quoted prices from third-party brokers. See Note 12,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for further discussion of the fair value of the interest rate cap.</w:t>
      </w:r>
    </w:p>
    <w:p>
      <w:pPr>
        <w:spacing w:after="0" w:line="146" w:lineRule="exact"/>
        <w:rPr>
          <w:sz w:val="20"/>
          <w:szCs w:val="20"/>
          <w:color w:val="auto"/>
        </w:rPr>
      </w:pPr>
    </w:p>
    <w:p>
      <w:pPr>
        <w:ind w:right="20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Money Market Funds</w:t>
      </w:r>
      <w:r>
        <w:rPr>
          <w:rFonts w:ascii="Times New Roman" w:cs="Times New Roman" w:eastAsia="Times New Roman" w:hAnsi="Times New Roman"/>
          <w:sz w:val="18"/>
          <w:szCs w:val="18"/>
          <w:color w:val="auto"/>
        </w:rPr>
        <w:t>: The fair value of the money market funds is derived from the closing price reported by the fund sponsor and classified as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cash equivalents on the Company’s consolidated balance sheets (Level 1 inputs).</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other assets or liabilities measured at fair value at December 31, 2023 or 2022.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0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Company is involved in legal proceedings and is subject to investigations, inspections, audits, inquiries, and similar actions by governmental authorities, arising in the normal course of the Company’s business. Some of these suits may purport or may be determined to be class actions and/or involve parties seeking large and/or indeterminate amounts, including punitive or exemplary damages, and may remain unresolved for several years. From time to time, the Company may also be involved in legal proceedings as a plaintiff involving antitrust, tax, contract, intellectual property, and other matters. Gain contingencies, if any, are recognized when they are realized.</w:t>
      </w:r>
    </w:p>
    <w:p>
      <w:pPr>
        <w:spacing w:after="0" w:line="143"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The results of legal proceedings are often uncertain and difficult to predict, and the costs incurred in litigation can be substantial, regardless of the outcome. The Company does not believe that any of these pending matters, after consideration of applicable reserves and rights to indemnification, will have a material adverse effect on the Company’s consolidated balance sheets.</w:t>
      </w:r>
    </w:p>
    <w:p>
      <w:pPr>
        <w:spacing w:after="0" w:line="135"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However, substantial unanticipated verdicts, fines, and rulings may occur. As a result, the Company may from time to time incur judgments, enter into settlements, or revise expectations regarding the outcome of certain matters, and such developments could have a material adverse effect on its results of operations in the period in which the amounts are accrued and/or its cash flows in the period in which the amounts are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STOCK-BASED INCENTIVE COMPENSATION</w:t>
      </w:r>
    </w:p>
    <w:p>
      <w:pPr>
        <w:spacing w:after="0" w:line="185" w:lineRule="exact"/>
        <w:rPr>
          <w:sz w:val="20"/>
          <w:szCs w:val="20"/>
          <w:color w:val="auto"/>
        </w:rPr>
      </w:pPr>
    </w:p>
    <w:p>
      <w:pPr>
        <w:ind w:right="80"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Equity Incentive Plans </w:t>
      </w:r>
      <w:r>
        <w:rPr>
          <w:rFonts w:ascii="Times New Roman" w:cs="Times New Roman" w:eastAsia="Times New Roman" w:hAnsi="Times New Roman"/>
          <w:sz w:val="18"/>
          <w:szCs w:val="18"/>
          <w:color w:val="auto"/>
        </w:rPr>
        <w:t>— Under the Company’s 2018 Equity Incentive Plan (the “2018 Plan”), approved at the annual meeting by the BioScrip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on May 3, 2018, the Company may issue, among other things, incentive stock options, non-qualified stock options, stock appreciation rights, restricted stock units, stock grants, and performance units to key employees and directors. The 2018 plan is administered by the Company’s Compensation Committee, a standing committee of the Board of Directors. A total of 4,101,735 shares of common stock were initially authorized for issuance under the 2018 Plan. In May 2021, an additional 4,999,999 shares were authorized for issuance under the 2018 Plan, resulting in a total 9,101,734 shares of common stock authorized for issuance.</w:t>
      </w:r>
    </w:p>
    <w:p>
      <w:pPr>
        <w:spacing w:after="0" w:line="155" w:lineRule="exact"/>
        <w:rPr>
          <w:sz w:val="20"/>
          <w:szCs w:val="20"/>
          <w:color w:val="auto"/>
        </w:rPr>
      </w:pPr>
    </w:p>
    <w:p>
      <w:pPr>
        <w:jc w:val="both"/>
        <w:ind w:right="12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Stock Options </w:t>
      </w:r>
      <w:r>
        <w:rPr>
          <w:rFonts w:ascii="Times New Roman" w:cs="Times New Roman" w:eastAsia="Times New Roman" w:hAnsi="Times New Roman"/>
          <w:sz w:val="18"/>
          <w:szCs w:val="18"/>
          <w:color w:val="auto"/>
        </w:rPr>
        <w:t>— Options granted under the 2018 Plan typically vest over a three- or four-year period and, in certain instances, may fully vest upon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 in control of the Company. The options also typically have an exercise price that may not be less than 100% of its fair market value on the date of grant and are exercisable seven to ten years after the date of grant, subject to earlier termination in certain circumstances.</w:t>
      </w:r>
    </w:p>
    <w:p>
      <w:pPr>
        <w:spacing w:after="0" w:line="134" w:lineRule="exact"/>
        <w:rPr>
          <w:sz w:val="20"/>
          <w:szCs w:val="20"/>
          <w:color w:val="auto"/>
        </w:rPr>
      </w:pPr>
    </w:p>
    <w:p>
      <w:pPr>
        <w:ind w:right="20" w:firstLine="324"/>
        <w:spacing w:after="0" w:line="312" w:lineRule="auto"/>
        <w:rPr>
          <w:sz w:val="20"/>
          <w:szCs w:val="20"/>
          <w:color w:val="auto"/>
        </w:rPr>
      </w:pPr>
      <w:r>
        <w:rPr>
          <w:rFonts w:ascii="Times New Roman" w:cs="Times New Roman" w:eastAsia="Times New Roman" w:hAnsi="Times New Roman"/>
          <w:sz w:val="17"/>
          <w:szCs w:val="17"/>
          <w:color w:val="auto"/>
        </w:rPr>
        <w:t>Compensation expense from stock options is recognized on a straight-line basis over the requisite service period. During the years ended December 31, 2023, 2022 and 2021, the Company recognized compensation expense related to stock options of $6.5 million, $2.5 million and $1.9 million, respectively.</w:t>
      </w:r>
    </w:p>
    <w:p>
      <w:pPr>
        <w:spacing w:after="0" w:line="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weighted average grant-date fair value of options granted during the years ended December 31, 2023, 2022 and 2021 was $15.72, $12.51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$17.79, respectively. The fair value of stock options granted was estimated on the date of grant using a Black-Scholes pricing model. The assumptions used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compute the fair value of options for the years ended December 31, 2023, 2022 and 2021 are as follows:</w:t>
      </w:r>
    </w:p>
    <w:p>
      <w:pPr>
        <w:spacing w:after="0" w:line="223"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562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900" w:type="dxa"/>
            <w:vAlign w:val="bottom"/>
            <w:tcBorders>
              <w:top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1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51.43 %</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51.19 %</w:t>
            </w:r>
          </w:p>
        </w:tc>
        <w:tc>
          <w:tcPr>
            <w:tcW w:w="1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51.92 %</w:t>
            </w:r>
          </w:p>
        </w:tc>
      </w:tr>
      <w:tr>
        <w:trPr>
          <w:trHeight w:val="21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4.16 %</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3.91 %</w:t>
            </w: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1.40 %</w:t>
            </w: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life of options</w:t>
            </w:r>
          </w:p>
        </w:tc>
        <w:tc>
          <w:tcPr>
            <w:tcW w:w="1900" w:type="dxa"/>
            <w:vAlign w:val="bottom"/>
            <w:gridSpan w:val="3"/>
            <w:shd w:val="clear" w:color="auto" w:fill="CCEEFF"/>
          </w:tcPr>
          <w:p>
            <w:pPr>
              <w:jc w:val="right"/>
              <w:ind w:right="1260"/>
              <w:spacing w:after="0"/>
              <w:rPr>
                <w:sz w:val="20"/>
                <w:szCs w:val="20"/>
                <w:color w:val="auto"/>
              </w:rPr>
            </w:pPr>
            <w:r>
              <w:rPr>
                <w:rFonts w:ascii="Times New Roman" w:cs="Times New Roman" w:eastAsia="Times New Roman" w:hAnsi="Times New Roman"/>
                <w:sz w:val="16"/>
                <w:szCs w:val="16"/>
                <w:color w:val="auto"/>
              </w:rPr>
              <w:t>6.2 years</w:t>
            </w:r>
          </w:p>
        </w:tc>
        <w:tc>
          <w:tcPr>
            <w:tcW w:w="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6.2 years</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 years</w:t>
            </w:r>
          </w:p>
        </w:tc>
      </w:tr>
      <w:tr>
        <w:trPr>
          <w:trHeight w:val="21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Dividend rate</w:t>
            </w:r>
          </w:p>
        </w:tc>
        <w:tc>
          <w:tcPr>
            <w:tcW w:w="1900" w:type="dxa"/>
            <w:vAlign w:val="bottom"/>
            <w:gridSpan w:val="3"/>
          </w:tcPr>
          <w:p>
            <w:pPr>
              <w:jc w:val="right"/>
              <w:ind w:right="14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bl>
    <w:p>
      <w:pPr>
        <w:spacing w:after="0" w:line="2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stock option activity for the year ended December 31, 2023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60" w:type="dxa"/>
            <w:vAlign w:val="bottom"/>
          </w:tcPr>
          <w:p>
            <w:pPr>
              <w:spacing w:after="0"/>
              <w:rPr>
                <w:sz w:val="16"/>
                <w:szCs w:val="16"/>
                <w:color w:val="auto"/>
              </w:rPr>
            </w:pPr>
          </w:p>
        </w:tc>
        <w:tc>
          <w:tcPr>
            <w:tcW w:w="17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1760" w:type="dxa"/>
            <w:vAlign w:val="bottom"/>
            <w:vMerge w:val="restart"/>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1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Remaining Contractual</w:t>
            </w:r>
          </w:p>
        </w:tc>
        <w:tc>
          <w:tcPr>
            <w:tcW w:w="0" w:type="dxa"/>
            <w:vAlign w:val="bottom"/>
          </w:tcPr>
          <w:p>
            <w:pPr>
              <w:spacing w:after="0"/>
              <w:rPr>
                <w:sz w:val="1"/>
                <w:szCs w:val="1"/>
                <w:color w:val="auto"/>
              </w:rPr>
            </w:pPr>
          </w:p>
        </w:tc>
      </w:tr>
      <w:tr>
        <w:trPr>
          <w:trHeight w:val="214"/>
        </w:trPr>
        <w:tc>
          <w:tcPr>
            <w:tcW w:w="3900" w:type="dxa"/>
            <w:vAlign w:val="bottom"/>
          </w:tcPr>
          <w:p>
            <w:pPr>
              <w:spacing w:after="0"/>
              <w:rPr>
                <w:sz w:val="18"/>
                <w:szCs w:val="18"/>
                <w:color w:val="auto"/>
              </w:rPr>
            </w:pPr>
          </w:p>
        </w:tc>
        <w:tc>
          <w:tcPr>
            <w:tcW w:w="1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60" w:type="dxa"/>
            <w:vAlign w:val="bottom"/>
          </w:tcPr>
          <w:p>
            <w:pPr>
              <w:spacing w:after="0"/>
              <w:rPr>
                <w:sz w:val="18"/>
                <w:szCs w:val="18"/>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Value (thousands)</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Life</w:t>
            </w:r>
          </w:p>
        </w:tc>
        <w:tc>
          <w:tcPr>
            <w:tcW w:w="0" w:type="dxa"/>
            <w:vAlign w:val="bottom"/>
          </w:tcPr>
          <w:p>
            <w:pPr>
              <w:spacing w:after="0"/>
              <w:rPr>
                <w:sz w:val="1"/>
                <w:szCs w:val="1"/>
                <w:color w:val="auto"/>
              </w:rPr>
            </w:pPr>
          </w:p>
        </w:tc>
      </w:tr>
      <w:tr>
        <w:trPr>
          <w:trHeight w:val="211"/>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1,021,370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8,816</w:t>
            </w:r>
          </w:p>
        </w:tc>
        <w:tc>
          <w:tcPr>
            <w:tcW w:w="1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872,264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4,208</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Exercised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(60,106)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 and expired</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(87,256)</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28.13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12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1,746,272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15,028</w:t>
            </w:r>
          </w:p>
        </w:tc>
        <w:tc>
          <w:tcPr>
            <w:tcW w:w="1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8.19 years</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Exercisable at December 31, 2023</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283,571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17.07</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4,713</w:t>
            </w:r>
          </w:p>
        </w:tc>
        <w:tc>
          <w:tcPr>
            <w:tcW w:w="120" w:type="dxa"/>
            <w:vAlign w:val="bottom"/>
          </w:tcPr>
          <w:p>
            <w:pPr>
              <w:spacing w:after="0"/>
              <w:rPr>
                <w:sz w:val="16"/>
                <w:szCs w:val="16"/>
                <w:color w:val="auto"/>
              </w:rPr>
            </w:pPr>
          </w:p>
        </w:tc>
        <w:tc>
          <w:tcPr>
            <w:tcW w:w="176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6.36 years</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2023, 2022 and 2021, shares were surrendered to satisfy tax withholding obligations on the exercise of stock options with a cost basis of $0.3 million, $0.7 million and $0.1 million, respectively. No cash was received from stock option exercises under share-based payment arrangements for the years ended December 31, 2023, 2022 and 2021.</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maximum term of stock options under these plans is ten years. Options outstanding as of December 31, 2023 expire on various dates ranging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2024 through July 2033. The following table outlines the outstanding and exercisable stock options as of December 31, 2023:</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1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Borders>
              <w:bottom w:val="single" w:sz="8" w:color="auto"/>
            </w:tcBorders>
            <w:gridSpan w:val="4"/>
          </w:tcPr>
          <w:p>
            <w:pPr>
              <w:jc w:val="right"/>
              <w:ind w:right="1019"/>
              <w:spacing w:after="0"/>
              <w:rPr>
                <w:sz w:val="20"/>
                <w:szCs w:val="20"/>
                <w:color w:val="auto"/>
              </w:rPr>
            </w:pPr>
            <w:r>
              <w:rPr>
                <w:rFonts w:ascii="Times New Roman" w:cs="Times New Roman" w:eastAsia="Times New Roman" w:hAnsi="Times New Roman"/>
                <w:sz w:val="16"/>
                <w:szCs w:val="16"/>
                <w:b w:val="1"/>
                <w:bCs w:val="1"/>
                <w:color w:val="auto"/>
              </w:rPr>
              <w:t>Options Exercisable</w:t>
            </w:r>
          </w:p>
        </w:tc>
        <w:tc>
          <w:tcPr>
            <w:tcW w:w="0" w:type="dxa"/>
            <w:vAlign w:val="bottom"/>
          </w:tcPr>
          <w:p>
            <w:pPr>
              <w:spacing w:after="0"/>
              <w:rPr>
                <w:sz w:val="1"/>
                <w:szCs w:val="1"/>
                <w:color w:val="auto"/>
              </w:rPr>
            </w:pPr>
          </w:p>
        </w:tc>
      </w:tr>
      <w:tr>
        <w:trPr>
          <w:trHeight w:val="159"/>
        </w:trPr>
        <w:tc>
          <w:tcPr>
            <w:tcW w:w="2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Range of Option Exercise</w:t>
            </w: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7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0" w:type="dxa"/>
            <w:vAlign w:val="bottom"/>
          </w:tcPr>
          <w:p>
            <w:pPr>
              <w:spacing w:after="0"/>
              <w:rPr>
                <w:sz w:val="1"/>
                <w:szCs w:val="1"/>
                <w:color w:val="auto"/>
              </w:rPr>
            </w:pPr>
          </w:p>
        </w:tc>
      </w:tr>
      <w:tr>
        <w:trPr>
          <w:trHeight w:val="162"/>
        </w:trPr>
        <w:tc>
          <w:tcPr>
            <w:tcW w:w="2100" w:type="dxa"/>
            <w:vAlign w:val="bottom"/>
            <w:gridSpan w:val="3"/>
            <w:vMerge w:val="continue"/>
          </w:tcPr>
          <w:p>
            <w:pPr>
              <w:spacing w:after="0"/>
              <w:rPr>
                <w:sz w:val="14"/>
                <w:szCs w:val="14"/>
                <w:color w:val="auto"/>
              </w:rPr>
            </w:pPr>
          </w:p>
        </w:tc>
        <w:tc>
          <w:tcPr>
            <w:tcW w:w="17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Outstanding Options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18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Remaining Contractual</w:t>
            </w:r>
          </w:p>
        </w:tc>
        <w:tc>
          <w:tcPr>
            <w:tcW w:w="174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Options Exercisable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Life</w:t>
            </w:r>
          </w:p>
        </w:tc>
        <w:tc>
          <w:tcPr>
            <w:tcW w:w="1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0" w:type="dxa"/>
            <w:vAlign w:val="bottom"/>
          </w:tcPr>
          <w:p>
            <w:pPr>
              <w:spacing w:after="0"/>
              <w:rPr>
                <w:sz w:val="1"/>
                <w:szCs w:val="1"/>
                <w:color w:val="auto"/>
              </w:rPr>
            </w:pPr>
          </w:p>
        </w:tc>
      </w:tr>
      <w:tr>
        <w:trPr>
          <w:trHeight w:val="211"/>
        </w:trPr>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$0.00</w:t>
            </w:r>
          </w:p>
        </w:tc>
        <w:tc>
          <w:tcPr>
            <w:tcW w:w="1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$8.24</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3.1 years</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0" w:type="dxa"/>
            <w:vAlign w:val="bottom"/>
          </w:tcPr>
          <w:p>
            <w:pPr>
              <w:spacing w:after="0"/>
              <w:rPr>
                <w:sz w:val="1"/>
                <w:szCs w:val="1"/>
                <w:color w:val="auto"/>
              </w:rPr>
            </w:pPr>
          </w:p>
        </w:tc>
      </w:tr>
      <w:tr>
        <w:trPr>
          <w:trHeight w:val="213"/>
        </w:trPr>
        <w:tc>
          <w:tcPr>
            <w:tcW w:w="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$8.24</w:t>
            </w:r>
          </w:p>
        </w:tc>
        <w:tc>
          <w:tcPr>
            <w:tcW w:w="1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$16.52</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132,752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12.44</w:t>
            </w:r>
          </w:p>
        </w:tc>
        <w:tc>
          <w:tcPr>
            <w:tcW w:w="100" w:type="dxa"/>
            <w:vAlign w:val="bottom"/>
          </w:tcPr>
          <w:p>
            <w:pPr>
              <w:spacing w:after="0"/>
              <w:rPr>
                <w:sz w:val="18"/>
                <w:szCs w:val="18"/>
                <w:color w:val="auto"/>
              </w:rPr>
            </w:pPr>
          </w:p>
        </w:tc>
        <w:tc>
          <w:tcPr>
            <w:tcW w:w="186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5.4 years</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108,767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w:t>
            </w:r>
          </w:p>
        </w:tc>
        <w:tc>
          <w:tcPr>
            <w:tcW w:w="0" w:type="dxa"/>
            <w:vAlign w:val="bottom"/>
          </w:tcPr>
          <w:p>
            <w:pPr>
              <w:spacing w:after="0"/>
              <w:rPr>
                <w:sz w:val="1"/>
                <w:szCs w:val="1"/>
                <w:color w:val="auto"/>
              </w:rPr>
            </w:pPr>
          </w:p>
        </w:tc>
      </w:tr>
      <w:tr>
        <w:trPr>
          <w:trHeight w:val="219"/>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$16.52 - $24.76</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460,969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w:t>
            </w:r>
          </w:p>
        </w:tc>
        <w:tc>
          <w:tcPr>
            <w:tcW w:w="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7.6 years</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159,439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20.59</w:t>
            </w:r>
          </w:p>
        </w:tc>
        <w:tc>
          <w:tcPr>
            <w:tcW w:w="0" w:type="dxa"/>
            <w:vAlign w:val="bottom"/>
          </w:tcPr>
          <w:p>
            <w:pPr>
              <w:spacing w:after="0"/>
              <w:rPr>
                <w:sz w:val="1"/>
                <w:szCs w:val="1"/>
                <w:color w:val="auto"/>
              </w:rPr>
            </w:pPr>
          </w:p>
        </w:tc>
      </w:tr>
      <w:tr>
        <w:trPr>
          <w:trHeight w:val="213"/>
        </w:trPr>
        <w:tc>
          <w:tcPr>
            <w:tcW w:w="2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$24.76 - $33.00</w:t>
            </w:r>
          </w:p>
        </w:tc>
        <w:tc>
          <w:tcPr>
            <w:tcW w:w="10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1,142,650</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28.19</w:t>
            </w:r>
          </w:p>
        </w:tc>
        <w:tc>
          <w:tcPr>
            <w:tcW w:w="10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gridSpan w:val="2"/>
          </w:tcPr>
          <w:p>
            <w:pPr>
              <w:ind w:left="1140"/>
              <w:spacing w:after="0"/>
              <w:rPr>
                <w:sz w:val="20"/>
                <w:szCs w:val="20"/>
                <w:color w:val="auto"/>
              </w:rPr>
            </w:pPr>
            <w:r>
              <w:rPr>
                <w:rFonts w:ascii="Times New Roman" w:cs="Times New Roman" w:eastAsia="Times New Roman" w:hAnsi="Times New Roman"/>
                <w:sz w:val="16"/>
                <w:szCs w:val="16"/>
                <w:color w:val="auto"/>
              </w:rPr>
              <w:t>8.8 years</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5,464</w:t>
            </w: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29.51</w:t>
            </w:r>
          </w:p>
        </w:tc>
        <w:tc>
          <w:tcPr>
            <w:tcW w:w="0" w:type="dxa"/>
            <w:vAlign w:val="bottom"/>
          </w:tcPr>
          <w:p>
            <w:pPr>
              <w:spacing w:after="0"/>
              <w:rPr>
                <w:sz w:val="1"/>
                <w:szCs w:val="1"/>
                <w:color w:val="auto"/>
              </w:rPr>
            </w:pPr>
          </w:p>
        </w:tc>
      </w:tr>
      <w:tr>
        <w:trPr>
          <w:trHeight w:val="237"/>
        </w:trPr>
        <w:tc>
          <w:tcPr>
            <w:tcW w:w="21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 options</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1,746,272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283,571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2023, there was $13.0 million of unrecognized compensation expense related to unvested option grants that is expected to be recognized over a weighted-average period of 1.2 years.</w:t>
      </w:r>
    </w:p>
    <w:p>
      <w:pPr>
        <w:spacing w:after="0" w:line="131" w:lineRule="exact"/>
        <w:rPr>
          <w:sz w:val="20"/>
          <w:szCs w:val="20"/>
          <w:color w:val="auto"/>
        </w:rPr>
      </w:pPr>
    </w:p>
    <w:p>
      <w:pPr>
        <w:ind w:right="18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Restricted Stock </w:t>
      </w:r>
      <w:r>
        <w:rPr>
          <w:rFonts w:ascii="Times New Roman" w:cs="Times New Roman" w:eastAsia="Times New Roman" w:hAnsi="Times New Roman"/>
          <w:sz w:val="18"/>
          <w:szCs w:val="18"/>
          <w:color w:val="auto"/>
        </w:rPr>
        <w:t>— Restricted stock grants subject solely to an employee’s continued service with the Company generally will become fully vested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one to four years from the grant date and, in certain instances, may fully vest upon a change in control of the Company. Restricted stock grants subject solely to a Director’s continued service with the Company generally will become fully vested on a pro-rata basis over three years from the date of grant.</w:t>
      </w:r>
    </w:p>
    <w:p>
      <w:pPr>
        <w:spacing w:after="0" w:line="140"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Compensation expense from restricted stock is recognized on a straight-line basis over the requisite service period. During the years ended December 31, 2023, 2022 and 2021, the Company recognized compensation expense related to restricted stock awards of $16.6 million, $10.2 million and $4.9 million, respectively.</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grant-date fair value of restricted stock is valued as the closing price of the Company’s common stock on the date of the grant.</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restricted stock award activity for the year ended December 31, 2023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00" w:type="dxa"/>
            <w:vAlign w:val="bottom"/>
          </w:tcPr>
          <w:p>
            <w:pPr>
              <w:spacing w:after="0"/>
              <w:rPr>
                <w:sz w:val="16"/>
                <w:szCs w:val="16"/>
                <w:color w:val="auto"/>
              </w:rPr>
            </w:pPr>
          </w:p>
        </w:tc>
        <w:tc>
          <w:tcPr>
            <w:tcW w:w="176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Restricted Stock</w:t>
            </w:r>
          </w:p>
        </w:tc>
        <w:tc>
          <w:tcPr>
            <w:tcW w:w="120" w:type="dxa"/>
            <w:vAlign w:val="bottom"/>
          </w:tcPr>
          <w:p>
            <w:pPr>
              <w:spacing w:after="0"/>
              <w:rPr>
                <w:sz w:val="16"/>
                <w:szCs w:val="16"/>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Weighted Average Grant</w:t>
            </w:r>
          </w:p>
        </w:tc>
        <w:tc>
          <w:tcPr>
            <w:tcW w:w="0" w:type="dxa"/>
            <w:vAlign w:val="bottom"/>
          </w:tcPr>
          <w:p>
            <w:pPr>
              <w:spacing w:after="0"/>
              <w:rPr>
                <w:sz w:val="1"/>
                <w:szCs w:val="1"/>
                <w:color w:val="auto"/>
              </w:rPr>
            </w:pPr>
          </w:p>
        </w:tc>
      </w:tr>
      <w:tr>
        <w:trPr>
          <w:trHeight w:val="214"/>
        </w:trPr>
        <w:tc>
          <w:tcPr>
            <w:tcW w:w="76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Date Fair Value</w:t>
            </w:r>
          </w:p>
        </w:tc>
        <w:tc>
          <w:tcPr>
            <w:tcW w:w="0" w:type="dxa"/>
            <w:vAlign w:val="bottom"/>
          </w:tcPr>
          <w:p>
            <w:pPr>
              <w:spacing w:after="0"/>
              <w:rPr>
                <w:sz w:val="1"/>
                <w:szCs w:val="1"/>
                <w:color w:val="auto"/>
              </w:rPr>
            </w:pPr>
          </w:p>
        </w:tc>
      </w:tr>
      <w:tr>
        <w:trPr>
          <w:trHeight w:val="211"/>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1,668,847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22.45</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945,589</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29.02</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 and issued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(504,597)</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19.54</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 and expired</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(226,723)</w:t>
            </w:r>
          </w:p>
        </w:tc>
        <w:tc>
          <w:tcPr>
            <w:tcW w:w="3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24.86</w:t>
            </w:r>
          </w:p>
        </w:tc>
        <w:tc>
          <w:tcPr>
            <w:tcW w:w="0" w:type="dxa"/>
            <w:vAlign w:val="bottom"/>
          </w:tcPr>
          <w:p>
            <w:pPr>
              <w:spacing w:after="0"/>
              <w:rPr>
                <w:sz w:val="1"/>
                <w:szCs w:val="1"/>
                <w:color w:val="auto"/>
              </w:rPr>
            </w:pPr>
          </w:p>
        </w:tc>
      </w:tr>
      <w:tr>
        <w:trPr>
          <w:trHeight w:val="237"/>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1,883,116</w:t>
            </w:r>
          </w:p>
        </w:tc>
        <w:tc>
          <w:tcPr>
            <w:tcW w:w="3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26.28</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2023 and 2022, shares were surrendered to satisfy tax withholding obligations on the vesting of restricted stock awards with a cost basis of $4.4 million and $1.4 million, respectively. During the year ended December 31, 2021, shares were surrendered to satisfy tax withholding obligations on the vesting of restricted stock awards with an immaterial cost basis.</w:t>
      </w:r>
    </w:p>
    <w:p>
      <w:pPr>
        <w:spacing w:after="0" w:line="135"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2023, there was $31.4 million in unrecognized compensation expense related to unvested restricted stock awards that is expected to be recognized over a weighted average period of 1.2 years. The total fair value of restricted stock awards vested during the years ended December 31, 2023, 2022 and 2021 was $9.9 million, $3.7 million and $1.2 million, respectively.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60"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Performance Stock Units </w:t>
      </w:r>
      <w:r>
        <w:rPr>
          <w:rFonts w:ascii="Times New Roman" w:cs="Times New Roman" w:eastAsia="Times New Roman" w:hAnsi="Times New Roman"/>
          <w:sz w:val="18"/>
          <w:szCs w:val="18"/>
          <w:color w:val="auto"/>
        </w:rPr>
        <w:t>— Performance-based stock units are generally earned based on the attainment of specified goals achieved over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designated performance period. During the years ended December 31, 2023, 2022 and 2021, the Company’s Compensation Committee approved awards of performance-based stock units to certain senior executives of the Company with grant dates in 2023, 2022 and 2021, respectively. The performance-based stock units approved during 2023 (“2023 PSU”), 2022 (“2022 PSU”) and 2021 (“2021 PSU”) each offer a three-year-cliff vesting schedule. Each award reflects a target number of shares (“Target Shares”) that may be issued to the award recipient. The 2023 PSU, 2022 PSU and 2021 PSU awards may be earned upon the completion of the two-year-average performance periods ending December 31, 2024, 2023 and 2022, respectively.</w:t>
      </w:r>
    </w:p>
    <w:p>
      <w:pPr>
        <w:spacing w:after="0" w:line="14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Whether units are earned at the end of the performance period will be determined based on the achievement of certain performance objectives over the performance period. The performance objectives include achieving a target growth for adjusted EBITDA and revenue combined in addition to a target growth for cash flows from operations over the performance period. Depending on the results achieved during the performance period, the actual number of shares that a grant recipient receives at the end of the period may range from 0% to 200% of the Target Shares granted. Each period begins with 100% of the Target Shares and true-up or true-down adjustments are considered every quarter-end based on the forecasted performance period results.</w:t>
      </w:r>
    </w:p>
    <w:p>
      <w:pPr>
        <w:spacing w:after="0" w:line="15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fair value of the Target Shares and performance stock unit awards are based on the fair value of the underlying shares as of market close on the grant date. Compensation expense for performance unit stock awards is recognized on a straight-line basis over the requisite service period. During the year ended December 31, 2023, the Company recognized compensation expense related to the 2023 PSU, 2022 PSU and 2021 PSU awards of $2.2 million, $2.9 million and $2.4 million, respectively. During the year ended December 31, 2022, the Company recognized compensation expense related to the 2022 PSU and 2021 PSU awards of $2.4 million and $1.7 million, respectively. During the year ended December 31, 2021, the Company recognized compensation expense related to the 2021 PSU awards of $2.7 million. As of December 31, 2023, there were $5.5 million, $3.3 million and $0.3 million in unrecognized compensation expense related to unvested 2023 PSU, 2022 PSU and 2021 PSU awards, respectively, that are expected to be recognized over the period of 2.2 years, 1.2 years and 0.2 years,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STOCKHOLDERS’ EQUITY</w:t>
      </w:r>
    </w:p>
    <w:p>
      <w:pPr>
        <w:spacing w:after="0" w:line="18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and 2022, HC I completed secondary offerings of 23,771,926 and 11,000,000 shares of common stock, respectively. As of December 31, 2023, HC I no longer holds shares of the Company’s common stock.</w:t>
      </w:r>
    </w:p>
    <w:p>
      <w:pPr>
        <w:spacing w:after="0" w:line="13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2017 Warrants </w:t>
      </w:r>
      <w:r>
        <w:rPr>
          <w:rFonts w:ascii="Times New Roman" w:cs="Times New Roman" w:eastAsia="Times New Roman" w:hAnsi="Times New Roman"/>
          <w:sz w:val="18"/>
          <w:szCs w:val="18"/>
          <w:color w:val="auto"/>
        </w:rPr>
        <w:t>— Prior to the Merger, BioScrip issued warrants to certain debt holders pursuant to a Warrant Purchase Agreement dated as of June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29, 2017. In conjunction with the Merger, the 2017 Warrants were amended to entitle the purchasers of the warrants to purchase 2.1 million shares of common stock. The 2017 Warrants have a 10-year term and an exercise price of $8.00 per share and may be exercised by payment of the exercise price in cash or surrender of shares of common stock into which the 2017 Warrants are being converted in an aggregate amount sufficient to pay the exercise price. The 2017 Warrants are classified as equity instruments, and the fair value of these warrants of $14.1 million was recorded in paid-in capital as of the Merger Date. During the years ended December 31, 2023 and 2022, warrant holders exercised warrants to purchase 188,350 and 1,130,089 shares of common stock, respectively. No proceeds were received from these exercises as the warrant holders elected to surrender shares to pay the exercise price. At December 31, 2023 and 2022, the remaining warrant holders are entitled to purchase 51,838 and 240,188 shares of common stock, respectively.</w:t>
      </w:r>
    </w:p>
    <w:p>
      <w:pPr>
        <w:spacing w:after="0" w:line="144"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2015 Warrants </w:t>
      </w:r>
      <w:r>
        <w:rPr>
          <w:rFonts w:ascii="Times New Roman" w:cs="Times New Roman" w:eastAsia="Times New Roman" w:hAnsi="Times New Roman"/>
          <w:sz w:val="18"/>
          <w:szCs w:val="18"/>
          <w:color w:val="auto"/>
        </w:rPr>
        <w:t>— Prior to the Merger, BioScrip issued warrants pursuant to a Common Stock Warrant Agreement dated as of March 9, 2015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entitle the holders to purchase 0.9 million shares of common stock. The 2015 Warrants have a 10-year term and have exercise prices in a range of $20.68 per share to $25.80 per share. The 2015 Warrants were assumed by the Company in conjunction with the Merger and are classified as equity instruments, and the fair value of these warrants of $4.6 million was recorded in paid in capital as of the Merger Date. During the year ended December 31, 2023, warrant holders exercised an immaterial number of warrants to purchase shares of common stock. During the year ended December 31, 2022, warrant holders exercised warrants to purchase 900,272 shares of common stock. During the year ended December 31, 2023, no cash proceeds were received from warrant exercises. During the year ended December 31, 2022, $20.9 million of cash was received as proceeds from warrant exercises. At December 31, 2023 and 2022, the remaining warrant holders are entitled to purchase 13,888 and 15,231 shares of common stock, respectively.</w:t>
      </w:r>
    </w:p>
    <w:p>
      <w:pPr>
        <w:spacing w:after="0" w:line="144" w:lineRule="exact"/>
        <w:rPr>
          <w:sz w:val="20"/>
          <w:szCs w:val="20"/>
          <w:color w:val="auto"/>
        </w:rPr>
      </w:pPr>
    </w:p>
    <w:p>
      <w:pPr>
        <w:ind w:right="20"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Share Repurchase Program </w:t>
      </w:r>
      <w:r>
        <w:rPr>
          <w:rFonts w:ascii="Times New Roman" w:cs="Times New Roman" w:eastAsia="Times New Roman" w:hAnsi="Times New Roman"/>
          <w:sz w:val="18"/>
          <w:szCs w:val="18"/>
          <w:color w:val="auto"/>
        </w:rPr>
        <w:t>— On February 20, 2023, the Company’s Board of Directors approved a share repurchase program of up to an aggregate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$250.0 million of common stock of the Company. On December 6, 2023, the Company’s Board of Directors approved an increase to its share repurchase program authorization from $250.0 million to $500 million. Under the share repurchase program, repurchases may occur in any number of methods depending on timing, market conditions, regulatory requirements, and other corporate considerations. The share repurchase program has no specified expiration date.</w:t>
      </w:r>
    </w:p>
    <w:p>
      <w:pPr>
        <w:spacing w:after="0" w:line="156"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purchased 7,946,301 shares of common stock for an average share price of $31.46, totaling $250.0 million. All repurchased shares became treasury stock. As of December 31, 2023, the Company is authorized to repurchase up to a remaining $250.0 million of common stock of the Company.</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Treasury Stock </w:t>
      </w:r>
      <w:r>
        <w:rPr>
          <w:rFonts w:ascii="Times New Roman" w:cs="Times New Roman" w:eastAsia="Times New Roman" w:hAnsi="Times New Roman"/>
          <w:sz w:val="18"/>
          <w:szCs w:val="18"/>
          <w:color w:val="auto"/>
        </w:rPr>
        <w:t>— As of December 31, 2023 and 2022, the Company held 8,330,022 and 383,722 shares of treasury stock, respectively.</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Preferred Stock </w:t>
      </w:r>
      <w:r>
        <w:rPr>
          <w:rFonts w:ascii="Times New Roman" w:cs="Times New Roman" w:eastAsia="Times New Roman" w:hAnsi="Times New Roman"/>
          <w:sz w:val="18"/>
          <w:szCs w:val="18"/>
          <w:color w:val="auto"/>
        </w:rPr>
        <w:t>— The Company had no preferred stock outstanding as of December 31, 2023 or 2022.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RELATED-PARTY TRANSACTIONS</w:t>
      </w:r>
    </w:p>
    <w:p>
      <w:pPr>
        <w:spacing w:after="0" w:line="185" w:lineRule="exact"/>
        <w:rPr>
          <w:sz w:val="20"/>
          <w:szCs w:val="20"/>
          <w:color w:val="auto"/>
        </w:rPr>
      </w:pPr>
    </w:p>
    <w:p>
      <w:pPr>
        <w:ind w:right="8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Transactions with Equity-Method Investees </w:t>
      </w:r>
      <w:r>
        <w:rPr>
          <w:rFonts w:ascii="Times New Roman" w:cs="Times New Roman" w:eastAsia="Times New Roman" w:hAnsi="Times New Roman"/>
          <w:sz w:val="18"/>
          <w:szCs w:val="18"/>
          <w:color w:val="auto"/>
        </w:rPr>
        <w:t>— The Company provides management services to its joint ventures such as accounting, invoicing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collections in addition to day-to-day managerial support of the operations of the businesses. The Company recorded management fee income of $5.3 million, $4.1 million and $3.5 million for the years ended December 31, 2023, 2022 and 2021, respectively. Management fees are recorded in net revenues in the accompanying consolidated statements of comprehensive income.</w:t>
      </w:r>
    </w:p>
    <w:p>
      <w:pPr>
        <w:spacing w:after="0" w:line="140"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Company had amounts due to its joint ventures of $0.5 million and due from its joint ventures of $0.1 million as of December 31, 2023. The Company had amounts due to its joint ventures of $1.5 million as of December 31, 2022. These receivables were included in prepaid expenses and other current assets in the accompanying balance sheets and these payables were included in accrued expenses and other current liabilities in the accompanying balance sheets. These balances primarily relate to cash collections received by the Company on behalf of the joint ventures, offset by certain pharmaceutical inventories purchased by the Company on behalf of the joint ventures.</w:t>
      </w:r>
    </w:p>
    <w:p>
      <w:pPr>
        <w:spacing w:after="0" w:line="152" w:lineRule="exact"/>
        <w:rPr>
          <w:sz w:val="20"/>
          <w:szCs w:val="20"/>
          <w:color w:val="auto"/>
        </w:rPr>
      </w:pPr>
    </w:p>
    <w:p>
      <w:pPr>
        <w:jc w:val="both"/>
        <w:ind w:right="4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Share Repurchase Agreement </w:t>
      </w:r>
      <w:r>
        <w:rPr>
          <w:rFonts w:ascii="Times New Roman" w:cs="Times New Roman" w:eastAsia="Times New Roman" w:hAnsi="Times New Roman"/>
          <w:sz w:val="18"/>
          <w:szCs w:val="18"/>
          <w:color w:val="auto"/>
        </w:rPr>
        <w:t>— On February 28, 2023, we entered into a Share Repurchase Agreement (the “Share Repurchase Agreement”)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HC I, pursuant to which we agreed to repurchase, subject to the terms and conditions contained therein, up to $75.0 million of our common stock then held by HC I at the same purchase price per share as the underwriter in a</w:t>
      </w:r>
    </w:p>
    <w:p>
      <w:pPr>
        <w:spacing w:after="0" w:line="13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concurrent underwritten public offering of our common stock held by HC I. On March 3, 2023, the transactions contemplated by the Share Repurchase Agreement closed, and we repurchased directly from HC I 2,475,166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Based on an evaluation under the supervision and with the participation of the Company’s management, the Company’s principal executive officer and principal financial officer have concluded that the Company’s disclosure controls and procedures as defined in Rules 13a-15(e) and 15d-15(e) of the Exchange Act were effective as of December 31, 2023 to provide reasonable assurance that information required to be disclosed by the Company in reports that it files or submits under the Exchange Act is (i) recorded, processed, summarized and reported within the time periods specified in the SEC rules and forms and (ii) accumulated and communicated to the Company’s management, including its Chief Executive Officer (“CEO”) and Chief Financial Officer (“CFO”), as appropriate to allow timely decisions regarding required disclosure.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Annual Report on Internal Control Over Financial Reporting</w:t>
      </w:r>
    </w:p>
    <w:p>
      <w:pPr>
        <w:spacing w:after="0" w:line="189"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for the Company, as defined in Rules 13a-15(f) and 15d-15(f) of the Exchange Act. Our internal control system is designed to provide reasonable assurance regarding the reliability of financial reporting and the preparation of the Company’s financial statements for external purposes in accordance with U.S. GAAP.</w:t>
      </w:r>
    </w:p>
    <w:p>
      <w:pPr>
        <w:spacing w:after="0" w:line="13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 xml:space="preserve">Our management, with the participation of the CEO and CFO, assessed the effectiveness of the Company’s internal control over financial reporting. Based on the criteria for effective internal control over financial reporting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management concluded that the internal control over financial reporting was effective as of December 31, 2023. The Company’s independent registered public accounting firm, KPMG LLP, has issued an audit report on the Company’s internal control over financial reporting, which appears elsewhere in this Annual Report.</w:t>
      </w:r>
    </w:p>
    <w:p>
      <w:pPr>
        <w:spacing w:after="0" w:line="156"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All internal control systems, no matter how well designed, have inherent limitations and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There has been no change during the quarter ended December 31, 2023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Care Health, Inc.:</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10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audited Option Care Health, Inc. and subsidiaries' (the Company) internal control over financial reporting as of December 31, 2023,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2023, based on criteria established in Internal Control – Integrated Framework (2013) issued by the Committee of Sponsoring Organizations of the Treadway Commission.</w:t>
      </w:r>
    </w:p>
    <w:p>
      <w:pPr>
        <w:spacing w:after="0" w:line="13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2023 and 2022, the related consolidated statements of comprehensive income, stockholders’ equity, and cash flows for each of the years in the three-year period ended December 31, 2023, and the related notes (collectively, the consolidated financial statements), and our report dated February 22, 2024 expressed an unqualified opinion on those consolidated financial statements.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0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9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 KPMG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2024</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8"/>
          <w:szCs w:val="18"/>
          <w:b w:val="1"/>
          <w:bCs w:val="1"/>
          <w:i w:val="1"/>
          <w:iCs w:val="1"/>
          <w:color w:val="auto"/>
        </w:rPr>
        <w:t>Other Information</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Company previously announced the adoption of the Option Care Health, Inc. Executive Severance Plan (the “Severance Plan”), which provides severance benefits to certain key management personnel of the Company, including the Company’s Chief Executive Officer and Chief Financial Officer. As a result of their participation in the Severance Plan, our Chief Executive Officer and Chief Financial Officer entered into letter agreements on February 21, 2024 with the Company agreeing that they would no longer be eligible for the severance benefits in their employment agreements.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Adoption, Modification and Termination of Rule 10b5-1 Plans and Certain Other Trading Arrangements</w:t>
      </w:r>
    </w:p>
    <w:p>
      <w:pPr>
        <w:spacing w:after="0" w:line="18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No director or officer of the Company has adopted, modified or terminated a Rule 10b5-1 plan or non-Rule 10b5-1 trading arrangement during the three months ended December 31, 2023.</w:t>
      </w:r>
    </w:p>
    <w:p>
      <w:pPr>
        <w:spacing w:after="0" w:line="11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i w:val="1"/>
          <w:iCs w:val="1"/>
          <w:color w:val="auto"/>
        </w:rPr>
        <w:t>Disclosure Regarding Foreign Jurisdictions that Prevent Inspections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20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have adopted a Code of Ethics that applies to all of our directors, officers and employees, including our principal executive, principal financial and principal accounting officers, or persons performing similar functions. Our Code of Ethics is posted on our website located at https://investors.optioncarehealth.com/corporate-governance/governance-resources. We intend to disclose future amendments to certain provisions of the Code of Business Conduct, and waivers of the Code of Business Conduct granted to executive officers and directors, on our website.</w:t>
      </w:r>
    </w:p>
    <w:p>
      <w:pPr>
        <w:spacing w:after="0" w:line="13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other information required by this item is incorporated by reference from the information contained in our definitive proxy statement to be filed with the SEC no later than 120 days after December 31, 2023 in connection with our 2024 Annual Meeting of Stockholders.</w:t>
      </w:r>
    </w:p>
    <w:p>
      <w:pPr>
        <w:spacing w:after="0" w:line="11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i w:val="1"/>
          <w:iCs w:val="1"/>
          <w:color w:val="auto"/>
        </w:rPr>
        <w:t>Executive Compensation</w:t>
      </w:r>
    </w:p>
    <w:p>
      <w:pPr>
        <w:spacing w:after="0" w:line="202"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information contained in our definitive proxy statement to be filed with the SEC no later than 120 days after December 31, 2023 in connection with our 2024 Annual Meeting of Stockholders.</w:t>
      </w:r>
    </w:p>
    <w:p>
      <w:pPr>
        <w:spacing w:after="0" w:line="11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8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information contained in our definitive proxy statement to be filed with the SEC no later than 120 days after December 31, 2023 in connection with our 2024 Annual Meeting of Stockholders.</w:t>
      </w:r>
    </w:p>
    <w:p>
      <w:pPr>
        <w:spacing w:after="0" w:line="13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18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information contained in our definitive proxy statement to be filed with the SEC no later than 120 days after December 31, 2023 in connection with our 2024 Annual Meeting of Stockholders.</w:t>
      </w:r>
    </w:p>
    <w:p>
      <w:pPr>
        <w:spacing w:after="0" w:line="11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i w:val="1"/>
          <w:iCs w:val="1"/>
          <w:color w:val="auto"/>
        </w:rPr>
        <w:t>Principal Accountant Fees and Services</w:t>
      </w:r>
    </w:p>
    <w:p>
      <w:pPr>
        <w:spacing w:after="0" w:line="202"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information contained in our definitive proxy statement to be filed with the SEC no later than 120 days after December 31, 2023 in connection with our 2024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0" w:type="dxa"/>
            <w:vAlign w:val="bottom"/>
            <w:gridSpan w:val="4"/>
          </w:tcPr>
          <w:p>
            <w:pPr>
              <w:jc w:val="center"/>
              <w:ind w:right="440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15.</w:t>
            </w:r>
          </w:p>
        </w:tc>
        <w:tc>
          <w:tcPr>
            <w:tcW w:w="9680" w:type="dxa"/>
            <w:vAlign w:val="bottom"/>
            <w:gridSpan w:val="10"/>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Exhibits and Financial Statement Schedules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10600" w:type="dxa"/>
            <w:vAlign w:val="bottom"/>
            <w:gridSpan w:val="1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(a)(1) Financial Statements.</w:t>
            </w:r>
          </w:p>
        </w:tc>
        <w:tc>
          <w:tcPr>
            <w:tcW w:w="6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0600" w:type="dxa"/>
            <w:vAlign w:val="bottom"/>
            <w:gridSpan w:val="12"/>
            <w:vMerge w:val="continue"/>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6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The following financial statements appear in Part II, Item 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60" w:type="dxa"/>
            <w:vAlign w:val="bottom"/>
            <w:gridSpan w:val="11"/>
          </w:tcPr>
          <w:p>
            <w:pPr>
              <w:spacing w:after="0" w:line="194"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(KPMG LLP, Chicago, IL, Auditor Firm ID: 185)</w:t>
            </w:r>
          </w:p>
        </w:tc>
        <w:tc>
          <w:tcPr>
            <w:tcW w:w="400" w:type="dxa"/>
            <w:vAlign w:val="bottom"/>
            <w:gridSpan w:val="3"/>
          </w:tcPr>
          <w:p>
            <w:pPr>
              <w:jc w:val="center"/>
              <w:ind w:left="130"/>
              <w:spacing w:after="0" w:line="194" w:lineRule="exact"/>
              <w:rPr>
                <w:sz w:val="20"/>
                <w:szCs w:val="20"/>
                <w:color w:val="auto"/>
              </w:rPr>
            </w:pPr>
            <w:r>
              <w:rPr>
                <w:rFonts w:ascii="Times New Roman" w:cs="Times New Roman" w:eastAsia="Times New Roman" w:hAnsi="Times New Roman"/>
                <w:sz w:val="18"/>
                <w:szCs w:val="18"/>
                <w:color w:val="0000FF"/>
                <w:w w:val="99"/>
              </w:rPr>
              <w:t>43</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2023 and 2022</w:t>
            </w:r>
          </w:p>
        </w:tc>
        <w:tc>
          <w:tcPr>
            <w:tcW w:w="5600" w:type="dxa"/>
            <w:vAlign w:val="bottom"/>
            <w:gridSpan w:val="4"/>
          </w:tcPr>
          <w:p>
            <w:pPr>
              <w:spacing w:after="0"/>
              <w:rPr>
                <w:sz w:val="18"/>
                <w:szCs w:val="18"/>
                <w:color w:val="auto"/>
              </w:rPr>
            </w:pPr>
          </w:p>
        </w:tc>
        <w:tc>
          <w:tcPr>
            <w:tcW w:w="40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0000FF"/>
                <w:w w:val="99"/>
              </w:rPr>
              <w:t>45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7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for the years ended December 31, 2023, 2022 and 2021</w:t>
            </w:r>
          </w:p>
        </w:tc>
        <w:tc>
          <w:tcPr>
            <w:tcW w:w="2480" w:type="dxa"/>
            <w:vAlign w:val="bottom"/>
          </w:tcPr>
          <w:p>
            <w:pPr>
              <w:spacing w:after="0"/>
              <w:rPr>
                <w:sz w:val="18"/>
                <w:szCs w:val="18"/>
                <w:color w:val="auto"/>
              </w:rPr>
            </w:pPr>
          </w:p>
        </w:tc>
        <w:tc>
          <w:tcPr>
            <w:tcW w:w="40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0000FF"/>
                <w:w w:val="99"/>
              </w:rPr>
              <w:t>46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7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2023, 2022 and 2021</w:t>
            </w:r>
          </w:p>
        </w:tc>
        <w:tc>
          <w:tcPr>
            <w:tcW w:w="2480" w:type="dxa"/>
            <w:vAlign w:val="bottom"/>
          </w:tcPr>
          <w:p>
            <w:pPr>
              <w:spacing w:after="0"/>
              <w:rPr>
                <w:sz w:val="18"/>
                <w:szCs w:val="18"/>
                <w:color w:val="auto"/>
              </w:rPr>
            </w:pPr>
          </w:p>
        </w:tc>
        <w:tc>
          <w:tcPr>
            <w:tcW w:w="40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0000FF"/>
                <w:w w:val="99"/>
              </w:rPr>
              <w:t>47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years ended December 31, 2023, 2022 and 2021</w:t>
            </w:r>
          </w:p>
        </w:tc>
        <w:tc>
          <w:tcPr>
            <w:tcW w:w="40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0000FF"/>
                <w:w w:val="99"/>
              </w:rPr>
              <w:t>48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420" w:type="dxa"/>
            <w:vAlign w:val="bottom"/>
            <w:gridSpan w:val="4"/>
            <w:shd w:val="clear" w:color="auto" w:fill="0000FF"/>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4420" w:type="dxa"/>
            <w:vAlign w:val="bottom"/>
            <w:gridSpan w:val="4"/>
          </w:tcPr>
          <w:p>
            <w:pPr>
              <w:spacing w:after="0"/>
              <w:rPr>
                <w:sz w:val="18"/>
                <w:szCs w:val="18"/>
                <w:color w:val="auto"/>
              </w:rPr>
            </w:pPr>
          </w:p>
        </w:tc>
        <w:tc>
          <w:tcPr>
            <w:tcW w:w="2680" w:type="dxa"/>
            <w:vAlign w:val="bottom"/>
            <w:gridSpan w:val="2"/>
          </w:tcPr>
          <w:p>
            <w:pPr>
              <w:spacing w:after="0"/>
              <w:rPr>
                <w:sz w:val="18"/>
                <w:szCs w:val="18"/>
                <w:color w:val="auto"/>
              </w:rPr>
            </w:pPr>
          </w:p>
        </w:tc>
        <w:tc>
          <w:tcPr>
            <w:tcW w:w="40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0000FF"/>
                <w:w w:val="99"/>
              </w:rPr>
              <w:t>49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710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6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All other schedules not listed above have been omitted since they are not applicable or are not required.</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15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(a)(3) Exhibits.</w:t>
            </w:r>
          </w:p>
        </w:tc>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40" w:type="dxa"/>
            <w:vAlign w:val="bottom"/>
            <w:gridSpan w:val="5"/>
          </w:tcPr>
          <w:p>
            <w:pPr>
              <w:jc w:val="center"/>
              <w:ind w:right="3960"/>
              <w:spacing w:after="0"/>
              <w:rPr>
                <w:sz w:val="20"/>
                <w:szCs w:val="20"/>
                <w:color w:val="auto"/>
              </w:rPr>
            </w:pPr>
            <w:r>
              <w:rPr>
                <w:rFonts w:ascii="Times New Roman" w:cs="Times New Roman" w:eastAsia="Times New Roman" w:hAnsi="Times New Roman"/>
                <w:sz w:val="18"/>
                <w:szCs w:val="18"/>
                <w:b w:val="1"/>
                <w:bCs w:val="1"/>
                <w:color w:val="auto"/>
                <w:w w:val="99"/>
              </w:rPr>
              <w:t>Index to Exhibits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20" w:type="dxa"/>
            <w:vAlign w:val="bottom"/>
          </w:tcPr>
          <w:p>
            <w:pPr>
              <w:spacing w:after="0"/>
              <w:rPr>
                <w:sz w:val="24"/>
                <w:szCs w:val="24"/>
                <w:color w:val="auto"/>
              </w:rPr>
            </w:pPr>
          </w:p>
        </w:tc>
        <w:tc>
          <w:tcPr>
            <w:tcW w:w="140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Exhibit Number</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8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94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6"/>
                <w:szCs w:val="16"/>
                <w:color w:val="auto"/>
              </w:rPr>
              <w:t>2.1+</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80" w:type="dxa"/>
            <w:vAlign w:val="bottom"/>
            <w:gridSpan w:val="11"/>
          </w:tcPr>
          <w:p>
            <w:pPr>
              <w:spacing w:after="0" w:line="155" w:lineRule="exact"/>
              <w:rPr>
                <w:rFonts w:ascii="Times New Roman" w:cs="Times New Roman" w:eastAsia="Times New Roman" w:hAnsi="Times New Roman"/>
                <w:sz w:val="16"/>
                <w:szCs w:val="16"/>
                <w:color w:val="0000FF"/>
              </w:rPr>
            </w:pPr>
            <w:hyperlink r:id="rId88">
              <w:r>
                <w:rPr>
                  <w:rFonts w:ascii="Times New Roman" w:cs="Times New Roman" w:eastAsia="Times New Roman" w:hAnsi="Times New Roman"/>
                  <w:sz w:val="16"/>
                  <w:szCs w:val="16"/>
                  <w:color w:val="0000FF"/>
                </w:rPr>
                <w:t>Agreement and Plan of Merger, dated as of March 14, 2019, by and among BioScrip, Inc., Beta Sub, Inc., Beta Sub, LLC, HC Group Holdings I,</w:t>
              </w:r>
            </w:hyperlink>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380" w:type="dxa"/>
            <w:vAlign w:val="bottom"/>
            <w:tcBorders>
              <w:top w:val="single" w:sz="8" w:color="0000FF"/>
            </w:tcBorders>
            <w:gridSpan w:val="9"/>
          </w:tcPr>
          <w:p>
            <w:pPr>
              <w:spacing w:after="0" w:line="146" w:lineRule="exact"/>
              <w:rPr>
                <w:rFonts w:ascii="Times New Roman" w:cs="Times New Roman" w:eastAsia="Times New Roman" w:hAnsi="Times New Roman"/>
                <w:sz w:val="16"/>
                <w:szCs w:val="16"/>
                <w:u w:val="single" w:color="auto"/>
                <w:color w:val="0000FF"/>
              </w:rPr>
            </w:pPr>
            <w:hyperlink r:id="rId88">
              <w:r>
                <w:rPr>
                  <w:rFonts w:ascii="Times New Roman" w:cs="Times New Roman" w:eastAsia="Times New Roman" w:hAnsi="Times New Roman"/>
                  <w:sz w:val="16"/>
                  <w:szCs w:val="16"/>
                  <w:u w:val="single" w:color="auto"/>
                  <w:color w:val="0000FF"/>
                </w:rPr>
                <w:t>LLC, HC Group Holdings II, Inc. and HC Group Holdings III, Inc. (incorporated by reference to Exhibit 2.1 to the Company’s Current Report on</w:t>
              </w:r>
            </w:hyperlink>
          </w:p>
        </w:tc>
        <w:tc>
          <w:tcPr>
            <w:tcW w:w="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bl>
    <w:p>
      <w:pPr>
        <w:ind w:left="1540"/>
        <w:spacing w:after="0"/>
        <w:rPr>
          <w:rFonts w:ascii="Times New Roman" w:cs="Times New Roman" w:eastAsia="Times New Roman" w:hAnsi="Times New Roman"/>
          <w:sz w:val="16"/>
          <w:szCs w:val="16"/>
          <w:u w:val="single" w:color="auto"/>
          <w:color w:val="0000FF"/>
        </w:rPr>
      </w:pPr>
      <w:hyperlink r:id="rId88">
        <w:r>
          <w:rPr>
            <w:rFonts w:ascii="Times New Roman" w:cs="Times New Roman" w:eastAsia="Times New Roman" w:hAnsi="Times New Roman"/>
            <w:sz w:val="16"/>
            <w:szCs w:val="16"/>
            <w:u w:val="single" w:color="auto"/>
            <w:color w:val="0000FF"/>
          </w:rPr>
          <w:t>Form 8-K filed on March 15, 2019).</w:t>
        </w:r>
      </w:hyperlink>
    </w:p>
    <w:p>
      <w:pPr>
        <w:sectPr>
          <w:pgSz w:w="11900" w:h="16838" w:orient="portrait"/>
          <w:cols w:equalWidth="0" w:num="1">
            <w:col w:w="11220"/>
          </w:cols>
          <w:pgMar w:left="320" w:top="118" w:right="359" w:bottom="1440" w:gutter="0" w:footer="0" w:header="0"/>
        </w:sectPr>
      </w:pPr>
    </w:p>
    <w:p>
      <w:pPr>
        <w:spacing w:after="0" w:line="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2.2</w:t>
      </w:r>
    </w:p>
    <w:p>
      <w:pPr>
        <w:spacing w:after="0" w:line="2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2.3</w:t>
      </w:r>
    </w:p>
    <w:p>
      <w:pPr>
        <w:spacing w:after="0" w:line="2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3.1</w:t>
      </w:r>
    </w:p>
    <w:p>
      <w:pPr>
        <w:spacing w:after="0" w:line="2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3.2</w:t>
      </w:r>
    </w:p>
    <w:p>
      <w:pPr>
        <w:spacing w:after="0" w:line="2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3.3</w:t>
      </w:r>
    </w:p>
    <w:p>
      <w:pPr>
        <w:spacing w:after="0" w:line="19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3.4</w:t>
      </w:r>
    </w:p>
    <w:p>
      <w:pPr>
        <w:spacing w:after="0" w:line="19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right="180"/>
        <w:spacing w:after="0" w:line="290" w:lineRule="auto"/>
        <w:rPr>
          <w:rFonts w:ascii="Times New Roman" w:cs="Times New Roman" w:eastAsia="Times New Roman" w:hAnsi="Times New Roman"/>
          <w:sz w:val="16"/>
          <w:szCs w:val="16"/>
          <w:u w:val="single" w:color="auto"/>
          <w:color w:val="0000FF"/>
        </w:rPr>
      </w:pPr>
      <w:hyperlink r:id="rId89">
        <w:r>
          <w:rPr>
            <w:rFonts w:ascii="Times New Roman" w:cs="Times New Roman" w:eastAsia="Times New Roman" w:hAnsi="Times New Roman"/>
            <w:sz w:val="16"/>
            <w:szCs w:val="16"/>
            <w:u w:val="single" w:color="auto"/>
            <w:color w:val="0000FF"/>
          </w:rPr>
          <w:t>Agreement and Plan of Merger, dated May 3, 2023, by and among Option Care Health, Unitah Merger Sub, Inc., and Amedisys, Inc. (incorporated</w:t>
        </w:r>
      </w:hyperlink>
      <w:r>
        <w:rPr>
          <w:rFonts w:ascii="Times New Roman" w:cs="Times New Roman" w:eastAsia="Times New Roman" w:hAnsi="Times New Roman"/>
          <w:sz w:val="16"/>
          <w:szCs w:val="16"/>
          <w:u w:val="single" w:color="auto"/>
          <w:color w:val="0000FF"/>
        </w:rPr>
        <w:t xml:space="preserve"> </w:t>
      </w:r>
      <w:hyperlink r:id="rId89">
        <w:r>
          <w:rPr>
            <w:rFonts w:ascii="Times New Roman" w:cs="Times New Roman" w:eastAsia="Times New Roman" w:hAnsi="Times New Roman"/>
            <w:sz w:val="16"/>
            <w:szCs w:val="16"/>
            <w:u w:val="single" w:color="auto"/>
            <w:color w:val="0000FF"/>
          </w:rPr>
          <w:t>by reference to the Company’s Current Report on Form 8-K filed on May 3, 2023).</w:t>
        </w:r>
      </w:hyperlink>
    </w:p>
    <w:p>
      <w:pPr>
        <w:spacing w:after="0" w:line="1" w:lineRule="exact"/>
        <w:rPr>
          <w:sz w:val="20"/>
          <w:szCs w:val="20"/>
          <w:color w:val="auto"/>
        </w:rPr>
      </w:pPr>
    </w:p>
    <w:p>
      <w:pPr>
        <w:spacing w:after="0"/>
        <w:rPr>
          <w:rFonts w:ascii="Times New Roman" w:cs="Times New Roman" w:eastAsia="Times New Roman" w:hAnsi="Times New Roman"/>
          <w:sz w:val="16"/>
          <w:szCs w:val="16"/>
          <w:u w:val="single" w:color="auto"/>
          <w:color w:val="0000FF"/>
        </w:rPr>
      </w:pPr>
      <w:hyperlink r:id="rId90">
        <w:r>
          <w:rPr>
            <w:rFonts w:ascii="Times New Roman" w:cs="Times New Roman" w:eastAsia="Times New Roman" w:hAnsi="Times New Roman"/>
            <w:sz w:val="16"/>
            <w:szCs w:val="16"/>
            <w:u w:val="single" w:color="auto"/>
            <w:color w:val="0000FF"/>
          </w:rPr>
          <w:t>Mutual Termination Agreement, dated as of June 26, 2023, by and among Option Care Health, Inc., Uintah Merger Sub, Inc., and Amedisys, Inc.</w:t>
        </w:r>
      </w:hyperlink>
    </w:p>
    <w:p>
      <w:pPr>
        <w:spacing w:after="0" w:line="26" w:lineRule="exact"/>
        <w:rPr>
          <w:sz w:val="20"/>
          <w:szCs w:val="20"/>
          <w:color w:val="auto"/>
        </w:rPr>
      </w:pPr>
    </w:p>
    <w:p>
      <w:pPr>
        <w:spacing w:after="0"/>
        <w:rPr>
          <w:rFonts w:ascii="Times New Roman" w:cs="Times New Roman" w:eastAsia="Times New Roman" w:hAnsi="Times New Roman"/>
          <w:sz w:val="16"/>
          <w:szCs w:val="16"/>
          <w:u w:val="single" w:color="auto"/>
          <w:color w:val="0000FF"/>
        </w:rPr>
      </w:pPr>
      <w:hyperlink r:id="rId90">
        <w:r>
          <w:rPr>
            <w:rFonts w:ascii="Times New Roman" w:cs="Times New Roman" w:eastAsia="Times New Roman" w:hAnsi="Times New Roman"/>
            <w:sz w:val="16"/>
            <w:szCs w:val="16"/>
            <w:u w:val="single" w:color="auto"/>
            <w:color w:val="0000FF"/>
          </w:rPr>
          <w:t>(incorporated by reference to Exhibit 2.1 to the Company’s Current Report on Form 8-K filed on June 26, 2023).</w:t>
        </w:r>
      </w:hyperlink>
    </w:p>
    <w:p>
      <w:pPr>
        <w:spacing w:after="0" w:line="51" w:lineRule="exact"/>
        <w:rPr>
          <w:sz w:val="20"/>
          <w:szCs w:val="20"/>
          <w:color w:val="auto"/>
        </w:rPr>
      </w:pPr>
    </w:p>
    <w:p>
      <w:pPr>
        <w:ind w:right="440"/>
        <w:spacing w:after="0" w:line="290" w:lineRule="auto"/>
        <w:rPr>
          <w:rFonts w:ascii="Times New Roman" w:cs="Times New Roman" w:eastAsia="Times New Roman" w:hAnsi="Times New Roman"/>
          <w:sz w:val="16"/>
          <w:szCs w:val="16"/>
          <w:u w:val="single" w:color="auto"/>
          <w:color w:val="0000FF"/>
        </w:rPr>
      </w:pPr>
      <w:hyperlink r:id="rId91">
        <w:r>
          <w:rPr>
            <w:rFonts w:ascii="Times New Roman" w:cs="Times New Roman" w:eastAsia="Times New Roman" w:hAnsi="Times New Roman"/>
            <w:sz w:val="16"/>
            <w:szCs w:val="16"/>
            <w:u w:val="single" w:color="auto"/>
            <w:color w:val="0000FF"/>
          </w:rPr>
          <w:t>Third Amended and Restated Certificate of Incorporation of BioScrip, Inc. (incorporated by reference to Exhibit 3.1 to the Company’s Current</w:t>
        </w:r>
      </w:hyperlink>
      <w:r>
        <w:rPr>
          <w:rFonts w:ascii="Times New Roman" w:cs="Times New Roman" w:eastAsia="Times New Roman" w:hAnsi="Times New Roman"/>
          <w:sz w:val="16"/>
          <w:szCs w:val="16"/>
          <w:u w:val="single" w:color="auto"/>
          <w:color w:val="0000FF"/>
        </w:rPr>
        <w:t xml:space="preserve"> </w:t>
      </w:r>
      <w:hyperlink r:id="rId91">
        <w:r>
          <w:rPr>
            <w:rFonts w:ascii="Times New Roman" w:cs="Times New Roman" w:eastAsia="Times New Roman" w:hAnsi="Times New Roman"/>
            <w:sz w:val="16"/>
            <w:szCs w:val="16"/>
            <w:u w:val="single" w:color="auto"/>
            <w:color w:val="0000FF"/>
          </w:rPr>
          <w:t>Report on Form 8-K filed on August 7, 2019).</w:t>
        </w:r>
      </w:hyperlink>
    </w:p>
    <w:p>
      <w:pPr>
        <w:spacing w:after="0" w:line="1" w:lineRule="exact"/>
        <w:rPr>
          <w:sz w:val="20"/>
          <w:szCs w:val="20"/>
          <w:color w:val="auto"/>
        </w:rPr>
      </w:pPr>
    </w:p>
    <w:p>
      <w:pPr>
        <w:spacing w:after="0"/>
        <w:rPr>
          <w:rFonts w:ascii="Times New Roman" w:cs="Times New Roman" w:eastAsia="Times New Roman" w:hAnsi="Times New Roman"/>
          <w:sz w:val="16"/>
          <w:szCs w:val="16"/>
          <w:u w:val="single" w:color="auto"/>
          <w:color w:val="0000FF"/>
        </w:rPr>
      </w:pPr>
      <w:hyperlink r:id="rId92">
        <w:r>
          <w:rPr>
            <w:rFonts w:ascii="Times New Roman" w:cs="Times New Roman" w:eastAsia="Times New Roman" w:hAnsi="Times New Roman"/>
            <w:sz w:val="16"/>
            <w:szCs w:val="16"/>
            <w:u w:val="single" w:color="auto"/>
            <w:color w:val="0000FF"/>
          </w:rPr>
          <w:t>Certificate of Amendment to Certificate of Incorporation, amending the Third Amended and Restated Certificate of Incorporation of BioScrip, Inc.</w:t>
        </w:r>
      </w:hyperlink>
    </w:p>
    <w:p>
      <w:pPr>
        <w:spacing w:after="0" w:line="26" w:lineRule="exact"/>
        <w:rPr>
          <w:sz w:val="20"/>
          <w:szCs w:val="20"/>
          <w:color w:val="auto"/>
        </w:rPr>
      </w:pPr>
    </w:p>
    <w:p>
      <w:pPr>
        <w:spacing w:after="0"/>
        <w:rPr>
          <w:rFonts w:ascii="Times New Roman" w:cs="Times New Roman" w:eastAsia="Times New Roman" w:hAnsi="Times New Roman"/>
          <w:sz w:val="16"/>
          <w:szCs w:val="16"/>
          <w:u w:val="single" w:color="auto"/>
          <w:color w:val="0000FF"/>
        </w:rPr>
      </w:pPr>
      <w:hyperlink r:id="rId92">
        <w:r>
          <w:rPr>
            <w:rFonts w:ascii="Times New Roman" w:cs="Times New Roman" w:eastAsia="Times New Roman" w:hAnsi="Times New Roman"/>
            <w:sz w:val="16"/>
            <w:szCs w:val="16"/>
            <w:u w:val="single" w:color="auto"/>
            <w:color w:val="0000FF"/>
          </w:rPr>
          <w:t>(incorporated by reference to Exhibit 3.3 to the Company’s Current Report on Form 8-K filed on August 7, 2019).</w:t>
        </w:r>
      </w:hyperlink>
    </w:p>
    <w:p>
      <w:pPr>
        <w:spacing w:after="0" w:line="38" w:lineRule="exact"/>
        <w:rPr>
          <w:sz w:val="20"/>
          <w:szCs w:val="20"/>
          <w:color w:val="auto"/>
        </w:rPr>
      </w:pPr>
    </w:p>
    <w:p>
      <w:pPr>
        <w:ind w:right="180"/>
        <w:spacing w:after="0" w:line="245" w:lineRule="auto"/>
        <w:rPr>
          <w:rFonts w:ascii="Times New Roman" w:cs="Times New Roman" w:eastAsia="Times New Roman" w:hAnsi="Times New Roman"/>
          <w:sz w:val="16"/>
          <w:szCs w:val="16"/>
          <w:u w:val="single" w:color="auto"/>
          <w:color w:val="0000FF"/>
        </w:rPr>
      </w:pPr>
      <w:hyperlink r:id="rId93">
        <w:r>
          <w:rPr>
            <w:rFonts w:ascii="Times New Roman" w:cs="Times New Roman" w:eastAsia="Times New Roman" w:hAnsi="Times New Roman"/>
            <w:sz w:val="16"/>
            <w:szCs w:val="16"/>
            <w:u w:val="single" w:color="auto"/>
            <w:color w:val="0000FF"/>
          </w:rPr>
          <w:t>Fourth Amended and Restated By-Laws of Option Care Health, Inc., effective as of December 6, 2023 (incorporated by reference to Exhibit 3.1 to</w:t>
        </w:r>
      </w:hyperlink>
      <w:r>
        <w:rPr>
          <w:rFonts w:ascii="Times New Roman" w:cs="Times New Roman" w:eastAsia="Times New Roman" w:hAnsi="Times New Roman"/>
          <w:sz w:val="16"/>
          <w:szCs w:val="16"/>
          <w:u w:val="single" w:color="auto"/>
          <w:color w:val="0000FF"/>
        </w:rPr>
        <w:t xml:space="preserve"> </w:t>
      </w:r>
      <w:hyperlink r:id="rId93">
        <w:r>
          <w:rPr>
            <w:rFonts w:ascii="Times New Roman" w:cs="Times New Roman" w:eastAsia="Times New Roman" w:hAnsi="Times New Roman"/>
            <w:sz w:val="16"/>
            <w:szCs w:val="16"/>
            <w:u w:val="single" w:color="auto"/>
            <w:color w:val="0000FF"/>
          </w:rPr>
          <w:t>the Company’s Current Report on Form 8-K filed on December 11, 2023).</w:t>
        </w:r>
      </w:hyperlink>
    </w:p>
    <w:p>
      <w:pPr>
        <w:spacing w:after="0" w:line="2" w:lineRule="exact"/>
        <w:rPr>
          <w:sz w:val="20"/>
          <w:szCs w:val="20"/>
          <w:color w:val="auto"/>
        </w:rPr>
      </w:pPr>
    </w:p>
    <w:p>
      <w:pPr>
        <w:ind w:right="340"/>
        <w:spacing w:after="0" w:line="245" w:lineRule="auto"/>
        <w:rPr>
          <w:rFonts w:ascii="Times New Roman" w:cs="Times New Roman" w:eastAsia="Times New Roman" w:hAnsi="Times New Roman"/>
          <w:sz w:val="16"/>
          <w:szCs w:val="16"/>
          <w:u w:val="single" w:color="auto"/>
          <w:color w:val="0000FF"/>
        </w:rPr>
      </w:pPr>
      <w:hyperlink r:id="rId94">
        <w:r>
          <w:rPr>
            <w:rFonts w:ascii="Times New Roman" w:cs="Times New Roman" w:eastAsia="Times New Roman" w:hAnsi="Times New Roman"/>
            <w:sz w:val="16"/>
            <w:szCs w:val="16"/>
            <w:u w:val="single" w:color="auto"/>
            <w:color w:val="0000FF"/>
          </w:rPr>
          <w:t>Certificate of Amendment of the Certificate of Incorporation, filed January 30, 2020 (incorporated by reference to Exhibit 3.4 to the Company’s</w:t>
        </w:r>
      </w:hyperlink>
      <w:r>
        <w:rPr>
          <w:rFonts w:ascii="Times New Roman" w:cs="Times New Roman" w:eastAsia="Times New Roman" w:hAnsi="Times New Roman"/>
          <w:sz w:val="16"/>
          <w:szCs w:val="16"/>
          <w:u w:val="single" w:color="auto"/>
          <w:color w:val="0000FF"/>
        </w:rPr>
        <w:t xml:space="preserve"> </w:t>
      </w:r>
      <w:hyperlink r:id="rId94">
        <w:r>
          <w:rPr>
            <w:rFonts w:ascii="Times New Roman" w:cs="Times New Roman" w:eastAsia="Times New Roman" w:hAnsi="Times New Roman"/>
            <w:sz w:val="16"/>
            <w:szCs w:val="16"/>
            <w:u w:val="single" w:color="auto"/>
            <w:color w:val="0000FF"/>
          </w:rPr>
          <w:t>Annual Report on Form 10-K filed on March 11, 2021).</w:t>
        </w:r>
      </w:hyperlink>
    </w:p>
    <w:p>
      <w:pPr>
        <w:spacing w:after="0" w:line="2" w:lineRule="exact"/>
        <w:rPr>
          <w:sz w:val="20"/>
          <w:szCs w:val="20"/>
          <w:color w:val="auto"/>
        </w:rPr>
      </w:pPr>
    </w:p>
    <w:p>
      <w:pPr>
        <w:ind w:right="100"/>
        <w:spacing w:after="0" w:line="232" w:lineRule="auto"/>
        <w:rPr>
          <w:rFonts w:ascii="Times New Roman" w:cs="Times New Roman" w:eastAsia="Times New Roman" w:hAnsi="Times New Roman"/>
          <w:sz w:val="16"/>
          <w:szCs w:val="16"/>
          <w:u w:val="single" w:color="auto"/>
          <w:color w:val="0000FF"/>
        </w:rPr>
      </w:pPr>
      <w:hyperlink r:id="rId95">
        <w:r>
          <w:rPr>
            <w:rFonts w:ascii="Times New Roman" w:cs="Times New Roman" w:eastAsia="Times New Roman" w:hAnsi="Times New Roman"/>
            <w:sz w:val="16"/>
            <w:szCs w:val="16"/>
            <w:u w:val="single" w:color="auto"/>
            <w:color w:val="0000FF"/>
          </w:rPr>
          <w:t>Registration Rights Agreement, dated as of March 9, 2015, by and among BioScrip, Inc, Coliseum Capital Partners, L.P., Coliseum Capital Partners</w:t>
        </w:r>
      </w:hyperlink>
      <w:r>
        <w:rPr>
          <w:rFonts w:ascii="Times New Roman" w:cs="Times New Roman" w:eastAsia="Times New Roman" w:hAnsi="Times New Roman"/>
          <w:sz w:val="16"/>
          <w:szCs w:val="16"/>
          <w:u w:val="single" w:color="auto"/>
          <w:color w:val="0000FF"/>
        </w:rPr>
        <w:t xml:space="preserve"> </w:t>
      </w:r>
      <w:hyperlink r:id="rId95">
        <w:r>
          <w:rPr>
            <w:rFonts w:ascii="Times New Roman" w:cs="Times New Roman" w:eastAsia="Times New Roman" w:hAnsi="Times New Roman"/>
            <w:sz w:val="16"/>
            <w:szCs w:val="16"/>
            <w:u w:val="single" w:color="auto"/>
            <w:color w:val="0000FF"/>
          </w:rPr>
          <w:t>II, L.P., and Blackwell Partners, LLC, Series A (incorporated by reference to Exhibit 4.1 to the Company’s Current Report on Form 8-K filed on</w:t>
        </w:r>
      </w:hyperlink>
      <w:r>
        <w:rPr>
          <w:rFonts w:ascii="Times New Roman" w:cs="Times New Roman" w:eastAsia="Times New Roman" w:hAnsi="Times New Roman"/>
          <w:sz w:val="16"/>
          <w:szCs w:val="16"/>
          <w:u w:val="single" w:color="auto"/>
          <w:color w:val="0000FF"/>
        </w:rPr>
        <w:t xml:space="preserve"> </w:t>
      </w:r>
      <w:hyperlink r:id="rId95">
        <w:r>
          <w:rPr>
            <w:rFonts w:ascii="Times New Roman" w:cs="Times New Roman" w:eastAsia="Times New Roman" w:hAnsi="Times New Roman"/>
            <w:sz w:val="16"/>
            <w:szCs w:val="16"/>
            <w:u w:val="single" w:color="auto"/>
            <w:color w:val="0000FF"/>
          </w:rPr>
          <w:t>March 10, 2015).</w:t>
        </w:r>
      </w:hyperlink>
    </w:p>
    <w:p>
      <w:pPr>
        <w:spacing w:after="0" w:line="1" w:lineRule="exact"/>
        <w:rPr>
          <w:rFonts w:ascii="Times New Roman" w:cs="Times New Roman" w:eastAsia="Times New Roman" w:hAnsi="Times New Roman"/>
          <w:sz w:val="16"/>
          <w:szCs w:val="16"/>
          <w:u w:val="single" w:color="auto"/>
          <w:color w:val="0000FF"/>
        </w:rPr>
      </w:pPr>
    </w:p>
    <w:p>
      <w:pPr>
        <w:sectPr>
          <w:pgSz w:w="11900" w:h="16838" w:orient="portrait"/>
          <w:cols w:equalWidth="0" w:num="2">
            <w:col w:w="820" w:space="720"/>
            <w:col w:w="9680"/>
          </w:cols>
          <w:pgMar w:left="320" w:top="118" w:right="359" w:bottom="1440" w:gutter="0" w:footer="0" w:header="0"/>
          <w:type w:val="continuous"/>
        </w:sectPr>
      </w:pPr>
    </w:p>
    <w:tbl>
      <w:tblPr>
        <w:tblLayout w:type="fixed"/>
        <w:tblInd w:w="620" w:type="dxa"/>
        <w:tblCellMar>
          <w:top w:w="0" w:type="dxa"/>
          <w:left w:w="0" w:type="dxa"/>
          <w:bottom w:w="0" w:type="dxa"/>
          <w:right w:w="0" w:type="dxa"/>
        </w:tblCellMar>
      </w:tblPr>
      <w:tr>
        <w:trPr>
          <w:trHeight w:val="182"/>
        </w:trPr>
        <w:tc>
          <w:tcPr>
            <w:tcW w:w="920" w:type="dxa"/>
            <w:vAlign w:val="bottom"/>
          </w:tcPr>
          <w:p>
            <w:pPr>
              <w:jc w:val="right"/>
              <w:ind w:right="639"/>
              <w:spacing w:after="0" w:line="182" w:lineRule="exact"/>
              <w:rPr>
                <w:sz w:val="20"/>
                <w:szCs w:val="20"/>
                <w:color w:val="auto"/>
              </w:rPr>
            </w:pPr>
            <w:r>
              <w:rPr>
                <w:rFonts w:ascii="Times New Roman" w:cs="Times New Roman" w:eastAsia="Times New Roman" w:hAnsi="Times New Roman"/>
                <w:sz w:val="16"/>
                <w:szCs w:val="16"/>
                <w:color w:val="auto"/>
                <w:w w:val="89"/>
              </w:rPr>
              <w:t>4.2</w:t>
            </w:r>
          </w:p>
        </w:tc>
        <w:tc>
          <w:tcPr>
            <w:tcW w:w="9600" w:type="dxa"/>
            <w:vAlign w:val="bottom"/>
            <w:gridSpan w:val="16"/>
          </w:tcPr>
          <w:p>
            <w:pPr>
              <w:spacing w:after="0" w:line="182" w:lineRule="exact"/>
              <w:rPr>
                <w:rFonts w:ascii="Times New Roman" w:cs="Times New Roman" w:eastAsia="Times New Roman" w:hAnsi="Times New Roman"/>
                <w:sz w:val="16"/>
                <w:szCs w:val="16"/>
                <w:color w:val="0000FF"/>
              </w:rPr>
            </w:pPr>
            <w:hyperlink r:id="rId96">
              <w:r>
                <w:rPr>
                  <w:rFonts w:ascii="Times New Roman" w:cs="Times New Roman" w:eastAsia="Times New Roman" w:hAnsi="Times New Roman"/>
                  <w:sz w:val="16"/>
                  <w:szCs w:val="16"/>
                  <w:color w:val="0000FF"/>
                </w:rPr>
                <w:t>Amendment No. 1 to the Registration Rights Agreement dated June 10, 2016, by and among BioScrip, Inc., Coliseum Capital Partners, L.P.,</w:t>
              </w:r>
            </w:hyperlink>
          </w:p>
        </w:tc>
      </w:tr>
      <w:tr>
        <w:trPr>
          <w:trHeight w:val="142"/>
        </w:trPr>
        <w:tc>
          <w:tcPr>
            <w:tcW w:w="920" w:type="dxa"/>
            <w:vAlign w:val="bottom"/>
          </w:tcPr>
          <w:p>
            <w:pPr>
              <w:spacing w:after="0"/>
              <w:rPr>
                <w:sz w:val="12"/>
                <w:szCs w:val="12"/>
                <w:color w:val="auto"/>
              </w:rPr>
            </w:pPr>
          </w:p>
        </w:tc>
        <w:tc>
          <w:tcPr>
            <w:tcW w:w="9100" w:type="dxa"/>
            <w:vAlign w:val="bottom"/>
            <w:tcBorders>
              <w:top w:val="single" w:sz="8" w:color="0000FF"/>
            </w:tcBorders>
            <w:gridSpan w:val="10"/>
          </w:tcPr>
          <w:p>
            <w:pPr>
              <w:spacing w:after="0" w:line="142" w:lineRule="exact"/>
              <w:rPr>
                <w:rFonts w:ascii="Times New Roman" w:cs="Times New Roman" w:eastAsia="Times New Roman" w:hAnsi="Times New Roman"/>
                <w:sz w:val="16"/>
                <w:szCs w:val="16"/>
                <w:color w:val="0000FF"/>
              </w:rPr>
            </w:pPr>
            <w:hyperlink r:id="rId96">
              <w:r>
                <w:rPr>
                  <w:rFonts w:ascii="Times New Roman" w:cs="Times New Roman" w:eastAsia="Times New Roman" w:hAnsi="Times New Roman"/>
                  <w:sz w:val="16"/>
                  <w:szCs w:val="16"/>
                  <w:color w:val="0000FF"/>
                </w:rPr>
                <w:t>Coliseum Capital Partners II, L.P. and Blackwell Partners, LLC Series A (incorporated by reference to Exhibit 4.1 to the Company’s Current</w:t>
              </w:r>
            </w:hyperlink>
          </w:p>
        </w:tc>
        <w:tc>
          <w:tcPr>
            <w:tcW w:w="500" w:type="dxa"/>
            <w:vAlign w:val="bottom"/>
            <w:gridSpan w:val="6"/>
          </w:tcPr>
          <w:p>
            <w:pPr>
              <w:ind w:left="40"/>
              <w:spacing w:after="0" w:line="142" w:lineRule="exact"/>
              <w:rPr>
                <w:rFonts w:ascii="Times New Roman" w:cs="Times New Roman" w:eastAsia="Times New Roman" w:hAnsi="Times New Roman"/>
                <w:sz w:val="16"/>
                <w:szCs w:val="16"/>
                <w:color w:val="0000FF"/>
              </w:rPr>
            </w:pPr>
            <w:hyperlink r:id="rId96">
              <w:r>
                <w:rPr>
                  <w:rFonts w:ascii="Times New Roman" w:cs="Times New Roman" w:eastAsia="Times New Roman" w:hAnsi="Times New Roman"/>
                  <w:sz w:val="16"/>
                  <w:szCs w:val="16"/>
                  <w:color w:val="0000FF"/>
                </w:rPr>
                <w:t>Report</w:t>
              </w:r>
            </w:hyperlink>
          </w:p>
        </w:tc>
      </w:tr>
      <w:tr>
        <w:trPr>
          <w:trHeight w:val="142"/>
        </w:trPr>
        <w:tc>
          <w:tcPr>
            <w:tcW w:w="920" w:type="dxa"/>
            <w:vAlign w:val="bottom"/>
          </w:tcPr>
          <w:p>
            <w:pPr>
              <w:spacing w:after="0"/>
              <w:rPr>
                <w:sz w:val="12"/>
                <w:szCs w:val="12"/>
                <w:color w:val="auto"/>
              </w:rPr>
            </w:pPr>
          </w:p>
        </w:tc>
        <w:tc>
          <w:tcPr>
            <w:tcW w:w="9580" w:type="dxa"/>
            <w:vAlign w:val="bottom"/>
            <w:tcBorders>
              <w:top w:val="single" w:sz="8" w:color="0000FF"/>
            </w:tcBorders>
            <w:gridSpan w:val="15"/>
          </w:tcPr>
          <w:p>
            <w:pPr>
              <w:spacing w:after="0" w:line="142" w:lineRule="exact"/>
              <w:rPr>
                <w:rFonts w:ascii="Times New Roman" w:cs="Times New Roman" w:eastAsia="Times New Roman" w:hAnsi="Times New Roman"/>
                <w:sz w:val="16"/>
                <w:szCs w:val="16"/>
                <w:color w:val="0000FF"/>
              </w:rPr>
            </w:pPr>
            <w:hyperlink r:id="rId96">
              <w:r>
                <w:rPr>
                  <w:rFonts w:ascii="Times New Roman" w:cs="Times New Roman" w:eastAsia="Times New Roman" w:hAnsi="Times New Roman"/>
                  <w:sz w:val="16"/>
                  <w:szCs w:val="16"/>
                  <w:color w:val="0000FF"/>
                </w:rPr>
                <w:t>on Form 8-K filed on June 13, 2016).</w:t>
              </w:r>
            </w:hyperlink>
          </w:p>
        </w:tc>
        <w:tc>
          <w:tcPr>
            <w:tcW w:w="20" w:type="dxa"/>
            <w:vAlign w:val="bottom"/>
          </w:tcPr>
          <w:p>
            <w:pPr>
              <w:spacing w:after="0"/>
              <w:rPr>
                <w:sz w:val="12"/>
                <w:szCs w:val="12"/>
                <w:color w:val="auto"/>
              </w:rPr>
            </w:pPr>
          </w:p>
        </w:tc>
      </w:tr>
      <w:tr>
        <w:trPr>
          <w:trHeight w:val="20"/>
        </w:trPr>
        <w:tc>
          <w:tcPr>
            <w:tcW w:w="92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92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w w:val="89"/>
              </w:rPr>
              <w:t>4.3</w:t>
            </w:r>
          </w:p>
        </w:tc>
        <w:tc>
          <w:tcPr>
            <w:tcW w:w="9600" w:type="dxa"/>
            <w:vAlign w:val="bottom"/>
            <w:gridSpan w:val="16"/>
          </w:tcPr>
          <w:p>
            <w:pPr>
              <w:spacing w:after="0"/>
              <w:rPr>
                <w:rFonts w:ascii="Times New Roman" w:cs="Times New Roman" w:eastAsia="Times New Roman" w:hAnsi="Times New Roman"/>
                <w:sz w:val="16"/>
                <w:szCs w:val="16"/>
                <w:color w:val="0000FF"/>
              </w:rPr>
            </w:pPr>
            <w:hyperlink r:id="rId97">
              <w:r>
                <w:rPr>
                  <w:rFonts w:ascii="Times New Roman" w:cs="Times New Roman" w:eastAsia="Times New Roman" w:hAnsi="Times New Roman"/>
                  <w:sz w:val="16"/>
                  <w:szCs w:val="16"/>
                  <w:color w:val="0000FF"/>
                </w:rPr>
                <w:t>Amendment No. 2 to the Registration Rights Agreement dated June 14, 2016, by and among BioScrip, Inc. and Coliseum Capital Partners, L.P.,</w:t>
              </w:r>
            </w:hyperlink>
          </w:p>
        </w:tc>
      </w:tr>
      <w:tr>
        <w:trPr>
          <w:trHeight w:val="20"/>
        </w:trPr>
        <w:tc>
          <w:tcPr>
            <w:tcW w:w="92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42"/>
        </w:trPr>
        <w:tc>
          <w:tcPr>
            <w:tcW w:w="920" w:type="dxa"/>
            <w:vAlign w:val="bottom"/>
          </w:tcPr>
          <w:p>
            <w:pPr>
              <w:spacing w:after="0"/>
              <w:rPr>
                <w:sz w:val="12"/>
                <w:szCs w:val="12"/>
                <w:color w:val="auto"/>
              </w:rPr>
            </w:pPr>
          </w:p>
        </w:tc>
        <w:tc>
          <w:tcPr>
            <w:tcW w:w="9600" w:type="dxa"/>
            <w:vAlign w:val="bottom"/>
            <w:gridSpan w:val="16"/>
          </w:tcPr>
          <w:p>
            <w:pPr>
              <w:spacing w:after="0" w:line="142" w:lineRule="exact"/>
              <w:rPr>
                <w:rFonts w:ascii="Times New Roman" w:cs="Times New Roman" w:eastAsia="Times New Roman" w:hAnsi="Times New Roman"/>
                <w:sz w:val="16"/>
                <w:szCs w:val="16"/>
                <w:color w:val="0000FF"/>
              </w:rPr>
            </w:pPr>
            <w:hyperlink r:id="rId97">
              <w:r>
                <w:rPr>
                  <w:rFonts w:ascii="Times New Roman" w:cs="Times New Roman" w:eastAsia="Times New Roman" w:hAnsi="Times New Roman"/>
                  <w:sz w:val="16"/>
                  <w:szCs w:val="16"/>
                  <w:color w:val="0000FF"/>
                </w:rPr>
                <w:t>Coliseum Capital Partners II, L.P. and Blackwell Partners, LLC Series A (incorporated by reference to Exhibit 4.1 to the Company’s Current Report</w:t>
              </w:r>
            </w:hyperlink>
          </w:p>
        </w:tc>
      </w:tr>
      <w:tr>
        <w:trPr>
          <w:trHeight w:val="142"/>
        </w:trPr>
        <w:tc>
          <w:tcPr>
            <w:tcW w:w="920" w:type="dxa"/>
            <w:vAlign w:val="bottom"/>
          </w:tcPr>
          <w:p>
            <w:pPr>
              <w:spacing w:after="0"/>
              <w:rPr>
                <w:sz w:val="12"/>
                <w:szCs w:val="12"/>
                <w:color w:val="auto"/>
              </w:rPr>
            </w:pPr>
          </w:p>
        </w:tc>
        <w:tc>
          <w:tcPr>
            <w:tcW w:w="9580" w:type="dxa"/>
            <w:vAlign w:val="bottom"/>
            <w:tcBorders>
              <w:top w:val="single" w:sz="8" w:color="0000FF"/>
            </w:tcBorders>
            <w:gridSpan w:val="15"/>
          </w:tcPr>
          <w:p>
            <w:pPr>
              <w:spacing w:after="0" w:line="142" w:lineRule="exact"/>
              <w:rPr>
                <w:rFonts w:ascii="Times New Roman" w:cs="Times New Roman" w:eastAsia="Times New Roman" w:hAnsi="Times New Roman"/>
                <w:sz w:val="16"/>
                <w:szCs w:val="16"/>
                <w:color w:val="0000FF"/>
              </w:rPr>
            </w:pPr>
            <w:hyperlink r:id="rId97">
              <w:r>
                <w:rPr>
                  <w:rFonts w:ascii="Times New Roman" w:cs="Times New Roman" w:eastAsia="Times New Roman" w:hAnsi="Times New Roman"/>
                  <w:sz w:val="16"/>
                  <w:szCs w:val="16"/>
                  <w:color w:val="0000FF"/>
                </w:rPr>
                <w:t>on Form 8-K filed on June 14, 2016).</w:t>
              </w:r>
            </w:hyperlink>
          </w:p>
        </w:tc>
        <w:tc>
          <w:tcPr>
            <w:tcW w:w="20" w:type="dxa"/>
            <w:vAlign w:val="bottom"/>
          </w:tcPr>
          <w:p>
            <w:pPr>
              <w:spacing w:after="0"/>
              <w:rPr>
                <w:sz w:val="12"/>
                <w:szCs w:val="12"/>
                <w:color w:val="auto"/>
              </w:rPr>
            </w:pPr>
          </w:p>
        </w:tc>
      </w:tr>
      <w:tr>
        <w:trPr>
          <w:trHeight w:val="20"/>
        </w:trPr>
        <w:tc>
          <w:tcPr>
            <w:tcW w:w="92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92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w w:val="89"/>
              </w:rPr>
              <w:t>4.4</w:t>
            </w:r>
          </w:p>
        </w:tc>
        <w:tc>
          <w:tcPr>
            <w:tcW w:w="9600" w:type="dxa"/>
            <w:vAlign w:val="bottom"/>
            <w:gridSpan w:val="16"/>
          </w:tcPr>
          <w:p>
            <w:pPr>
              <w:spacing w:after="0"/>
              <w:rPr>
                <w:rFonts w:ascii="Times New Roman" w:cs="Times New Roman" w:eastAsia="Times New Roman" w:hAnsi="Times New Roman"/>
                <w:sz w:val="16"/>
                <w:szCs w:val="16"/>
                <w:color w:val="0000FF"/>
              </w:rPr>
            </w:pPr>
            <w:hyperlink r:id="rId98">
              <w:r>
                <w:rPr>
                  <w:rFonts w:ascii="Times New Roman" w:cs="Times New Roman" w:eastAsia="Times New Roman" w:hAnsi="Times New Roman"/>
                  <w:sz w:val="16"/>
                  <w:szCs w:val="16"/>
                  <w:color w:val="0000FF"/>
                </w:rPr>
                <w:t>Common Stock Warrant Agreement, dated July 28, 2015, by and between BioScrip, Inc. and American Stock Transfer &amp; Trust Company, LLC</w:t>
              </w:r>
            </w:hyperlink>
          </w:p>
        </w:tc>
      </w:tr>
      <w:tr>
        <w:trPr>
          <w:trHeight w:val="142"/>
        </w:trPr>
        <w:tc>
          <w:tcPr>
            <w:tcW w:w="920" w:type="dxa"/>
            <w:vAlign w:val="bottom"/>
          </w:tcPr>
          <w:p>
            <w:pPr>
              <w:spacing w:after="0"/>
              <w:rPr>
                <w:sz w:val="12"/>
                <w:szCs w:val="12"/>
                <w:color w:val="auto"/>
              </w:rPr>
            </w:pPr>
          </w:p>
        </w:tc>
        <w:tc>
          <w:tcPr>
            <w:tcW w:w="9320" w:type="dxa"/>
            <w:vAlign w:val="bottom"/>
            <w:tcBorders>
              <w:top w:val="single" w:sz="8" w:color="0000FF"/>
            </w:tcBorders>
            <w:gridSpan w:val="11"/>
          </w:tcPr>
          <w:p>
            <w:pPr>
              <w:spacing w:after="0" w:line="142" w:lineRule="exact"/>
              <w:rPr>
                <w:rFonts w:ascii="Times New Roman" w:cs="Times New Roman" w:eastAsia="Times New Roman" w:hAnsi="Times New Roman"/>
                <w:sz w:val="16"/>
                <w:szCs w:val="16"/>
                <w:color w:val="0000FF"/>
              </w:rPr>
            </w:pPr>
            <w:hyperlink r:id="rId98">
              <w:r>
                <w:rPr>
                  <w:rFonts w:ascii="Times New Roman" w:cs="Times New Roman" w:eastAsia="Times New Roman" w:hAnsi="Times New Roman"/>
                  <w:sz w:val="16"/>
                  <w:szCs w:val="16"/>
                  <w:color w:val="0000FF"/>
                </w:rPr>
                <w:t>(incorporated by reference to Exhibit 4.1 to the Company’s Current Report on Form 8-K filed on July 28, 2015).</w:t>
              </w:r>
            </w:hyperlink>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r>
      <w:tr>
        <w:trPr>
          <w:trHeight w:val="20"/>
        </w:trPr>
        <w:tc>
          <w:tcPr>
            <w:tcW w:w="92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92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w w:val="89"/>
              </w:rPr>
              <w:t>4.5</w:t>
            </w:r>
          </w:p>
        </w:tc>
        <w:tc>
          <w:tcPr>
            <w:tcW w:w="9600" w:type="dxa"/>
            <w:vAlign w:val="bottom"/>
            <w:gridSpan w:val="16"/>
          </w:tcPr>
          <w:p>
            <w:pPr>
              <w:spacing w:after="0"/>
              <w:rPr>
                <w:rFonts w:ascii="Times New Roman" w:cs="Times New Roman" w:eastAsia="Times New Roman" w:hAnsi="Times New Roman"/>
                <w:sz w:val="16"/>
                <w:szCs w:val="16"/>
                <w:color w:val="0000FF"/>
              </w:rPr>
            </w:pPr>
            <w:hyperlink r:id="rId99">
              <w:r>
                <w:rPr>
                  <w:rFonts w:ascii="Times New Roman" w:cs="Times New Roman" w:eastAsia="Times New Roman" w:hAnsi="Times New Roman"/>
                  <w:sz w:val="16"/>
                  <w:szCs w:val="16"/>
                  <w:color w:val="0000FF"/>
                </w:rPr>
                <w:t>Registration Rights Agreement, dated June 29, 2017, by and among BioScrip, Inc</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and the parties signatory thereto (incorporated by reference to</w:t>
              </w:r>
            </w:hyperlink>
          </w:p>
        </w:tc>
      </w:tr>
      <w:tr>
        <w:trPr>
          <w:trHeight w:val="142"/>
        </w:trPr>
        <w:tc>
          <w:tcPr>
            <w:tcW w:w="920" w:type="dxa"/>
            <w:vAlign w:val="bottom"/>
          </w:tcPr>
          <w:p>
            <w:pPr>
              <w:spacing w:after="0"/>
              <w:rPr>
                <w:sz w:val="12"/>
                <w:szCs w:val="12"/>
                <w:color w:val="auto"/>
              </w:rPr>
            </w:pPr>
          </w:p>
        </w:tc>
        <w:tc>
          <w:tcPr>
            <w:tcW w:w="5300" w:type="dxa"/>
            <w:vAlign w:val="bottom"/>
            <w:tcBorders>
              <w:top w:val="single" w:sz="8" w:color="0000FF"/>
              <w:bottom w:val="single" w:sz="8" w:color="0000FF"/>
            </w:tcBorders>
            <w:gridSpan w:val="4"/>
          </w:tcPr>
          <w:p>
            <w:pPr>
              <w:spacing w:after="0" w:line="142" w:lineRule="exact"/>
              <w:rPr>
                <w:rFonts w:ascii="Times New Roman" w:cs="Times New Roman" w:eastAsia="Times New Roman" w:hAnsi="Times New Roman"/>
                <w:sz w:val="16"/>
                <w:szCs w:val="16"/>
                <w:color w:val="0000FF"/>
                <w:w w:val="99"/>
              </w:rPr>
            </w:pPr>
            <w:hyperlink r:id="rId99">
              <w:r>
                <w:rPr>
                  <w:rFonts w:ascii="Times New Roman" w:cs="Times New Roman" w:eastAsia="Times New Roman" w:hAnsi="Times New Roman"/>
                  <w:sz w:val="16"/>
                  <w:szCs w:val="16"/>
                  <w:color w:val="0000FF"/>
                  <w:w w:val="99"/>
                </w:rPr>
                <w:t>Exhibit 4.2 to the Company’s Current Report on Form 8-K filed on June 29, 2017)</w:t>
              </w:r>
            </w:hyperlink>
          </w:p>
        </w:tc>
        <w:tc>
          <w:tcPr>
            <w:tcW w:w="40" w:type="dxa"/>
            <w:vAlign w:val="bottom"/>
            <w:tcBorders>
              <w:bottom w:val="single" w:sz="8" w:color="0000FF"/>
            </w:tcBorders>
          </w:tcPr>
          <w:p>
            <w:pPr>
              <w:spacing w:after="0"/>
              <w:rPr>
                <w:sz w:val="12"/>
                <w:szCs w:val="12"/>
                <w:color w:val="auto"/>
              </w:rPr>
            </w:pPr>
          </w:p>
        </w:tc>
        <w:tc>
          <w:tcPr>
            <w:tcW w:w="40" w:type="dxa"/>
            <w:vAlign w:val="bottom"/>
            <w:tcBorders>
              <w:top w:val="single" w:sz="8" w:color="0000FF"/>
              <w:bottom w:val="single" w:sz="8" w:color="0000FF"/>
            </w:tcBorders>
          </w:tcPr>
          <w:p>
            <w:pPr>
              <w:jc w:val="right"/>
              <w:spacing w:after="0"/>
              <w:rPr>
                <w:rFonts w:ascii="Times New Roman" w:cs="Times New Roman" w:eastAsia="Times New Roman" w:hAnsi="Times New Roman"/>
                <w:sz w:val="11"/>
                <w:szCs w:val="11"/>
                <w:color w:val="0000FF"/>
                <w:w w:val="70"/>
              </w:rPr>
            </w:pPr>
            <w:hyperlink r:id="rId99">
              <w:r>
                <w:rPr>
                  <w:rFonts w:ascii="Times New Roman" w:cs="Times New Roman" w:eastAsia="Times New Roman" w:hAnsi="Times New Roman"/>
                  <w:sz w:val="11"/>
                  <w:szCs w:val="11"/>
                  <w:color w:val="0000FF"/>
                  <w:w w:val="70"/>
                </w:rPr>
                <w:t>.</w:t>
              </w:r>
            </w:hyperlink>
          </w:p>
        </w:tc>
        <w:tc>
          <w:tcPr>
            <w:tcW w:w="2140" w:type="dxa"/>
            <w:vAlign w:val="bottom"/>
            <w:tcBorders>
              <w:top w:val="single" w:sz="8" w:color="0000FF"/>
            </w:tcBorders>
            <w:gridSpan w:val="2"/>
          </w:tcPr>
          <w:p>
            <w:pPr>
              <w:spacing w:after="0"/>
              <w:rPr>
                <w:sz w:val="12"/>
                <w:szCs w:val="12"/>
                <w:color w:val="auto"/>
              </w:rPr>
            </w:pPr>
          </w:p>
        </w:tc>
        <w:tc>
          <w:tcPr>
            <w:tcW w:w="152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gridSpan w:val="3"/>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r>
      <w:tr>
        <w:trPr>
          <w:trHeight w:val="196"/>
        </w:trPr>
        <w:tc>
          <w:tcPr>
            <w:tcW w:w="92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w w:val="89"/>
              </w:rPr>
              <w:t>4.6</w:t>
            </w:r>
          </w:p>
        </w:tc>
        <w:tc>
          <w:tcPr>
            <w:tcW w:w="9600" w:type="dxa"/>
            <w:vAlign w:val="bottom"/>
            <w:gridSpan w:val="16"/>
          </w:tcPr>
          <w:p>
            <w:pPr>
              <w:spacing w:after="0"/>
              <w:rPr>
                <w:rFonts w:ascii="Times New Roman" w:cs="Times New Roman" w:eastAsia="Times New Roman" w:hAnsi="Times New Roman"/>
                <w:sz w:val="16"/>
                <w:szCs w:val="16"/>
                <w:color w:val="0000FF"/>
              </w:rPr>
            </w:pPr>
            <w:hyperlink r:id="rId100">
              <w:r>
                <w:rPr>
                  <w:rFonts w:ascii="Times New Roman" w:cs="Times New Roman" w:eastAsia="Times New Roman" w:hAnsi="Times New Roman"/>
                  <w:sz w:val="16"/>
                  <w:szCs w:val="16"/>
                  <w:color w:val="0000FF"/>
                </w:rPr>
                <w:t>Amendment No. 1 to Registration Rights Agreement by and between BioScrip, Inc. and the stockholders of BioScrip, Inc. signatory thereto</w:t>
              </w:r>
            </w:hyperlink>
          </w:p>
        </w:tc>
      </w:tr>
      <w:tr>
        <w:trPr>
          <w:trHeight w:val="142"/>
        </w:trPr>
        <w:tc>
          <w:tcPr>
            <w:tcW w:w="920" w:type="dxa"/>
            <w:vAlign w:val="bottom"/>
          </w:tcPr>
          <w:p>
            <w:pPr>
              <w:spacing w:after="0"/>
              <w:rPr>
                <w:sz w:val="12"/>
                <w:szCs w:val="12"/>
                <w:color w:val="auto"/>
              </w:rPr>
            </w:pPr>
          </w:p>
        </w:tc>
        <w:tc>
          <w:tcPr>
            <w:tcW w:w="7520" w:type="dxa"/>
            <w:vAlign w:val="bottom"/>
            <w:tcBorders>
              <w:top w:val="single" w:sz="8" w:color="0000FF"/>
              <w:bottom w:val="single" w:sz="8" w:color="0000FF"/>
            </w:tcBorders>
            <w:gridSpan w:val="8"/>
          </w:tcPr>
          <w:p>
            <w:pPr>
              <w:spacing w:after="0" w:line="142" w:lineRule="exact"/>
              <w:rPr>
                <w:rFonts w:ascii="Times New Roman" w:cs="Times New Roman" w:eastAsia="Times New Roman" w:hAnsi="Times New Roman"/>
                <w:sz w:val="16"/>
                <w:szCs w:val="16"/>
                <w:color w:val="0000FF"/>
              </w:rPr>
            </w:pPr>
            <w:hyperlink r:id="rId100">
              <w:r>
                <w:rPr>
                  <w:rFonts w:ascii="Times New Roman" w:cs="Times New Roman" w:eastAsia="Times New Roman" w:hAnsi="Times New Roman"/>
                  <w:sz w:val="16"/>
                  <w:szCs w:val="16"/>
                  <w:color w:val="0000FF"/>
                </w:rPr>
                <w:t>(incorporated by reference to Exhibit 10.4 to the Company’s Current Report on Form 8-K filed on March 15, 2019).</w:t>
              </w:r>
            </w:hyperlink>
          </w:p>
        </w:tc>
        <w:tc>
          <w:tcPr>
            <w:tcW w:w="1520" w:type="dxa"/>
            <w:vAlign w:val="bottom"/>
            <w:tcBorders>
              <w:top w:val="single" w:sz="8" w:color="0000FF"/>
            </w:tcBorders>
          </w:tcPr>
          <w:p>
            <w:pPr>
              <w:spacing w:after="0"/>
              <w:rPr>
                <w:sz w:val="12"/>
                <w:szCs w:val="12"/>
                <w:color w:val="auto"/>
              </w:rPr>
            </w:pPr>
          </w:p>
        </w:tc>
        <w:tc>
          <w:tcPr>
            <w:tcW w:w="46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r>
      <w:tr>
        <w:trPr>
          <w:trHeight w:val="196"/>
        </w:trPr>
        <w:tc>
          <w:tcPr>
            <w:tcW w:w="92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w w:val="89"/>
              </w:rPr>
              <w:t>4.7</w:t>
            </w:r>
          </w:p>
        </w:tc>
        <w:tc>
          <w:tcPr>
            <w:tcW w:w="9600" w:type="dxa"/>
            <w:vAlign w:val="bottom"/>
            <w:gridSpan w:val="16"/>
          </w:tcPr>
          <w:p>
            <w:pPr>
              <w:spacing w:after="0"/>
              <w:rPr>
                <w:rFonts w:ascii="Times New Roman" w:cs="Times New Roman" w:eastAsia="Times New Roman" w:hAnsi="Times New Roman"/>
                <w:sz w:val="16"/>
                <w:szCs w:val="16"/>
                <w:color w:val="0000FF"/>
              </w:rPr>
            </w:pPr>
            <w:hyperlink r:id="rId101">
              <w:r>
                <w:rPr>
                  <w:rFonts w:ascii="Times New Roman" w:cs="Times New Roman" w:eastAsia="Times New Roman" w:hAnsi="Times New Roman"/>
                  <w:sz w:val="16"/>
                  <w:szCs w:val="16"/>
                  <w:color w:val="0000FF"/>
                </w:rPr>
                <w:t>Description of Option Care Health Inc.’s registered securities (incorporated by reference to Exhibit 4.12 to the Company’s Annual Report on Form</w:t>
              </w:r>
            </w:hyperlink>
          </w:p>
        </w:tc>
      </w:tr>
      <w:tr>
        <w:trPr>
          <w:trHeight w:val="142"/>
        </w:trPr>
        <w:tc>
          <w:tcPr>
            <w:tcW w:w="920" w:type="dxa"/>
            <w:vAlign w:val="bottom"/>
          </w:tcPr>
          <w:p>
            <w:pPr>
              <w:spacing w:after="0"/>
              <w:rPr>
                <w:sz w:val="12"/>
                <w:szCs w:val="12"/>
                <w:color w:val="auto"/>
              </w:rPr>
            </w:pPr>
          </w:p>
        </w:tc>
        <w:tc>
          <w:tcPr>
            <w:tcW w:w="204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rPr>
            </w:pPr>
            <w:hyperlink r:id="rId101">
              <w:r>
                <w:rPr>
                  <w:rFonts w:ascii="Times New Roman" w:cs="Times New Roman" w:eastAsia="Times New Roman" w:hAnsi="Times New Roman"/>
                  <w:sz w:val="16"/>
                  <w:szCs w:val="16"/>
                  <w:color w:val="0000FF"/>
                </w:rPr>
                <w:t>10-K filed on March 11, 2021).</w:t>
              </w:r>
            </w:hyperlink>
          </w:p>
        </w:tc>
        <w:tc>
          <w:tcPr>
            <w:tcW w:w="7460" w:type="dxa"/>
            <w:vAlign w:val="bottom"/>
            <w:tcBorders>
              <w:top w:val="single" w:sz="8" w:color="0000FF"/>
            </w:tcBorders>
            <w:gridSpan w:val="1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r>
      <w:tr>
        <w:trPr>
          <w:trHeight w:val="196"/>
        </w:trPr>
        <w:tc>
          <w:tcPr>
            <w:tcW w:w="92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w w:val="89"/>
              </w:rPr>
              <w:t>4.8</w:t>
            </w:r>
          </w:p>
        </w:tc>
        <w:tc>
          <w:tcPr>
            <w:tcW w:w="9600" w:type="dxa"/>
            <w:vAlign w:val="bottom"/>
            <w:gridSpan w:val="16"/>
          </w:tcPr>
          <w:p>
            <w:pPr>
              <w:spacing w:after="0"/>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Form of Subscription Rights Certificate (incorporated by reference to Exhibit 4.1 to the Company’s Registration Statement on Form S-3/A filed on</w:t>
              </w:r>
            </w:hyperlink>
          </w:p>
        </w:tc>
      </w:tr>
      <w:tr>
        <w:trPr>
          <w:trHeight w:val="142"/>
        </w:trPr>
        <w:tc>
          <w:tcPr>
            <w:tcW w:w="920" w:type="dxa"/>
            <w:vAlign w:val="bottom"/>
          </w:tcPr>
          <w:p>
            <w:pPr>
              <w:spacing w:after="0"/>
              <w:rPr>
                <w:sz w:val="12"/>
                <w:szCs w:val="12"/>
                <w:color w:val="auto"/>
              </w:rPr>
            </w:pPr>
          </w:p>
        </w:tc>
        <w:tc>
          <w:tcPr>
            <w:tcW w:w="9520" w:type="dxa"/>
            <w:vAlign w:val="bottom"/>
            <w:tcBorders>
              <w:top w:val="single" w:sz="8" w:color="0000FF"/>
            </w:tcBorders>
            <w:gridSpan w:val="14"/>
          </w:tcPr>
          <w:p>
            <w:pPr>
              <w:spacing w:after="0" w:line="142" w:lineRule="exact"/>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May 29, 2015, SEC File Number 000-28740).</w:t>
              </w:r>
            </w:hyperlink>
          </w:p>
        </w:tc>
        <w:tc>
          <w:tcPr>
            <w:tcW w:w="80" w:type="dxa"/>
            <w:vAlign w:val="bottom"/>
            <w:gridSpan w:val="2"/>
          </w:tcPr>
          <w:p>
            <w:pPr>
              <w:spacing w:after="0"/>
              <w:rPr>
                <w:sz w:val="12"/>
                <w:szCs w:val="12"/>
                <w:color w:val="auto"/>
              </w:rPr>
            </w:pPr>
          </w:p>
        </w:tc>
      </w:tr>
      <w:tr>
        <w:trPr>
          <w:trHeight w:val="20"/>
        </w:trPr>
        <w:tc>
          <w:tcPr>
            <w:tcW w:w="92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4.9</w:t>
            </w:r>
          </w:p>
        </w:tc>
        <w:tc>
          <w:tcPr>
            <w:tcW w:w="9660" w:type="dxa"/>
            <w:vAlign w:val="bottom"/>
            <w:gridSpan w:val="16"/>
          </w:tcPr>
          <w:p>
            <w:pPr>
              <w:spacing w:after="0"/>
              <w:rPr>
                <w:rFonts w:ascii="Times New Roman" w:cs="Times New Roman" w:eastAsia="Times New Roman" w:hAnsi="Times New Roman"/>
                <w:sz w:val="16"/>
                <w:szCs w:val="16"/>
                <w:color w:val="0000FF"/>
              </w:rPr>
            </w:pPr>
            <w:hyperlink r:id="rId104">
              <w:r>
                <w:rPr>
                  <w:rFonts w:ascii="Times New Roman" w:cs="Times New Roman" w:eastAsia="Times New Roman" w:hAnsi="Times New Roman"/>
                  <w:sz w:val="16"/>
                  <w:szCs w:val="16"/>
                  <w:color w:val="0000FF"/>
                </w:rPr>
                <w:t>Registration Rights Agreement, dated March 1, 2017, by and among BioScrip, Inc and the investors named therein (incorporated by reference to</w:t>
              </w:r>
            </w:hyperlink>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9360" w:type="dxa"/>
            <w:vAlign w:val="bottom"/>
            <w:tcBorders>
              <w:top w:val="single" w:sz="8" w:color="0000FF"/>
            </w:tcBorders>
            <w:gridSpan w:val="10"/>
          </w:tcPr>
          <w:p>
            <w:pPr>
              <w:spacing w:after="0" w:line="142" w:lineRule="exact"/>
              <w:rPr>
                <w:rFonts w:ascii="Times New Roman" w:cs="Times New Roman" w:eastAsia="Times New Roman" w:hAnsi="Times New Roman"/>
                <w:sz w:val="16"/>
                <w:szCs w:val="16"/>
                <w:color w:val="0000FF"/>
              </w:rPr>
            </w:pPr>
            <w:hyperlink r:id="rId104">
              <w:r>
                <w:rPr>
                  <w:rFonts w:ascii="Times New Roman" w:cs="Times New Roman" w:eastAsia="Times New Roman" w:hAnsi="Times New Roman"/>
                  <w:sz w:val="16"/>
                  <w:szCs w:val="16"/>
                  <w:color w:val="0000FF"/>
                </w:rPr>
                <w:t>Exhibit 4.1 to the Company’s Current Report on Form 8-K filed on March 2, 2017, SEC File Number 001-11993).</w:t>
              </w:r>
            </w:hyperlink>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8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4.10</w:t>
            </w:r>
          </w:p>
        </w:tc>
        <w:tc>
          <w:tcPr>
            <w:tcW w:w="9660" w:type="dxa"/>
            <w:vAlign w:val="bottom"/>
            <w:gridSpan w:val="16"/>
          </w:tcPr>
          <w:p>
            <w:pPr>
              <w:spacing w:after="0"/>
              <w:rPr>
                <w:rFonts w:ascii="Times New Roman" w:cs="Times New Roman" w:eastAsia="Times New Roman" w:hAnsi="Times New Roman"/>
                <w:sz w:val="16"/>
                <w:szCs w:val="16"/>
                <w:color w:val="0000FF"/>
              </w:rPr>
            </w:pPr>
            <w:hyperlink r:id="rId105">
              <w:r>
                <w:rPr>
                  <w:rFonts w:ascii="Times New Roman" w:cs="Times New Roman" w:eastAsia="Times New Roman" w:hAnsi="Times New Roman"/>
                  <w:sz w:val="16"/>
                  <w:szCs w:val="16"/>
                  <w:color w:val="0000FF"/>
                </w:rPr>
                <w:t>Amended and Restated Warrant Agreement, dated as of March 14, 2019, by and among BioScrip, Inc. and the Holders (as defined therein) signatory</w:t>
              </w:r>
            </w:hyperlink>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9620" w:type="dxa"/>
            <w:vAlign w:val="bottom"/>
            <w:tcBorders>
              <w:top w:val="single" w:sz="8" w:color="0000FF"/>
            </w:tcBorders>
            <w:gridSpan w:val="14"/>
          </w:tcPr>
          <w:p>
            <w:pPr>
              <w:spacing w:after="0" w:line="142" w:lineRule="exact"/>
              <w:rPr>
                <w:rFonts w:ascii="Times New Roman" w:cs="Times New Roman" w:eastAsia="Times New Roman" w:hAnsi="Times New Roman"/>
                <w:sz w:val="16"/>
                <w:szCs w:val="16"/>
                <w:color w:val="0000FF"/>
              </w:rPr>
            </w:pPr>
            <w:hyperlink r:id="rId105">
              <w:r>
                <w:rPr>
                  <w:rFonts w:ascii="Times New Roman" w:cs="Times New Roman" w:eastAsia="Times New Roman" w:hAnsi="Times New Roman"/>
                  <w:sz w:val="16"/>
                  <w:szCs w:val="16"/>
                  <w:color w:val="0000FF"/>
                </w:rPr>
                <w:t>thereto (incorporated by reference to Exhibit 10.2 to the Company’s Current Report on Form 8-K filed on March 15, 2019).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8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4.11</w:t>
            </w:r>
          </w:p>
        </w:tc>
        <w:tc>
          <w:tcPr>
            <w:tcW w:w="9660" w:type="dxa"/>
            <w:vAlign w:val="bottom"/>
            <w:gridSpan w:val="16"/>
          </w:tcPr>
          <w:p>
            <w:pPr>
              <w:spacing w:after="0"/>
              <w:rPr>
                <w:rFonts w:ascii="Times New Roman" w:cs="Times New Roman" w:eastAsia="Times New Roman" w:hAnsi="Times New Roman"/>
                <w:sz w:val="16"/>
                <w:szCs w:val="16"/>
                <w:color w:val="0000FF"/>
              </w:rPr>
            </w:pPr>
            <w:hyperlink r:id="rId106">
              <w:r>
                <w:rPr>
                  <w:rFonts w:ascii="Times New Roman" w:cs="Times New Roman" w:eastAsia="Times New Roman" w:hAnsi="Times New Roman"/>
                  <w:sz w:val="16"/>
                  <w:szCs w:val="16"/>
                  <w:color w:val="0000FF"/>
                </w:rPr>
                <w:t>Registration Rights Agreement, dated as of August 6, 2019, by and among BioScrip, Inc. and HC Group Holdings I, LLC (incorporated by reference</w:t>
              </w:r>
            </w:hyperlink>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9640" w:type="dxa"/>
            <w:vAlign w:val="bottom"/>
            <w:tcBorders>
              <w:top w:val="single" w:sz="8" w:color="0000FF"/>
            </w:tcBorders>
            <w:gridSpan w:val="15"/>
          </w:tcPr>
          <w:p>
            <w:pPr>
              <w:spacing w:after="0" w:line="142" w:lineRule="exact"/>
              <w:rPr>
                <w:rFonts w:ascii="Times New Roman" w:cs="Times New Roman" w:eastAsia="Times New Roman" w:hAnsi="Times New Roman"/>
                <w:sz w:val="16"/>
                <w:szCs w:val="16"/>
                <w:color w:val="0000FF"/>
              </w:rPr>
            </w:pPr>
            <w:hyperlink r:id="rId106">
              <w:r>
                <w:rPr>
                  <w:rFonts w:ascii="Times New Roman" w:cs="Times New Roman" w:eastAsia="Times New Roman" w:hAnsi="Times New Roman"/>
                  <w:sz w:val="16"/>
                  <w:szCs w:val="16"/>
                  <w:color w:val="0000FF"/>
                </w:rPr>
                <w:t>to Exhibit 10.1 to the Company’s Current Report on Form 8-K filed on August 7, 2019).</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8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9660" w:type="dxa"/>
            <w:vAlign w:val="bottom"/>
            <w:gridSpan w:val="16"/>
          </w:tcPr>
          <w:p>
            <w:pPr>
              <w:spacing w:after="0"/>
              <w:rPr>
                <w:rFonts w:ascii="Times New Roman" w:cs="Times New Roman" w:eastAsia="Times New Roman" w:hAnsi="Times New Roman"/>
                <w:sz w:val="16"/>
                <w:szCs w:val="16"/>
                <w:color w:val="0000FF"/>
              </w:rPr>
            </w:pPr>
            <w:hyperlink r:id="rId107">
              <w:r>
                <w:rPr>
                  <w:rFonts w:ascii="Times New Roman" w:cs="Times New Roman" w:eastAsia="Times New Roman" w:hAnsi="Times New Roman"/>
                  <w:sz w:val="16"/>
                  <w:szCs w:val="16"/>
                  <w:color w:val="0000FF"/>
                </w:rPr>
                <w:t>ABL Credit Agreement, dated as of August 6, 2019, among HC Group Holdings II, LLC, as the Initial Borrower, BioScrip, Inc., as the Parent</w:t>
              </w:r>
            </w:hyperlink>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9180" w:type="dxa"/>
            <w:vAlign w:val="bottom"/>
            <w:tcBorders>
              <w:top w:val="single" w:sz="8" w:color="0000FF"/>
            </w:tcBorders>
            <w:gridSpan w:val="8"/>
          </w:tcPr>
          <w:p>
            <w:pPr>
              <w:spacing w:after="0" w:line="142" w:lineRule="exact"/>
              <w:rPr>
                <w:rFonts w:ascii="Times New Roman" w:cs="Times New Roman" w:eastAsia="Times New Roman" w:hAnsi="Times New Roman"/>
                <w:sz w:val="16"/>
                <w:szCs w:val="16"/>
                <w:color w:val="0000FF"/>
              </w:rPr>
            </w:pPr>
            <w:hyperlink r:id="rId107">
              <w:r>
                <w:rPr>
                  <w:rFonts w:ascii="Times New Roman" w:cs="Times New Roman" w:eastAsia="Times New Roman" w:hAnsi="Times New Roman"/>
                  <w:sz w:val="16"/>
                  <w:szCs w:val="16"/>
                  <w:color w:val="0000FF"/>
                </w:rPr>
                <w:t>Borrower, and Bank of America N.A., as the Administrative Agent, Issuing Bank and Swing Line Lender, the other lenders party thereto from</w:t>
              </w:r>
            </w:hyperlink>
          </w:p>
        </w:tc>
        <w:tc>
          <w:tcPr>
            <w:tcW w:w="20" w:type="dxa"/>
            <w:vAlign w:val="bottom"/>
          </w:tcPr>
          <w:p>
            <w:pPr>
              <w:spacing w:after="0"/>
              <w:rPr>
                <w:sz w:val="12"/>
                <w:szCs w:val="12"/>
                <w:color w:val="auto"/>
              </w:rPr>
            </w:pPr>
          </w:p>
        </w:tc>
        <w:tc>
          <w:tcPr>
            <w:tcW w:w="460" w:type="dxa"/>
            <w:vAlign w:val="bottom"/>
            <w:gridSpan w:val="7"/>
          </w:tcPr>
          <w:p>
            <w:pPr>
              <w:ind w:left="60"/>
              <w:spacing w:after="0" w:line="142" w:lineRule="exact"/>
              <w:rPr>
                <w:rFonts w:ascii="Times New Roman" w:cs="Times New Roman" w:eastAsia="Times New Roman" w:hAnsi="Times New Roman"/>
                <w:sz w:val="16"/>
                <w:szCs w:val="16"/>
                <w:color w:val="0000FF"/>
              </w:rPr>
            </w:pPr>
            <w:hyperlink r:id="rId107">
              <w:r>
                <w:rPr>
                  <w:rFonts w:ascii="Times New Roman" w:cs="Times New Roman" w:eastAsia="Times New Roman" w:hAnsi="Times New Roman"/>
                  <w:sz w:val="16"/>
                  <w:szCs w:val="16"/>
                  <w:color w:val="0000FF"/>
                </w:rPr>
                <w:t>time</w:t>
              </w:r>
            </w:hyperlink>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9560" w:type="dxa"/>
            <w:vAlign w:val="bottom"/>
            <w:tcBorders>
              <w:top w:val="single" w:sz="8" w:color="0000FF"/>
            </w:tcBorders>
            <w:gridSpan w:val="13"/>
          </w:tcPr>
          <w:p>
            <w:pPr>
              <w:spacing w:after="0" w:line="142" w:lineRule="exact"/>
              <w:rPr>
                <w:rFonts w:ascii="Times New Roman" w:cs="Times New Roman" w:eastAsia="Times New Roman" w:hAnsi="Times New Roman"/>
                <w:sz w:val="16"/>
                <w:szCs w:val="16"/>
                <w:color w:val="0000FF"/>
              </w:rPr>
            </w:pPr>
            <w:hyperlink r:id="rId107">
              <w:r>
                <w:rPr>
                  <w:rFonts w:ascii="Times New Roman" w:cs="Times New Roman" w:eastAsia="Times New Roman" w:hAnsi="Times New Roman"/>
                  <w:sz w:val="16"/>
                  <w:szCs w:val="16"/>
                  <w:color w:val="0000FF"/>
                </w:rPr>
                <w:t>to time and Bank of America, N.A. and ACF Finco I LP as Joint Lead Arrangers and Joint Lead Bookrunners (incorporated by reference to Exhibit</w:t>
              </w:r>
            </w:hyperlink>
          </w:p>
        </w:tc>
        <w:tc>
          <w:tcPr>
            <w:tcW w:w="10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504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6"/>
                <w:szCs w:val="16"/>
                <w:color w:val="0000FF"/>
              </w:rPr>
            </w:pPr>
            <w:hyperlink r:id="rId107">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4</w:t>
              </w:r>
              <w:r>
                <w:rPr>
                  <w:rFonts w:ascii="Times New Roman" w:cs="Times New Roman" w:eastAsia="Times New Roman" w:hAnsi="Times New Roman"/>
                  <w:sz w:val="16"/>
                  <w:szCs w:val="16"/>
                  <w:color w:val="0000FF"/>
                </w:rPr>
                <w:t xml:space="preserve"> to the Company’s Current Report on Form 8-K filed on August 7, 2019).</w:t>
              </w:r>
            </w:hyperlink>
          </w:p>
        </w:tc>
        <w:tc>
          <w:tcPr>
            <w:tcW w:w="4500" w:type="dxa"/>
            <w:vAlign w:val="bottom"/>
            <w:tcBorders>
              <w:top w:val="single" w:sz="8" w:color="0000FF"/>
            </w:tcBorders>
            <w:gridSpan w:val="9"/>
          </w:tcPr>
          <w:p>
            <w:pPr>
              <w:spacing w:after="0"/>
              <w:rPr>
                <w:sz w:val="12"/>
                <w:szCs w:val="12"/>
                <w:color w:val="auto"/>
              </w:rPr>
            </w:pPr>
          </w:p>
        </w:tc>
        <w:tc>
          <w:tcPr>
            <w:tcW w:w="12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10.2†</w:t>
            </w:r>
          </w:p>
        </w:tc>
        <w:tc>
          <w:tcPr>
            <w:tcW w:w="9660" w:type="dxa"/>
            <w:vAlign w:val="bottom"/>
            <w:gridSpan w:val="16"/>
          </w:tcPr>
          <w:p>
            <w:pPr>
              <w:spacing w:after="0"/>
              <w:rPr>
                <w:rFonts w:ascii="Times New Roman" w:cs="Times New Roman" w:eastAsia="Times New Roman" w:hAnsi="Times New Roman"/>
                <w:sz w:val="16"/>
                <w:szCs w:val="16"/>
                <w:color w:val="0000FF"/>
              </w:rPr>
            </w:pPr>
            <w:hyperlink r:id="rId108">
              <w:r>
                <w:rPr>
                  <w:rFonts w:ascii="Times New Roman" w:cs="Times New Roman" w:eastAsia="Times New Roman" w:hAnsi="Times New Roman"/>
                  <w:sz w:val="16"/>
                  <w:szCs w:val="16"/>
                  <w:color w:val="0000FF"/>
                </w:rPr>
                <w:t>Option Care Health, Inc. Executive Severance Plan, effective as of May 11, 2020 (incorporated by reference to Exhibit 10.5 of the Company's</w:t>
              </w:r>
            </w:hyperlink>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380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rPr>
            </w:pPr>
            <w:hyperlink r:id="rId108">
              <w:r>
                <w:rPr>
                  <w:rFonts w:ascii="Times New Roman" w:cs="Times New Roman" w:eastAsia="Times New Roman" w:hAnsi="Times New Roman"/>
                  <w:sz w:val="16"/>
                  <w:szCs w:val="16"/>
                  <w:color w:val="0000FF"/>
                </w:rPr>
                <w:t>Annual Report on Form 10-K filed on February 23, 2023).</w:t>
              </w:r>
            </w:hyperlink>
          </w:p>
        </w:tc>
        <w:tc>
          <w:tcPr>
            <w:tcW w:w="5400" w:type="dxa"/>
            <w:vAlign w:val="bottom"/>
            <w:tcBorders>
              <w:top w:val="single" w:sz="8" w:color="0000FF"/>
            </w:tcBorders>
            <w:gridSpan w:val="8"/>
          </w:tcPr>
          <w:p>
            <w:pPr>
              <w:spacing w:after="0"/>
              <w:rPr>
                <w:sz w:val="12"/>
                <w:szCs w:val="12"/>
                <w:color w:val="auto"/>
              </w:rPr>
            </w:pPr>
          </w:p>
        </w:tc>
        <w:tc>
          <w:tcPr>
            <w:tcW w:w="18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10.3</w:t>
            </w:r>
          </w:p>
        </w:tc>
        <w:tc>
          <w:tcPr>
            <w:tcW w:w="9660" w:type="dxa"/>
            <w:vAlign w:val="bottom"/>
            <w:gridSpan w:val="16"/>
          </w:tcPr>
          <w:p>
            <w:pPr>
              <w:spacing w:after="0"/>
              <w:rPr>
                <w:rFonts w:ascii="Times New Roman" w:cs="Times New Roman" w:eastAsia="Times New Roman" w:hAnsi="Times New Roman"/>
                <w:sz w:val="16"/>
                <w:szCs w:val="16"/>
                <w:color w:val="0000FF"/>
              </w:rPr>
            </w:pPr>
            <w:hyperlink r:id="rId109">
              <w:r>
                <w:rPr>
                  <w:rFonts w:ascii="Times New Roman" w:cs="Times New Roman" w:eastAsia="Times New Roman" w:hAnsi="Times New Roman"/>
                  <w:sz w:val="16"/>
                  <w:szCs w:val="16"/>
                  <w:color w:val="0000FF"/>
                </w:rPr>
                <w:t>First Amendment to ABL Credit Agreement, dated as of October 5, 2020, among Option Care Health, Inc. (f/k/a BioScrip, Inc.), each Guarantor</w:t>
              </w:r>
            </w:hyperlink>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9380" w:type="dxa"/>
            <w:vAlign w:val="bottom"/>
            <w:tcBorders>
              <w:top w:val="single" w:sz="8" w:color="0000FF"/>
            </w:tcBorders>
            <w:gridSpan w:val="11"/>
          </w:tcPr>
          <w:p>
            <w:pPr>
              <w:spacing w:after="0" w:line="142" w:lineRule="exact"/>
              <w:rPr>
                <w:rFonts w:ascii="Times New Roman" w:cs="Times New Roman" w:eastAsia="Times New Roman" w:hAnsi="Times New Roman"/>
                <w:sz w:val="16"/>
                <w:szCs w:val="16"/>
                <w:color w:val="0000FF"/>
              </w:rPr>
            </w:pPr>
            <w:hyperlink r:id="rId109">
              <w:r>
                <w:rPr>
                  <w:rFonts w:ascii="Times New Roman" w:cs="Times New Roman" w:eastAsia="Times New Roman" w:hAnsi="Times New Roman"/>
                  <w:sz w:val="16"/>
                  <w:szCs w:val="16"/>
                  <w:color w:val="0000FF"/>
                </w:rPr>
                <w:t>party hereto, each lender party hereto and Bank of America, N.A., as administrative agent (incorporated by reference to Exhibit 10.1 of the</w:t>
              </w:r>
            </w:hyperlink>
          </w:p>
        </w:tc>
        <w:tc>
          <w:tcPr>
            <w:tcW w:w="160" w:type="dxa"/>
            <w:vAlign w:val="bottom"/>
          </w:tcPr>
          <w:p>
            <w:pPr>
              <w:spacing w:after="0"/>
              <w:rPr>
                <w:sz w:val="12"/>
                <w:szCs w:val="12"/>
                <w:color w:val="auto"/>
              </w:rPr>
            </w:pPr>
          </w:p>
        </w:tc>
        <w:tc>
          <w:tcPr>
            <w:tcW w:w="12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9000" w:type="dxa"/>
            <w:vAlign w:val="bottom"/>
            <w:tcBorders>
              <w:top w:val="single" w:sz="8" w:color="0000FF"/>
            </w:tcBorders>
            <w:gridSpan w:val="7"/>
          </w:tcPr>
          <w:p>
            <w:pPr>
              <w:spacing w:after="0" w:line="142" w:lineRule="exact"/>
              <w:rPr>
                <w:rFonts w:ascii="Times New Roman" w:cs="Times New Roman" w:eastAsia="Times New Roman" w:hAnsi="Times New Roman"/>
                <w:sz w:val="16"/>
                <w:szCs w:val="16"/>
                <w:color w:val="0000FF"/>
              </w:rPr>
            </w:pPr>
            <w:hyperlink r:id="rId109">
              <w:r>
                <w:rPr>
                  <w:rFonts w:ascii="Times New Roman" w:cs="Times New Roman" w:eastAsia="Times New Roman" w:hAnsi="Times New Roman"/>
                  <w:sz w:val="16"/>
                  <w:szCs w:val="16"/>
                  <w:color w:val="0000FF"/>
                </w:rPr>
                <w:t>Company's Current Report on Form 8-K filed on October 6, 2020).</w:t>
              </w:r>
            </w:hyperlink>
          </w:p>
        </w:tc>
        <w:tc>
          <w:tcPr>
            <w:tcW w:w="540" w:type="dxa"/>
            <w:vAlign w:val="bottom"/>
            <w:gridSpan w:val="5"/>
          </w:tcPr>
          <w:p>
            <w:pPr>
              <w:spacing w:after="0"/>
              <w:rPr>
                <w:sz w:val="12"/>
                <w:szCs w:val="12"/>
                <w:color w:val="auto"/>
              </w:rPr>
            </w:pPr>
          </w:p>
        </w:tc>
        <w:tc>
          <w:tcPr>
            <w:tcW w:w="12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10.4</w:t>
            </w:r>
          </w:p>
        </w:tc>
        <w:tc>
          <w:tcPr>
            <w:tcW w:w="4340" w:type="dxa"/>
            <w:vAlign w:val="bottom"/>
            <w:gridSpan w:val="2"/>
            <w:shd w:val="clear" w:color="auto" w:fill="0000FF"/>
          </w:tcPr>
          <w:p>
            <w:pPr>
              <w:spacing w:after="0" w:line="20" w:lineRule="exact"/>
              <w:rPr>
                <w:sz w:val="1"/>
                <w:szCs w:val="1"/>
                <w:color w:val="auto"/>
              </w:rPr>
            </w:pPr>
          </w:p>
        </w:tc>
        <w:tc>
          <w:tcPr>
            <w:tcW w:w="5200" w:type="dxa"/>
            <w:vAlign w:val="bottom"/>
            <w:gridSpan w:val="10"/>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 w:type="dxa"/>
            <w:vAlign w:val="bottom"/>
            <w:vMerge w:val="continue"/>
          </w:tcPr>
          <w:p>
            <w:pPr>
              <w:spacing w:after="0"/>
              <w:rPr>
                <w:sz w:val="18"/>
                <w:szCs w:val="18"/>
                <w:color w:val="auto"/>
              </w:rPr>
            </w:pPr>
          </w:p>
        </w:tc>
        <w:tc>
          <w:tcPr>
            <w:tcW w:w="9540" w:type="dxa"/>
            <w:vAlign w:val="bottom"/>
            <w:tcBorders>
              <w:bottom w:val="single" w:sz="8" w:color="0000FF"/>
            </w:tcBorders>
            <w:gridSpan w:val="12"/>
          </w:tcPr>
          <w:p>
            <w:pPr>
              <w:spacing w:after="0"/>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Second Amendment to ABL Credit Agreement, dated as of January 21, 2021, by and among Option Care Health, Inc., the guarantors party thereto,</w:t>
              </w:r>
            </w:hyperlink>
          </w:p>
        </w:tc>
        <w:tc>
          <w:tcPr>
            <w:tcW w:w="12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180"/>
          </w:cols>
          <w:pgMar w:left="320" w:top="118" w:right="39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10.5†</w:t>
      </w:r>
    </w:p>
    <w:p>
      <w:pPr>
        <w:spacing w:after="0" w:line="2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10.6</w:t>
      </w:r>
    </w:p>
    <w:p>
      <w:pPr>
        <w:spacing w:after="0" w:line="200" w:lineRule="exact"/>
        <w:rPr>
          <w:sz w:val="20"/>
          <w:szCs w:val="20"/>
          <w:color w:val="auto"/>
        </w:rPr>
      </w:pPr>
    </w:p>
    <w:p>
      <w:pPr>
        <w:spacing w:after="0" w:line="2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10.7</w:t>
      </w:r>
    </w:p>
    <w:p>
      <w:pPr>
        <w:spacing w:after="0" w:line="2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10.8</w:t>
      </w:r>
    </w:p>
    <w:p>
      <w:pPr>
        <w:spacing w:after="0" w:line="2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10.9</w:t>
      </w:r>
    </w:p>
    <w:p>
      <w:pPr>
        <w:spacing w:after="0" w:line="2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10.10</w:t>
      </w:r>
    </w:p>
    <w:p>
      <w:pPr>
        <w:spacing w:after="0" w:line="20" w:lineRule="exact"/>
        <w:rPr>
          <w:sz w:val="20"/>
          <w:szCs w:val="20"/>
          <w:color w:val="auto"/>
        </w:rPr>
      </w:pPr>
      <w:r>
        <w:rPr>
          <w:sz w:val="20"/>
          <w:szCs w:val="20"/>
          <w:color w:val="auto"/>
        </w:rPr>
        <w:br w:type="column"/>
      </w:r>
    </w:p>
    <w:p>
      <w:pPr>
        <w:ind w:right="220"/>
        <w:spacing w:after="0" w:line="290" w:lineRule="auto"/>
        <w:rPr>
          <w:rFonts w:ascii="Times New Roman" w:cs="Times New Roman" w:eastAsia="Times New Roman" w:hAnsi="Times New Roman"/>
          <w:sz w:val="16"/>
          <w:szCs w:val="16"/>
          <w:u w:val="single" w:color="auto"/>
          <w:color w:val="0000FF"/>
        </w:rPr>
      </w:pPr>
      <w:hyperlink r:id="rId110">
        <w:r>
          <w:rPr>
            <w:rFonts w:ascii="Times New Roman" w:cs="Times New Roman" w:eastAsia="Times New Roman" w:hAnsi="Times New Roman"/>
            <w:sz w:val="16"/>
            <w:szCs w:val="16"/>
            <w:u w:val="single" w:color="auto"/>
            <w:color w:val="0000FF"/>
          </w:rPr>
          <w:t>Bank of America, N.A. and the financial institutions party thereto (incorporated by reference to Exhibit 10.2 of the Company's Current Report on</w:t>
        </w:r>
      </w:hyperlink>
      <w:r>
        <w:rPr>
          <w:rFonts w:ascii="Times New Roman" w:cs="Times New Roman" w:eastAsia="Times New Roman" w:hAnsi="Times New Roman"/>
          <w:sz w:val="16"/>
          <w:szCs w:val="16"/>
          <w:u w:val="single" w:color="auto"/>
          <w:color w:val="0000FF"/>
        </w:rPr>
        <w:t xml:space="preserve"> </w:t>
      </w:r>
      <w:hyperlink r:id="rId110">
        <w:r>
          <w:rPr>
            <w:rFonts w:ascii="Times New Roman" w:cs="Times New Roman" w:eastAsia="Times New Roman" w:hAnsi="Times New Roman"/>
            <w:sz w:val="16"/>
            <w:szCs w:val="16"/>
            <w:u w:val="single" w:color="auto"/>
            <w:color w:val="0000FF"/>
          </w:rPr>
          <w:t>Form 8-K filed on January 22, 2021).</w:t>
        </w:r>
      </w:hyperlink>
    </w:p>
    <w:p>
      <w:pPr>
        <w:spacing w:after="0" w:line="1" w:lineRule="exact"/>
        <w:rPr>
          <w:sz w:val="20"/>
          <w:szCs w:val="20"/>
          <w:color w:val="auto"/>
        </w:rPr>
      </w:pPr>
    </w:p>
    <w:p>
      <w:pPr>
        <w:ind w:right="420"/>
        <w:spacing w:after="0" w:line="280" w:lineRule="auto"/>
        <w:rPr>
          <w:rFonts w:ascii="Times New Roman" w:cs="Times New Roman" w:eastAsia="Times New Roman" w:hAnsi="Times New Roman"/>
          <w:sz w:val="16"/>
          <w:szCs w:val="16"/>
          <w:u w:val="single" w:color="auto"/>
          <w:color w:val="0000FF"/>
        </w:rPr>
      </w:pPr>
      <w:hyperlink r:id="rId111">
        <w:r>
          <w:rPr>
            <w:rFonts w:ascii="Times New Roman" w:cs="Times New Roman" w:eastAsia="Times New Roman" w:hAnsi="Times New Roman"/>
            <w:sz w:val="16"/>
            <w:szCs w:val="16"/>
            <w:u w:val="single" w:color="auto"/>
            <w:color w:val="0000FF"/>
          </w:rPr>
          <w:t>Option Care Health, Inc. 2018 Equity Incentive Plan updated as of May 19, 2021 (incorporated by reference to Exhibit 10.1 of the Company’s</w:t>
        </w:r>
      </w:hyperlink>
      <w:r>
        <w:rPr>
          <w:rFonts w:ascii="Times New Roman" w:cs="Times New Roman" w:eastAsia="Times New Roman" w:hAnsi="Times New Roman"/>
          <w:sz w:val="16"/>
          <w:szCs w:val="16"/>
          <w:u w:val="single" w:color="auto"/>
          <w:color w:val="0000FF"/>
        </w:rPr>
        <w:t xml:space="preserve"> </w:t>
      </w:r>
      <w:hyperlink r:id="rId111">
        <w:r>
          <w:rPr>
            <w:rFonts w:ascii="Times New Roman" w:cs="Times New Roman" w:eastAsia="Times New Roman" w:hAnsi="Times New Roman"/>
            <w:sz w:val="16"/>
            <w:szCs w:val="16"/>
            <w:u w:val="single" w:color="auto"/>
            <w:color w:val="0000FF"/>
          </w:rPr>
          <w:t>Quarterly Report on Form 10-Q/A filed on August 3, 2021).</w:t>
        </w:r>
      </w:hyperlink>
    </w:p>
    <w:p>
      <w:pPr>
        <w:spacing w:after="0" w:line="3" w:lineRule="exact"/>
        <w:rPr>
          <w:sz w:val="20"/>
          <w:szCs w:val="20"/>
          <w:color w:val="auto"/>
        </w:rPr>
      </w:pPr>
    </w:p>
    <w:p>
      <w:pPr>
        <w:ind w:right="20"/>
        <w:spacing w:after="0" w:line="254" w:lineRule="auto"/>
        <w:rPr>
          <w:rFonts w:ascii="Times New Roman" w:cs="Times New Roman" w:eastAsia="Times New Roman" w:hAnsi="Times New Roman"/>
          <w:sz w:val="16"/>
          <w:szCs w:val="16"/>
          <w:u w:val="single" w:color="auto"/>
          <w:color w:val="0000FF"/>
        </w:rPr>
      </w:pPr>
      <w:hyperlink r:id="rId112">
        <w:r>
          <w:rPr>
            <w:rFonts w:ascii="Times New Roman" w:cs="Times New Roman" w:eastAsia="Times New Roman" w:hAnsi="Times New Roman"/>
            <w:sz w:val="16"/>
            <w:szCs w:val="16"/>
            <w:u w:val="single" w:color="auto"/>
            <w:color w:val="0000FF"/>
          </w:rPr>
          <w:t>Indenture, dated as of October 27, 2021, by and between Option Care Health, Inc., each of the Guarantors (as defined therein) listed on the signature</w:t>
        </w:r>
      </w:hyperlink>
      <w:r>
        <w:rPr>
          <w:rFonts w:ascii="Times New Roman" w:cs="Times New Roman" w:eastAsia="Times New Roman" w:hAnsi="Times New Roman"/>
          <w:sz w:val="16"/>
          <w:szCs w:val="16"/>
          <w:u w:val="single" w:color="auto"/>
          <w:color w:val="0000FF"/>
        </w:rPr>
        <w:t xml:space="preserve"> </w:t>
      </w:r>
      <w:hyperlink r:id="rId112">
        <w:r>
          <w:rPr>
            <w:rFonts w:ascii="Times New Roman" w:cs="Times New Roman" w:eastAsia="Times New Roman" w:hAnsi="Times New Roman"/>
            <w:sz w:val="16"/>
            <w:szCs w:val="16"/>
            <w:u w:val="single" w:color="auto"/>
            <w:color w:val="0000FF"/>
          </w:rPr>
          <w:t>pages thereto and Ankura Trust Company, LLC as trustee (incorporated by reference to Exhibit 4.1 of the Company’s Current Report on Form 8-K</w:t>
        </w:r>
      </w:hyperlink>
      <w:r>
        <w:rPr>
          <w:rFonts w:ascii="Times New Roman" w:cs="Times New Roman" w:eastAsia="Times New Roman" w:hAnsi="Times New Roman"/>
          <w:sz w:val="16"/>
          <w:szCs w:val="16"/>
          <w:u w:val="single" w:color="auto"/>
          <w:color w:val="0000FF"/>
        </w:rPr>
        <w:t xml:space="preserve"> </w:t>
      </w:r>
      <w:hyperlink r:id="rId112">
        <w:r>
          <w:rPr>
            <w:rFonts w:ascii="Times New Roman" w:cs="Times New Roman" w:eastAsia="Times New Roman" w:hAnsi="Times New Roman"/>
            <w:sz w:val="16"/>
            <w:szCs w:val="16"/>
            <w:u w:val="single" w:color="auto"/>
            <w:color w:val="0000FF"/>
          </w:rPr>
          <w:t>filed on October 29, 2021).</w:t>
        </w:r>
      </w:hyperlink>
    </w:p>
    <w:p>
      <w:pPr>
        <w:spacing w:after="0" w:line="23" w:lineRule="exact"/>
        <w:rPr>
          <w:rFonts w:ascii="Times New Roman" w:cs="Times New Roman" w:eastAsia="Times New Roman" w:hAnsi="Times New Roman"/>
          <w:sz w:val="16"/>
          <w:szCs w:val="16"/>
          <w:u w:val="single" w:color="auto"/>
          <w:color w:val="0000FF"/>
        </w:rPr>
      </w:pPr>
    </w:p>
    <w:p>
      <w:pPr>
        <w:spacing w:after="0" w:line="280" w:lineRule="auto"/>
        <w:rPr>
          <w:rFonts w:ascii="Times New Roman" w:cs="Times New Roman" w:eastAsia="Times New Roman" w:hAnsi="Times New Roman"/>
          <w:sz w:val="16"/>
          <w:szCs w:val="16"/>
          <w:u w:val="single" w:color="auto"/>
          <w:color w:val="0000FF"/>
        </w:rPr>
      </w:pPr>
      <w:hyperlink r:id="rId112">
        <w:r>
          <w:rPr>
            <w:rFonts w:ascii="Times New Roman" w:cs="Times New Roman" w:eastAsia="Times New Roman" w:hAnsi="Times New Roman"/>
            <w:sz w:val="16"/>
            <w:szCs w:val="16"/>
            <w:u w:val="single" w:color="auto"/>
            <w:color w:val="0000FF"/>
          </w:rPr>
          <w:t>Form of 4.375% Senior Notes due 2029 (included in Exhibit 10.14 and incorporated by reference to Exhibit 4.2 of the Company’s Current Report on</w:t>
        </w:r>
      </w:hyperlink>
      <w:r>
        <w:rPr>
          <w:rFonts w:ascii="Times New Roman" w:cs="Times New Roman" w:eastAsia="Times New Roman" w:hAnsi="Times New Roman"/>
          <w:sz w:val="16"/>
          <w:szCs w:val="16"/>
          <w:u w:val="single" w:color="auto"/>
          <w:color w:val="0000FF"/>
        </w:rPr>
        <w:t xml:space="preserve"> </w:t>
      </w:r>
      <w:hyperlink r:id="rId112">
        <w:r>
          <w:rPr>
            <w:rFonts w:ascii="Times New Roman" w:cs="Times New Roman" w:eastAsia="Times New Roman" w:hAnsi="Times New Roman"/>
            <w:sz w:val="16"/>
            <w:szCs w:val="16"/>
            <w:u w:val="single" w:color="auto"/>
            <w:color w:val="0000FF"/>
          </w:rPr>
          <w:t>Form 8-K filed on October 29, 2021).</w:t>
        </w:r>
      </w:hyperlink>
    </w:p>
    <w:p>
      <w:pPr>
        <w:spacing w:after="0" w:line="16" w:lineRule="exact"/>
        <w:rPr>
          <w:sz w:val="20"/>
          <w:szCs w:val="20"/>
          <w:color w:val="auto"/>
        </w:rPr>
      </w:pPr>
    </w:p>
    <w:p>
      <w:pPr>
        <w:ind w:right="220"/>
        <w:spacing w:after="0" w:line="280" w:lineRule="auto"/>
        <w:rPr>
          <w:rFonts w:ascii="Times New Roman" w:cs="Times New Roman" w:eastAsia="Times New Roman" w:hAnsi="Times New Roman"/>
          <w:sz w:val="16"/>
          <w:szCs w:val="16"/>
          <w:u w:val="single" w:color="auto"/>
          <w:color w:val="0000FF"/>
        </w:rPr>
      </w:pPr>
      <w:hyperlink r:id="rId113">
        <w:r>
          <w:rPr>
            <w:rFonts w:ascii="Times New Roman" w:cs="Times New Roman" w:eastAsia="Times New Roman" w:hAnsi="Times New Roman"/>
            <w:sz w:val="16"/>
            <w:szCs w:val="16"/>
            <w:u w:val="single" w:color="auto"/>
            <w:color w:val="0000FF"/>
          </w:rPr>
          <w:t>Second Amendment and Amendment and Restatement Agreement to First Lien Credit Agreement, dated as of October 27, 2021 (incorporated by</w:t>
        </w:r>
      </w:hyperlink>
      <w:r>
        <w:rPr>
          <w:rFonts w:ascii="Times New Roman" w:cs="Times New Roman" w:eastAsia="Times New Roman" w:hAnsi="Times New Roman"/>
          <w:sz w:val="16"/>
          <w:szCs w:val="16"/>
          <w:u w:val="single" w:color="auto"/>
          <w:color w:val="0000FF"/>
        </w:rPr>
        <w:t xml:space="preserve"> </w:t>
      </w:r>
      <w:hyperlink r:id="rId113">
        <w:r>
          <w:rPr>
            <w:rFonts w:ascii="Times New Roman" w:cs="Times New Roman" w:eastAsia="Times New Roman" w:hAnsi="Times New Roman"/>
            <w:sz w:val="16"/>
            <w:szCs w:val="16"/>
            <w:u w:val="single" w:color="auto"/>
            <w:color w:val="0000FF"/>
          </w:rPr>
          <w:t>reference to Exhibit 10.1 of the Company's Current Report on Form 8-K filed on October 29, 2021).</w:t>
        </w:r>
      </w:hyperlink>
    </w:p>
    <w:p>
      <w:pPr>
        <w:spacing w:after="0" w:line="16" w:lineRule="exact"/>
        <w:rPr>
          <w:sz w:val="20"/>
          <w:szCs w:val="20"/>
          <w:color w:val="auto"/>
        </w:rPr>
      </w:pPr>
    </w:p>
    <w:p>
      <w:pPr>
        <w:ind w:right="280"/>
        <w:spacing w:after="0" w:line="280" w:lineRule="auto"/>
        <w:rPr>
          <w:rFonts w:ascii="Times New Roman" w:cs="Times New Roman" w:eastAsia="Times New Roman" w:hAnsi="Times New Roman"/>
          <w:sz w:val="16"/>
          <w:szCs w:val="16"/>
          <w:u w:val="single" w:color="auto"/>
          <w:color w:val="0000FF"/>
        </w:rPr>
      </w:pPr>
      <w:hyperlink r:id="rId114">
        <w:r>
          <w:rPr>
            <w:rFonts w:ascii="Times New Roman" w:cs="Times New Roman" w:eastAsia="Times New Roman" w:hAnsi="Times New Roman"/>
            <w:sz w:val="16"/>
            <w:szCs w:val="16"/>
            <w:u w:val="single" w:color="auto"/>
            <w:color w:val="0000FF"/>
          </w:rPr>
          <w:t>Third Amendment to ABL Credit Agreement, dated as of October 27, 2021 (incorporated by reference to Exhibit 10.2 of the Company's Current</w:t>
        </w:r>
      </w:hyperlink>
      <w:r>
        <w:rPr>
          <w:rFonts w:ascii="Times New Roman" w:cs="Times New Roman" w:eastAsia="Times New Roman" w:hAnsi="Times New Roman"/>
          <w:sz w:val="16"/>
          <w:szCs w:val="16"/>
          <w:u w:val="single" w:color="auto"/>
          <w:color w:val="0000FF"/>
        </w:rPr>
        <w:t xml:space="preserve"> </w:t>
      </w:r>
      <w:hyperlink r:id="rId114">
        <w:r>
          <w:rPr>
            <w:rFonts w:ascii="Times New Roman" w:cs="Times New Roman" w:eastAsia="Times New Roman" w:hAnsi="Times New Roman"/>
            <w:sz w:val="16"/>
            <w:szCs w:val="16"/>
            <w:u w:val="single" w:color="auto"/>
            <w:color w:val="0000FF"/>
          </w:rPr>
          <w:t>Report on Form 8-K filed on October 29, 2021).</w:t>
        </w:r>
      </w:hyperlink>
    </w:p>
    <w:p>
      <w:pPr>
        <w:spacing w:after="0" w:line="16" w:lineRule="exact"/>
        <w:rPr>
          <w:sz w:val="20"/>
          <w:szCs w:val="20"/>
          <w:color w:val="auto"/>
        </w:rPr>
      </w:pPr>
    </w:p>
    <w:p>
      <w:pPr>
        <w:ind w:right="340"/>
        <w:spacing w:after="0" w:line="280" w:lineRule="auto"/>
        <w:rPr>
          <w:rFonts w:ascii="Times New Roman" w:cs="Times New Roman" w:eastAsia="Times New Roman" w:hAnsi="Times New Roman"/>
          <w:sz w:val="16"/>
          <w:szCs w:val="16"/>
          <w:u w:val="single" w:color="auto"/>
          <w:color w:val="0000FF"/>
        </w:rPr>
      </w:pPr>
      <w:hyperlink r:id="rId115">
        <w:r>
          <w:rPr>
            <w:rFonts w:ascii="Times New Roman" w:cs="Times New Roman" w:eastAsia="Times New Roman" w:hAnsi="Times New Roman"/>
            <w:sz w:val="16"/>
            <w:szCs w:val="16"/>
            <w:u w:val="single" w:color="auto"/>
            <w:color w:val="0000FF"/>
          </w:rPr>
          <w:t>Fourth Amendment to ABL Credit Agreement, dated as of January 13, 2023, among Option Care Health, Inc. (f/k/a BioScrip, Inc.), a Delaware</w:t>
        </w:r>
      </w:hyperlink>
      <w:r>
        <w:rPr>
          <w:rFonts w:ascii="Times New Roman" w:cs="Times New Roman" w:eastAsia="Times New Roman" w:hAnsi="Times New Roman"/>
          <w:sz w:val="16"/>
          <w:szCs w:val="16"/>
          <w:u w:val="single" w:color="auto"/>
          <w:color w:val="0000FF"/>
        </w:rPr>
        <w:t xml:space="preserve"> </w:t>
      </w:r>
      <w:hyperlink r:id="rId115">
        <w:r>
          <w:rPr>
            <w:rFonts w:ascii="Times New Roman" w:cs="Times New Roman" w:eastAsia="Times New Roman" w:hAnsi="Times New Roman"/>
            <w:sz w:val="16"/>
            <w:szCs w:val="16"/>
            <w:u w:val="single" w:color="auto"/>
            <w:color w:val="0000FF"/>
          </w:rPr>
          <w:t>corporation, each guarantor party thereto, each lender party thereto and Bank of America, N.A., as administrative agent.</w:t>
        </w:r>
      </w:hyperlink>
    </w:p>
    <w:p>
      <w:pPr>
        <w:spacing w:after="0" w:line="3" w:lineRule="exact"/>
        <w:rPr>
          <w:sz w:val="20"/>
          <w:szCs w:val="20"/>
          <w:color w:val="auto"/>
        </w:rPr>
      </w:pPr>
    </w:p>
    <w:p>
      <w:pPr>
        <w:sectPr>
          <w:pgSz w:w="11900" w:h="16838" w:orient="portrait"/>
          <w:cols w:equalWidth="0" w:num="2">
            <w:col w:w="900" w:space="640"/>
            <w:col w:w="9640"/>
          </w:cols>
          <w:pgMar w:left="320" w:top="118" w:right="399" w:bottom="1440" w:gutter="0" w:footer="0" w:header="0"/>
          <w:type w:val="continuous"/>
        </w:sectPr>
      </w:pPr>
    </w:p>
    <w:p>
      <w:pPr>
        <w:ind w:left="540"/>
        <w:spacing w:after="0"/>
        <w:tabs>
          <w:tab w:leader="none" w:pos="15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10.11</w:t>
      </w:r>
      <w:r>
        <w:rPr>
          <w:sz w:val="20"/>
          <w:szCs w:val="20"/>
          <w:color w:val="auto"/>
        </w:rPr>
        <w:tab/>
      </w:r>
      <w:hyperlink r:id="rId116">
        <w:r>
          <w:rPr>
            <w:rFonts w:ascii="Times New Roman" w:cs="Times New Roman" w:eastAsia="Times New Roman" w:hAnsi="Times New Roman"/>
            <w:sz w:val="16"/>
            <w:szCs w:val="16"/>
            <w:u w:val="single" w:color="auto"/>
            <w:color w:val="0000FF"/>
          </w:rPr>
          <w:t>Second Amendment to Amended and Restated First Lien Credit Agreement, dated as of December 7, 2023, among Option Care Health, Inc. (f/k/a</w:t>
        </w:r>
      </w:hyperlink>
    </w:p>
    <w:p>
      <w:pPr>
        <w:sectPr>
          <w:pgSz w:w="11900" w:h="16838" w:orient="portrait"/>
          <w:cols w:equalWidth="0" w:num="1">
            <w:col w:w="11180"/>
          </w:cols>
          <w:pgMar w:left="320" w:top="118" w:right="399" w:bottom="1440" w:gutter="0" w:footer="0" w:header="0"/>
          <w:type w:val="continuous"/>
        </w:sectPr>
      </w:pPr>
    </w:p>
    <w:p>
      <w:pPr>
        <w:spacing w:after="0" w:line="200" w:lineRule="exact"/>
        <w:rPr>
          <w:sz w:val="20"/>
          <w:szCs w:val="20"/>
          <w:color w:val="auto"/>
        </w:rPr>
      </w:pPr>
    </w:p>
    <w:p>
      <w:pPr>
        <w:spacing w:after="0" w:line="2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10.12†</w:t>
      </w:r>
    </w:p>
    <w:p>
      <w:pPr>
        <w:spacing w:after="0" w:line="2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10.13</w:t>
      </w:r>
    </w:p>
    <w:p>
      <w:pPr>
        <w:spacing w:after="0" w:line="2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10.14†</w:t>
      </w:r>
    </w:p>
    <w:p>
      <w:pPr>
        <w:spacing w:after="0" w:line="2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10.15†</w:t>
      </w:r>
    </w:p>
    <w:p>
      <w:pPr>
        <w:spacing w:after="0" w:line="2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10.16†</w:t>
      </w:r>
    </w:p>
    <w:p>
      <w:pPr>
        <w:spacing w:after="0" w:line="2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21.1</w:t>
      </w:r>
    </w:p>
    <w:p>
      <w:pPr>
        <w:spacing w:after="0" w:line="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23.1</w:t>
      </w:r>
    </w:p>
    <w:p>
      <w:pPr>
        <w:spacing w:after="0" w:line="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31.1</w:t>
      </w:r>
    </w:p>
    <w:p>
      <w:pPr>
        <w:spacing w:after="0" w:line="2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31.2</w:t>
      </w:r>
    </w:p>
    <w:p>
      <w:pPr>
        <w:spacing w:after="0" w:line="2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32.1</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100"/>
        <w:spacing w:after="0" w:line="275" w:lineRule="auto"/>
        <w:rPr>
          <w:rFonts w:ascii="Times New Roman" w:cs="Times New Roman" w:eastAsia="Times New Roman" w:hAnsi="Times New Roman"/>
          <w:sz w:val="16"/>
          <w:szCs w:val="16"/>
          <w:u w:val="single" w:color="auto"/>
          <w:color w:val="0000FF"/>
        </w:rPr>
      </w:pPr>
      <w:hyperlink r:id="rId116">
        <w:r>
          <w:rPr>
            <w:rFonts w:ascii="Times New Roman" w:cs="Times New Roman" w:eastAsia="Times New Roman" w:hAnsi="Times New Roman"/>
            <w:sz w:val="16"/>
            <w:szCs w:val="16"/>
            <w:u w:val="single" w:color="auto"/>
            <w:color w:val="0000FF"/>
          </w:rPr>
          <w:t>BioScrip, Inc.), a Delaware corporation, each other Loan Party (as defined therein) party thereto, each Incremental Revolving Lender (incorporated</w:t>
        </w:r>
      </w:hyperlink>
      <w:r>
        <w:rPr>
          <w:rFonts w:ascii="Times New Roman" w:cs="Times New Roman" w:eastAsia="Times New Roman" w:hAnsi="Times New Roman"/>
          <w:sz w:val="16"/>
          <w:szCs w:val="16"/>
          <w:u w:val="single" w:color="auto"/>
          <w:color w:val="0000FF"/>
        </w:rPr>
        <w:t xml:space="preserve"> </w:t>
      </w:r>
      <w:hyperlink r:id="rId116">
        <w:r>
          <w:rPr>
            <w:rFonts w:ascii="Times New Roman" w:cs="Times New Roman" w:eastAsia="Times New Roman" w:hAnsi="Times New Roman"/>
            <w:sz w:val="16"/>
            <w:szCs w:val="16"/>
            <w:u w:val="single" w:color="auto"/>
            <w:color w:val="0000FF"/>
          </w:rPr>
          <w:t>by reference to Exhibit 10.1 to the Company’s Current Report on Form 8-K filed on December 11,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-167005</wp:posOffset>
            </wp:positionV>
            <wp:extent cx="342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7">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ind w:right="300"/>
        <w:spacing w:after="0" w:line="280" w:lineRule="auto"/>
        <w:rPr>
          <w:rFonts w:ascii="Times New Roman" w:cs="Times New Roman" w:eastAsia="Times New Roman" w:hAnsi="Times New Roman"/>
          <w:sz w:val="16"/>
          <w:szCs w:val="16"/>
          <w:u w:val="single" w:color="auto"/>
          <w:color w:val="0000FF"/>
        </w:rPr>
      </w:pPr>
      <w:hyperlink r:id="rId118">
        <w:r>
          <w:rPr>
            <w:rFonts w:ascii="Times New Roman" w:cs="Times New Roman" w:eastAsia="Times New Roman" w:hAnsi="Times New Roman"/>
            <w:sz w:val="16"/>
            <w:szCs w:val="16"/>
            <w:u w:val="single" w:color="auto"/>
            <w:color w:val="0000FF"/>
          </w:rPr>
          <w:t>Option Care Health, Inc. Amended and Restated Executive Severance Plan (incorporated by reference to Exhibit 10.2 to the Company’s Current</w:t>
        </w:r>
      </w:hyperlink>
      <w:r>
        <w:rPr>
          <w:rFonts w:ascii="Times New Roman" w:cs="Times New Roman" w:eastAsia="Times New Roman" w:hAnsi="Times New Roman"/>
          <w:sz w:val="16"/>
          <w:szCs w:val="16"/>
          <w:u w:val="single" w:color="auto"/>
          <w:color w:val="0000FF"/>
        </w:rPr>
        <w:t xml:space="preserve"> </w:t>
      </w:r>
      <w:hyperlink r:id="rId118">
        <w:r>
          <w:rPr>
            <w:rFonts w:ascii="Times New Roman" w:cs="Times New Roman" w:eastAsia="Times New Roman" w:hAnsi="Times New Roman"/>
            <w:sz w:val="16"/>
            <w:szCs w:val="16"/>
            <w:u w:val="single" w:color="auto"/>
            <w:color w:val="0000FF"/>
          </w:rPr>
          <w:t>Report on Form 8-K filed on December 11, 2023)</w:t>
        </w:r>
      </w:hyperlink>
    </w:p>
    <w:p>
      <w:pPr>
        <w:spacing w:after="0" w:line="16" w:lineRule="exact"/>
        <w:rPr>
          <w:sz w:val="20"/>
          <w:szCs w:val="20"/>
          <w:color w:val="auto"/>
        </w:rPr>
      </w:pPr>
    </w:p>
    <w:p>
      <w:pPr>
        <w:ind w:right="860"/>
        <w:spacing w:after="0" w:line="280" w:lineRule="auto"/>
        <w:rPr>
          <w:rFonts w:ascii="Times New Roman" w:cs="Times New Roman" w:eastAsia="Times New Roman" w:hAnsi="Times New Roman"/>
          <w:sz w:val="16"/>
          <w:szCs w:val="16"/>
          <w:u w:val="single" w:color="auto"/>
          <w:color w:val="0000FF"/>
        </w:rPr>
      </w:pPr>
      <w:hyperlink r:id="rId119">
        <w:r>
          <w:rPr>
            <w:rFonts w:ascii="Times New Roman" w:cs="Times New Roman" w:eastAsia="Times New Roman" w:hAnsi="Times New Roman"/>
            <w:sz w:val="16"/>
            <w:szCs w:val="16"/>
            <w:u w:val="single" w:color="auto"/>
            <w:color w:val="0000FF"/>
          </w:rPr>
          <w:t>Share Repurchase Agreement, dated as of February 28, 2023, by and between Option Care Health, Inc. and HC Group Holdings I, LLC</w:t>
        </w:r>
      </w:hyperlink>
      <w:r>
        <w:rPr>
          <w:rFonts w:ascii="Times New Roman" w:cs="Times New Roman" w:eastAsia="Times New Roman" w:hAnsi="Times New Roman"/>
          <w:sz w:val="16"/>
          <w:szCs w:val="16"/>
          <w:u w:val="single" w:color="auto"/>
          <w:color w:val="0000FF"/>
        </w:rPr>
        <w:t xml:space="preserve"> </w:t>
      </w:r>
      <w:hyperlink r:id="rId119">
        <w:r>
          <w:rPr>
            <w:rFonts w:ascii="Times New Roman" w:cs="Times New Roman" w:eastAsia="Times New Roman" w:hAnsi="Times New Roman"/>
            <w:sz w:val="16"/>
            <w:szCs w:val="16"/>
            <w:u w:val="single" w:color="auto"/>
            <w:color w:val="0000FF"/>
          </w:rPr>
          <w:t>(incorporated by reference to Exhibit 10.1 of the Company’s Current Report on Form 8-K filed on March 3, 2023).</w:t>
        </w:r>
      </w:hyperlink>
    </w:p>
    <w:p>
      <w:pPr>
        <w:spacing w:after="0" w:line="16" w:lineRule="exact"/>
        <w:rPr>
          <w:sz w:val="20"/>
          <w:szCs w:val="20"/>
          <w:color w:val="auto"/>
        </w:rPr>
      </w:pPr>
    </w:p>
    <w:p>
      <w:pPr>
        <w:ind w:right="280"/>
        <w:spacing w:after="0" w:line="280" w:lineRule="auto"/>
        <w:rPr>
          <w:rFonts w:ascii="Times New Roman" w:cs="Times New Roman" w:eastAsia="Times New Roman" w:hAnsi="Times New Roman"/>
          <w:sz w:val="16"/>
          <w:szCs w:val="16"/>
          <w:u w:val="single" w:color="auto"/>
          <w:color w:val="0000FF"/>
        </w:rPr>
      </w:pPr>
      <w:hyperlink r:id="rId120">
        <w:r>
          <w:rPr>
            <w:rFonts w:ascii="Times New Roman" w:cs="Times New Roman" w:eastAsia="Times New Roman" w:hAnsi="Times New Roman"/>
            <w:sz w:val="16"/>
            <w:szCs w:val="16"/>
            <w:u w:val="single" w:color="auto"/>
            <w:color w:val="0000FF"/>
          </w:rPr>
          <w:t>Option Care Health, Inc. Deferred Compensation Plan (incorporated by reference to Exhibit 10.3 to the Company’s Current Report on Form 8-K</w:t>
        </w:r>
      </w:hyperlink>
      <w:r>
        <w:rPr>
          <w:rFonts w:ascii="Times New Roman" w:cs="Times New Roman" w:eastAsia="Times New Roman" w:hAnsi="Times New Roman"/>
          <w:sz w:val="16"/>
          <w:szCs w:val="16"/>
          <w:u w:val="single" w:color="auto"/>
          <w:color w:val="0000FF"/>
        </w:rPr>
        <w:t xml:space="preserve"> </w:t>
      </w:r>
      <w:hyperlink r:id="rId120">
        <w:r>
          <w:rPr>
            <w:rFonts w:ascii="Times New Roman" w:cs="Times New Roman" w:eastAsia="Times New Roman" w:hAnsi="Times New Roman"/>
            <w:sz w:val="16"/>
            <w:szCs w:val="16"/>
            <w:u w:val="single" w:color="auto"/>
            <w:color w:val="0000FF"/>
          </w:rPr>
          <w:t>filed on December 11, 2023)</w:t>
        </w:r>
      </w:hyperlink>
    </w:p>
    <w:p>
      <w:pPr>
        <w:spacing w:after="0" w:line="16" w:lineRule="exact"/>
        <w:rPr>
          <w:sz w:val="20"/>
          <w:szCs w:val="20"/>
          <w:color w:val="auto"/>
        </w:rPr>
      </w:pPr>
    </w:p>
    <w:p>
      <w:pPr>
        <w:spacing w:after="0"/>
        <w:rPr>
          <w:rFonts w:ascii="Times New Roman" w:cs="Times New Roman" w:eastAsia="Times New Roman" w:hAnsi="Times New Roman"/>
          <w:sz w:val="16"/>
          <w:szCs w:val="16"/>
          <w:u w:val="single" w:color="auto"/>
          <w:color w:val="0000FF"/>
        </w:rPr>
      </w:pPr>
      <w:hyperlink r:id="rId121">
        <w:r>
          <w:rPr>
            <w:rFonts w:ascii="Times New Roman" w:cs="Times New Roman" w:eastAsia="Times New Roman" w:hAnsi="Times New Roman"/>
            <w:sz w:val="16"/>
            <w:szCs w:val="16"/>
            <w:u w:val="single" w:color="auto"/>
            <w:color w:val="0000FF"/>
          </w:rPr>
          <w:t>Transition and Separation Agreement and Release, dated December 29, 2023, between Richard Denness and Option Care Enterprises, Inc.</w:t>
        </w:r>
      </w:hyperlink>
    </w:p>
    <w:p>
      <w:pPr>
        <w:spacing w:after="0" w:line="23" w:lineRule="exact"/>
        <w:rPr>
          <w:sz w:val="20"/>
          <w:szCs w:val="20"/>
          <w:color w:val="auto"/>
        </w:rPr>
      </w:pPr>
    </w:p>
    <w:p>
      <w:pPr>
        <w:spacing w:after="0"/>
        <w:rPr>
          <w:rFonts w:ascii="Times New Roman" w:cs="Times New Roman" w:eastAsia="Times New Roman" w:hAnsi="Times New Roman"/>
          <w:sz w:val="16"/>
          <w:szCs w:val="16"/>
          <w:u w:val="single" w:color="auto"/>
          <w:color w:val="0000FF"/>
        </w:rPr>
      </w:pPr>
      <w:hyperlink r:id="rId121">
        <w:r>
          <w:rPr>
            <w:rFonts w:ascii="Times New Roman" w:cs="Times New Roman" w:eastAsia="Times New Roman" w:hAnsi="Times New Roman"/>
            <w:sz w:val="16"/>
            <w:szCs w:val="16"/>
            <w:u w:val="single" w:color="auto"/>
            <w:color w:val="0000FF"/>
          </w:rPr>
          <w:t>(incorporated by reference to Exhibit 10.1 of the Company’s Current Report on Form 8-K filed on December 29, 2023).</w:t>
        </w:r>
      </w:hyperlink>
    </w:p>
    <w:p>
      <w:pPr>
        <w:spacing w:after="0" w:line="55"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6"/>
          <w:szCs w:val="16"/>
          <w:u w:val="single" w:color="auto"/>
          <w:color w:val="0000FF"/>
        </w:rPr>
        <w:t>Form of Letter Agreement with John C. Rademacher and Michael Shapiro Terminating Severance Provisions of Employment Agreements (filed herewith).</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List of subsidiaries of Option Care Health, Inc. (filed herewith).</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Consent of Independent Registered Public Accounting Firm (filed herewith).</w:t>
      </w:r>
    </w:p>
    <w:p>
      <w:pPr>
        <w:spacing w:after="0" w:line="59"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u w:val="single" w:color="auto"/>
          <w:color w:val="0000FF"/>
        </w:rPr>
        <w:t>Certification of Chief Executive Officer pursuant to 18 U.S.C. Section 1350, as adopted pursuant to Section 302 of the Sarbanes-Oxley Act of 2002 (filed herewith).</w:t>
      </w:r>
    </w:p>
    <w:p>
      <w:pPr>
        <w:spacing w:after="0" w:line="16"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6"/>
          <w:szCs w:val="16"/>
          <w:u w:val="single" w:color="auto"/>
          <w:color w:val="0000FF"/>
        </w:rPr>
        <w:t>Certification of Chief Financial Officer pursuant to 18 U.S.C. Section 1350, as adopted pursuant to Section 302 of the Sarbanes-Oxley Act of 2002 (filed herewith).</w:t>
      </w:r>
    </w:p>
    <w:p>
      <w:pPr>
        <w:spacing w:after="0" w:line="3"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6"/>
          <w:szCs w:val="16"/>
          <w:u w:val="single" w:color="auto"/>
          <w:color w:val="0000FF"/>
        </w:rPr>
        <w:t>Certification of Chief Executive Officer pursuant to 18 U.S. C. Section 1350, as adopted pursuant to Section 906 of the Sarbanes-Oxley Act of 2002 (filed herewith).</w:t>
      </w:r>
    </w:p>
    <w:p>
      <w:pPr>
        <w:spacing w:after="0" w:line="200" w:lineRule="exact"/>
        <w:rPr>
          <w:sz w:val="20"/>
          <w:szCs w:val="20"/>
          <w:color w:val="auto"/>
        </w:rPr>
      </w:pPr>
    </w:p>
    <w:p>
      <w:pPr>
        <w:sectPr>
          <w:pgSz w:w="11900" w:h="16838" w:orient="portrait"/>
          <w:cols w:equalWidth="0" w:num="2">
            <w:col w:w="940" w:space="600"/>
            <w:col w:w="9640"/>
          </w:cols>
          <w:pgMar w:left="320" w:top="118" w:right="399" w:bottom="1440" w:gutter="0" w:footer="0" w:header="0"/>
          <w:type w:val="continuous"/>
        </w:sectPr>
      </w:pP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96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w w:val="92"/>
              </w:rPr>
              <w:t>32.2</w:t>
            </w:r>
          </w:p>
        </w:tc>
        <w:tc>
          <w:tcPr>
            <w:tcW w:w="95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18 U.S. C. Section 1350, as adopted pursuant to Section 906 of the Sarbanes-Oxley Act of 2002</w:t>
            </w:r>
          </w:p>
        </w:tc>
      </w:tr>
      <w:tr>
        <w:trPr>
          <w:trHeight w:val="142"/>
        </w:trPr>
        <w:tc>
          <w:tcPr>
            <w:tcW w:w="960" w:type="dxa"/>
            <w:vAlign w:val="bottom"/>
          </w:tcPr>
          <w:p>
            <w:pPr>
              <w:spacing w:after="0"/>
              <w:rPr>
                <w:sz w:val="12"/>
                <w:szCs w:val="12"/>
                <w:color w:val="auto"/>
              </w:rPr>
            </w:pPr>
          </w:p>
        </w:tc>
        <w:tc>
          <w:tcPr>
            <w:tcW w:w="106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w w:val="99"/>
              </w:rPr>
              <w:t>(filed herewith).</w:t>
            </w:r>
          </w:p>
        </w:tc>
        <w:tc>
          <w:tcPr>
            <w:tcW w:w="850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r>
    </w:tbl>
    <w:p>
      <w:pPr>
        <w:spacing w:after="0" w:line="40" w:lineRule="exact"/>
        <w:rPr>
          <w:sz w:val="20"/>
          <w:szCs w:val="20"/>
          <w:color w:val="auto"/>
        </w:rPr>
      </w:pPr>
    </w:p>
    <w:p>
      <w:pPr>
        <w:ind w:left="1540" w:hanging="904"/>
        <w:spacing w:after="0"/>
        <w:tabs>
          <w:tab w:leader="none" w:pos="15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Required Executive Compensation Recovery Policy, dated as of September 7, 2023, filed herewithin.</w:t>
      </w:r>
    </w:p>
    <w:p>
      <w:pPr>
        <w:spacing w:after="0" w:line="46" w:lineRule="exact"/>
        <w:rPr>
          <w:sz w:val="20"/>
          <w:szCs w:val="20"/>
          <w:color w:val="auto"/>
        </w:rPr>
      </w:pPr>
    </w:p>
    <w:p>
      <w:pPr>
        <w:ind w:left="1540" w:right="100" w:hanging="945"/>
        <w:spacing w:after="0" w:line="223" w:lineRule="auto"/>
        <w:tabs>
          <w:tab w:leader="none" w:pos="15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financial information from the Company’s Form 10-K for the fiscal year ended December 31, 2023, formatted in XBRL (Extensible Business Reporting Language): (i) Consolidated Statements of Comprehensive Income (Loss) for the fiscal years ended December 31, 2023, 2022 and 2021, (ii) Consolidated Balance Sheets as of December 31, 2023 and 2022, (iii) Consolidated Statements of Stockholders’ Equity for the fiscal years ended December 31, 2023, 2022 and 2021, (iv) Consolidated Statements of Cash Flows for the fiscal years ended December 31, 2023, 2022 and 2021, and (v) Notes to Consolidated Financial Statements.</w:t>
      </w:r>
    </w:p>
    <w:p>
      <w:pPr>
        <w:spacing w:after="0" w:line="9" w:lineRule="exact"/>
        <w:rPr>
          <w:sz w:val="20"/>
          <w:szCs w:val="20"/>
          <w:color w:val="auto"/>
        </w:rPr>
      </w:pPr>
    </w:p>
    <w:tbl>
      <w:tblPr>
        <w:tblLayout w:type="fixed"/>
        <w:tblInd w:w="420" w:type="dxa"/>
        <w:tblCellMar>
          <w:top w:w="0" w:type="dxa"/>
          <w:left w:w="0" w:type="dxa"/>
          <w:bottom w:w="0" w:type="dxa"/>
          <w:right w:w="0" w:type="dxa"/>
        </w:tblCellMar>
      </w:tblPr>
      <w:tr>
        <w:trPr>
          <w:trHeight w:val="210"/>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101.INS</w:t>
            </w:r>
          </w:p>
        </w:tc>
        <w:tc>
          <w:tcPr>
            <w:tcW w:w="4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XBRL Instance Document</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4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XBRL Taxonomy Extension Schema Document</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4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4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4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XBRL Taxonomy Extension Labels Linkbase Document</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4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r>
      <w:tr>
        <w:trPr>
          <w:trHeight w:val="216"/>
        </w:trPr>
        <w:tc>
          <w:tcPr>
            <w:tcW w:w="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104</w:t>
            </w:r>
          </w:p>
        </w:tc>
        <w:tc>
          <w:tcPr>
            <w:tcW w:w="4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XBRL Formatted Cover Page</w:t>
            </w:r>
          </w:p>
        </w:tc>
      </w:tr>
    </w:tbl>
    <w:p>
      <w:pPr>
        <w:spacing w:after="0" w:line="127" w:lineRule="exact"/>
        <w:rPr>
          <w:sz w:val="20"/>
          <w:szCs w:val="20"/>
          <w:color w:val="auto"/>
        </w:rPr>
      </w:pPr>
    </w:p>
    <w:p>
      <w:pPr>
        <w:ind w:left="1460" w:hanging="770"/>
        <w:spacing w:after="0"/>
        <w:tabs>
          <w:tab w:leader="none" w:pos="14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Designates the Company’s management contracts or compensatory plan or arrangement.</w:t>
      </w:r>
    </w:p>
    <w:p>
      <w:pPr>
        <w:spacing w:after="0" w:line="32" w:lineRule="exact"/>
        <w:rPr>
          <w:sz w:val="20"/>
          <w:szCs w:val="20"/>
          <w:color w:val="auto"/>
        </w:rPr>
      </w:pPr>
    </w:p>
    <w:p>
      <w:pPr>
        <w:ind w:left="1460" w:hanging="776"/>
        <w:spacing w:after="0" w:line="245" w:lineRule="auto"/>
        <w:tabs>
          <w:tab w:leader="none" w:pos="14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schedules attached to the Agreement and Plan of Merger have been omitted pursuant to Item 601(b)(2) of Regulation S-K. The Company will furnish copies of the omitted schedules to the Securities and Exchange Commission upon request by the Commission.</w:t>
      </w:r>
    </w:p>
    <w:p>
      <w:pPr>
        <w:spacing w:after="0" w:line="25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i w:val="1"/>
          <w:iCs w:val="1"/>
          <w:color w:val="auto"/>
        </w:rPr>
        <w:t>Form 10-K Summary</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February 22, 2024.</w:t>
      </w:r>
    </w:p>
    <w:p>
      <w:pPr>
        <w:spacing w:after="0" w:line="1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OPTION CARE HEALTH, INC.</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 Michael Shapiro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6153785</wp:posOffset>
            </wp:positionH>
            <wp:positionV relativeFrom="paragraph">
              <wp:posOffset>-5080</wp:posOffset>
            </wp:positionV>
            <wp:extent cx="97218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4">
                      <a:extLst>
                        <a:ext uri="{28A0092B-C50C-407E-A947-70E740481C1C}"/>
                      </a:extLst>
                    </a:blip>
                    <a:srcRect/>
                    <a:stretch>
                      <a:fillRect/>
                    </a:stretch>
                  </pic:blipFill>
                  <pic:spPr bwMode="auto">
                    <a:xfrm>
                      <a:off x="0" y="0"/>
                      <a:ext cx="972185" cy="8255"/>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Michael Shapiro</w:t>
      </w:r>
    </w:p>
    <w:p>
      <w:pPr>
        <w:spacing w:after="0" w:line="1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Chief Financial Officer and Executive Vice President</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(Principal Financial Officer and Duly Authorized Officer)</w:t>
      </w:r>
    </w:p>
    <w:p>
      <w:pPr>
        <w:spacing w:after="0" w:line="293"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on the dates indicated.</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38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3000" w:type="dxa"/>
            <w:vAlign w:val="bottom"/>
          </w:tcPr>
          <w:p>
            <w:pPr>
              <w:spacing w:after="0"/>
              <w:rPr>
                <w:sz w:val="17"/>
                <w:szCs w:val="17"/>
                <w:color w:val="auto"/>
              </w:rPr>
            </w:pPr>
          </w:p>
        </w:tc>
        <w:tc>
          <w:tcPr>
            <w:tcW w:w="2920" w:type="dxa"/>
            <w:vAlign w:val="bottom"/>
            <w:gridSpan w:val="2"/>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8"/>
              </w:rPr>
              <w:t>Title(s)</w:t>
            </w:r>
          </w:p>
        </w:tc>
        <w:tc>
          <w:tcPr>
            <w:tcW w:w="860" w:type="dxa"/>
            <w:vAlign w:val="bottom"/>
          </w:tcPr>
          <w:p>
            <w:pPr>
              <w:spacing w:after="0"/>
              <w:rPr>
                <w:sz w:val="17"/>
                <w:szCs w:val="17"/>
                <w:color w:val="auto"/>
              </w:rPr>
            </w:pPr>
          </w:p>
        </w:tc>
        <w:tc>
          <w:tcPr>
            <w:tcW w:w="8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
        </w:trPr>
        <w:tc>
          <w:tcPr>
            <w:tcW w:w="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10"/>
        </w:trPr>
        <w:tc>
          <w:tcPr>
            <w:tcW w:w="33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/s/ John C. Rademacher</w:t>
            </w:r>
          </w:p>
        </w:tc>
        <w:tc>
          <w:tcPr>
            <w:tcW w:w="592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color w:val="auto"/>
                <w:w w:val="99"/>
              </w:rPr>
              <w:t>Chief Executive Officer, President and Director</w:t>
            </w:r>
          </w:p>
        </w:tc>
        <w:tc>
          <w:tcPr>
            <w:tcW w:w="172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auto"/>
              </w:rPr>
              <w:t>February 22, 2024</w:t>
            </w:r>
          </w:p>
        </w:tc>
      </w:tr>
      <w:tr>
        <w:trPr>
          <w:trHeight w:val="228"/>
        </w:trPr>
        <w:tc>
          <w:tcPr>
            <w:tcW w:w="40" w:type="dxa"/>
            <w:vAlign w:val="bottom"/>
          </w:tcPr>
          <w:p>
            <w:pPr>
              <w:spacing w:after="0"/>
              <w:rPr>
                <w:sz w:val="19"/>
                <w:szCs w:val="19"/>
                <w:color w:val="auto"/>
              </w:rPr>
            </w:pPr>
          </w:p>
        </w:tc>
        <w:tc>
          <w:tcPr>
            <w:tcW w:w="1660" w:type="dxa"/>
            <w:vAlign w:val="bottom"/>
            <w:tcBorders>
              <w:top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rPr>
              <w:t>John C. Rademacher</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92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33"/>
        </w:trPr>
        <w:tc>
          <w:tcPr>
            <w:tcW w:w="33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/s/ Michael Shapiro</w:t>
            </w:r>
          </w:p>
        </w:tc>
        <w:tc>
          <w:tcPr>
            <w:tcW w:w="592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color w:val="auto"/>
                <w:w w:val="99"/>
              </w:rPr>
              <w:t>Chief Financial Officer and Executive Vice President</w:t>
            </w:r>
          </w:p>
        </w:tc>
        <w:tc>
          <w:tcPr>
            <w:tcW w:w="172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auto"/>
              </w:rPr>
              <w:t>February 22, 2024</w:t>
            </w:r>
          </w:p>
        </w:tc>
      </w:tr>
      <w:tr>
        <w:trPr>
          <w:trHeight w:val="228"/>
        </w:trPr>
        <w:tc>
          <w:tcPr>
            <w:tcW w:w="40" w:type="dxa"/>
            <w:vAlign w:val="bottom"/>
          </w:tcPr>
          <w:p>
            <w:pPr>
              <w:spacing w:after="0"/>
              <w:rPr>
                <w:sz w:val="19"/>
                <w:szCs w:val="19"/>
                <w:color w:val="auto"/>
              </w:rPr>
            </w:pPr>
          </w:p>
        </w:tc>
        <w:tc>
          <w:tcPr>
            <w:tcW w:w="136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Michael Shapiro</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92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00"/>
        </w:trPr>
        <w:tc>
          <w:tcPr>
            <w:tcW w:w="33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/s/ Harry M. Jansen Kraemer, Jr.</w:t>
            </w:r>
          </w:p>
        </w:tc>
        <w:tc>
          <w:tcPr>
            <w:tcW w:w="592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color w:val="auto"/>
                <w:w w:val="99"/>
              </w:rPr>
              <w:t>Non-Executive Chairman of the Board</w:t>
            </w:r>
          </w:p>
        </w:tc>
        <w:tc>
          <w:tcPr>
            <w:tcW w:w="172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auto"/>
              </w:rPr>
              <w:t>February 22, 2024</w:t>
            </w:r>
          </w:p>
        </w:tc>
      </w:tr>
      <w:tr>
        <w:trPr>
          <w:trHeight w:val="228"/>
        </w:trPr>
        <w:tc>
          <w:tcPr>
            <w:tcW w:w="2340" w:type="dxa"/>
            <w:vAlign w:val="bottom"/>
            <w:tcBorders>
              <w:top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rPr>
              <w:t>Harry M. Jansen Kraemer, Jr.</w:t>
            </w:r>
          </w:p>
        </w:tc>
        <w:tc>
          <w:tcPr>
            <w:tcW w:w="104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33"/>
        </w:trPr>
        <w:tc>
          <w:tcPr>
            <w:tcW w:w="33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/s/ John J. Arlotta</w:t>
            </w:r>
          </w:p>
        </w:tc>
        <w:tc>
          <w:tcPr>
            <w:tcW w:w="592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color w:val="auto"/>
                <w:w w:val="99"/>
              </w:rPr>
              <w:t>Director</w:t>
            </w:r>
          </w:p>
        </w:tc>
        <w:tc>
          <w:tcPr>
            <w:tcW w:w="172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auto"/>
              </w:rPr>
              <w:t>February 22, 2024</w:t>
            </w:r>
          </w:p>
        </w:tc>
      </w:tr>
      <w:tr>
        <w:trPr>
          <w:trHeight w:val="228"/>
        </w:trPr>
        <w:tc>
          <w:tcPr>
            <w:tcW w:w="126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John J. Arlotta</w:t>
            </w:r>
          </w:p>
        </w:tc>
        <w:tc>
          <w:tcPr>
            <w:tcW w:w="28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1460" w:type="dxa"/>
            <w:vAlign w:val="bottom"/>
            <w:gridSpan w:val="2"/>
          </w:tcPr>
          <w:p>
            <w:pPr>
              <w:spacing w:after="0"/>
              <w:rPr>
                <w:sz w:val="19"/>
                <w:szCs w:val="19"/>
                <w:color w:val="auto"/>
              </w:rPr>
            </w:pPr>
          </w:p>
        </w:tc>
        <w:tc>
          <w:tcPr>
            <w:tcW w:w="3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33"/>
        </w:trPr>
        <w:tc>
          <w:tcPr>
            <w:tcW w:w="33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/s/ Elizabeth Q. Betten</w:t>
            </w:r>
          </w:p>
        </w:tc>
        <w:tc>
          <w:tcPr>
            <w:tcW w:w="592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color w:val="auto"/>
                <w:w w:val="99"/>
              </w:rPr>
              <w:t>Director</w:t>
            </w:r>
          </w:p>
        </w:tc>
        <w:tc>
          <w:tcPr>
            <w:tcW w:w="172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auto"/>
              </w:rPr>
              <w:t>February 22, 2024</w:t>
            </w:r>
          </w:p>
        </w:tc>
      </w:tr>
      <w:tr>
        <w:trPr>
          <w:trHeight w:val="228"/>
        </w:trPr>
        <w:tc>
          <w:tcPr>
            <w:tcW w:w="1640" w:type="dxa"/>
            <w:vAlign w:val="bottom"/>
            <w:tcBorders>
              <w:top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rPr>
              <w:t>Elizabeth Q. Betten</w:t>
            </w:r>
          </w:p>
        </w:tc>
        <w:tc>
          <w:tcPr>
            <w:tcW w:w="2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1460" w:type="dxa"/>
            <w:vAlign w:val="bottom"/>
            <w:gridSpan w:val="2"/>
          </w:tcPr>
          <w:p>
            <w:pPr>
              <w:spacing w:after="0"/>
              <w:rPr>
                <w:sz w:val="19"/>
                <w:szCs w:val="19"/>
                <w:color w:val="auto"/>
              </w:rPr>
            </w:pPr>
          </w:p>
        </w:tc>
        <w:tc>
          <w:tcPr>
            <w:tcW w:w="3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33"/>
        </w:trPr>
        <w:tc>
          <w:tcPr>
            <w:tcW w:w="33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/s/ Elizabeth D. Bierbower</w:t>
            </w:r>
          </w:p>
        </w:tc>
        <w:tc>
          <w:tcPr>
            <w:tcW w:w="592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color w:val="auto"/>
                <w:w w:val="99"/>
              </w:rPr>
              <w:t>Director</w:t>
            </w:r>
          </w:p>
        </w:tc>
        <w:tc>
          <w:tcPr>
            <w:tcW w:w="172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auto"/>
              </w:rPr>
              <w:t>February 22, 2024</w:t>
            </w:r>
          </w:p>
        </w:tc>
      </w:tr>
      <w:tr>
        <w:trPr>
          <w:trHeight w:val="228"/>
        </w:trPr>
        <w:tc>
          <w:tcPr>
            <w:tcW w:w="1920" w:type="dxa"/>
            <w:vAlign w:val="bottom"/>
            <w:tcBorders>
              <w:top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rPr>
              <w:t>Elizabeth D. Bierbower</w:t>
            </w:r>
          </w:p>
        </w:tc>
        <w:tc>
          <w:tcPr>
            <w:tcW w:w="1460" w:type="dxa"/>
            <w:vAlign w:val="bottom"/>
            <w:gridSpan w:val="2"/>
          </w:tcPr>
          <w:p>
            <w:pPr>
              <w:spacing w:after="0"/>
              <w:rPr>
                <w:sz w:val="19"/>
                <w:szCs w:val="19"/>
                <w:color w:val="auto"/>
              </w:rPr>
            </w:pPr>
          </w:p>
        </w:tc>
        <w:tc>
          <w:tcPr>
            <w:tcW w:w="3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33"/>
        </w:trPr>
        <w:tc>
          <w:tcPr>
            <w:tcW w:w="33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/s/ Barbara W. Bodem</w:t>
            </w:r>
          </w:p>
        </w:tc>
        <w:tc>
          <w:tcPr>
            <w:tcW w:w="592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color w:val="auto"/>
                <w:w w:val="99"/>
              </w:rPr>
              <w:t>Director</w:t>
            </w:r>
          </w:p>
        </w:tc>
        <w:tc>
          <w:tcPr>
            <w:tcW w:w="172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auto"/>
              </w:rPr>
              <w:t>February 22, 2024</w:t>
            </w:r>
          </w:p>
        </w:tc>
      </w:tr>
      <w:tr>
        <w:trPr>
          <w:trHeight w:val="228"/>
        </w:trPr>
        <w:tc>
          <w:tcPr>
            <w:tcW w:w="1600" w:type="dxa"/>
            <w:vAlign w:val="bottom"/>
            <w:tcBorders>
              <w:top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Barbara W. Bodem</w:t>
            </w: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1720" w:type="dxa"/>
            <w:vAlign w:val="bottom"/>
            <w:gridSpan w:val="4"/>
          </w:tcPr>
          <w:p>
            <w:pPr>
              <w:spacing w:after="0"/>
              <w:rPr>
                <w:sz w:val="19"/>
                <w:szCs w:val="19"/>
                <w:color w:val="auto"/>
              </w:rPr>
            </w:pPr>
          </w:p>
        </w:tc>
        <w:tc>
          <w:tcPr>
            <w:tcW w:w="3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33"/>
        </w:trPr>
        <w:tc>
          <w:tcPr>
            <w:tcW w:w="33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/s/ Natasha Deckmann</w:t>
            </w:r>
          </w:p>
        </w:tc>
        <w:tc>
          <w:tcPr>
            <w:tcW w:w="592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color w:val="auto"/>
                <w:w w:val="99"/>
              </w:rPr>
              <w:t>Director</w:t>
            </w:r>
          </w:p>
        </w:tc>
        <w:tc>
          <w:tcPr>
            <w:tcW w:w="172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auto"/>
              </w:rPr>
              <w:t>February 22, 2024</w:t>
            </w:r>
          </w:p>
        </w:tc>
      </w:tr>
      <w:tr>
        <w:trPr>
          <w:trHeight w:val="228"/>
        </w:trPr>
        <w:tc>
          <w:tcPr>
            <w:tcW w:w="162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rPr>
              <w:t>Natasha Deckmann</w:t>
            </w:r>
          </w:p>
        </w:tc>
        <w:tc>
          <w:tcPr>
            <w:tcW w:w="40" w:type="dxa"/>
            <w:vAlign w:val="bottom"/>
            <w:gridSpan w:val="2"/>
          </w:tcPr>
          <w:p>
            <w:pPr>
              <w:spacing w:after="0"/>
              <w:rPr>
                <w:sz w:val="19"/>
                <w:szCs w:val="19"/>
                <w:color w:val="auto"/>
              </w:rPr>
            </w:pPr>
          </w:p>
        </w:tc>
        <w:tc>
          <w:tcPr>
            <w:tcW w:w="1720" w:type="dxa"/>
            <w:vAlign w:val="bottom"/>
            <w:gridSpan w:val="4"/>
          </w:tcPr>
          <w:p>
            <w:pPr>
              <w:spacing w:after="0"/>
              <w:rPr>
                <w:sz w:val="19"/>
                <w:szCs w:val="19"/>
                <w:color w:val="auto"/>
              </w:rPr>
            </w:pPr>
          </w:p>
        </w:tc>
        <w:tc>
          <w:tcPr>
            <w:tcW w:w="3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00"/>
        </w:trPr>
        <w:tc>
          <w:tcPr>
            <w:tcW w:w="33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/s/ David W. Golding</w:t>
            </w:r>
          </w:p>
        </w:tc>
        <w:tc>
          <w:tcPr>
            <w:tcW w:w="592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color w:val="auto"/>
                <w:w w:val="99"/>
              </w:rPr>
              <w:t>Director</w:t>
            </w:r>
          </w:p>
        </w:tc>
        <w:tc>
          <w:tcPr>
            <w:tcW w:w="172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auto"/>
              </w:rPr>
              <w:t>February 22, 2024</w:t>
            </w:r>
          </w:p>
        </w:tc>
      </w:tr>
      <w:tr>
        <w:trPr>
          <w:trHeight w:val="228"/>
        </w:trPr>
        <w:tc>
          <w:tcPr>
            <w:tcW w:w="154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David W. Golding</w:t>
            </w:r>
          </w:p>
        </w:tc>
        <w:tc>
          <w:tcPr>
            <w:tcW w:w="20" w:type="dxa"/>
            <w:vAlign w:val="bottom"/>
          </w:tcPr>
          <w:p>
            <w:pPr>
              <w:spacing w:after="0"/>
              <w:rPr>
                <w:sz w:val="19"/>
                <w:szCs w:val="19"/>
                <w:color w:val="auto"/>
              </w:rPr>
            </w:pPr>
          </w:p>
        </w:tc>
        <w:tc>
          <w:tcPr>
            <w:tcW w:w="100" w:type="dxa"/>
            <w:vAlign w:val="bottom"/>
            <w:gridSpan w:val="4"/>
          </w:tcPr>
          <w:p>
            <w:pPr>
              <w:spacing w:after="0"/>
              <w:rPr>
                <w:sz w:val="19"/>
                <w:szCs w:val="19"/>
                <w:color w:val="auto"/>
              </w:rPr>
            </w:pPr>
          </w:p>
        </w:tc>
        <w:tc>
          <w:tcPr>
            <w:tcW w:w="1720" w:type="dxa"/>
            <w:vAlign w:val="bottom"/>
            <w:gridSpan w:val="4"/>
          </w:tcPr>
          <w:p>
            <w:pPr>
              <w:spacing w:after="0"/>
              <w:rPr>
                <w:sz w:val="19"/>
                <w:szCs w:val="19"/>
                <w:color w:val="auto"/>
              </w:rPr>
            </w:pPr>
          </w:p>
        </w:tc>
        <w:tc>
          <w:tcPr>
            <w:tcW w:w="3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33"/>
        </w:trPr>
        <w:tc>
          <w:tcPr>
            <w:tcW w:w="33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/s/ R. Carter Pate</w:t>
            </w:r>
          </w:p>
        </w:tc>
        <w:tc>
          <w:tcPr>
            <w:tcW w:w="592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color w:val="auto"/>
                <w:w w:val="99"/>
              </w:rPr>
              <w:t>Director</w:t>
            </w:r>
          </w:p>
        </w:tc>
        <w:tc>
          <w:tcPr>
            <w:tcW w:w="172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auto"/>
              </w:rPr>
              <w:t>February 22, 2024</w:t>
            </w:r>
          </w:p>
        </w:tc>
      </w:tr>
      <w:tr>
        <w:trPr>
          <w:trHeight w:val="228"/>
        </w:trPr>
        <w:tc>
          <w:tcPr>
            <w:tcW w:w="12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R. Carter Pate</w:t>
            </w:r>
          </w:p>
        </w:tc>
        <w:tc>
          <w:tcPr>
            <w:tcW w:w="340" w:type="dxa"/>
            <w:vAlign w:val="bottom"/>
            <w:gridSpan w:val="4"/>
          </w:tcPr>
          <w:p>
            <w:pPr>
              <w:spacing w:after="0"/>
              <w:rPr>
                <w:sz w:val="19"/>
                <w:szCs w:val="19"/>
                <w:color w:val="auto"/>
              </w:rPr>
            </w:pPr>
          </w:p>
        </w:tc>
        <w:tc>
          <w:tcPr>
            <w:tcW w:w="100" w:type="dxa"/>
            <w:vAlign w:val="bottom"/>
            <w:gridSpan w:val="4"/>
          </w:tcPr>
          <w:p>
            <w:pPr>
              <w:spacing w:after="0"/>
              <w:rPr>
                <w:sz w:val="19"/>
                <w:szCs w:val="19"/>
                <w:color w:val="auto"/>
              </w:rPr>
            </w:pPr>
          </w:p>
        </w:tc>
        <w:tc>
          <w:tcPr>
            <w:tcW w:w="1720" w:type="dxa"/>
            <w:vAlign w:val="bottom"/>
            <w:gridSpan w:val="4"/>
          </w:tcPr>
          <w:p>
            <w:pPr>
              <w:spacing w:after="0"/>
              <w:rPr>
                <w:sz w:val="19"/>
                <w:szCs w:val="19"/>
                <w:color w:val="auto"/>
              </w:rPr>
            </w:pPr>
          </w:p>
        </w:tc>
        <w:tc>
          <w:tcPr>
            <w:tcW w:w="3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33"/>
        </w:trPr>
        <w:tc>
          <w:tcPr>
            <w:tcW w:w="33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/s/ Timothy P. Sullivan</w:t>
            </w:r>
          </w:p>
        </w:tc>
        <w:tc>
          <w:tcPr>
            <w:tcW w:w="592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color w:val="auto"/>
                <w:w w:val="99"/>
              </w:rPr>
              <w:t>Director</w:t>
            </w:r>
          </w:p>
        </w:tc>
        <w:tc>
          <w:tcPr>
            <w:tcW w:w="172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auto"/>
              </w:rPr>
              <w:t>February 22, 2024</w:t>
            </w:r>
          </w:p>
        </w:tc>
      </w:tr>
      <w:tr>
        <w:trPr>
          <w:trHeight w:val="228"/>
        </w:trPr>
        <w:tc>
          <w:tcPr>
            <w:tcW w:w="1660" w:type="dxa"/>
            <w:vAlign w:val="bottom"/>
            <w:tcBorders>
              <w:top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rPr>
              <w:t>Timothy P. Sullivan</w:t>
            </w:r>
          </w:p>
        </w:tc>
        <w:tc>
          <w:tcPr>
            <w:tcW w:w="1720" w:type="dxa"/>
            <w:vAlign w:val="bottom"/>
            <w:gridSpan w:val="4"/>
          </w:tcPr>
          <w:p>
            <w:pPr>
              <w:spacing w:after="0"/>
              <w:rPr>
                <w:sz w:val="19"/>
                <w:szCs w:val="19"/>
                <w:color w:val="auto"/>
              </w:rPr>
            </w:pPr>
          </w:p>
        </w:tc>
        <w:tc>
          <w:tcPr>
            <w:tcW w:w="3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33"/>
        </w:trPr>
        <w:tc>
          <w:tcPr>
            <w:tcW w:w="33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/s/ Norman L. Wright</w:t>
            </w:r>
          </w:p>
        </w:tc>
        <w:tc>
          <w:tcPr>
            <w:tcW w:w="592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color w:val="auto"/>
                <w:w w:val="99"/>
              </w:rPr>
              <w:t>Director</w:t>
            </w:r>
          </w:p>
        </w:tc>
        <w:tc>
          <w:tcPr>
            <w:tcW w:w="172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auto"/>
              </w:rPr>
              <w:t>February 22, 2024</w:t>
            </w:r>
          </w:p>
        </w:tc>
      </w:tr>
      <w:tr>
        <w:trPr>
          <w:trHeight w:val="228"/>
        </w:trPr>
        <w:tc>
          <w:tcPr>
            <w:tcW w:w="156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Norman L. Wright</w:t>
            </w:r>
          </w:p>
        </w:tc>
        <w:tc>
          <w:tcPr>
            <w:tcW w:w="1820" w:type="dxa"/>
            <w:vAlign w:val="bottom"/>
            <w:gridSpan w:val="8"/>
          </w:tcPr>
          <w:p>
            <w:pPr>
              <w:spacing w:after="0"/>
              <w:rPr>
                <w:sz w:val="19"/>
                <w:szCs w:val="19"/>
                <w:color w:val="auto"/>
              </w:rPr>
            </w:pPr>
          </w:p>
        </w:tc>
        <w:tc>
          <w:tcPr>
            <w:tcW w:w="3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846"/>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80</w:t>
            </w:r>
          </w:p>
        </w:tc>
        <w:tc>
          <w:tcPr>
            <w:tcW w:w="5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220"/>
          </w:cols>
          <w:pgMar w:left="320" w:top="118" w:right="359" w:bottom="1440" w:gutter="0" w:footer="0" w:header="0"/>
        </w:sectPr>
      </w:pPr>
    </w:p>
    <w:bookmarkStart w:id="81" w:name="page82"/>
    <w:bookmarkEnd w:id="8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2445385</wp:posOffset>
            </wp:positionH>
            <wp:positionV relativeFrom="page">
              <wp:posOffset>911860</wp:posOffset>
            </wp:positionV>
            <wp:extent cx="2657475" cy="10972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2657475" cy="1097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February 21,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Dear </w:t>
      </w:r>
      <w:r>
        <w:rPr>
          <w:rFonts w:ascii="Times New Roman" w:cs="Times New Roman" w:eastAsia="Times New Roman" w:hAnsi="Times New Roman"/>
          <w:sz w:val="22"/>
          <w:szCs w:val="22"/>
          <w:b w:val="1"/>
          <w:bCs w:val="1"/>
          <w:color w:val="auto"/>
        </w:rPr>
        <w:t>[John][Michael]</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ind w:right="180"/>
        <w:spacing w:after="0" w:line="210" w:lineRule="auto"/>
        <w:rPr>
          <w:sz w:val="20"/>
          <w:szCs w:val="20"/>
          <w:color w:val="auto"/>
        </w:rPr>
      </w:pPr>
      <w:r>
        <w:rPr>
          <w:rFonts w:ascii="Times New Roman" w:cs="Times New Roman" w:eastAsia="Times New Roman" w:hAnsi="Times New Roman"/>
          <w:sz w:val="21"/>
          <w:szCs w:val="21"/>
          <w:color w:val="auto"/>
        </w:rPr>
        <w:t xml:space="preserve">As you are aware, on December 6, 2023, Option Care Health, Inc. adopted the Option Care Health, Inc. Amended and Restated Executive Severance Plan (the “Severance Plan”), a copy of which is attached to this letter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In your role as </w:t>
      </w:r>
      <w:r>
        <w:rPr>
          <w:rFonts w:ascii="Times New Roman" w:cs="Times New Roman" w:eastAsia="Times New Roman" w:hAnsi="Times New Roman"/>
          <w:sz w:val="21"/>
          <w:szCs w:val="21"/>
          <w:b w:val="1"/>
          <w:bCs w:val="1"/>
          <w:color w:val="auto"/>
        </w:rPr>
        <w:t>[Chief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Executive Officer]</w:t>
      </w:r>
      <w:r>
        <w:rPr>
          <w:rFonts w:ascii="Times New Roman" w:cs="Times New Roman" w:eastAsia="Times New Roman" w:hAnsi="Times New Roman"/>
          <w:sz w:val="27"/>
          <w:szCs w:val="27"/>
          <w:b w:val="1"/>
          <w:bCs w:val="1"/>
          <w:color w:val="auto"/>
          <w:vertAlign w:val="superscript"/>
        </w:rPr>
        <w:t>1</w:t>
      </w:r>
      <w:r>
        <w:rPr>
          <w:rFonts w:ascii="Times New Roman" w:cs="Times New Roman" w:eastAsia="Times New Roman" w:hAnsi="Times New Roman"/>
          <w:sz w:val="21"/>
          <w:szCs w:val="21"/>
          <w:b w:val="1"/>
          <w:bCs w:val="1"/>
          <w:color w:val="auto"/>
        </w:rPr>
        <w:t>[Chief Financial Officer]</w:t>
      </w:r>
      <w:r>
        <w:rPr>
          <w:rFonts w:ascii="Times New Roman" w:cs="Times New Roman" w:eastAsia="Times New Roman" w:hAnsi="Times New Roman"/>
          <w:sz w:val="27"/>
          <w:szCs w:val="27"/>
          <w:b w:val="1"/>
          <w:bCs w:val="1"/>
          <w:color w:val="auto"/>
          <w:vertAlign w:val="superscript"/>
        </w:rPr>
        <w:t>2</w:t>
      </w:r>
      <w:r>
        <w:rPr>
          <w:rFonts w:ascii="Times New Roman" w:cs="Times New Roman" w:eastAsia="Times New Roman" w:hAnsi="Times New Roman"/>
          <w:sz w:val="21"/>
          <w:szCs w:val="21"/>
          <w:color w:val="auto"/>
        </w:rPr>
        <w:t>, you are a designated participant in the Severance Plan and will be eligible for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severance benefits in the event of certain terminations of your employment, subject to the terms of the Severance Plan and your execution of a Participation and Restrictive Covenant Agreement. The benefits under the Severance Plan replace the severance benefits described in </w:t>
      </w:r>
      <w:r>
        <w:rPr>
          <w:rFonts w:ascii="Times New Roman" w:cs="Times New Roman" w:eastAsia="Times New Roman" w:hAnsi="Times New Roman"/>
          <w:sz w:val="21"/>
          <w:szCs w:val="21"/>
          <w:b w:val="1"/>
          <w:bCs w:val="1"/>
          <w:color w:val="auto"/>
        </w:rPr>
        <w:t>[your Amended and Restated Employment Agreement, entered into on February 23, 2018, by and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between you and Option Care Infusion Services, Inc.]</w:t>
      </w:r>
      <w:r>
        <w:rPr>
          <w:rFonts w:ascii="Times New Roman" w:cs="Times New Roman" w:eastAsia="Times New Roman" w:hAnsi="Times New Roman"/>
          <w:sz w:val="27"/>
          <w:szCs w:val="27"/>
          <w:b w:val="1"/>
          <w:bCs w:val="1"/>
          <w:color w:val="auto"/>
          <w:vertAlign w:val="superscript"/>
        </w:rPr>
        <w:t>3</w:t>
      </w:r>
      <w:r>
        <w:rPr>
          <w:rFonts w:ascii="Times New Roman" w:cs="Times New Roman" w:eastAsia="Times New Roman" w:hAnsi="Times New Roman"/>
          <w:sz w:val="21"/>
          <w:szCs w:val="21"/>
          <w:b w:val="1"/>
          <w:bCs w:val="1"/>
          <w:color w:val="auto"/>
        </w:rPr>
        <w:t>[your Employment Agreement, entered into on October 13, 2015, by and between you and Walgreens Infusion Services, Inc.]</w:t>
      </w:r>
      <w:r>
        <w:rPr>
          <w:rFonts w:ascii="Times New Roman" w:cs="Times New Roman" w:eastAsia="Times New Roman" w:hAnsi="Times New Roman"/>
          <w:sz w:val="27"/>
          <w:szCs w:val="27"/>
          <w:b w:val="1"/>
          <w:bCs w:val="1"/>
          <w:color w:val="auto"/>
          <w:vertAlign w:val="superscript"/>
        </w:rPr>
        <w:t>4</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“Employment Agreement”).</w:t>
      </w:r>
    </w:p>
    <w:p>
      <w:pPr>
        <w:spacing w:after="0" w:line="73"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2"/>
          <w:szCs w:val="22"/>
          <w:color w:val="auto"/>
        </w:rPr>
        <w:t xml:space="preserve">By signing below, you expressly acknowledge that, effective as of January 1, 2024 (the effective date of the Severance Plan), you shall no longer be eligible for the severance benefits described in the Employment Agreement and shall only be eligible for the severance benefits described in the Severance Plan for </w:t>
      </w:r>
      <w:r>
        <w:rPr>
          <w:rFonts w:ascii="Times New Roman" w:cs="Times New Roman" w:eastAsia="Times New Roman" w:hAnsi="Times New Roman"/>
          <w:sz w:val="22"/>
          <w:szCs w:val="22"/>
          <w:b w:val="1"/>
          <w:bCs w:val="1"/>
          <w:color w:val="auto"/>
        </w:rPr>
        <w:t>[Tier 1 Executives]</w:t>
      </w:r>
      <w:r>
        <w:rPr>
          <w:rFonts w:ascii="Times New Roman" w:cs="Times New Roman" w:eastAsia="Times New Roman" w:hAnsi="Times New Roman"/>
          <w:sz w:val="28"/>
          <w:szCs w:val="28"/>
          <w:b w:val="1"/>
          <w:bCs w:val="1"/>
          <w:color w:val="auto"/>
          <w:vertAlign w:val="superscript"/>
        </w:rPr>
        <w:t>5</w:t>
      </w:r>
      <w:r>
        <w:rPr>
          <w:rFonts w:ascii="Times New Roman" w:cs="Times New Roman" w:eastAsia="Times New Roman" w:hAnsi="Times New Roman"/>
          <w:sz w:val="22"/>
          <w:szCs w:val="22"/>
          <w:b w:val="1"/>
          <w:bCs w:val="1"/>
          <w:color w:val="auto"/>
        </w:rPr>
        <w:t>[Tier 2 Executives]</w:t>
      </w:r>
      <w:r>
        <w:rPr>
          <w:rFonts w:ascii="Times New Roman" w:cs="Times New Roman" w:eastAsia="Times New Roman" w:hAnsi="Times New Roman"/>
          <w:sz w:val="28"/>
          <w:szCs w:val="28"/>
          <w:b w:val="1"/>
          <w:bCs w:val="1"/>
          <w:color w:val="auto"/>
          <w:vertAlign w:val="superscript"/>
        </w:rPr>
        <w:t>6</w:t>
      </w:r>
      <w:r>
        <w:rPr>
          <w:rFonts w:ascii="Times New Roman" w:cs="Times New Roman" w:eastAsia="Times New Roman" w:hAnsi="Times New Roman"/>
          <w:sz w:val="22"/>
          <w:szCs w:val="22"/>
          <w:color w:val="auto"/>
        </w:rPr>
        <w:t>.</w:t>
      </w:r>
    </w:p>
    <w:p>
      <w:pPr>
        <w:spacing w:after="0" w:line="67"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22"/>
          <w:szCs w:val="22"/>
          <w:color w:val="auto"/>
        </w:rPr>
        <w:t>Please return this signed letter to me at your earliest convenience. If you have any questions or otherwise wish to discuss, please do not hesitate to contact me.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Thank you for your attention to this matter.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w:t>
      </w:r>
    </w:p>
    <w:p>
      <w:pPr>
        <w:spacing w:after="0" w:line="39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1014095</wp:posOffset>
            </wp:positionV>
            <wp:extent cx="17145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6">
                      <a:extLst>
                        <a:ext uri="{28A0092B-C50C-407E-A947-70E740481C1C}"/>
                      </a:extLst>
                    </a:blip>
                    <a:srcRect/>
                    <a:stretch>
                      <a:fillRect/>
                    </a:stretch>
                  </pic:blipFill>
                  <pic:spPr bwMode="auto">
                    <a:xfrm>
                      <a:off x="0" y="0"/>
                      <a:ext cx="1714500"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-151130</wp:posOffset>
            </wp:positionV>
            <wp:extent cx="6858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7">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20" w:hanging="112"/>
        <w:spacing w:after="0"/>
        <w:tabs>
          <w:tab w:leader="none" w:pos="12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NTD: To be included for John Rademacher.</w:t>
      </w:r>
    </w:p>
    <w:p>
      <w:pPr>
        <w:spacing w:after="0" w:line="183"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6"/>
          <w:szCs w:val="16"/>
          <w:color w:val="auto"/>
        </w:rPr>
        <w:t xml:space="preserve"> NTD: To be included for Michael Shapiro.</w:t>
      </w:r>
    </w:p>
    <w:p>
      <w:pPr>
        <w:spacing w:after="0" w:line="187"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7"/>
          <w:szCs w:val="17"/>
          <w:color w:val="auto"/>
        </w:rPr>
        <w:t xml:space="preserve"> NTD: To be included for John Rademacher.</w:t>
      </w:r>
    </w:p>
    <w:p>
      <w:pPr>
        <w:spacing w:after="0" w:line="183"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0"/>
          <w:szCs w:val="20"/>
          <w:color w:val="auto"/>
          <w:vertAlign w:val="superscript"/>
        </w:rPr>
        <w:t>4</w:t>
      </w:r>
      <w:r>
        <w:rPr>
          <w:rFonts w:ascii="Times New Roman" w:cs="Times New Roman" w:eastAsia="Times New Roman" w:hAnsi="Times New Roman"/>
          <w:sz w:val="16"/>
          <w:szCs w:val="16"/>
          <w:color w:val="auto"/>
        </w:rPr>
        <w:t xml:space="preserve"> NTD: To be included for Michael Shapiro.</w:t>
      </w:r>
    </w:p>
    <w:p>
      <w:pPr>
        <w:spacing w:after="0" w:line="183"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0"/>
          <w:szCs w:val="20"/>
          <w:color w:val="auto"/>
          <w:vertAlign w:val="superscript"/>
        </w:rPr>
        <w:t>5</w:t>
      </w:r>
      <w:r>
        <w:rPr>
          <w:rFonts w:ascii="Times New Roman" w:cs="Times New Roman" w:eastAsia="Times New Roman" w:hAnsi="Times New Roman"/>
          <w:sz w:val="16"/>
          <w:szCs w:val="16"/>
          <w:color w:val="auto"/>
        </w:rPr>
        <w:t xml:space="preserve"> NTD: To be included for John Rademacher.</w:t>
      </w: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8"/>
          <w:szCs w:val="18"/>
          <w:color w:val="auto"/>
        </w:rPr>
        <w:t xml:space="preserve"> NTD: To be included for Michael Shapiro.</w:t>
      </w:r>
    </w:p>
    <w:p>
      <w:pPr>
        <w:sectPr>
          <w:pgSz w:w="11900" w:h="16838" w:orient="portrait"/>
          <w:cols w:equalWidth="0" w:num="1">
            <w:col w:w="11200"/>
          </w:cols>
          <w:pgMar w:left="320" w:top="1440" w:right="379" w:bottom="1440" w:gutter="0" w:footer="0" w:header="0"/>
        </w:sectPr>
      </w:pPr>
    </w:p>
    <w:bookmarkStart w:id="82" w:name="page83"/>
    <w:bookmarkEnd w:id="82"/>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[Option Care Health, Inc. Amended and Restated Executive Severance Plan]</w:t>
      </w:r>
    </w:p>
    <w:p>
      <w:pPr>
        <w:sectPr>
          <w:pgSz w:w="11900" w:h="16838" w:orient="portrait"/>
          <w:cols w:equalWidth="0" w:num="1">
            <w:col w:w="9019"/>
          </w:cols>
          <w:pgMar w:left="1440" w:top="1440" w:right="1440" w:bottom="1440" w:gutter="0" w:footer="0" w:header="0"/>
        </w:sectPr>
      </w:pPr>
    </w:p>
    <w:bookmarkStart w:id="83" w:name="page84"/>
    <w:bookmarkEnd w:id="83"/>
    <w:tbl>
      <w:tblPr>
        <w:tblLayout w:type="fixed"/>
        <w:tblInd w:w="10" w:type="dxa"/>
        <w:tblCellMar>
          <w:top w:w="0" w:type="dxa"/>
          <w:left w:w="0" w:type="dxa"/>
          <w:bottom w:w="0" w:type="dxa"/>
          <w:right w:w="0" w:type="dxa"/>
        </w:tblCellMar>
      </w:tblPr>
      <w:tr>
        <w:trPr>
          <w:trHeight w:val="212"/>
        </w:trPr>
        <w:tc>
          <w:tcPr>
            <w:tcW w:w="28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ind w:left="1560"/>
              <w:spacing w:after="0"/>
              <w:rPr>
                <w:sz w:val="20"/>
                <w:szCs w:val="20"/>
                <w:color w:val="auto"/>
              </w:rPr>
            </w:pPr>
            <w:r>
              <w:rPr>
                <w:rFonts w:ascii="Times New Roman" w:cs="Times New Roman" w:eastAsia="Times New Roman" w:hAnsi="Times New Roman"/>
                <w:sz w:val="16"/>
                <w:szCs w:val="16"/>
                <w:b w:val="1"/>
                <w:bCs w:val="1"/>
                <w:color w:val="auto"/>
              </w:rPr>
              <w:t>EXHIBIT 21.1</w:t>
            </w:r>
          </w:p>
        </w:tc>
      </w:tr>
      <w:tr>
        <w:trPr>
          <w:trHeight w:val="452"/>
        </w:trPr>
        <w:tc>
          <w:tcPr>
            <w:tcW w:w="2840" w:type="dxa"/>
            <w:vAlign w:val="bottom"/>
          </w:tcPr>
          <w:p>
            <w:pPr>
              <w:spacing w:after="0"/>
              <w:rPr>
                <w:sz w:val="24"/>
                <w:szCs w:val="24"/>
                <w:color w:val="auto"/>
              </w:rPr>
            </w:pPr>
          </w:p>
        </w:tc>
        <w:tc>
          <w:tcPr>
            <w:tcW w:w="5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b w:val="1"/>
                <w:bCs w:val="1"/>
                <w:color w:val="auto"/>
                <w:w w:val="97"/>
              </w:rPr>
              <w:t>OPTION CARE HEALTH, INC. AND ITS SUBSIDIARIES</w:t>
            </w:r>
          </w:p>
        </w:tc>
        <w:tc>
          <w:tcPr>
            <w:tcW w:w="22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142"/>
        </w:trPr>
        <w:tc>
          <w:tcPr>
            <w:tcW w:w="5960" w:type="dxa"/>
            <w:vAlign w:val="bottom"/>
            <w:tcBorders>
              <w:bottom w:val="single" w:sz="8" w:color="auto"/>
            </w:tcBorders>
            <w:gridSpan w:val="2"/>
          </w:tcPr>
          <w:p>
            <w:pPr>
              <w:spacing w:after="0"/>
              <w:rPr>
                <w:sz w:val="12"/>
                <w:szCs w:val="12"/>
                <w:color w:val="auto"/>
              </w:rPr>
            </w:pPr>
          </w:p>
        </w:tc>
        <w:tc>
          <w:tcPr>
            <w:tcW w:w="24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620" w:type="dxa"/>
            <w:vAlign w:val="bottom"/>
            <w:tcBorders>
              <w:bottom w:val="single" w:sz="8" w:color="auto"/>
            </w:tcBorders>
          </w:tcPr>
          <w:p>
            <w:pPr>
              <w:spacing w:after="0"/>
              <w:rPr>
                <w:sz w:val="12"/>
                <w:szCs w:val="12"/>
                <w:color w:val="auto"/>
              </w:rPr>
            </w:pPr>
          </w:p>
        </w:tc>
      </w:tr>
      <w:tr>
        <w:trPr>
          <w:trHeight w:val="223"/>
        </w:trPr>
        <w:tc>
          <w:tcPr>
            <w:tcW w:w="5960" w:type="dxa"/>
            <w:vAlign w:val="bottom"/>
            <w:tcBorders>
              <w:left w:val="single" w:sz="8" w:color="auto"/>
              <w:bottom w:val="single" w:sz="8" w:color="auto"/>
              <w:right w:val="single" w:sz="8" w:color="auto"/>
            </w:tcBorders>
            <w:gridSpan w:val="2"/>
          </w:tcPr>
          <w:p>
            <w:pPr>
              <w:ind w:left="2500"/>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24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State of Incorporation</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Doing Business As</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BioScrip Infusion Services, Inc.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BioScrip Infusion Services, LLC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BioScrip PBM Services, LLC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BioScrip Pharmacy Services, Inc.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CHI Holding Corporation</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Chronimed, LLC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Minnesota</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CHS Holdings, LLC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Clinical Holdings, Inc.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Clinical Specialties Network Services of Illinois, Inc.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Clinical Specialties, Inc.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Crescent Healthcare, Inc.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Critical Care Systems of New York, Inc.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Critical Care Systems, LLC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Critical Homecare Solutions, LLC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CSI Managed Care, Inc.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CSI Network Services of Indiana, Inc.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CSI Network Services of Michigan, Inc.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Deaconess Enterprises, Inc.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Deaconess HomeCare, Inc.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East Goshen Pharmacy, LLC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HC Group Holdings II, LLC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HC Group Holdings III, Inc.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Healthy Connections Homecare Services, Inc.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Home I.V. Specialists, Inc.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Arkansas</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HomeChoice Partners, LLC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InfuScience South Carolina, LLC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InfuScience, LLC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Infusion Partners of Melbourne, LLC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Georgia</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Infusion Partners, LLC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Infusion Solutions, Inc.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New Hampshire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Infusion Therapy Specialist, Inc.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Nebraska</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Knoxville Home Therapies, LLC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Tennessee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MedNow Infusion, LLC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Naven Health, Inc.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New England Home Therapies, Inc.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Massachusetts</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Option Care Enterprises, Inc.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Option Care Enterprises, Inc.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Option Care Health, Inc. (f/k/a BioScrip, Inc.)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Option Care Home Care, Inc.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Option Care Infusion Services, Inc.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Option Care Infusion Suites, LLC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Option Care of New York, Inc.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OptioNet, Inc.</w:t>
            </w:r>
          </w:p>
        </w:tc>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Health</w:t>
            </w:r>
          </w:p>
        </w:tc>
      </w:tr>
    </w:tbl>
    <w:p>
      <w:pPr>
        <w:sectPr>
          <w:pgSz w:w="11900" w:h="16838" w:orient="portrait"/>
          <w:cols w:equalWidth="0" w:num="1">
            <w:col w:w="11220"/>
          </w:cols>
          <w:pgMar w:left="340" w:top="893" w:right="339" w:bottom="1440" w:gutter="0" w:footer="0" w:header="0"/>
        </w:sectPr>
      </w:pPr>
    </w:p>
    <w:bookmarkStart w:id="84" w:name="page85"/>
    <w:bookmarkEnd w:id="8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9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Professional Home Care Services, Inc.</w:t>
            </w:r>
          </w:p>
        </w:tc>
        <w:tc>
          <w:tcPr>
            <w:tcW w:w="264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26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Revitalized, LLC</w:t>
            </w:r>
          </w:p>
        </w:tc>
        <w:tc>
          <w:tcPr>
            <w:tcW w:w="2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Rhode Island</w:t>
            </w: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River City Pharmacy, Inc.</w:t>
            </w:r>
          </w:p>
        </w:tc>
        <w:tc>
          <w:tcPr>
            <w:tcW w:w="2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Scott-Wilson, Inc.</w:t>
            </w:r>
          </w:p>
        </w:tc>
        <w:tc>
          <w:tcPr>
            <w:tcW w:w="2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Kentucky</w:t>
            </w: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Specialty Pharma, Inc.</w:t>
            </w:r>
          </w:p>
        </w:tc>
        <w:tc>
          <w:tcPr>
            <w:tcW w:w="2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Springville Pharmacy Infusion Therapy, Inc.</w:t>
            </w:r>
          </w:p>
        </w:tc>
        <w:tc>
          <w:tcPr>
            <w:tcW w:w="2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Trinity HomeCare, LLC</w:t>
            </w:r>
          </w:p>
        </w:tc>
        <w:tc>
          <w:tcPr>
            <w:tcW w:w="2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New Jersey</w:t>
            </w: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Wilcox Medical, Inc.</w:t>
            </w:r>
          </w:p>
        </w:tc>
        <w:tc>
          <w:tcPr>
            <w:tcW w:w="2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Vermont</w:t>
            </w:r>
          </w:p>
        </w:tc>
        <w:tc>
          <w:tcPr>
            <w:tcW w:w="2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Health</w:t>
            </w:r>
          </w:p>
        </w:tc>
      </w:tr>
    </w:tbl>
    <w:p>
      <w:pPr>
        <w:sectPr>
          <w:pgSz w:w="11900" w:h="16838" w:orient="portrait"/>
          <w:cols w:equalWidth="0" w:num="1">
            <w:col w:w="11220"/>
          </w:cols>
          <w:pgMar w:left="340" w:top="1011"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9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8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333-214039, 333-216630, and 333-216631) on Form S-3 and (No. 333-228310) on Form S-8 of our reports dated February 22, 2024, with respect to the consolidated financial statements of Option Care Health, Inc. and the effectiveness of internal control over financial reporting.</w:t>
      </w:r>
    </w:p>
    <w:p>
      <w:pPr>
        <w:spacing w:after="0" w:line="1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 KPMG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2024</w:t>
      </w:r>
    </w:p>
    <w:p>
      <w:pPr>
        <w:sectPr>
          <w:pgSz w:w="11900" w:h="16838" w:orient="portrait"/>
          <w:cols w:equalWidth="0" w:num="1">
            <w:col w:w="11200"/>
          </w:cols>
          <w:pgMar w:left="320" w:top="887" w:right="379" w:bottom="1440" w:gutter="0" w:footer="0" w:header="0"/>
        </w:sectPr>
      </w:pPr>
    </w:p>
    <w:bookmarkStart w:id="86" w:name="page87"/>
    <w:bookmarkEnd w:id="86"/>
    <w:p>
      <w:pPr>
        <w:ind w:left="10180"/>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4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Rademacher, certify that:</w:t>
      </w:r>
    </w:p>
    <w:p>
      <w:pPr>
        <w:spacing w:after="0" w:line="104" w:lineRule="exact"/>
        <w:rPr>
          <w:sz w:val="20"/>
          <w:szCs w:val="20"/>
          <w:color w:val="auto"/>
        </w:rPr>
      </w:pPr>
    </w:p>
    <w:p>
      <w:pPr>
        <w:ind w:left="360" w:hanging="352"/>
        <w:spacing w:after="0"/>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Option Care Health, Inc.;</w:t>
      </w:r>
    </w:p>
    <w:p>
      <w:pPr>
        <w:spacing w:after="0" w:line="103" w:lineRule="exact"/>
        <w:rPr>
          <w:rFonts w:ascii="Times New Roman" w:cs="Times New Roman" w:eastAsia="Times New Roman" w:hAnsi="Times New Roman"/>
          <w:sz w:val="18"/>
          <w:szCs w:val="18"/>
          <w:color w:val="auto"/>
        </w:rPr>
      </w:pPr>
    </w:p>
    <w:p>
      <w:pPr>
        <w:ind w:left="660" w:hanging="652"/>
        <w:spacing w:after="0" w:line="266" w:lineRule="auto"/>
        <w:tabs>
          <w:tab w:leader="none" w:pos="4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660" w:hanging="652"/>
        <w:spacing w:after="0" w:line="282" w:lineRule="auto"/>
        <w:tabs>
          <w:tab w:leader="none" w:pos="44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660" w:hanging="652"/>
        <w:spacing w:after="0" w:line="266" w:lineRule="auto"/>
        <w:tabs>
          <w:tab w:leader="none" w:pos="45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54" w:lineRule="exact"/>
        <w:rPr>
          <w:rFonts w:ascii="Times New Roman" w:cs="Times New Roman" w:eastAsia="Times New Roman" w:hAnsi="Times New Roman"/>
          <w:sz w:val="18"/>
          <w:szCs w:val="18"/>
          <w:color w:val="auto"/>
        </w:rPr>
      </w:pPr>
    </w:p>
    <w:p>
      <w:pPr>
        <w:ind w:left="1300" w:hanging="644"/>
        <w:spacing w:after="0" w:line="266" w:lineRule="auto"/>
        <w:tabs>
          <w:tab w:leader="none" w:pos="110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300" w:hanging="644"/>
        <w:spacing w:after="0" w:line="266" w:lineRule="auto"/>
        <w:tabs>
          <w:tab w:leader="none" w:pos="115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1300" w:hanging="644"/>
        <w:spacing w:after="0" w:line="282" w:lineRule="auto"/>
        <w:tabs>
          <w:tab w:leader="none" w:pos="117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1300" w:hanging="644"/>
        <w:spacing w:after="0" w:line="266" w:lineRule="auto"/>
        <w:tabs>
          <w:tab w:leader="none" w:pos="11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660" w:hanging="652"/>
        <w:spacing w:after="0" w:line="282" w:lineRule="auto"/>
        <w:tabs>
          <w:tab w:leader="none" w:pos="42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13"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hanging="644"/>
        <w:spacing w:after="0" w:line="282" w:lineRule="auto"/>
        <w:tabs>
          <w:tab w:leader="none" w:pos="115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22, 2024</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John Rademacher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Rademacher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President and Director (Principal Executive Officer)</w:t>
      </w:r>
    </w:p>
    <w:p>
      <w:pPr>
        <w:sectPr>
          <w:pgSz w:w="11900" w:h="16838" w:orient="portrait"/>
          <w:cols w:equalWidth="0" w:num="1">
            <w:col w:w="11240"/>
          </w:cols>
          <w:pgMar w:left="320" w:top="893"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4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Shapiro, certify that:</w:t>
      </w:r>
    </w:p>
    <w:p>
      <w:pPr>
        <w:spacing w:after="0" w:line="104" w:lineRule="exact"/>
        <w:rPr>
          <w:sz w:val="20"/>
          <w:szCs w:val="20"/>
          <w:color w:val="auto"/>
        </w:rPr>
      </w:pPr>
    </w:p>
    <w:p>
      <w:pPr>
        <w:ind w:left="360" w:hanging="352"/>
        <w:spacing w:after="0"/>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Option Care Health, Inc.;</w:t>
      </w:r>
    </w:p>
    <w:p>
      <w:pPr>
        <w:spacing w:after="0" w:line="103" w:lineRule="exact"/>
        <w:rPr>
          <w:rFonts w:ascii="Times New Roman" w:cs="Times New Roman" w:eastAsia="Times New Roman" w:hAnsi="Times New Roman"/>
          <w:sz w:val="18"/>
          <w:szCs w:val="18"/>
          <w:color w:val="auto"/>
        </w:rPr>
      </w:pPr>
    </w:p>
    <w:p>
      <w:pPr>
        <w:ind w:left="660" w:hanging="652"/>
        <w:spacing w:after="0" w:line="266" w:lineRule="auto"/>
        <w:tabs>
          <w:tab w:leader="none" w:pos="4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660" w:hanging="652"/>
        <w:spacing w:after="0" w:line="282" w:lineRule="auto"/>
        <w:tabs>
          <w:tab w:leader="none" w:pos="44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660" w:hanging="652"/>
        <w:spacing w:after="0" w:line="266" w:lineRule="auto"/>
        <w:tabs>
          <w:tab w:leader="none" w:pos="45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54" w:lineRule="exact"/>
        <w:rPr>
          <w:rFonts w:ascii="Times New Roman" w:cs="Times New Roman" w:eastAsia="Times New Roman" w:hAnsi="Times New Roman"/>
          <w:sz w:val="18"/>
          <w:szCs w:val="18"/>
          <w:color w:val="auto"/>
        </w:rPr>
      </w:pPr>
    </w:p>
    <w:p>
      <w:pPr>
        <w:ind w:left="1300" w:hanging="644"/>
        <w:spacing w:after="0" w:line="266" w:lineRule="auto"/>
        <w:tabs>
          <w:tab w:leader="none" w:pos="110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300" w:hanging="644"/>
        <w:spacing w:after="0" w:line="266" w:lineRule="auto"/>
        <w:tabs>
          <w:tab w:leader="none" w:pos="115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1300" w:hanging="644"/>
        <w:spacing w:after="0" w:line="282" w:lineRule="auto"/>
        <w:tabs>
          <w:tab w:leader="none" w:pos="117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1300" w:hanging="644"/>
        <w:spacing w:after="0" w:line="266" w:lineRule="auto"/>
        <w:tabs>
          <w:tab w:leader="none" w:pos="11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660" w:hanging="652"/>
        <w:spacing w:after="0" w:line="282" w:lineRule="auto"/>
        <w:tabs>
          <w:tab w:leader="none" w:pos="42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13"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hanging="644"/>
        <w:spacing w:after="0" w:line="282" w:lineRule="auto"/>
        <w:tabs>
          <w:tab w:leader="none" w:pos="115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22, 2024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Michael Shapiro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Shapiro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Executive Vice President (Principal Financial Officer)</w:t>
      </w:r>
    </w:p>
    <w:p>
      <w:pPr>
        <w:sectPr>
          <w:pgSz w:w="11900" w:h="16838" w:orient="portrait"/>
          <w:cols w:equalWidth="0" w:num="1">
            <w:col w:w="11240"/>
          </w:cols>
          <w:pgMar w:left="320" w:top="893"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08" w:lineRule="exact"/>
        <w:rPr>
          <w:sz w:val="20"/>
          <w:szCs w:val="20"/>
          <w:color w:val="auto"/>
        </w:rPr>
      </w:pPr>
    </w:p>
    <w:p>
      <w:pPr>
        <w:jc w:val="both"/>
        <w:ind w:firstLine="202"/>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Option Care Health, Inc. (the “Company”) on Form 10-K for the year ended December 31, 2023, as filed with the Securities and Exchange Commission on the date hereof (the “Report”), I, John Rademacher, Chief Executive Officer of the Company, do hereby certify, pursuant to 18 U.S.C. Section 1350, as adopted pursuant to Section 906 of the Sarbanes-Oxley Act of 2002, that to my knowledge:</w:t>
      </w:r>
    </w:p>
    <w:p>
      <w:pPr>
        <w:spacing w:after="0" w:line="41" w:lineRule="exact"/>
        <w:rPr>
          <w:sz w:val="20"/>
          <w:szCs w:val="20"/>
          <w:color w:val="auto"/>
        </w:rPr>
      </w:pPr>
    </w:p>
    <w:p>
      <w:pPr>
        <w:ind w:left="440" w:hanging="432"/>
        <w:spacing w:after="0"/>
        <w:tabs>
          <w:tab w:leader="none" w:pos="4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0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22, 2024</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John Rademacher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Rademacher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President and Director (Principal Executive Officer)</w:t>
      </w:r>
    </w:p>
    <w:p>
      <w:pPr>
        <w:sectPr>
          <w:pgSz w:w="11900" w:h="16838" w:orient="portrait"/>
          <w:cols w:equalWidth="0" w:num="1">
            <w:col w:w="11240"/>
          </w:cols>
          <w:pgMar w:left="320" w:top="887"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08" w:lineRule="exact"/>
        <w:rPr>
          <w:sz w:val="20"/>
          <w:szCs w:val="20"/>
          <w:color w:val="auto"/>
        </w:rPr>
      </w:pPr>
    </w:p>
    <w:p>
      <w:pPr>
        <w:jc w:val="both"/>
        <w:ind w:firstLine="202"/>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Option Care Health, Inc. (the “Company”) on Form 10-K for the year ended December 31, 2023, as filed with the Securities and Exchange Commission on the date hereof (the “Report”), I, Michael Shapiro, Chief Financial Officer of the Company, do hereby certify, pursuant to 18 U.S.C. Section 1350, as adopted pursuant to Section 906 of the Sarbanes-Oxley Act of 2002, that to my knowledge:</w:t>
      </w:r>
    </w:p>
    <w:p>
      <w:pPr>
        <w:spacing w:after="0" w:line="41" w:lineRule="exact"/>
        <w:rPr>
          <w:sz w:val="20"/>
          <w:szCs w:val="20"/>
          <w:color w:val="auto"/>
        </w:rPr>
      </w:pPr>
    </w:p>
    <w:p>
      <w:pPr>
        <w:ind w:left="440" w:hanging="432"/>
        <w:spacing w:after="0"/>
        <w:tabs>
          <w:tab w:leader="none" w:pos="4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0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22, 2024</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Michael Shapiro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Shapiro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Executive Vice President (Principal Financial Officer)</w:t>
      </w:r>
    </w:p>
    <w:p>
      <w:pPr>
        <w:sectPr>
          <w:pgSz w:w="11900" w:h="16838" w:orient="portrait"/>
          <w:cols w:equalWidth="0" w:num="1">
            <w:col w:w="11240"/>
          </w:cols>
          <w:pgMar w:left="320" w:top="887"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20"/>
          <w:szCs w:val="20"/>
          <w:color w:val="auto"/>
        </w:rPr>
        <w:t>OPTION CARE HEALTH,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REQUIRED EXECUTIVE COMPENSATION RECOVERY POLICY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Adopted September 7,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Policy</w:t>
      </w:r>
    </w:p>
    <w:p>
      <w:pPr>
        <w:spacing w:after="0" w:line="26"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0"/>
          <w:szCs w:val="20"/>
          <w:color w:val="auto"/>
        </w:rPr>
        <w:t>The Board of Directors (the “</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of Option Care Health,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has adopted this Required Executive Compensation Recovery Policy (this “</w:t>
      </w:r>
      <w:r>
        <w:rPr>
          <w:rFonts w:ascii="Times New Roman" w:cs="Times New Roman" w:eastAsia="Times New Roman" w:hAnsi="Times New Roman"/>
          <w:sz w:val="20"/>
          <w:szCs w:val="20"/>
          <w:u w:val="single" w:color="auto"/>
          <w:color w:val="auto"/>
        </w:rPr>
        <w:t>Policy</w:t>
      </w:r>
      <w:r>
        <w:rPr>
          <w:rFonts w:ascii="Times New Roman" w:cs="Times New Roman" w:eastAsia="Times New Roman" w:hAnsi="Times New Roman"/>
          <w:sz w:val="20"/>
          <w:szCs w:val="20"/>
          <w:color w:val="auto"/>
        </w:rPr>
        <w:t>”) pursuant to Rule 10D-1 of the Securities and Exchange Act of 1934, as amended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the Securities and Exchange Commission (“SEC”) regulations promulgated thereunder, and applicable Nasdaq Stock Market (“</w:t>
      </w:r>
      <w:r>
        <w:rPr>
          <w:rFonts w:ascii="Times New Roman" w:cs="Times New Roman" w:eastAsia="Times New Roman" w:hAnsi="Times New Roman"/>
          <w:sz w:val="20"/>
          <w:szCs w:val="20"/>
          <w:u w:val="single" w:color="auto"/>
          <w:color w:val="auto"/>
        </w:rPr>
        <w:t>Nasdaq</w:t>
      </w:r>
      <w:r>
        <w:rPr>
          <w:rFonts w:ascii="Times New Roman" w:cs="Times New Roman" w:eastAsia="Times New Roman" w:hAnsi="Times New Roman"/>
          <w:sz w:val="20"/>
          <w:szCs w:val="20"/>
          <w:color w:val="auto"/>
        </w:rPr>
        <w:t>”) listing standards. Subject to and in accordance with the terms of this Policy, upon a Recoupment Event, each Covered Executive shall be obligated to return to the Company, reasonably promptly, the amount of Erroneously Awarded Compensation that was received by such Covered Executive during the Lookback Period.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Administration</w:t>
      </w:r>
    </w:p>
    <w:p>
      <w:pPr>
        <w:spacing w:after="0" w:line="26"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0"/>
          <w:szCs w:val="20"/>
          <w:color w:val="auto"/>
        </w:rPr>
        <w:t>This Policy will be administered by the Compensation Committee of the Board (the “</w:t>
      </w:r>
      <w:r>
        <w:rPr>
          <w:rFonts w:ascii="Times New Roman" w:cs="Times New Roman" w:eastAsia="Times New Roman" w:hAnsi="Times New Roman"/>
          <w:sz w:val="20"/>
          <w:szCs w:val="20"/>
          <w:u w:val="single" w:color="auto"/>
          <w:color w:val="auto"/>
        </w:rPr>
        <w:t>Committee</w:t>
      </w:r>
      <w:r>
        <w:rPr>
          <w:rFonts w:ascii="Times New Roman" w:cs="Times New Roman" w:eastAsia="Times New Roman" w:hAnsi="Times New Roman"/>
          <w:sz w:val="20"/>
          <w:szCs w:val="20"/>
          <w:color w:val="auto"/>
        </w:rPr>
        <w:t>”). Any determinations made by the Committee will be final and binding on all affected individuals.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Definitions</w:t>
      </w:r>
    </w:p>
    <w:p>
      <w:pPr>
        <w:spacing w:after="0" w:line="26"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Accounting Restatement</w:t>
      </w:r>
      <w:r>
        <w:rPr>
          <w:rFonts w:ascii="Times New Roman" w:cs="Times New Roman" w:eastAsia="Times New Roman" w:hAnsi="Times New Roman"/>
          <w:sz w:val="20"/>
          <w:szCs w:val="20"/>
          <w:color w:val="auto"/>
        </w:rPr>
        <w:t>” means an accounting restatement due to the material noncompliance of the Company with any financial reporting requirement under the securities laws, including any required accounting restatement to correct an error in previously issued financial statements that is (a) material to the previously issued financial statements (commonly referred to as a “Big R” restatement), or (b) would result in a material misstatement if the error were corrected in the current period or left uncorrected in the current period (commonly referred to as a “little r” restatement).</w:t>
      </w:r>
    </w:p>
    <w:p>
      <w:pPr>
        <w:ind w:left="660"/>
        <w:spacing w:after="0" w:line="22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Executive</w:t>
      </w:r>
      <w:r>
        <w:rPr>
          <w:rFonts w:ascii="Times New Roman" w:cs="Times New Roman" w:eastAsia="Times New Roman" w:hAnsi="Times New Roman"/>
          <w:sz w:val="20"/>
          <w:szCs w:val="20"/>
          <w:color w:val="auto"/>
        </w:rPr>
        <w:t>” means each of the Company’s current and former Section 16 Officers.</w:t>
      </w:r>
    </w:p>
    <w:p>
      <w:pPr>
        <w:spacing w:after="0" w:line="1"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Erroneously Awarded Compensation</w:t>
      </w:r>
      <w:r>
        <w:rPr>
          <w:rFonts w:ascii="Times New Roman" w:cs="Times New Roman" w:eastAsia="Times New Roman" w:hAnsi="Times New Roman"/>
          <w:sz w:val="20"/>
          <w:szCs w:val="20"/>
          <w:color w:val="auto"/>
        </w:rPr>
        <w:t>” means, with respect to each Covered Executive in connection with an Accounting Restatement, the excess of the amount of Incentive-Based Compensation received by the Covered Executive during the Lookback Period over the amount of Incentive-Based Compensation that otherwise would have been received had it been determined based on the restated amounts, computed without regard to any taxes paid. For Incentive-Based Compensation based on stock price or total shareholder return, where the amount of Erroneously Awarded Compensation is not subject to mathematical recalculation directly from the information in an Accounting Restatement: (a) the amount must be based on a reasonable estimate of the effect of the Accounting Restatement on the stock price or total shareholder return upon which the Incentive-Based Compensation was received; and (b) the Company must maintain documentation of the determination of that reasonable estimate and provide such documentation to Nasdaq.</w:t>
      </w:r>
    </w:p>
    <w:p>
      <w:pPr>
        <w:spacing w:after="0" w:line="4"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Reporting Measures</w:t>
      </w:r>
      <w:r>
        <w:rPr>
          <w:rFonts w:ascii="Times New Roman" w:cs="Times New Roman" w:eastAsia="Times New Roman" w:hAnsi="Times New Roman"/>
          <w:sz w:val="20"/>
          <w:szCs w:val="20"/>
          <w:color w:val="auto"/>
        </w:rPr>
        <w:t>” are any measures that are determined and presented in accordance with the accounting principles used in preparing the Company’s financial statements, and any measures derived wholly or in part from such measures. Stock price and total shareholder return are also Financial Reporting Measures. A Financial Reporting Measure need not be presented within the financial statements or included in a filing with the SEC.</w:t>
      </w:r>
    </w:p>
    <w:p>
      <w:pPr>
        <w:spacing w:after="0" w:line="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Incentive-Based Compensation</w:t>
      </w:r>
      <w:r>
        <w:rPr>
          <w:rFonts w:ascii="Times New Roman" w:cs="Times New Roman" w:eastAsia="Times New Roman" w:hAnsi="Times New Roman"/>
          <w:sz w:val="20"/>
          <w:szCs w:val="20"/>
          <w:color w:val="auto"/>
        </w:rPr>
        <w:t>” is any compensation that is granted, earned, or vested based wholly or in part upon the attainment of a Financial Reporting Measure.</w:t>
      </w:r>
    </w:p>
    <w:p>
      <w:pPr>
        <w:spacing w:after="0" w:line="1"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Lookback Period</w:t>
      </w:r>
      <w:r>
        <w:rPr>
          <w:rFonts w:ascii="Times New Roman" w:cs="Times New Roman" w:eastAsia="Times New Roman" w:hAnsi="Times New Roman"/>
          <w:sz w:val="20"/>
          <w:szCs w:val="20"/>
          <w:color w:val="auto"/>
        </w:rPr>
        <w:t>” means the three completed fiscal years immediately preceding the Required Restatement Date and any transition period (that results from a change in the Company’s fiscal year) of less than nine months within or immediately following those three completed fiscal years.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 “</w:t>
      </w:r>
      <w:r>
        <w:rPr>
          <w:rFonts w:ascii="Times New Roman" w:cs="Times New Roman" w:eastAsia="Times New Roman" w:hAnsi="Times New Roman"/>
          <w:sz w:val="20"/>
          <w:szCs w:val="20"/>
          <w:u w:val="single" w:color="auto"/>
          <w:color w:val="auto"/>
        </w:rPr>
        <w:t>Recoupment Event</w:t>
      </w:r>
      <w:r>
        <w:rPr>
          <w:rFonts w:ascii="Times New Roman" w:cs="Times New Roman" w:eastAsia="Times New Roman" w:hAnsi="Times New Roman"/>
          <w:sz w:val="20"/>
          <w:szCs w:val="20"/>
          <w:color w:val="auto"/>
        </w:rPr>
        <w:t>” occurs when the Company is required to prepare an Accounting Restatement.</w:t>
      </w:r>
    </w:p>
    <w:p>
      <w:pPr>
        <w:sectPr>
          <w:pgSz w:w="11900" w:h="16838" w:orient="portrait"/>
          <w:cols w:equalWidth="0" w:num="1">
            <w:col w:w="11240"/>
          </w:cols>
          <w:pgMar w:left="320" w:top="1413" w:right="339" w:bottom="1440" w:gutter="0" w:footer="0" w:header="0"/>
        </w:sectPr>
      </w:pPr>
    </w:p>
    <w:bookmarkStart w:id="91" w:name="page92"/>
    <w:bookmarkEnd w:id="91"/>
    <w:p>
      <w:pPr>
        <w:jc w:val="both"/>
        <w:ind w:firstLine="648"/>
        <w:spacing w:after="0" w:line="23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Restatement Date</w:t>
      </w:r>
      <w:r>
        <w:rPr>
          <w:rFonts w:ascii="Times New Roman" w:cs="Times New Roman" w:eastAsia="Times New Roman" w:hAnsi="Times New Roman"/>
          <w:sz w:val="20"/>
          <w:szCs w:val="20"/>
          <w:color w:val="auto"/>
        </w:rPr>
        <w:t>” means the earlier to occur of: (a) the date the Company’s Board, a committee of the Board, or the officer(s) of the Company authorized to take such action if Board action is not required, concludes, or reasonably should have concluded, that the Company is required to prepare an Accounting Restatement, or (b) the date a court, regulator, or other legally authorized body directs the Company to prepare an Accounting Restatement.</w:t>
      </w:r>
    </w:p>
    <w:p>
      <w:pPr>
        <w:ind w:left="660"/>
        <w:spacing w:after="0" w:line="22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Section 16 Officer</w:t>
      </w:r>
      <w:r>
        <w:rPr>
          <w:rFonts w:ascii="Times New Roman" w:cs="Times New Roman" w:eastAsia="Times New Roman" w:hAnsi="Times New Roman"/>
          <w:sz w:val="20"/>
          <w:szCs w:val="20"/>
          <w:color w:val="auto"/>
        </w:rPr>
        <w:t>” is defined as an “officer” of the Company within the meaning of Rule 16a-1(f) of the Exchange Act.</w:t>
      </w: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means Section 409A of the Internal Revenue Code and the regulations and guidance promulgated thereunder.</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Amount Subject to Recovery</w:t>
      </w:r>
    </w:p>
    <w:p>
      <w:pPr>
        <w:spacing w:after="0" w:line="12"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0"/>
          <w:szCs w:val="20"/>
          <w:color w:val="auto"/>
        </w:rPr>
        <w:t>The Incentive-Based Compensation that is subject to recovery under this Policy includes such compensation that is received by a Covered Executive (i) on or after October 2, 2023 (even if such Incentive-Based Compensation was approved, awarded or granted prior to this date), (ii) after the individual began service as a Covered Executive, (iii) if the individual served as a Section 16 Officer at any time during the performance period for such Incentive-Based Compensation, and (iv) while the Company has a class of securities listed on a national securities exchange or national securities association.</w:t>
      </w: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The amount of Incentive-Based Compensation subject to recovery from a Covered Executive upon a Recoupment Event is the Erroneously Awarded Compensation, which amount shall be determined by the Committee.</w:t>
      </w:r>
    </w:p>
    <w:p>
      <w:pPr>
        <w:spacing w:after="0" w:line="1"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0"/>
          <w:szCs w:val="20"/>
          <w:color w:val="auto"/>
        </w:rPr>
        <w:t>For purposes of this Policy, Incentive-Based Compensation is deemed “received” in the Company’s fiscal period during which the Financial Reporting Measure specified in the Incentive-Based Compensation award is attained, even if the payment or grant of the Incentive-Based Compensation occurs after the end of that period.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Recovery of Erroneously Awarded Compensation</w:t>
      </w:r>
    </w:p>
    <w:p>
      <w:pPr>
        <w:spacing w:after="0" w:line="26"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20"/>
          <w:szCs w:val="20"/>
          <w:color w:val="auto"/>
        </w:rPr>
        <w:t>Promptly following a Recoupment Event, the Committee will determine the amount of Erroneously Awarded Compensation for each Covered Executive, and the Company will provide each such Covered Executive with a written notice of such amount and a demand for repayment or return. Upon receipt of such notice, each affected Covered Executive shall promptly repay or return such Erroneously Awarded Compensation to the Company.</w:t>
      </w:r>
    </w:p>
    <w:p>
      <w:pPr>
        <w:spacing w:after="0" w:line="4"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If such repayment or return is not made within a reasonable time, the Company shall recover Erroneously Awarded Compensation in a reasonable and prompt manner using any lawful method determined by the Committee; provided that recovery of any Erroneously Awarded Compensation must be made in compliance with Section 409A.</w:t>
      </w:r>
    </w:p>
    <w:p>
      <w:pPr>
        <w:spacing w:after="0" w:line="227" w:lineRule="auto"/>
        <w:rPr>
          <w:sz w:val="20"/>
          <w:szCs w:val="20"/>
          <w:color w:val="auto"/>
        </w:rPr>
      </w:pPr>
      <w:r>
        <w:rPr>
          <w:rFonts w:ascii="Times New Roman" w:cs="Times New Roman" w:eastAsia="Times New Roman" w:hAnsi="Times New Roman"/>
          <w:sz w:val="20"/>
          <w:szCs w:val="20"/>
          <w:color w:val="auto"/>
        </w:rPr>
        <w:t>Limited Exceptions</w:t>
      </w:r>
    </w:p>
    <w:p>
      <w:pPr>
        <w:spacing w:after="0" w:line="1"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Erroneously Awarded Compensation will be recovered in accordance with this Policy unless the Committee determines that recovery would be impracticable and one of the following conditions is met:</w:t>
      </w:r>
    </w:p>
    <w:p>
      <w:pPr>
        <w:spacing w:after="0" w:line="1" w:lineRule="exact"/>
        <w:rPr>
          <w:sz w:val="20"/>
          <w:szCs w:val="20"/>
          <w:color w:val="auto"/>
        </w:rPr>
      </w:pPr>
    </w:p>
    <w:p>
      <w:pPr>
        <w:ind w:left="660" w:hanging="328"/>
        <w:spacing w:after="0" w:line="232" w:lineRule="auto"/>
        <w:tabs>
          <w:tab w:leader="none" w:pos="649"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 expense paid to a third party to assist in enforcing this Policy would exceed the amount to be recovered, provided the Company has first made a reasonable effort to recover the Erroneously Awarded Compensation; or</w:t>
      </w:r>
    </w:p>
    <w:p>
      <w:pPr>
        <w:ind w:left="660" w:hanging="328"/>
        <w:spacing w:after="0" w:line="232" w:lineRule="auto"/>
        <w:tabs>
          <w:tab w:leader="none" w:pos="6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recovery would likely cause a U.S. tax-qualified retirement plan to fail to meet the requirements of Internal Revenue Code Sections 401(a)(13) and 411(a) and the regulations thereunder.</w:t>
      </w:r>
    </w:p>
    <w:p>
      <w:pPr>
        <w:spacing w:after="0" w:line="1"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0"/>
          <w:szCs w:val="20"/>
          <w:color w:val="auto"/>
        </w:rPr>
        <w:t>Reliance on any of the above exemptions will further comply with applicable listing standards, including without limitation, documenting the reason for the impracticability and providing required documentation to Nasdaq.</w:t>
      </w:r>
    </w:p>
    <w:p>
      <w:pPr>
        <w:sectPr>
          <w:pgSz w:w="11900" w:h="16838" w:orient="portrait"/>
          <w:cols w:equalWidth="0" w:num="1">
            <w:col w:w="11240"/>
          </w:cols>
          <w:pgMar w:left="320" w:top="1413"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20"/>
          <w:szCs w:val="20"/>
          <w:b w:val="1"/>
          <w:bCs w:val="1"/>
          <w:u w:val="single" w:color="auto"/>
          <w:color w:val="auto"/>
        </w:rPr>
        <w:t>No Insurance or Indemnification</w:t>
      </w:r>
    </w:p>
    <w:p>
      <w:pPr>
        <w:spacing w:after="0" w:line="12"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color w:val="auto"/>
        </w:rPr>
        <w:t>Neither the Company nor any of its affiliates or subsidiaries may indemnify any Covered Executive against the loss of any Erroneously Awarded Compensation (or related expenses incurred by the Covered Executive) pursuant to a recovery of Erroneously Awarded Compensation under this Policy, nor will the Company nor any of its affiliates or subsidiaries pay or reimburse a Covered Executive for any insurance premiums on any insurance policy obtained by the Covered Executive to protect against the forfeiture or recovery of any compensation pursuant to this Policy.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Interpretation</w:t>
      </w:r>
    </w:p>
    <w:p>
      <w:pPr>
        <w:spacing w:after="0" w:line="12" w:lineRule="exact"/>
        <w:rPr>
          <w:sz w:val="20"/>
          <w:szCs w:val="20"/>
          <w:color w:val="auto"/>
        </w:rPr>
      </w:pPr>
    </w:p>
    <w:p>
      <w:pPr>
        <w:ind w:firstLine="648"/>
        <w:spacing w:after="0" w:line="231" w:lineRule="auto"/>
        <w:rPr>
          <w:sz w:val="20"/>
          <w:szCs w:val="20"/>
          <w:color w:val="auto"/>
        </w:rPr>
      </w:pPr>
      <w:r>
        <w:rPr>
          <w:rFonts w:ascii="Times New Roman" w:cs="Times New Roman" w:eastAsia="Times New Roman" w:hAnsi="Times New Roman"/>
          <w:sz w:val="20"/>
          <w:szCs w:val="20"/>
          <w:color w:val="auto"/>
        </w:rPr>
        <w:t>The Committee is authorized to interpret and construe this Policy and to make all determinations necessary, appropriate, or advisable for the administration of this Policy. This Policy shall be applied and interpreted in a manner that is consistent with the requirements of Rule 10D-1 and any applicable regulations, rules or standards adopted by SEC or the rules of any national securities exchange or national securities association on which the Company’s securities are listed. In the event that this Policy does not meet the requirements of Rule 10D-1, the SEC regulations promulgated thereunder, or the rules of any national securities exchange or national securities association on which the Company’s securities are listed, this Policy shall be deemed to be amended to meet such requirements. Amendment; Termination</w:t>
      </w:r>
    </w:p>
    <w:p>
      <w:pPr>
        <w:spacing w:after="0" w:line="3"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0"/>
          <w:szCs w:val="20"/>
          <w:color w:val="auto"/>
        </w:rPr>
        <w:t>The Board or the Committee may amend this Policy in its discretion and shall amend this Policy as it deems necessary to comply with the regulations adopted by the SEC under Rule 10D-1 and the rules of any national securities exchange or national securities association on which the Company’s securities are listed. The Board or the Committee may terminate this Policy at any time. Notwithstanding anything herein to the contrary, no amendment or termination of this Policy shall be effective if that amendment or termination would cause the Company to violate any federal securities laws, SEC rules or the rules of any national securities exchange or national securities association on which the Company’s securities are listed.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Other Recoupment Rights</w:t>
      </w:r>
    </w:p>
    <w:p>
      <w:pPr>
        <w:spacing w:after="0" w:line="26"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0"/>
          <w:szCs w:val="20"/>
          <w:color w:val="auto"/>
        </w:rPr>
        <w:t>Any right of recoupment under this Policy is in addition to, and not in lieu of, any other remedies or rights of recoupment that may be available to the Company pursuant to the terms of any similar provision in any employment agreement or other compensation plan or agreement and any other legal remedies available to the Company. This Policy is in addition to any other clawback or compensation recovery, recoupment or forfeiture policy in effect or that may be adopted by the Company from time to time, or any laws, rules or listing standards applicable to the Company, including without limitation, the Company’s right to recoup compensation subject to Section 304 of the Sarbanes-Oxley Act of 2002 and the Supplemental Compensation Recovery Policy. To the extent that application of this Policy would provide for recovery of Erroneously Awarded Compensation that the Company recovers pursuant to another policy or provision, the amount that is recovered will be credited to the required recovery under this Policy.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Successors</w:t>
      </w:r>
    </w:p>
    <w:p>
      <w:pPr>
        <w:spacing w:after="0" w:line="2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This Policy shall be binding and enforceable against all Covered Executives and their beneficiaries, heirs, executors, administrators or other legal representatives.</w:t>
      </w:r>
    </w:p>
    <w:sectPr>
      <w:pgSz w:w="11900" w:h="16838" w:orient="portrait"/>
      <w:cols w:equalWidth="0" w:num="1">
        <w:col w:w="11240"/>
      </w:cols>
      <w:pgMar w:left="320" w:top="140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97"/>
    </w:lvl>
  </w:abstractNum>
  <w:abstractNum w:abstractNumId="14">
    <w:nsid w:val="7C83E458"/>
    <w:multiLevelType w:val="hybridMultilevel"/>
    <w:lvl w:ilvl="0">
      <w:lvlJc w:val="left"/>
      <w:lvlText w:val="%1"/>
      <w:numFmt w:val="decimal"/>
      <w:start w:val="10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1"/>
      <w:numFmt w:val="bullet"/>
      <w:start w:val="1"/>
    </w:lvl>
  </w:abstractNum>
  <w:abstractNum w:abstractNumId="18">
    <w:nsid w:val="628C895D"/>
    <w:multiLevelType w:val="hybridMultilevel"/>
    <w:lvl w:ilvl="0">
      <w:lvlJc w:val="left"/>
      <w:lvlText w:val="%1."/>
      <w:numFmt w:val="decimal"/>
      <w:start w:val="1"/>
    </w:lvl>
    <w:lvl w:ilvl="1">
      <w:lvlJc w:val="left"/>
      <w:lvlText w:val="(%2)"/>
      <w:numFmt w:val="lowerLetter"/>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103" Type="http://schemas.openxmlformats.org/officeDocument/2006/relationships/image" Target="media/image81.png"/><Relationship Id="rId117" Type="http://schemas.openxmlformats.org/officeDocument/2006/relationships/image" Target="media/image82.png"/><Relationship Id="rId122" Type="http://schemas.openxmlformats.org/officeDocument/2006/relationships/image" Target="media/image83.png"/><Relationship Id="rId123" Type="http://schemas.openxmlformats.org/officeDocument/2006/relationships/image" Target="media/image84.png"/><Relationship Id="rId124" Type="http://schemas.openxmlformats.org/officeDocument/2006/relationships/image" Target="media/image85.png"/><Relationship Id="rId125" Type="http://schemas.openxmlformats.org/officeDocument/2006/relationships/image" Target="media/image86.jpeg"/><Relationship Id="rId126" Type="http://schemas.openxmlformats.org/officeDocument/2006/relationships/image" Target="media/image87.png"/><Relationship Id="rId127" Type="http://schemas.openxmlformats.org/officeDocument/2006/relationships/image" Target="media/image88.png"/><Relationship Id="rId88" Type="http://schemas.openxmlformats.org/officeDocument/2006/relationships/hyperlink" Target="http://www.sec.gov/Archives/edgar/data/1014739/000114420419014367/tv516369_ex2-1.htm" TargetMode="External"/><Relationship Id="rId89" Type="http://schemas.openxmlformats.org/officeDocument/2006/relationships/hyperlink" Target="http://www.sec.gov/Archives/edgar/data/1014739/000110465923055567/tm2314202d1_ex2-1.htm" TargetMode="External"/><Relationship Id="rId90" Type="http://schemas.openxmlformats.org/officeDocument/2006/relationships/hyperlink" Target="http://www.sec.gov/Archives/edgar/data/1014739/000110465923074575/tm2319646d1_ex2-1.htm" TargetMode="External"/><Relationship Id="rId91" Type="http://schemas.openxmlformats.org/officeDocument/2006/relationships/hyperlink" Target="http://www.sec.gov/Archives/edgar/data/1014739/000114420419038047/tv526734_ex3-1.htm" TargetMode="External"/><Relationship Id="rId92" Type="http://schemas.openxmlformats.org/officeDocument/2006/relationships/hyperlink" Target="http://www.sec.gov/Archives/edgar/data/1014739/000114420419038047/tv526734_ex3-3.htm" TargetMode="External"/><Relationship Id="rId93" Type="http://schemas.openxmlformats.org/officeDocument/2006/relationships/hyperlink" Target="http://www.sec.gov/Archives/edgar/data/1014739/000110465923125031/tm2332364d1_ex3-1.htm" TargetMode="External"/><Relationship Id="rId94" Type="http://schemas.openxmlformats.org/officeDocument/2006/relationships/hyperlink" Target="http://www.sec.gov/Archives/edgar/data/1014739/000110465920009797/tm206375d1_ex3-1.htm" TargetMode="External"/><Relationship Id="rId95" Type="http://schemas.openxmlformats.org/officeDocument/2006/relationships/hyperlink" Target="http://www.sec.gov/Archives/edgar/data/1014739/000114420415014933/v403951_ex4-1.htm" TargetMode="External"/><Relationship Id="rId96" Type="http://schemas.openxmlformats.org/officeDocument/2006/relationships/hyperlink" Target="http://www.sec.gov/Archives/edgar/data/1014739/000114420416107943/v442184_ex4-1.htm" TargetMode="External"/><Relationship Id="rId97" Type="http://schemas.openxmlformats.org/officeDocument/2006/relationships/hyperlink" Target="http://www.sec.gov/Archives/edgar/data/1014739/000114420416108111/v442259_ex4-1.htm" TargetMode="External"/><Relationship Id="rId98" Type="http://schemas.openxmlformats.org/officeDocument/2006/relationships/hyperlink" Target="http://www.sec.gov/Archives/edgar/data/1014739/000114420415044654/v416452_ex4-1.htm" TargetMode="External"/><Relationship Id="rId99" Type="http://schemas.openxmlformats.org/officeDocument/2006/relationships/hyperlink" Target="http://www.sec.gov/Archives/edgar/data/1014739/000114420417034758/v469985_ex4-2.htm" TargetMode="External"/><Relationship Id="rId100" Type="http://schemas.openxmlformats.org/officeDocument/2006/relationships/hyperlink" Target="http://www.sec.gov/Archives/edgar/data/1014739/000114420419014367/tv516369_ex10-4.htm" TargetMode="External"/><Relationship Id="rId101" Type="http://schemas.openxmlformats.org/officeDocument/2006/relationships/hyperlink" Target="https://www.sec.gov/Archives/edgar/data/1014739/000101473920000013/bios-ex412x20191231x10k.htm" TargetMode="External"/><Relationship Id="rId102" Type="http://schemas.openxmlformats.org/officeDocument/2006/relationships/hyperlink" Target="https://www.sec.gov/Archives/edgar/data/1014739/000114420415034216/v411770_ex4-1.htm" TargetMode="External"/><Relationship Id="rId104" Type="http://schemas.openxmlformats.org/officeDocument/2006/relationships/hyperlink" Target="https://www.sec.gov/Archives/edgar/data/1014739/000114420417012539/v460823_ex4-1.htm" TargetMode="External"/><Relationship Id="rId105" Type="http://schemas.openxmlformats.org/officeDocument/2006/relationships/hyperlink" Target="http://www.sec.gov/Archives/edgar/data/1014739/000114420419014367/tv516369_ex10-2.htm" TargetMode="External"/><Relationship Id="rId106" Type="http://schemas.openxmlformats.org/officeDocument/2006/relationships/hyperlink" Target="http://www.sec.gov/Archives/edgar/data/1014739/000114420419038047/tv526734_ex10-1.htm" TargetMode="External"/><Relationship Id="rId107" Type="http://schemas.openxmlformats.org/officeDocument/2006/relationships/hyperlink" Target="http://www.sec.gov/Archives/edgar/data/1014739/000114420419038047/tv526734_ex10-4.htm" TargetMode="External"/><Relationship Id="rId108" Type="http://schemas.openxmlformats.org/officeDocument/2006/relationships/hyperlink" Target="http://www.sec.gov/Archives/edgar/data/1014739/000101473923000009/opch-ex105x20221231x10xkxo.htm" TargetMode="External"/><Relationship Id="rId109" Type="http://schemas.openxmlformats.org/officeDocument/2006/relationships/hyperlink" Target="http://www.sec.gov/Archives/edgar/data/1014739/000101473920000031/a101_firstxamendmentxtox.htm" TargetMode="External"/><Relationship Id="rId110" Type="http://schemas.openxmlformats.org/officeDocument/2006/relationships/hyperlink" Target="http://www.sec.gov/Archives/edgar/data/1014739/000110465921006705/tm213833d1_ex10-2.htm" TargetMode="External"/><Relationship Id="rId111" Type="http://schemas.openxmlformats.org/officeDocument/2006/relationships/hyperlink" Target="https://www.sec.gov/Archives/edgar/data/1014739/000101473921000040/opch-ex101x20210630x10q1.htm" TargetMode="External"/><Relationship Id="rId112" Type="http://schemas.openxmlformats.org/officeDocument/2006/relationships/hyperlink" Target="https://www.sec.gov/Archives/edgar/data/1014739/000110465921131786/tm2131162d1_ex4-1.htm" TargetMode="External"/><Relationship Id="rId113" Type="http://schemas.openxmlformats.org/officeDocument/2006/relationships/hyperlink" Target="https://www.sec.gov/Archives/edgar/data/1014739/000110465921131786/tm2131162d1_ex10-1.htm" TargetMode="External"/><Relationship Id="rId114" Type="http://schemas.openxmlformats.org/officeDocument/2006/relationships/hyperlink" Target="https://www.sec.gov/Archives/edgar/data/1014739/000110465921131786/tm2131162d1_ex10-2.htm" TargetMode="External"/><Relationship Id="rId115" Type="http://schemas.openxmlformats.org/officeDocument/2006/relationships/hyperlink" Target="http://www.sec.gov/Archives/edgar/data/1014739/000110465923005001/tm233851d1_ex10-1.htm" TargetMode="External"/><Relationship Id="rId116" Type="http://schemas.openxmlformats.org/officeDocument/2006/relationships/hyperlink" Target="http://www.sec.gov/Archives/edgar/data/1014739/000110465923125031/tm2332364d1_ex10-1.htm" TargetMode="External"/><Relationship Id="rId118" Type="http://schemas.openxmlformats.org/officeDocument/2006/relationships/hyperlink" Target="http://www.sec.gov/Archives/edgar/data/1014739/000110465923125031/tm2332364d1_ex10-2.htm" TargetMode="External"/><Relationship Id="rId119" Type="http://schemas.openxmlformats.org/officeDocument/2006/relationships/hyperlink" Target="http://www.sec.gov/Archives/edgar/data/1014739/000110465923028416/tm238329d2_ex10-1.htm" TargetMode="External"/><Relationship Id="rId120" Type="http://schemas.openxmlformats.org/officeDocument/2006/relationships/hyperlink" Target="http://www.sec.gov/Archives/edgar/data/1014739/000110465923125031/tm2332364d1_ex10-3.htm" TargetMode="External"/><Relationship Id="rId121" Type="http://schemas.openxmlformats.org/officeDocument/2006/relationships/hyperlink" Target="http://www.sec.gov/Archives/edgar/data/1014739/000110465923130458/tm2333833d2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2024-02-22T15:14:40Z</dcterms:created>
  <dcterms:modified xsi:type="dcterms:W3CDTF">2024-02-22T15:14:40Z</dcterms:modified>
</cp:coreProperties>
</file>