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342265</wp:posOffset>
            </wp:positionH>
            <wp:positionV relativeFrom="page">
              <wp:posOffset>729615</wp:posOffset>
            </wp:positionV>
            <wp:extent cx="686498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4985" cy="4191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7" w:lineRule="exact"/>
        <w:rPr>
          <w:sz w:val="24"/>
          <w:szCs w:val="24"/>
          <w:color w:val="auto"/>
        </w:rPr>
      </w:pPr>
    </w:p>
    <w:p>
      <w:pPr>
        <w:ind w:left="140"/>
        <w:spacing w:after="0"/>
        <w:rPr>
          <w:sz w:val="20"/>
          <w:szCs w:val="20"/>
          <w:color w:val="auto"/>
        </w:rPr>
      </w:pPr>
      <w:r>
        <w:rPr>
          <w:rFonts w:ascii="Arial" w:cs="Arial" w:eastAsia="Arial" w:hAnsi="Arial"/>
          <w:sz w:val="16"/>
          <w:szCs w:val="16"/>
          <w:b w:val="1"/>
          <w:bCs w:val="1"/>
          <w:color w:val="auto"/>
        </w:rPr>
        <w:t>(Mark One)</w:t>
      </w:r>
    </w:p>
    <w:p>
      <w:pPr>
        <w:spacing w:after="0" w:line="29" w:lineRule="exact"/>
        <w:rPr>
          <w:sz w:val="24"/>
          <w:szCs w:val="24"/>
          <w:color w:val="auto"/>
        </w:rPr>
      </w:pPr>
    </w:p>
    <w:p>
      <w:pPr>
        <w:ind w:left="1120" w:right="2020" w:hanging="642"/>
        <w:spacing w:after="0" w:line="277" w:lineRule="auto"/>
        <w:tabs>
          <w:tab w:leader="none" w:pos="11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jc w:val="center"/>
        <w:ind w:left="520"/>
        <w:spacing w:after="0"/>
        <w:rPr>
          <w:sz w:val="20"/>
          <w:szCs w:val="20"/>
          <w:color w:val="auto"/>
        </w:rPr>
      </w:pPr>
      <w:r>
        <w:rPr>
          <w:rFonts w:ascii="Arial" w:cs="Arial" w:eastAsia="Arial" w:hAnsi="Arial"/>
          <w:sz w:val="16"/>
          <w:szCs w:val="16"/>
          <w:b w:val="1"/>
          <w:bCs w:val="1"/>
          <w:color w:val="auto"/>
        </w:rPr>
        <w:t>OR</w:t>
      </w:r>
    </w:p>
    <w:p>
      <w:pPr>
        <w:spacing w:after="0" w:line="29" w:lineRule="exact"/>
        <w:rPr>
          <w:sz w:val="24"/>
          <w:szCs w:val="24"/>
          <w:color w:val="auto"/>
        </w:rPr>
      </w:pPr>
    </w:p>
    <w:p>
      <w:pPr>
        <w:ind w:left="1120" w:hanging="642"/>
        <w:spacing w:after="0"/>
        <w:tabs>
          <w:tab w:leader="none" w:pos="11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0" w:lineRule="exact"/>
        <w:rPr>
          <w:sz w:val="24"/>
          <w:szCs w:val="24"/>
          <w:color w:val="auto"/>
        </w:rPr>
      </w:pPr>
    </w:p>
    <w:p>
      <w:pPr>
        <w:ind w:left="1120"/>
        <w:spacing w:after="0"/>
        <w:tabs>
          <w:tab w:leader="none" w:pos="33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2727960</wp:posOffset>
            </wp:positionH>
            <wp:positionV relativeFrom="paragraph">
              <wp:posOffset>10160</wp:posOffset>
            </wp:positionV>
            <wp:extent cx="1686560" cy="683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6560" cy="6832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OPTION CARE HEALTH,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03" w:lineRule="exact"/>
        <w:rPr>
          <w:sz w:val="24"/>
          <w:szCs w:val="24"/>
          <w:color w:val="auto"/>
        </w:rPr>
      </w:pPr>
    </w:p>
    <w:tbl>
      <w:tblPr>
        <w:tblLayout w:type="fixed"/>
        <w:tblInd w:w="30" w:type="dxa"/>
        <w:tblCellMar>
          <w:top w:w="0" w:type="dxa"/>
          <w:left w:w="0" w:type="dxa"/>
          <w:bottom w:w="0" w:type="dxa"/>
          <w:right w:w="0" w:type="dxa"/>
        </w:tblCellMar>
      </w:tblPr>
      <w:tr>
        <w:trPr>
          <w:trHeight w:val="208"/>
        </w:trPr>
        <w:tc>
          <w:tcPr>
            <w:tcW w:w="2560" w:type="dxa"/>
            <w:vAlign w:val="bottom"/>
          </w:tcPr>
          <w:p>
            <w:pPr>
              <w:spacing w:after="0"/>
              <w:rPr>
                <w:sz w:val="18"/>
                <w:szCs w:val="18"/>
                <w:color w:val="auto"/>
              </w:rPr>
            </w:pPr>
          </w:p>
        </w:tc>
        <w:tc>
          <w:tcPr>
            <w:tcW w:w="1220" w:type="dxa"/>
            <w:vAlign w:val="bottom"/>
          </w:tcPr>
          <w:p>
            <w:pPr>
              <w:jc w:val="center"/>
              <w:ind w:left="140"/>
              <w:spacing w:after="0"/>
              <w:rPr>
                <w:sz w:val="20"/>
                <w:szCs w:val="20"/>
                <w:color w:val="auto"/>
              </w:rPr>
            </w:pPr>
            <w:r>
              <w:rPr>
                <w:rFonts w:ascii="Arial" w:cs="Arial" w:eastAsia="Arial" w:hAnsi="Arial"/>
                <w:sz w:val="16"/>
                <w:szCs w:val="16"/>
                <w:b w:val="1"/>
                <w:bCs w:val="1"/>
                <w:color w:val="auto"/>
                <w:w w:val="91"/>
              </w:rPr>
              <w:t>Delaware</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100"/>
              <w:spacing w:after="0"/>
              <w:rPr>
                <w:sz w:val="20"/>
                <w:szCs w:val="20"/>
                <w:color w:val="auto"/>
              </w:rPr>
            </w:pPr>
            <w:r>
              <w:rPr>
                <w:rFonts w:ascii="Arial" w:cs="Arial" w:eastAsia="Arial" w:hAnsi="Arial"/>
                <w:sz w:val="16"/>
                <w:szCs w:val="16"/>
                <w:b w:val="1"/>
                <w:bCs w:val="1"/>
                <w:color w:val="auto"/>
              </w:rPr>
              <w:t>05-0489664</w:t>
            </w:r>
          </w:p>
        </w:tc>
      </w:tr>
      <w:tr>
        <w:trPr>
          <w:trHeight w:val="212"/>
        </w:trPr>
        <w:tc>
          <w:tcPr>
            <w:tcW w:w="5020" w:type="dxa"/>
            <w:vAlign w:val="bottom"/>
            <w:gridSpan w:val="3"/>
          </w:tcPr>
          <w:p>
            <w:pPr>
              <w:jc w:val="center"/>
              <w:ind w:left="1460"/>
              <w:spacing w:after="0"/>
              <w:rPr>
                <w:sz w:val="20"/>
                <w:szCs w:val="20"/>
                <w:color w:val="auto"/>
              </w:rPr>
            </w:pPr>
            <w:r>
              <w:rPr>
                <w:rFonts w:ascii="Arial" w:cs="Arial" w:eastAsia="Arial" w:hAnsi="Arial"/>
                <w:sz w:val="16"/>
                <w:szCs w:val="16"/>
                <w:i w:val="1"/>
                <w:iCs w:val="1"/>
                <w:color w:val="auto"/>
                <w:w w:val="93"/>
              </w:rPr>
              <w:t>(State of incorporation)</w:t>
            </w:r>
          </w:p>
        </w:tc>
        <w:tc>
          <w:tcPr>
            <w:tcW w:w="1300" w:type="dxa"/>
            <w:vAlign w:val="bottom"/>
          </w:tcPr>
          <w:p>
            <w:pPr>
              <w:spacing w:after="0"/>
              <w:rPr>
                <w:sz w:val="18"/>
                <w:szCs w:val="18"/>
                <w:color w:val="auto"/>
              </w:rPr>
            </w:pPr>
          </w:p>
        </w:tc>
        <w:tc>
          <w:tcPr>
            <w:tcW w:w="4900" w:type="dxa"/>
            <w:vAlign w:val="bottom"/>
            <w:gridSpan w:val="2"/>
          </w:tcPr>
          <w:p>
            <w:pPr>
              <w:jc w:val="center"/>
              <w:ind w:right="180"/>
              <w:spacing w:after="0"/>
              <w:rPr>
                <w:sz w:val="20"/>
                <w:szCs w:val="20"/>
                <w:color w:val="auto"/>
              </w:rPr>
            </w:pPr>
            <w:r>
              <w:rPr>
                <w:rFonts w:ascii="Arial" w:cs="Arial" w:eastAsia="Arial" w:hAnsi="Arial"/>
                <w:sz w:val="16"/>
                <w:szCs w:val="16"/>
                <w:i w:val="1"/>
                <w:iCs w:val="1"/>
                <w:color w:val="auto"/>
                <w:w w:val="92"/>
              </w:rPr>
              <w:t>(I.R.S. Employer Identification No.)</w:t>
            </w:r>
          </w:p>
        </w:tc>
      </w:tr>
      <w:tr>
        <w:trPr>
          <w:trHeight w:val="212"/>
        </w:trPr>
        <w:tc>
          <w:tcPr>
            <w:tcW w:w="2560" w:type="dxa"/>
            <w:vAlign w:val="bottom"/>
          </w:tcPr>
          <w:p>
            <w:pPr>
              <w:ind w:left="1340"/>
              <w:spacing w:after="0"/>
              <w:rPr>
                <w:sz w:val="20"/>
                <w:szCs w:val="20"/>
                <w:color w:val="auto"/>
              </w:rPr>
            </w:pPr>
            <w:r>
              <w:rPr>
                <w:rFonts w:ascii="Arial" w:cs="Arial" w:eastAsia="Arial" w:hAnsi="Arial"/>
                <w:sz w:val="16"/>
                <w:szCs w:val="16"/>
                <w:b w:val="1"/>
                <w:bCs w:val="1"/>
                <w:color w:val="auto"/>
                <w:w w:val="88"/>
              </w:rPr>
              <w:t>3000 Lakeside Dr.</w:t>
            </w:r>
          </w:p>
        </w:tc>
        <w:tc>
          <w:tcPr>
            <w:tcW w:w="1220" w:type="dxa"/>
            <w:vAlign w:val="bottom"/>
          </w:tcPr>
          <w:p>
            <w:pPr>
              <w:ind w:left="280"/>
              <w:spacing w:after="0"/>
              <w:rPr>
                <w:sz w:val="20"/>
                <w:szCs w:val="20"/>
                <w:color w:val="auto"/>
              </w:rPr>
            </w:pPr>
            <w:r>
              <w:rPr>
                <w:rFonts w:ascii="Arial" w:cs="Arial" w:eastAsia="Arial" w:hAnsi="Arial"/>
                <w:sz w:val="16"/>
                <w:szCs w:val="16"/>
                <w:b w:val="1"/>
                <w:bCs w:val="1"/>
                <w:color w:val="auto"/>
              </w:rPr>
              <w:t>Suite 300N,</w:t>
            </w:r>
          </w:p>
        </w:tc>
        <w:tc>
          <w:tcPr>
            <w:tcW w:w="1240" w:type="dxa"/>
            <w:vAlign w:val="bottom"/>
          </w:tcPr>
          <w:p>
            <w:pPr>
              <w:ind w:left="140"/>
              <w:spacing w:after="0"/>
              <w:rPr>
                <w:sz w:val="20"/>
                <w:szCs w:val="20"/>
                <w:color w:val="auto"/>
              </w:rPr>
            </w:pPr>
            <w:r>
              <w:rPr>
                <w:rFonts w:ascii="Arial" w:cs="Arial" w:eastAsia="Arial" w:hAnsi="Arial"/>
                <w:sz w:val="16"/>
                <w:szCs w:val="16"/>
                <w:b w:val="1"/>
                <w:bCs w:val="1"/>
                <w:color w:val="auto"/>
              </w:rPr>
              <w:t>Bannockburn,</w:t>
            </w:r>
          </w:p>
        </w:tc>
        <w:tc>
          <w:tcPr>
            <w:tcW w:w="1300" w:type="dxa"/>
            <w:vAlign w:val="bottom"/>
          </w:tcPr>
          <w:p>
            <w:pPr>
              <w:ind w:left="120"/>
              <w:spacing w:after="0"/>
              <w:rPr>
                <w:sz w:val="20"/>
                <w:szCs w:val="20"/>
                <w:color w:val="auto"/>
              </w:rPr>
            </w:pPr>
            <w:r>
              <w:rPr>
                <w:rFonts w:ascii="Arial" w:cs="Arial" w:eastAsia="Arial" w:hAnsi="Arial"/>
                <w:sz w:val="16"/>
                <w:szCs w:val="16"/>
                <w:b w:val="1"/>
                <w:bCs w:val="1"/>
                <w:color w:val="auto"/>
              </w:rPr>
              <w:t>IL</w:t>
            </w:r>
          </w:p>
        </w:tc>
        <w:tc>
          <w:tcPr>
            <w:tcW w:w="1520" w:type="dxa"/>
            <w:vAlign w:val="bottom"/>
          </w:tcPr>
          <w:p>
            <w:pPr>
              <w:spacing w:after="0"/>
              <w:rPr>
                <w:sz w:val="18"/>
                <w:szCs w:val="18"/>
                <w:color w:val="auto"/>
              </w:rPr>
            </w:pPr>
          </w:p>
        </w:tc>
        <w:tc>
          <w:tcPr>
            <w:tcW w:w="3380" w:type="dxa"/>
            <w:vAlign w:val="bottom"/>
          </w:tcPr>
          <w:p>
            <w:pPr>
              <w:jc w:val="right"/>
              <w:ind w:right="2300"/>
              <w:spacing w:after="0"/>
              <w:rPr>
                <w:sz w:val="20"/>
                <w:szCs w:val="20"/>
                <w:color w:val="auto"/>
              </w:rPr>
            </w:pPr>
            <w:r>
              <w:rPr>
                <w:rFonts w:ascii="Arial" w:cs="Arial" w:eastAsia="Arial" w:hAnsi="Arial"/>
                <w:sz w:val="16"/>
                <w:szCs w:val="16"/>
                <w:b w:val="1"/>
                <w:bCs w:val="1"/>
                <w:color w:val="auto"/>
              </w:rPr>
              <w:t>60015</w:t>
            </w:r>
          </w:p>
        </w:tc>
      </w:tr>
      <w:tr>
        <w:trPr>
          <w:trHeight w:val="212"/>
        </w:trPr>
        <w:tc>
          <w:tcPr>
            <w:tcW w:w="5020" w:type="dxa"/>
            <w:vAlign w:val="bottom"/>
            <w:gridSpan w:val="3"/>
          </w:tcPr>
          <w:p>
            <w:pPr>
              <w:jc w:val="center"/>
              <w:ind w:left="1480"/>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center"/>
              <w:ind w:right="1680"/>
              <w:spacing w:after="0"/>
              <w:rPr>
                <w:sz w:val="20"/>
                <w:szCs w:val="20"/>
                <w:color w:val="auto"/>
              </w:rPr>
            </w:pPr>
            <w:r>
              <w:rPr>
                <w:rFonts w:ascii="Arial" w:cs="Arial" w:eastAsia="Arial" w:hAnsi="Arial"/>
                <w:sz w:val="16"/>
                <w:szCs w:val="16"/>
                <w:i w:val="1"/>
                <w:iCs w:val="1"/>
                <w:color w:val="auto"/>
                <w:w w:val="92"/>
              </w:rPr>
              <w:t>(Zip Code)</w:t>
            </w:r>
          </w:p>
        </w:tc>
      </w:tr>
      <w:tr>
        <w:trPr>
          <w:trHeight w:val="270"/>
        </w:trPr>
        <w:tc>
          <w:tcPr>
            <w:tcW w:w="2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60" w:type="dxa"/>
            <w:vAlign w:val="bottom"/>
            <w:gridSpan w:val="3"/>
          </w:tcPr>
          <w:p>
            <w:pPr>
              <w:ind w:left="60"/>
              <w:spacing w:after="0"/>
              <w:rPr>
                <w:sz w:val="20"/>
                <w:szCs w:val="20"/>
                <w:color w:val="auto"/>
              </w:rPr>
            </w:pPr>
            <w:r>
              <w:rPr>
                <w:rFonts w:ascii="Arial" w:cs="Arial" w:eastAsia="Arial" w:hAnsi="Arial"/>
                <w:sz w:val="16"/>
                <w:szCs w:val="16"/>
                <w:b w:val="1"/>
                <w:bCs w:val="1"/>
                <w:color w:val="auto"/>
                <w:w w:val="98"/>
              </w:rPr>
              <w:t>Registrant’s telephone number, including area code:</w:t>
            </w:r>
          </w:p>
        </w:tc>
        <w:tc>
          <w:tcPr>
            <w:tcW w:w="3380" w:type="dxa"/>
            <w:vAlign w:val="bottom"/>
          </w:tcPr>
          <w:p>
            <w:pPr>
              <w:spacing w:after="0"/>
              <w:rPr>
                <w:sz w:val="23"/>
                <w:szCs w:val="23"/>
                <w:color w:val="auto"/>
              </w:rPr>
            </w:pPr>
          </w:p>
        </w:tc>
      </w:tr>
      <w:tr>
        <w:trPr>
          <w:trHeight w:val="208"/>
        </w:trPr>
        <w:tc>
          <w:tcPr>
            <w:tcW w:w="2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6"/>
        </w:trPr>
        <w:tc>
          <w:tcPr>
            <w:tcW w:w="2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60" w:type="dxa"/>
            <w:vAlign w:val="bottom"/>
            <w:gridSpan w:val="3"/>
          </w:tcPr>
          <w:p>
            <w:pPr>
              <w:ind w:left="60"/>
              <w:spacing w:after="0"/>
              <w:rPr>
                <w:sz w:val="20"/>
                <w:szCs w:val="20"/>
                <w:color w:val="auto"/>
              </w:rPr>
            </w:pPr>
            <w:r>
              <w:rPr>
                <w:rFonts w:ascii="Arial" w:cs="Arial" w:eastAsia="Arial" w:hAnsi="Arial"/>
                <w:sz w:val="16"/>
                <w:szCs w:val="16"/>
                <w:color w:val="auto"/>
                <w:w w:val="97"/>
              </w:rPr>
              <w:t>Securities registered pursuant to Section 12(b) of the Act:</w:t>
            </w:r>
          </w:p>
        </w:tc>
        <w:tc>
          <w:tcPr>
            <w:tcW w:w="3380" w:type="dxa"/>
            <w:vAlign w:val="bottom"/>
          </w:tcPr>
          <w:p>
            <w:pPr>
              <w:spacing w:after="0"/>
              <w:rPr>
                <w:sz w:val="19"/>
                <w:szCs w:val="19"/>
                <w:color w:val="auto"/>
              </w:rPr>
            </w:pPr>
          </w:p>
        </w:tc>
      </w:tr>
      <w:tr>
        <w:trPr>
          <w:trHeight w:val="151"/>
        </w:trPr>
        <w:tc>
          <w:tcPr>
            <w:tcW w:w="2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r>
      <w:tr>
        <w:trPr>
          <w:trHeight w:val="203"/>
        </w:trPr>
        <w:tc>
          <w:tcPr>
            <w:tcW w:w="2560" w:type="dxa"/>
            <w:vAlign w:val="bottom"/>
            <w:tcBorders>
              <w:left w:val="single" w:sz="8" w:color="auto"/>
              <w:bottom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Title of each Class</w:t>
            </w:r>
          </w:p>
        </w:tc>
        <w:tc>
          <w:tcPr>
            <w:tcW w:w="1240" w:type="dxa"/>
            <w:vAlign w:val="bottom"/>
            <w:tcBorders>
              <w:bottom w:val="single" w:sz="8" w:color="auto"/>
            </w:tcBorders>
          </w:tcPr>
          <w:p>
            <w:pPr>
              <w:spacing w:after="0"/>
              <w:rPr>
                <w:sz w:val="17"/>
                <w:szCs w:val="17"/>
                <w:color w:val="auto"/>
              </w:rPr>
            </w:pP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Name of each exchange on which registered</w:t>
            </w:r>
          </w:p>
        </w:tc>
      </w:tr>
      <w:tr>
        <w:trPr>
          <w:trHeight w:val="206"/>
        </w:trPr>
        <w:tc>
          <w:tcPr>
            <w:tcW w:w="5020" w:type="dxa"/>
            <w:vAlign w:val="bottom"/>
            <w:tcBorders>
              <w:left w:val="single" w:sz="8" w:color="auto"/>
              <w:bottom w:val="single" w:sz="8" w:color="auto"/>
            </w:tcBorders>
            <w:gridSpan w:val="3"/>
          </w:tcPr>
          <w:p>
            <w:pPr>
              <w:jc w:val="center"/>
              <w:ind w:left="1220"/>
              <w:spacing w:after="0"/>
              <w:rPr>
                <w:sz w:val="20"/>
                <w:szCs w:val="20"/>
                <w:color w:val="auto"/>
              </w:rPr>
            </w:pPr>
            <w:r>
              <w:rPr>
                <w:rFonts w:ascii="Arial" w:cs="Arial" w:eastAsia="Arial" w:hAnsi="Arial"/>
                <w:sz w:val="16"/>
                <w:szCs w:val="16"/>
                <w:color w:val="auto"/>
                <w:w w:val="89"/>
              </w:rPr>
              <w:t>Common Stock, $0.0001 par value per share</w:t>
            </w:r>
          </w:p>
        </w:tc>
        <w:tc>
          <w:tcPr>
            <w:tcW w:w="13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Nasdaq Global Select Market</w:t>
            </w:r>
          </w:p>
        </w:tc>
      </w:tr>
    </w:tbl>
    <w:p>
      <w:pPr>
        <w:spacing w:after="0" w:line="70" w:lineRule="exact"/>
        <w:rPr>
          <w:sz w:val="24"/>
          <w:szCs w:val="24"/>
          <w:color w:val="auto"/>
        </w:rPr>
      </w:pPr>
    </w:p>
    <w:p>
      <w:pPr>
        <w:ind w:left="16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184" w:lineRule="exact"/>
        <w:tabs>
          <w:tab w:leader="none" w:pos="1200" w:val="left"/>
        </w:tabs>
        <w:rPr>
          <w:sz w:val="20"/>
          <w:szCs w:val="20"/>
          <w:color w:val="auto"/>
        </w:rPr>
      </w:pPr>
      <w:r>
        <w:rPr>
          <w:rFonts w:ascii="Arial" w:cs="Arial" w:eastAsia="Arial" w:hAnsi="Arial"/>
          <w:sz w:val="16"/>
          <w:szCs w:val="16"/>
          <w:color w:val="auto"/>
        </w:rPr>
        <w:t xml:space="preserve">90 days.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33" w:lineRule="exact"/>
        <w:rPr>
          <w:sz w:val="24"/>
          <w:szCs w:val="24"/>
          <w:color w:val="auto"/>
        </w:rPr>
      </w:pPr>
    </w:p>
    <w:p>
      <w:pPr>
        <w:jc w:val="both"/>
        <w:ind w:firstLine="159"/>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ind w:firstLine="159"/>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80" w:lineRule="exact"/>
        <w:rPr>
          <w:sz w:val="24"/>
          <w:szCs w:val="24"/>
          <w:color w:val="auto"/>
        </w:rPr>
      </w:pPr>
    </w:p>
    <w:p>
      <w:pPr>
        <w:jc w:val="center"/>
        <w:ind w:right="-159"/>
        <w:spacing w:after="0" w:line="184" w:lineRule="exact"/>
        <w:tabs>
          <w:tab w:leader="none" w:pos="160" w:val="left"/>
          <w:tab w:leader="none" w:pos="180" w:val="left"/>
          <w:tab w:leader="none" w:pos="2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271" w:lineRule="exact"/>
        <w:rPr>
          <w:sz w:val="24"/>
          <w:szCs w:val="24"/>
          <w:color w:val="auto"/>
        </w:rPr>
      </w:pPr>
    </w:p>
    <w:p>
      <w:pPr>
        <w:jc w:val="both"/>
        <w:ind w:firstLine="159"/>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6" w:lineRule="exact"/>
        <w:rPr>
          <w:sz w:val="24"/>
          <w:szCs w:val="24"/>
          <w:color w:val="auto"/>
        </w:rPr>
      </w:pPr>
    </w:p>
    <w:p>
      <w:pPr>
        <w:ind w:left="160"/>
        <w:spacing w:after="0" w:line="173" w:lineRule="exact"/>
        <w:tabs>
          <w:tab w:leader="none" w:pos="808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ind w:left="160"/>
        <w:spacing w:after="0"/>
        <w:rPr>
          <w:sz w:val="20"/>
          <w:szCs w:val="20"/>
          <w:color w:val="auto"/>
        </w:rPr>
      </w:pPr>
      <w:r>
        <w:rPr>
          <w:rFonts w:ascii="Arial" w:cs="Arial" w:eastAsia="Arial" w:hAnsi="Arial"/>
          <w:sz w:val="16"/>
          <w:szCs w:val="16"/>
          <w:color w:val="auto"/>
        </w:rPr>
        <w:t>On July 25, 2022, there were 181,861,467 shares of the registrant’s Common Stock outstanding.</w:t>
      </w:r>
    </w:p>
    <w:p>
      <w:pPr>
        <w:sectPr>
          <w:pgSz w:w="11900" w:h="16838" w:orient="portrait"/>
          <w:cols w:equalWidth="0" w:num="1">
            <w:col w:w="11240"/>
          </w:cols>
          <w:pgMar w:left="320" w:top="129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95250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80" w:type="dxa"/>
            <w:vAlign w:val="bottom"/>
            <w:gridSpan w:val="7"/>
          </w:tcPr>
          <w:p>
            <w:pPr>
              <w:jc w:val="center"/>
              <w:ind w:right="1820"/>
              <w:spacing w:after="0"/>
              <w:rPr>
                <w:sz w:val="20"/>
                <w:szCs w:val="20"/>
                <w:color w:val="auto"/>
              </w:rPr>
            </w:pPr>
            <w:r>
              <w:rPr>
                <w:rFonts w:ascii="Arial" w:cs="Arial" w:eastAsia="Arial" w:hAnsi="Arial"/>
                <w:sz w:val="18"/>
                <w:szCs w:val="18"/>
                <w:b w:val="1"/>
                <w:bCs w:val="1"/>
                <w:color w:val="auto"/>
                <w:w w:val="97"/>
              </w:rPr>
              <w:t>TABLE OF CONTENTS</w:t>
            </w: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506"/>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gridSpan w:val="5"/>
          </w:tcPr>
          <w:p>
            <w:pPr>
              <w:jc w:val="center"/>
              <w:ind w:left="1480"/>
              <w:spacing w:after="0"/>
              <w:rPr>
                <w:sz w:val="20"/>
                <w:szCs w:val="20"/>
                <w:color w:val="auto"/>
              </w:rPr>
            </w:pPr>
            <w:r>
              <w:rPr>
                <w:rFonts w:ascii="Arial" w:cs="Arial" w:eastAsia="Arial" w:hAnsi="Arial"/>
                <w:sz w:val="16"/>
                <w:szCs w:val="16"/>
                <w:b w:val="1"/>
                <w:bCs w:val="1"/>
                <w:color w:val="auto"/>
                <w:w w:val="83"/>
              </w:rPr>
              <w:t>Page</w:t>
            </w:r>
          </w:p>
        </w:tc>
      </w:tr>
      <w:tr>
        <w:trPr>
          <w:trHeight w:val="208"/>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120" w:type="dxa"/>
            <w:vAlign w:val="bottom"/>
            <w:gridSpan w:val="5"/>
          </w:tcPr>
          <w:p>
            <w:pPr>
              <w:jc w:val="center"/>
              <w:ind w:left="1480"/>
              <w:spacing w:after="0"/>
              <w:rPr>
                <w:sz w:val="20"/>
                <w:szCs w:val="20"/>
                <w:color w:val="auto"/>
              </w:rPr>
            </w:pPr>
            <w:r>
              <w:rPr>
                <w:rFonts w:ascii="Arial" w:cs="Arial" w:eastAsia="Arial" w:hAnsi="Arial"/>
                <w:sz w:val="16"/>
                <w:szCs w:val="16"/>
                <w:b w:val="1"/>
                <w:bCs w:val="1"/>
                <w:color w:val="auto"/>
                <w:w w:val="92"/>
              </w:rPr>
              <w:t>Number</w:t>
            </w:r>
          </w:p>
        </w:tc>
      </w:tr>
      <w:tr>
        <w:trPr>
          <w:trHeight w:val="212"/>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80" w:type="dxa"/>
            <w:vAlign w:val="bottom"/>
            <w:gridSpan w:val="7"/>
          </w:tcPr>
          <w:p>
            <w:pPr>
              <w:jc w:val="center"/>
              <w:ind w:right="1860"/>
              <w:spacing w:after="0"/>
              <w:rPr>
                <w:sz w:val="20"/>
                <w:szCs w:val="20"/>
                <w:color w:val="auto"/>
              </w:rPr>
            </w:pPr>
            <w:r>
              <w:rPr>
                <w:rFonts w:ascii="Arial" w:cs="Arial" w:eastAsia="Arial" w:hAnsi="Arial"/>
                <w:sz w:val="16"/>
                <w:szCs w:val="16"/>
                <w:b w:val="1"/>
                <w:bCs w:val="1"/>
                <w:color w:val="auto"/>
                <w:w w:val="95"/>
              </w:rPr>
              <w:t>PART I</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37"/>
        </w:trPr>
        <w:tc>
          <w:tcPr>
            <w:tcW w:w="460" w:type="dxa"/>
            <w:vAlign w:val="bottom"/>
            <w:tcBorders>
              <w:bottom w:val="single" w:sz="8" w:color="0000FF"/>
            </w:tcBorders>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Item 1.</w:t>
              </w:r>
            </w:hyperlink>
          </w:p>
        </w:tc>
        <w:tc>
          <w:tcPr>
            <w:tcW w:w="112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6"/>
                <w:szCs w:val="16"/>
                <w:color w:val="0000FF"/>
                <w:w w:val="88"/>
              </w:rPr>
            </w:pPr>
            <w:hyperlink w:anchor="page4">
              <w:r>
                <w:rPr>
                  <w:rFonts w:ascii="Arial" w:cs="Arial" w:eastAsia="Arial" w:hAnsi="Arial"/>
                  <w:sz w:val="16"/>
                  <w:szCs w:val="16"/>
                  <w:color w:val="0000FF"/>
                  <w:w w:val="88"/>
                </w:rPr>
                <w:t>Financial Statements</w:t>
              </w:r>
            </w:hyperlink>
          </w:p>
        </w:tc>
        <w:tc>
          <w:tcPr>
            <w:tcW w:w="5940" w:type="dxa"/>
            <w:vAlign w:val="bottom"/>
            <w:gridSpan w:val="9"/>
          </w:tcPr>
          <w:p>
            <w:pPr>
              <w:spacing w:after="0"/>
              <w:rPr>
                <w:sz w:val="24"/>
                <w:szCs w:val="24"/>
                <w:color w:val="auto"/>
              </w:rPr>
            </w:pPr>
          </w:p>
        </w:tc>
        <w:tc>
          <w:tcPr>
            <w:tcW w:w="1800" w:type="dxa"/>
            <w:vAlign w:val="bottom"/>
            <w:gridSpan w:val="2"/>
          </w:tcPr>
          <w:p>
            <w:pPr>
              <w:spacing w:after="0"/>
              <w:rPr>
                <w:sz w:val="24"/>
                <w:szCs w:val="24"/>
                <w:color w:val="auto"/>
              </w:rPr>
            </w:pPr>
          </w:p>
        </w:tc>
        <w:tc>
          <w:tcPr>
            <w:tcW w:w="80" w:type="dxa"/>
            <w:vAlign w:val="bottom"/>
            <w:tcBorders>
              <w:bottom w:val="single" w:sz="8" w:color="0000FF"/>
            </w:tcBorders>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5</w:t>
              </w:r>
            </w:hyperlink>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1880" w:type="dxa"/>
            <w:vAlign w:val="bottom"/>
            <w:gridSpan w:val="3"/>
          </w:tcPr>
          <w:p>
            <w:pPr>
              <w:jc w:val="center"/>
              <w:ind w:left="1720"/>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6</w:t>
              </w:r>
            </w:hyperlink>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Unaudited Condensed Consolidated Statements of Comprehensive Income</w:t>
              </w:r>
            </w:hyperlink>
          </w:p>
        </w:tc>
        <w:tc>
          <w:tcPr>
            <w:tcW w:w="1880" w:type="dxa"/>
            <w:vAlign w:val="bottom"/>
            <w:gridSpan w:val="3"/>
          </w:tcPr>
          <w:p>
            <w:pPr>
              <w:jc w:val="center"/>
              <w:ind w:left="1720"/>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7</w:t>
              </w:r>
            </w:hyperlink>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0" w:type="dxa"/>
            <w:vAlign w:val="bottom"/>
            <w:tcBorders>
              <w:top w:val="single" w:sz="8" w:color="0000FF"/>
              <w:bottom w:val="single" w:sz="8" w:color="0000FF"/>
            </w:tcBorders>
            <w:gridSpan w:val="8"/>
          </w:tcPr>
          <w:p>
            <w:pPr>
              <w:spacing w:after="0"/>
              <w:rPr>
                <w:rFonts w:ascii="Arial" w:cs="Arial" w:eastAsia="Arial" w:hAnsi="Arial"/>
                <w:sz w:val="16"/>
                <w:szCs w:val="16"/>
                <w:color w:val="0000FF"/>
                <w:w w:val="88"/>
              </w:rPr>
            </w:pPr>
            <w:hyperlink w:anchor="page6">
              <w:r>
                <w:rPr>
                  <w:rFonts w:ascii="Arial" w:cs="Arial" w:eastAsia="Arial" w:hAnsi="Arial"/>
                  <w:sz w:val="16"/>
                  <w:szCs w:val="16"/>
                  <w:color w:val="0000FF"/>
                  <w:w w:val="88"/>
                </w:rPr>
                <w:t>Unaudited Condensed Consolidated Statements of Cash Flows</w:t>
              </w:r>
            </w:hyperlink>
          </w:p>
        </w:tc>
        <w:tc>
          <w:tcPr>
            <w:tcW w:w="760" w:type="dxa"/>
            <w:vAlign w:val="bottom"/>
            <w:tcBorders>
              <w:top w:val="single" w:sz="8" w:color="0000FF"/>
            </w:tcBorders>
            <w:gridSpan w:val="3"/>
          </w:tcPr>
          <w:p>
            <w:pPr>
              <w:spacing w:after="0"/>
              <w:rPr>
                <w:sz w:val="16"/>
                <w:szCs w:val="16"/>
                <w:color w:val="auto"/>
              </w:rPr>
            </w:pPr>
          </w:p>
        </w:tc>
        <w:tc>
          <w:tcPr>
            <w:tcW w:w="2520" w:type="dxa"/>
            <w:vAlign w:val="bottom"/>
            <w:gridSpan w:val="2"/>
          </w:tcPr>
          <w:p>
            <w:pPr>
              <w:spacing w:after="0"/>
              <w:rPr>
                <w:sz w:val="16"/>
                <w:szCs w:val="16"/>
                <w:color w:val="auto"/>
              </w:rPr>
            </w:pPr>
          </w:p>
        </w:tc>
        <w:tc>
          <w:tcPr>
            <w:tcW w:w="180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6"/>
                <w:szCs w:val="16"/>
                <w:color w:val="0000FF"/>
                <w:w w:val="89"/>
              </w:rPr>
            </w:pPr>
            <w:hyperlink w:anchor="page6">
              <w:r>
                <w:rPr>
                  <w:rFonts w:ascii="Arial" w:cs="Arial" w:eastAsia="Arial" w:hAnsi="Arial"/>
                  <w:sz w:val="16"/>
                  <w:szCs w:val="16"/>
                  <w:color w:val="0000FF"/>
                  <w:w w:val="89"/>
                </w:rPr>
                <w:t>8</w:t>
              </w:r>
            </w:hyperlink>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0" w:type="dxa"/>
            <w:vAlign w:val="bottom"/>
            <w:tcBorders>
              <w:bottom w:val="single" w:sz="8" w:color="0000FF"/>
            </w:tcBorders>
            <w:gridSpan w:val="10"/>
          </w:tcPr>
          <w:p>
            <w:pP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Unaudited Condensed Consolidated Statements of Stockholders’ Equity</w:t>
              </w:r>
            </w:hyperlink>
          </w:p>
        </w:tc>
        <w:tc>
          <w:tcPr>
            <w:tcW w:w="2680" w:type="dxa"/>
            <w:vAlign w:val="bottom"/>
            <w:gridSpan w:val="3"/>
          </w:tcPr>
          <w:p>
            <w:pPr>
              <w:spacing w:after="0"/>
              <w:rPr>
                <w:sz w:val="16"/>
                <w:szCs w:val="16"/>
                <w:color w:val="auto"/>
              </w:rPr>
            </w:pPr>
          </w:p>
        </w:tc>
        <w:tc>
          <w:tcPr>
            <w:tcW w:w="1800" w:type="dxa"/>
            <w:vAlign w:val="bottom"/>
            <w:gridSpan w:val="2"/>
          </w:tcPr>
          <w:p>
            <w:pPr>
              <w:spacing w:after="0"/>
              <w:rPr>
                <w:sz w:val="16"/>
                <w:szCs w:val="16"/>
                <w:color w:val="auto"/>
              </w:rPr>
            </w:pPr>
          </w:p>
        </w:tc>
        <w:tc>
          <w:tcPr>
            <w:tcW w:w="80" w:type="dxa"/>
            <w:vAlign w:val="bottom"/>
            <w:tcBorders>
              <w:bottom w:val="single" w:sz="8" w:color="0000FF"/>
            </w:tcBorders>
          </w:tcPr>
          <w:p>
            <w:pPr>
              <w:jc w:val="center"/>
              <w:spacing w:after="0"/>
              <w:rPr>
                <w:rFonts w:ascii="Arial" w:cs="Arial" w:eastAsia="Arial" w:hAnsi="Arial"/>
                <w:sz w:val="16"/>
                <w:szCs w:val="16"/>
                <w:color w:val="0000FF"/>
                <w:w w:val="89"/>
              </w:rPr>
            </w:pPr>
            <w:hyperlink w:anchor="page7">
              <w:r>
                <w:rPr>
                  <w:rFonts w:ascii="Arial" w:cs="Arial" w:eastAsia="Arial" w:hAnsi="Arial"/>
                  <w:sz w:val="16"/>
                  <w:szCs w:val="16"/>
                  <w:color w:val="0000FF"/>
                  <w:w w:val="89"/>
                </w:rPr>
                <w:t>9</w:t>
              </w:r>
            </w:hyperlink>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2"/>
        </w:trPr>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280" w:type="dxa"/>
            <w:vAlign w:val="bottom"/>
            <w:gridSpan w:val="13"/>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1920" w:type="dxa"/>
            <w:vAlign w:val="bottom"/>
            <w:gridSpan w:val="4"/>
          </w:tcPr>
          <w:p>
            <w:pPr>
              <w:jc w:val="center"/>
              <w:ind w:left="1680"/>
              <w:spacing w:after="0"/>
              <w:rPr>
                <w:rFonts w:ascii="Arial" w:cs="Arial" w:eastAsia="Arial" w:hAnsi="Arial"/>
                <w:sz w:val="16"/>
                <w:szCs w:val="16"/>
                <w:color w:val="0000FF"/>
                <w:w w:val="89"/>
              </w:rPr>
            </w:pPr>
            <w:hyperlink w:anchor="page8">
              <w:r>
                <w:rPr>
                  <w:rFonts w:ascii="Arial" w:cs="Arial" w:eastAsia="Arial" w:hAnsi="Arial"/>
                  <w:sz w:val="16"/>
                  <w:szCs w:val="16"/>
                  <w:color w:val="0000FF"/>
                  <w:w w:val="89"/>
                </w:rPr>
                <w:t>10</w:t>
              </w:r>
            </w:hyperlink>
          </w:p>
        </w:tc>
        <w:tc>
          <w:tcPr>
            <w:tcW w:w="2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460" w:type="dxa"/>
            <w:vAlign w:val="bottom"/>
          </w:tcPr>
          <w:p>
            <w:pPr>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Item 2.</w:t>
              </w:r>
            </w:hyperlink>
          </w:p>
        </w:tc>
        <w:tc>
          <w:tcPr>
            <w:tcW w:w="1120" w:type="dxa"/>
            <w:vAlign w:val="bottom"/>
            <w:gridSpan w:val="3"/>
          </w:tcPr>
          <w:p>
            <w:pPr>
              <w:spacing w:after="0"/>
              <w:rPr>
                <w:sz w:val="16"/>
                <w:szCs w:val="16"/>
                <w:color w:val="auto"/>
              </w:rPr>
            </w:pPr>
          </w:p>
        </w:tc>
        <w:tc>
          <w:tcPr>
            <w:tcW w:w="7280" w:type="dxa"/>
            <w:vAlign w:val="bottom"/>
            <w:gridSpan w:val="13"/>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Management’s Discussion and Analysis of Financial Condition and Results of Operations</w:t>
              </w:r>
            </w:hyperlink>
          </w:p>
        </w:tc>
        <w:tc>
          <w:tcPr>
            <w:tcW w:w="1920" w:type="dxa"/>
            <w:vAlign w:val="bottom"/>
            <w:gridSpan w:val="4"/>
          </w:tcPr>
          <w:p>
            <w:pPr>
              <w:jc w:val="center"/>
              <w:ind w:left="1680"/>
              <w:spacing w:after="0"/>
              <w:rPr>
                <w:rFonts w:ascii="Arial" w:cs="Arial" w:eastAsia="Arial" w:hAnsi="Arial"/>
                <w:sz w:val="16"/>
                <w:szCs w:val="16"/>
                <w:color w:val="0000FF"/>
                <w:w w:val="89"/>
              </w:rPr>
            </w:pPr>
            <w:hyperlink w:anchor="page21">
              <w:r>
                <w:rPr>
                  <w:rFonts w:ascii="Arial" w:cs="Arial" w:eastAsia="Arial" w:hAnsi="Arial"/>
                  <w:sz w:val="16"/>
                  <w:szCs w:val="16"/>
                  <w:color w:val="0000FF"/>
                  <w:w w:val="89"/>
                </w:rPr>
                <w:t>23</w:t>
              </w:r>
            </w:hyperlink>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tcBorders>
          </w:tcPr>
          <w:p>
            <w:pP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Item 3.</w:t>
              </w:r>
            </w:hyperlink>
          </w:p>
        </w:tc>
        <w:tc>
          <w:tcPr>
            <w:tcW w:w="1120" w:type="dxa"/>
            <w:vAlign w:val="bottom"/>
            <w:gridSpan w:val="3"/>
          </w:tcPr>
          <w:p>
            <w:pPr>
              <w:spacing w:after="0"/>
              <w:rPr>
                <w:sz w:val="16"/>
                <w:szCs w:val="16"/>
                <w:color w:val="auto"/>
              </w:rPr>
            </w:pPr>
          </w:p>
        </w:tc>
        <w:tc>
          <w:tcPr>
            <w:tcW w:w="5720" w:type="dxa"/>
            <w:vAlign w:val="bottom"/>
            <w:tcBorders>
              <w:top w:val="single" w:sz="8" w:color="0000FF"/>
            </w:tcBorders>
            <w:gridSpan w:val="1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Quantitative and Qualitative Disclosures About Market Risk</w:t>
              </w:r>
            </w:hyperlink>
          </w:p>
        </w:tc>
        <w:tc>
          <w:tcPr>
            <w:tcW w:w="15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rFonts w:ascii="Arial" w:cs="Arial" w:eastAsia="Arial" w:hAnsi="Arial"/>
                <w:sz w:val="16"/>
                <w:szCs w:val="16"/>
                <w:color w:val="0000FF"/>
                <w:w w:val="89"/>
              </w:rPr>
            </w:pPr>
            <w:hyperlink w:anchor="page33">
              <w:r>
                <w:rPr>
                  <w:rFonts w:ascii="Arial" w:cs="Arial" w:eastAsia="Arial" w:hAnsi="Arial"/>
                  <w:sz w:val="16"/>
                  <w:szCs w:val="16"/>
                  <w:color w:val="0000FF"/>
                  <w:w w:val="89"/>
                </w:rPr>
                <w:t>35</w:t>
              </w:r>
            </w:hyperlink>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tcBorders>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Item 4.</w:t>
              </w:r>
            </w:hyperlink>
          </w:p>
        </w:tc>
        <w:tc>
          <w:tcPr>
            <w:tcW w:w="1120" w:type="dxa"/>
            <w:vAlign w:val="bottom"/>
            <w:gridSpan w:val="3"/>
          </w:tcPr>
          <w:p>
            <w:pPr>
              <w:spacing w:after="0"/>
              <w:rPr>
                <w:sz w:val="16"/>
                <w:szCs w:val="16"/>
                <w:color w:val="auto"/>
              </w:rPr>
            </w:pPr>
          </w:p>
        </w:tc>
        <w:tc>
          <w:tcPr>
            <w:tcW w:w="3860" w:type="dxa"/>
            <w:vAlign w:val="bottom"/>
            <w:tcBorders>
              <w:top w:val="single" w:sz="8" w:color="0000FF"/>
            </w:tcBorders>
            <w:gridSpan w:val="7"/>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Controls and Procedures</w:t>
              </w:r>
            </w:hyperlink>
          </w:p>
        </w:tc>
        <w:tc>
          <w:tcPr>
            <w:tcW w:w="3420" w:type="dxa"/>
            <w:vAlign w:val="bottom"/>
            <w:gridSpan w:val="6"/>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tcBorders>
            <w:gridSpan w:val="3"/>
          </w:tcPr>
          <w:p>
            <w:pPr>
              <w:jc w:val="cente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35</w:t>
              </w:r>
            </w:hyperlink>
          </w:p>
        </w:tc>
        <w:tc>
          <w:tcPr>
            <w:tcW w:w="200" w:type="dxa"/>
            <w:vAlign w:val="bottom"/>
          </w:tcPr>
          <w:p>
            <w:pPr>
              <w:spacing w:after="0"/>
              <w:rPr>
                <w:sz w:val="16"/>
                <w:szCs w:val="16"/>
                <w:color w:val="auto"/>
              </w:rPr>
            </w:pPr>
          </w:p>
        </w:tc>
      </w:tr>
      <w:tr>
        <w:trPr>
          <w:trHeight w:val="387"/>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20" w:type="dxa"/>
            <w:vAlign w:val="bottom"/>
          </w:tcPr>
          <w:p>
            <w:pPr>
              <w:spacing w:after="0"/>
              <w:rPr>
                <w:sz w:val="24"/>
                <w:szCs w:val="24"/>
                <w:color w:val="auto"/>
              </w:rPr>
            </w:pPr>
          </w:p>
        </w:tc>
        <w:tc>
          <w:tcPr>
            <w:tcW w:w="4680" w:type="dxa"/>
            <w:vAlign w:val="bottom"/>
            <w:gridSpan w:val="7"/>
          </w:tcPr>
          <w:p>
            <w:pPr>
              <w:ind w:left="1100"/>
              <w:spacing w:after="0"/>
              <w:rPr>
                <w:sz w:val="20"/>
                <w:szCs w:val="20"/>
                <w:color w:val="auto"/>
              </w:rPr>
            </w:pPr>
            <w:r>
              <w:rPr>
                <w:rFonts w:ascii="Arial" w:cs="Arial" w:eastAsia="Arial" w:hAnsi="Arial"/>
                <w:sz w:val="16"/>
                <w:szCs w:val="16"/>
                <w:b w:val="1"/>
                <w:bCs w:val="1"/>
                <w:color w:val="auto"/>
              </w:rPr>
              <w:t>PART II</w:t>
            </w:r>
          </w:p>
        </w:tc>
        <w:tc>
          <w:tcPr>
            <w:tcW w:w="17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r>
      <w:tr>
        <w:trPr>
          <w:trHeight w:val="337"/>
        </w:trPr>
        <w:tc>
          <w:tcPr>
            <w:tcW w:w="460" w:type="dxa"/>
            <w:vAlign w:val="bottom"/>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Item 1.</w:t>
              </w:r>
            </w:hyperlink>
          </w:p>
        </w:tc>
        <w:tc>
          <w:tcPr>
            <w:tcW w:w="1120" w:type="dxa"/>
            <w:vAlign w:val="bottom"/>
            <w:gridSpan w:val="3"/>
          </w:tcPr>
          <w:p>
            <w:pPr>
              <w:spacing w:after="0"/>
              <w:rPr>
                <w:sz w:val="24"/>
                <w:szCs w:val="24"/>
                <w:color w:val="auto"/>
              </w:rPr>
            </w:pPr>
          </w:p>
        </w:tc>
        <w:tc>
          <w:tcPr>
            <w:tcW w:w="7280" w:type="dxa"/>
            <w:vAlign w:val="bottom"/>
            <w:gridSpan w:val="1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Legal Proceedings</w:t>
              </w:r>
            </w:hyperlink>
          </w:p>
        </w:tc>
        <w:tc>
          <w:tcPr>
            <w:tcW w:w="1920" w:type="dxa"/>
            <w:vAlign w:val="bottom"/>
            <w:gridSpan w:val="4"/>
          </w:tcPr>
          <w:p>
            <w:pPr>
              <w:jc w:val="center"/>
              <w:ind w:left="168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c>
          <w:tcPr>
            <w:tcW w:w="20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100" w:type="dxa"/>
            <w:vAlign w:val="bottom"/>
            <w:gridSpan w:val="1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2"/>
        </w:trPr>
        <w:tc>
          <w:tcPr>
            <w:tcW w:w="580" w:type="dxa"/>
            <w:vAlign w:val="bottom"/>
            <w:gridSpan w:val="2"/>
          </w:tcPr>
          <w:p>
            <w:pPr>
              <w:spacing w:after="0"/>
              <w:rPr>
                <w:rFonts w:ascii="Arial" w:cs="Arial" w:eastAsia="Arial" w:hAnsi="Arial"/>
                <w:sz w:val="16"/>
                <w:szCs w:val="16"/>
                <w:color w:val="0000FF"/>
                <w:w w:val="93"/>
              </w:rPr>
            </w:pPr>
            <w:hyperlink w:anchor="page35">
              <w:r>
                <w:rPr>
                  <w:rFonts w:ascii="Arial" w:cs="Arial" w:eastAsia="Arial" w:hAnsi="Arial"/>
                  <w:sz w:val="16"/>
                  <w:szCs w:val="16"/>
                  <w:color w:val="0000FF"/>
                  <w:w w:val="93"/>
                </w:rPr>
                <w:t>Item 1A.</w:t>
              </w:r>
            </w:hyperlink>
          </w:p>
        </w:tc>
        <w:tc>
          <w:tcPr>
            <w:tcW w:w="1000" w:type="dxa"/>
            <w:vAlign w:val="bottom"/>
            <w:gridSpan w:val="2"/>
          </w:tcPr>
          <w:p>
            <w:pPr>
              <w:spacing w:after="0"/>
              <w:rPr>
                <w:sz w:val="16"/>
                <w:szCs w:val="16"/>
                <w:color w:val="auto"/>
              </w:rPr>
            </w:pPr>
          </w:p>
        </w:tc>
        <w:tc>
          <w:tcPr>
            <w:tcW w:w="7280" w:type="dxa"/>
            <w:vAlign w:val="bottom"/>
            <w:gridSpan w:val="1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Risk Factors</w:t>
              </w:r>
            </w:hyperlink>
          </w:p>
        </w:tc>
        <w:tc>
          <w:tcPr>
            <w:tcW w:w="1920" w:type="dxa"/>
            <w:vAlign w:val="bottom"/>
            <w:gridSpan w:val="4"/>
          </w:tcPr>
          <w:p>
            <w:pPr>
              <w:jc w:val="center"/>
              <w:ind w:left="1680"/>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c>
          <w:tcPr>
            <w:tcW w:w="200" w:type="dxa"/>
            <w:vAlign w:val="bottom"/>
          </w:tcPr>
          <w:p>
            <w:pPr>
              <w:spacing w:after="0"/>
              <w:rPr>
                <w:sz w:val="16"/>
                <w:szCs w:val="16"/>
                <w:color w:val="auto"/>
              </w:rPr>
            </w:pPr>
          </w:p>
        </w:tc>
      </w:tr>
      <w:tr>
        <w:trPr>
          <w:trHeight w:val="192"/>
        </w:trPr>
        <w:tc>
          <w:tcPr>
            <w:tcW w:w="460" w:type="dxa"/>
            <w:vAlign w:val="bottom"/>
            <w:tcBorders>
              <w:top w:val="single" w:sz="8" w:color="0000FF"/>
              <w:bottom w:val="single" w:sz="8" w:color="0000FF"/>
            </w:tcBorders>
          </w:tcPr>
          <w:p>
            <w:pP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Item 6.</w:t>
              </w:r>
            </w:hyperlink>
          </w:p>
        </w:tc>
        <w:tc>
          <w:tcPr>
            <w:tcW w:w="120" w:type="dxa"/>
            <w:vAlign w:val="bottom"/>
            <w:tcBorders>
              <w:top w:val="single" w:sz="8" w:color="0000FF"/>
            </w:tcBorders>
          </w:tcPr>
          <w:p>
            <w:pPr>
              <w:spacing w:after="0"/>
              <w:rPr>
                <w:sz w:val="16"/>
                <w:szCs w:val="16"/>
                <w:color w:val="auto"/>
              </w:rPr>
            </w:pPr>
          </w:p>
        </w:tc>
        <w:tc>
          <w:tcPr>
            <w:tcW w:w="1000" w:type="dxa"/>
            <w:vAlign w:val="bottom"/>
            <w:gridSpan w:val="2"/>
          </w:tcPr>
          <w:p>
            <w:pPr>
              <w:spacing w:after="0"/>
              <w:rPr>
                <w:sz w:val="16"/>
                <w:szCs w:val="16"/>
                <w:color w:val="auto"/>
              </w:rPr>
            </w:pPr>
          </w:p>
        </w:tc>
        <w:tc>
          <w:tcPr>
            <w:tcW w:w="540" w:type="dxa"/>
            <w:vAlign w:val="bottom"/>
            <w:tcBorders>
              <w:top w:val="single" w:sz="8" w:color="0000FF"/>
              <w:bottom w:val="single" w:sz="8" w:color="0000FF"/>
            </w:tcBorders>
          </w:tcPr>
          <w:p>
            <w:pPr>
              <w:spacing w:after="0"/>
              <w:rPr>
                <w:rFonts w:ascii="Arial" w:cs="Arial" w:eastAsia="Arial" w:hAnsi="Arial"/>
                <w:sz w:val="16"/>
                <w:szCs w:val="16"/>
                <w:color w:val="0000FF"/>
                <w:w w:val="92"/>
              </w:rPr>
            </w:pPr>
            <w:hyperlink w:anchor="page35">
              <w:r>
                <w:rPr>
                  <w:rFonts w:ascii="Arial" w:cs="Arial" w:eastAsia="Arial" w:hAnsi="Arial"/>
                  <w:sz w:val="16"/>
                  <w:szCs w:val="16"/>
                  <w:color w:val="0000FF"/>
                  <w:w w:val="92"/>
                </w:rPr>
                <w:t>Exhibits</w:t>
              </w:r>
            </w:hyperlink>
          </w:p>
        </w:tc>
        <w:tc>
          <w:tcPr>
            <w:tcW w:w="260" w:type="dxa"/>
            <w:vAlign w:val="bottom"/>
            <w:tcBorders>
              <w:top w:val="single" w:sz="8" w:color="0000FF"/>
            </w:tcBorders>
          </w:tcPr>
          <w:p>
            <w:pPr>
              <w:spacing w:after="0"/>
              <w:rPr>
                <w:sz w:val="16"/>
                <w:szCs w:val="16"/>
                <w:color w:val="auto"/>
              </w:rPr>
            </w:pPr>
          </w:p>
        </w:tc>
        <w:tc>
          <w:tcPr>
            <w:tcW w:w="6480" w:type="dxa"/>
            <w:vAlign w:val="bottom"/>
            <w:gridSpan w:val="11"/>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Borders>
              <w:top w:val="single" w:sz="8" w:color="0000FF"/>
              <w:bottom w:val="single" w:sz="8" w:color="0000FF"/>
            </w:tcBorders>
            <w:gridSpan w:val="3"/>
          </w:tcPr>
          <w:p>
            <w:pPr>
              <w:jc w:val="cente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c>
          <w:tcPr>
            <w:tcW w:w="200" w:type="dxa"/>
            <w:vAlign w:val="bottom"/>
          </w:tcPr>
          <w:p>
            <w:pPr>
              <w:spacing w:after="0"/>
              <w:rPr>
                <w:sz w:val="16"/>
                <w:szCs w:val="16"/>
                <w:color w:val="auto"/>
              </w:rPr>
            </w:pPr>
          </w:p>
        </w:tc>
      </w:tr>
      <w:tr>
        <w:trPr>
          <w:trHeight w:val="352"/>
        </w:trPr>
        <w:tc>
          <w:tcPr>
            <w:tcW w:w="9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35">
              <w:r>
                <w:rPr>
                  <w:rFonts w:ascii="Arial" w:cs="Arial" w:eastAsia="Arial" w:hAnsi="Arial"/>
                  <w:sz w:val="16"/>
                  <w:szCs w:val="16"/>
                  <w:color w:val="0000FF"/>
                  <w:w w:val="92"/>
                </w:rPr>
                <w:t>SIGNATURES</w:t>
              </w:r>
            </w:hyperlink>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rFonts w:ascii="Arial" w:cs="Arial" w:eastAsia="Arial" w:hAnsi="Arial"/>
                <w:sz w:val="16"/>
                <w:szCs w:val="16"/>
                <w:color w:val="0000FF"/>
                <w:w w:val="89"/>
              </w:rPr>
            </w:pPr>
            <w:hyperlink w:anchor="page35">
              <w:r>
                <w:rPr>
                  <w:rFonts w:ascii="Arial" w:cs="Arial" w:eastAsia="Arial" w:hAnsi="Arial"/>
                  <w:sz w:val="16"/>
                  <w:szCs w:val="16"/>
                  <w:color w:val="0000FF"/>
                  <w:w w:val="89"/>
                </w:rPr>
                <w:t>36</w:t>
              </w:r>
            </w:hyperlink>
          </w:p>
        </w:tc>
        <w:tc>
          <w:tcPr>
            <w:tcW w:w="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66040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40" w:top="1170" w:right="579" w:bottom="1440" w:gutter="0" w:footer="0" w:header="0"/>
        </w:sectPr>
      </w:pPr>
    </w:p>
    <w:bookmarkStart w:id="2" w:name="page3"/>
    <w:bookmarkEnd w:id="2"/>
    <w:p>
      <w:pPr>
        <w:ind w:right="240"/>
        <w:spacing w:after="0" w:line="268" w:lineRule="auto"/>
        <w:rPr>
          <w:sz w:val="20"/>
          <w:szCs w:val="20"/>
          <w:color w:val="auto"/>
        </w:rPr>
      </w:pPr>
      <w:r>
        <w:rPr>
          <w:rFonts w:ascii="Arial" w:cs="Arial" w:eastAsia="Arial" w:hAnsi="Arial"/>
          <w:sz w:val="16"/>
          <w:szCs w:val="16"/>
          <w:color w:val="auto"/>
        </w:rPr>
        <w:t>Unless the context requires otherwise, references in this Quarterly Report on Form 10-Q (this “Form 10-Q”) to "Option Care Health," the “Company,” “we,” “us” and “our” refer to Option Care Health, Inc. and its consolidated subsidiaries.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5" w:lineRule="exact"/>
        <w:rPr>
          <w:sz w:val="20"/>
          <w:szCs w:val="20"/>
          <w:color w:val="auto"/>
        </w:rPr>
      </w:pPr>
    </w:p>
    <w:p>
      <w:pPr>
        <w:ind w:right="80"/>
        <w:spacing w:after="0" w:line="309" w:lineRule="auto"/>
        <w:rPr>
          <w:sz w:val="20"/>
          <w:szCs w:val="20"/>
          <w:color w:val="auto"/>
        </w:rPr>
      </w:pPr>
      <w:r>
        <w:rPr>
          <w:rFonts w:ascii="Arial" w:cs="Arial" w:eastAsia="Arial" w:hAnsi="Arial"/>
          <w:sz w:val="14"/>
          <w:szCs w:val="14"/>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62"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2021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PART I</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FINANCIAL INFORMATION</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3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SHARES AND PER SHARE AMOUNTS)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jc w:val="center"/>
              <w:ind w:right="380"/>
              <w:spacing w:after="0"/>
              <w:rPr>
                <w:sz w:val="20"/>
                <w:szCs w:val="20"/>
                <w:color w:val="auto"/>
              </w:rPr>
            </w:pPr>
            <w:r>
              <w:rPr>
                <w:rFonts w:ascii="Arial" w:cs="Arial" w:eastAsia="Arial" w:hAnsi="Arial"/>
                <w:sz w:val="16"/>
                <w:szCs w:val="16"/>
                <w:color w:val="auto"/>
                <w:w w:val="91"/>
              </w:rPr>
              <w:t>(unaudited)</w:t>
            </w:r>
          </w:p>
        </w:tc>
        <w:tc>
          <w:tcPr>
            <w:tcW w:w="1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June 30, 2022</w:t>
            </w:r>
          </w:p>
        </w:tc>
        <w:tc>
          <w:tcPr>
            <w:tcW w:w="18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Arial" w:cs="Arial" w:eastAsia="Arial" w:hAnsi="Arial"/>
                <w:sz w:val="16"/>
                <w:szCs w:val="16"/>
                <w:b w:val="1"/>
                <w:bCs w:val="1"/>
                <w:color w:val="auto"/>
                <w:w w:val="94"/>
              </w:rPr>
              <w:t>December 31, 2021</w:t>
            </w:r>
          </w:p>
        </w:tc>
        <w:tc>
          <w:tcPr>
            <w:tcW w:w="0" w:type="dxa"/>
            <w:vAlign w:val="bottom"/>
          </w:tcPr>
          <w:p>
            <w:pPr>
              <w:spacing w:after="0"/>
              <w:rPr>
                <w:sz w:val="1"/>
                <w:szCs w:val="1"/>
                <w:color w:val="auto"/>
              </w:rPr>
            </w:pPr>
          </w:p>
        </w:tc>
      </w:tr>
      <w:tr>
        <w:trPr>
          <w:trHeight w:val="195"/>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362,772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338,242</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183,095</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78,555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69,496</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877,139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710,256</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111,535</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74,777</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23,161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21,433</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Referral sources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344,587</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1,512,246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1,477,564</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27,033</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assets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23,733</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2,108,773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2,080,662</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2,985,912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40"/>
        </w:trPr>
        <w:tc>
          <w:tcPr>
            <w:tcW w:w="74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380,516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279,246</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compensation and employee benefits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83,503</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91,284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71,857</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19,089</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555,308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459,695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Long-term debt, net of discount, deferred financing costs and current portion</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1,059,017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1,059,900</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liability, net of current portion</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74,492</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20,945</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1,145,610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1,155,337</w:t>
            </w:r>
          </w:p>
        </w:tc>
        <w:tc>
          <w:tcPr>
            <w:tcW w:w="0" w:type="dxa"/>
            <w:vAlign w:val="bottom"/>
          </w:tcPr>
          <w:p>
            <w:pPr>
              <w:spacing w:after="0"/>
              <w:rPr>
                <w:sz w:val="1"/>
                <w:szCs w:val="1"/>
                <w:color w:val="auto"/>
              </w:rPr>
            </w:pPr>
          </w:p>
        </w:tc>
      </w:tr>
      <w:tr>
        <w:trPr>
          <w:trHeight w:val="244"/>
        </w:trPr>
        <w:tc>
          <w:tcPr>
            <w:tcW w:w="74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1,700,918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1,615,032</w:t>
            </w:r>
          </w:p>
        </w:tc>
        <w:tc>
          <w:tcPr>
            <w:tcW w:w="0" w:type="dxa"/>
            <w:vAlign w:val="bottom"/>
          </w:tcPr>
          <w:p>
            <w:pPr>
              <w:spacing w:after="0"/>
              <w:rPr>
                <w:sz w:val="1"/>
                <w:szCs w:val="1"/>
                <w:color w:val="auto"/>
              </w:rPr>
            </w:pPr>
          </w:p>
        </w:tc>
      </w:tr>
      <w:tr>
        <w:trPr>
          <w:trHeight w:val="210"/>
        </w:trPr>
        <w:tc>
          <w:tcPr>
            <w:tcW w:w="74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4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89"/>
              </w:rPr>
              <w:t>Preferred stock; $0.0001 par value; 12,500,000 shares authorized, no shares outstanding as of June 30, 2022 and</w:t>
            </w:r>
          </w:p>
        </w:tc>
        <w:tc>
          <w:tcPr>
            <w:tcW w:w="28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4"/>
        </w:trPr>
        <w:tc>
          <w:tcPr>
            <w:tcW w:w="7400" w:type="dxa"/>
            <w:vAlign w:val="bottom"/>
            <w:vMerge w:val="restart"/>
            <w:shd w:val="clear" w:color="auto" w:fill="CCEEFF"/>
          </w:tcPr>
          <w:p>
            <w:pPr>
              <w:ind w:left="140"/>
              <w:spacing w:after="0"/>
              <w:rPr>
                <w:sz w:val="20"/>
                <w:szCs w:val="20"/>
                <w:color w:val="auto"/>
              </w:rPr>
            </w:pPr>
            <w:r>
              <w:rPr>
                <w:rFonts w:ascii="Arial" w:cs="Arial" w:eastAsia="Arial" w:hAnsi="Arial"/>
                <w:sz w:val="16"/>
                <w:szCs w:val="16"/>
                <w:color w:val="auto"/>
              </w:rPr>
              <w:t>December 31, 2021, respectively</w:t>
            </w:r>
          </w:p>
        </w:tc>
        <w:tc>
          <w:tcPr>
            <w:tcW w:w="280" w:type="dxa"/>
            <w:vAlign w:val="bottom"/>
            <w:shd w:val="clear" w:color="auto" w:fill="CCEEFF"/>
          </w:tcPr>
          <w:p>
            <w:pPr>
              <w:spacing w:after="0"/>
              <w:rPr>
                <w:sz w:val="10"/>
                <w:szCs w:val="10"/>
                <w:color w:val="auto"/>
              </w:rPr>
            </w:pPr>
          </w:p>
        </w:tc>
        <w:tc>
          <w:tcPr>
            <w:tcW w:w="168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400" w:type="dxa"/>
            <w:vAlign w:val="bottom"/>
            <w:vMerge w:val="continue"/>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7400" w:type="dxa"/>
            <w:vAlign w:val="bottom"/>
          </w:tcPr>
          <w:p>
            <w:pPr>
              <w:ind w:left="140"/>
              <w:spacing w:after="0" w:line="163" w:lineRule="exact"/>
              <w:rPr>
                <w:sz w:val="20"/>
                <w:szCs w:val="20"/>
                <w:color w:val="auto"/>
              </w:rPr>
            </w:pPr>
            <w:r>
              <w:rPr>
                <w:rFonts w:ascii="Arial" w:cs="Arial" w:eastAsia="Arial" w:hAnsi="Arial"/>
                <w:sz w:val="16"/>
                <w:szCs w:val="16"/>
                <w:color w:val="auto"/>
                <w:w w:val="90"/>
              </w:rPr>
              <w:t>Common stock; $0.0001 par value: 250,000,000 shares authorized, 182,213,292 shares issued and 181,829,570</w:t>
            </w: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400" w:type="dxa"/>
            <w:vAlign w:val="bottom"/>
          </w:tcPr>
          <w:p>
            <w:pPr>
              <w:ind w:left="140"/>
              <w:spacing w:after="0" w:line="159" w:lineRule="exact"/>
              <w:rPr>
                <w:sz w:val="20"/>
                <w:szCs w:val="20"/>
                <w:color w:val="auto"/>
              </w:rPr>
            </w:pPr>
            <w:r>
              <w:rPr>
                <w:rFonts w:ascii="Arial" w:cs="Arial" w:eastAsia="Arial" w:hAnsi="Arial"/>
                <w:sz w:val="16"/>
                <w:szCs w:val="16"/>
                <w:color w:val="auto"/>
                <w:w w:val="92"/>
              </w:rPr>
              <w:t>shares outstanding as of June 30, 2022; 180,309,637 shares issued and 179,925,915 shares outstanding as of</w:t>
            </w:r>
          </w:p>
        </w:tc>
        <w:tc>
          <w:tcPr>
            <w:tcW w:w="280" w:type="dxa"/>
            <w:vAlign w:val="bottom"/>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7400" w:type="dxa"/>
            <w:vAlign w:val="bottom"/>
          </w:tcPr>
          <w:p>
            <w:pPr>
              <w:ind w:left="140"/>
              <w:spacing w:after="0"/>
              <w:rPr>
                <w:sz w:val="20"/>
                <w:szCs w:val="20"/>
                <w:color w:val="auto"/>
              </w:rPr>
            </w:pPr>
            <w:r>
              <w:rPr>
                <w:rFonts w:ascii="Arial" w:cs="Arial" w:eastAsia="Arial" w:hAnsi="Arial"/>
                <w:sz w:val="16"/>
                <w:szCs w:val="16"/>
                <w:color w:val="auto"/>
              </w:rPr>
              <w:t>December 31, 2021</w:t>
            </w:r>
          </w:p>
        </w:tc>
        <w:tc>
          <w:tcPr>
            <w:tcW w:w="2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2"/>
              </w:rPr>
              <w:t>Treasury stock; 383,722 shares outstanding, at cost, as of June 30, 2022 and December 31, 2021, respectively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0"/>
        </w:trPr>
        <w:tc>
          <w:tcPr>
            <w:tcW w:w="7400" w:type="dxa"/>
            <w:vAlign w:val="bottom"/>
          </w:tcPr>
          <w:p>
            <w:pPr>
              <w:ind w:left="14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1,168,052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1,138,855</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15,256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1,284,994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2,985,912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2,790,918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3" w:lineRule="exact"/>
        <w:rPr>
          <w:sz w:val="20"/>
          <w:szCs w:val="20"/>
          <w:color w:val="auto"/>
        </w:rPr>
      </w:pPr>
    </w:p>
    <w:p>
      <w:pPr>
        <w:ind w:right="3600"/>
        <w:spacing w:after="0" w:line="252" w:lineRule="auto"/>
        <w:rPr>
          <w:sz w:val="20"/>
          <w:szCs w:val="20"/>
          <w:color w:val="auto"/>
        </w:rPr>
      </w:pPr>
      <w:r>
        <w:rPr>
          <w:rFonts w:ascii="Arial" w:cs="Arial" w:eastAsia="Arial" w:hAnsi="Arial"/>
          <w:sz w:val="18"/>
          <w:szCs w:val="18"/>
          <w:b w:val="1"/>
          <w:bCs w:val="1"/>
          <w:color w:val="auto"/>
        </w:rPr>
        <w:t>UNAUDITED CONDENSED CONSOLIDATED STATEMENTS OF COMPREHENSIVE INCOME (IN THOUSANDS, EXCEPT PER SHARE AMOUNTS)</w:t>
      </w:r>
    </w:p>
    <w:tbl>
      <w:tblPr>
        <w:tblLayout w:type="fixed"/>
        <w:tblInd w:w="0" w:type="dxa"/>
        <w:tblCellMar>
          <w:top w:w="0" w:type="dxa"/>
          <w:left w:w="0" w:type="dxa"/>
          <w:bottom w:w="0" w:type="dxa"/>
          <w:right w:w="0" w:type="dxa"/>
        </w:tblCellMar>
      </w:tblPr>
      <w:tr>
        <w:trPr>
          <w:trHeight w:val="177"/>
        </w:trPr>
        <w:tc>
          <w:tcPr>
            <w:tcW w:w="5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40" w:type="dxa"/>
            <w:vAlign w:val="bottom"/>
            <w:gridSpan w:val="5"/>
          </w:tcPr>
          <w:p>
            <w:pPr>
              <w:ind w:left="340"/>
              <w:spacing w:after="0" w:line="178" w:lineRule="exact"/>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5"/>
                <w:szCs w:val="15"/>
                <w:color w:val="auto"/>
              </w:rPr>
            </w:pPr>
          </w:p>
        </w:tc>
        <w:tc>
          <w:tcPr>
            <w:tcW w:w="2420" w:type="dxa"/>
            <w:vAlign w:val="bottom"/>
            <w:gridSpan w:val="4"/>
          </w:tcPr>
          <w:p>
            <w:pPr>
              <w:jc w:val="right"/>
              <w:ind w:right="680"/>
              <w:spacing w:after="0" w:line="178" w:lineRule="exact"/>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7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980,820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860,272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1,619,509</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661,304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1,478,768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1,255,068</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364,441</w:t>
            </w:r>
          </w:p>
        </w:tc>
        <w:tc>
          <w:tcPr>
            <w:tcW w:w="0" w:type="dxa"/>
            <w:vAlign w:val="bottom"/>
          </w:tcPr>
          <w:p>
            <w:pPr>
              <w:spacing w:after="0"/>
              <w:rPr>
                <w:sz w:val="1"/>
                <w:szCs w:val="1"/>
                <w:color w:val="auto"/>
              </w:rPr>
            </w:pPr>
          </w:p>
        </w:tc>
      </w:tr>
      <w:tr>
        <w:trPr>
          <w:trHeight w:val="252"/>
        </w:trPr>
        <w:tc>
          <w:tcPr>
            <w:tcW w:w="5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COSTS AND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141,787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134,257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275,756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254,297</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16,619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32,958</w:t>
            </w: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287,255</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59,076</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48,092</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111,321</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77,186</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(17,236)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(25,011)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(36,717)</w:t>
            </w:r>
          </w:p>
        </w:tc>
        <w:tc>
          <w:tcPr>
            <w:tcW w:w="0" w:type="dxa"/>
            <w:vAlign w:val="bottom"/>
          </w:tcPr>
          <w:p>
            <w:pPr>
              <w:spacing w:after="0"/>
              <w:rPr>
                <w:sz w:val="1"/>
                <w:szCs w:val="1"/>
                <w:color w:val="auto"/>
              </w:rPr>
            </w:pPr>
          </w:p>
        </w:tc>
      </w:tr>
      <w:tr>
        <w:trPr>
          <w:trHeight w:val="215"/>
        </w:trPr>
        <w:tc>
          <w:tcPr>
            <w:tcW w:w="5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in earnings of joint ventures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w:t>
            </w:r>
          </w:p>
        </w:tc>
        <w:tc>
          <w:tcPr>
            <w:tcW w:w="0" w:type="dxa"/>
            <w:vAlign w:val="bottom"/>
          </w:tcPr>
          <w:p>
            <w:pPr>
              <w:spacing w:after="0"/>
              <w:rPr>
                <w:sz w:val="1"/>
                <w:szCs w:val="1"/>
                <w:color w:val="auto"/>
              </w:rPr>
            </w:pPr>
          </w:p>
        </w:tc>
      </w:tr>
      <w:tr>
        <w:trPr>
          <w:trHeight w:val="206"/>
        </w:trPr>
        <w:tc>
          <w:tcPr>
            <w:tcW w:w="5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(22,415)</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(46,222)</w:t>
            </w:r>
          </w:p>
        </w:tc>
        <w:tc>
          <w:tcPr>
            <w:tcW w:w="0" w:type="dxa"/>
            <w:vAlign w:val="bottom"/>
          </w:tcPr>
          <w:p>
            <w:pPr>
              <w:spacing w:after="0"/>
              <w:rPr>
                <w:sz w:val="1"/>
                <w:szCs w:val="1"/>
                <w:color w:val="auto"/>
              </w:rPr>
            </w:pPr>
          </w:p>
        </w:tc>
      </w:tr>
      <w:tr>
        <w:trPr>
          <w:trHeight w:val="208"/>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88,906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0" w:type="dxa"/>
            <w:vAlign w:val="bottom"/>
          </w:tcPr>
          <w:p>
            <w:pPr>
              <w:spacing w:after="0"/>
              <w:rPr>
                <w:sz w:val="1"/>
                <w:szCs w:val="1"/>
                <w:color w:val="auto"/>
              </w:rPr>
            </w:pPr>
          </w:p>
        </w:tc>
      </w:tr>
      <w:tr>
        <w:trPr>
          <w:trHeight w:val="235"/>
        </w:trPr>
        <w:tc>
          <w:tcPr>
            <w:tcW w:w="5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64,204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28,955</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57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w w:val="90"/>
              </w:rPr>
              <w:t>Change in unrealized gains on cash flow hedges, net of income tax expense of $756, $0,</w:t>
            </w: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$4,519, and $0, respectively</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3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38,566</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79,911</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37,235</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00" w:type="dxa"/>
            <w:vAlign w:val="bottom"/>
          </w:tcPr>
          <w:p>
            <w:pPr>
              <w:ind w:left="140"/>
              <w:spacing w:after="0"/>
              <w:rPr>
                <w:sz w:val="20"/>
                <w:szCs w:val="20"/>
                <w:color w:val="auto"/>
              </w:rPr>
            </w:pPr>
            <w:r>
              <w:rPr>
                <w:rFonts w:ascii="Arial" w:cs="Arial" w:eastAsia="Arial" w:hAnsi="Arial"/>
                <w:sz w:val="16"/>
                <w:szCs w:val="16"/>
                <w:color w:val="auto"/>
              </w:rPr>
              <w:t>Earnings per share, basic</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Earnings per share, diluted</w:t>
            </w: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w:t>
            </w: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180,621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180,293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diluted</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181,618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181,037</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181,176</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180,975</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3" w:lineRule="exact"/>
        <w:rPr>
          <w:sz w:val="20"/>
          <w:szCs w:val="20"/>
          <w:color w:val="auto"/>
        </w:rPr>
      </w:pPr>
    </w:p>
    <w:p>
      <w:pPr>
        <w:ind w:right="4800"/>
        <w:spacing w:after="0" w:line="252" w:lineRule="auto"/>
        <w:rPr>
          <w:sz w:val="20"/>
          <w:szCs w:val="20"/>
          <w:color w:val="auto"/>
        </w:rPr>
      </w:pPr>
      <w:r>
        <w:rPr>
          <w:rFonts w:ascii="Arial" w:cs="Arial" w:eastAsia="Arial" w:hAnsi="Arial"/>
          <w:sz w:val="18"/>
          <w:szCs w:val="18"/>
          <w:b w:val="1"/>
          <w:bCs w:val="1"/>
          <w:color w:val="auto"/>
        </w:rPr>
        <w:t>UNAUDITED CONDENSED CONSOLIDATED STATEMENTS OF CASH FLOWS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00" w:type="dxa"/>
            <w:vAlign w:val="bottom"/>
          </w:tcPr>
          <w:p>
            <w:pPr>
              <w:spacing w:after="0"/>
              <w:rPr>
                <w:sz w:val="18"/>
                <w:szCs w:val="18"/>
                <w:color w:val="auto"/>
              </w:rPr>
            </w:pPr>
          </w:p>
        </w:tc>
        <w:tc>
          <w:tcPr>
            <w:tcW w:w="314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8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r>
      <w:tr>
        <w:trPr>
          <w:trHeight w:val="195"/>
        </w:trPr>
        <w:tc>
          <w:tcPr>
            <w:tcW w:w="81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w:t>
            </w: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 expense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35,705</w:t>
            </w:r>
          </w:p>
        </w:tc>
      </w:tr>
      <w:tr>
        <w:trPr>
          <w:trHeight w:val="210"/>
        </w:trPr>
        <w:tc>
          <w:tcPr>
            <w:tcW w:w="8100" w:type="dxa"/>
            <w:vAlign w:val="bottom"/>
          </w:tcPr>
          <w:p>
            <w:pPr>
              <w:ind w:left="220"/>
              <w:spacing w:after="0"/>
              <w:rPr>
                <w:sz w:val="20"/>
                <w:szCs w:val="20"/>
                <w:color w:val="auto"/>
              </w:rPr>
            </w:pPr>
            <w:r>
              <w:rPr>
                <w:rFonts w:ascii="Arial" w:cs="Arial" w:eastAsia="Arial" w:hAnsi="Arial"/>
                <w:sz w:val="16"/>
                <w:szCs w:val="16"/>
                <w:color w:val="auto"/>
              </w:rPr>
              <w:t>Non-cash operating lease costs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9,988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5,766</w:t>
            </w:r>
          </w:p>
        </w:tc>
      </w:tr>
      <w:tr>
        <w:trPr>
          <w:trHeight w:val="215"/>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 - net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10"/>
        </w:trPr>
        <w:tc>
          <w:tcPr>
            <w:tcW w:w="8100" w:type="dxa"/>
            <w:vAlign w:val="bottom"/>
          </w:tcPr>
          <w:p>
            <w:pPr>
              <w:ind w:left="220"/>
              <w:spacing w:after="0"/>
              <w:rPr>
                <w:sz w:val="20"/>
                <w:szCs w:val="20"/>
                <w:color w:val="auto"/>
              </w:rPr>
            </w:pPr>
            <w:r>
              <w:rPr>
                <w:rFonts w:ascii="Arial" w:cs="Arial" w:eastAsia="Arial" w:hAnsi="Arial"/>
                <w:sz w:val="16"/>
                <w:szCs w:val="16"/>
                <w:color w:val="auto"/>
              </w:rPr>
              <w:t>Loss on extinguishment of debt</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12,403</w:t>
            </w:r>
          </w:p>
        </w:tc>
      </w:tr>
      <w:tr>
        <w:trPr>
          <w:trHeight w:val="215"/>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w:t>
            </w:r>
          </w:p>
        </w:tc>
      </w:tr>
      <w:tr>
        <w:trPr>
          <w:trHeight w:val="210"/>
        </w:trPr>
        <w:tc>
          <w:tcPr>
            <w:tcW w:w="8100" w:type="dxa"/>
            <w:vAlign w:val="bottom"/>
          </w:tcPr>
          <w:p>
            <w:pPr>
              <w:ind w:left="220"/>
              <w:spacing w:after="0"/>
              <w:rPr>
                <w:sz w:val="20"/>
                <w:szCs w:val="20"/>
                <w:color w:val="auto"/>
              </w:rPr>
            </w:pPr>
            <w:r>
              <w:rPr>
                <w:rFonts w:ascii="Arial" w:cs="Arial" w:eastAsia="Arial" w:hAnsi="Arial"/>
                <w:sz w:val="16"/>
                <w:szCs w:val="16"/>
                <w:color w:val="auto"/>
              </w:rPr>
              <w:t>Equity in earnings of joint ventures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(2,891)</w:t>
            </w:r>
          </w:p>
        </w:tc>
      </w:tr>
      <w:tr>
        <w:trPr>
          <w:trHeight w:val="215"/>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incentive compensation expense</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3,730</w:t>
            </w:r>
          </w:p>
        </w:tc>
      </w:tr>
      <w:tr>
        <w:trPr>
          <w:trHeight w:val="210"/>
        </w:trPr>
        <w:tc>
          <w:tcPr>
            <w:tcW w:w="8100" w:type="dxa"/>
            <w:vAlign w:val="bottom"/>
          </w:tcPr>
          <w:p>
            <w:pPr>
              <w:ind w:left="220"/>
              <w:spacing w:after="0"/>
              <w:rPr>
                <w:sz w:val="20"/>
                <w:szCs w:val="20"/>
                <w:color w:val="auto"/>
              </w:rPr>
            </w:pPr>
            <w:r>
              <w:rPr>
                <w:rFonts w:ascii="Arial" w:cs="Arial" w:eastAsia="Arial" w:hAnsi="Arial"/>
                <w:sz w:val="16"/>
                <w:szCs w:val="16"/>
                <w:color w:val="auto"/>
              </w:rPr>
              <w:t>Capital distribution from equity method investments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adjustments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0"/>
        </w:trPr>
        <w:tc>
          <w:tcPr>
            <w:tcW w:w="81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(22,950)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(9,866)</w:t>
            </w: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(48,671)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(14,651)</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w:t>
            </w: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100,924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26,532</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compensation and employee benefits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(26,384)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r>
      <w:tr>
        <w:trPr>
          <w:trHeight w:val="210"/>
        </w:trPr>
        <w:tc>
          <w:tcPr>
            <w:tcW w:w="810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6,425</w:t>
            </w:r>
          </w:p>
        </w:tc>
      </w:tr>
      <w:tr>
        <w:trPr>
          <w:trHeight w:val="215"/>
        </w:trPr>
        <w:tc>
          <w:tcPr>
            <w:tcW w:w="8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(11,032)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(8,277)</w:t>
            </w:r>
          </w:p>
        </w:tc>
      </w:tr>
      <w:tr>
        <w:trPr>
          <w:trHeight w:val="210"/>
        </w:trPr>
        <w:tc>
          <w:tcPr>
            <w:tcW w:w="81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noncurrent assets and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(10,422)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r>
      <w:tr>
        <w:trPr>
          <w:trHeight w:val="208"/>
        </w:trPr>
        <w:tc>
          <w:tcPr>
            <w:tcW w:w="81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136,954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92,034</w:t>
            </w:r>
          </w:p>
        </w:tc>
      </w:tr>
      <w:tr>
        <w:trPr>
          <w:trHeight w:val="33"/>
        </w:trPr>
        <w:tc>
          <w:tcPr>
            <w:tcW w:w="8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Acquisition of property and equipment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0"/>
              </w:rPr>
              <w:t>(10,055)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(6,808)</w:t>
            </w: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acquisitions, net of cash acquired</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(59,897)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(18,852)</w:t>
            </w:r>
          </w:p>
        </w:tc>
      </w:tr>
      <w:tr>
        <w:trPr>
          <w:trHeight w:val="244"/>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(69,952)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(25,660)</w:t>
            </w:r>
          </w:p>
        </w:tc>
      </w:tr>
      <w:tr>
        <w:trPr>
          <w:trHeight w:val="210"/>
        </w:trPr>
        <w:tc>
          <w:tcPr>
            <w:tcW w:w="81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 of stock options, vesting of restricted stock, and related tax withholdings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Proceeds from warrant exercises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355,200</w:t>
            </w: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Repayments of debt</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(5,888)</w:t>
            </w: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Retirement of debt</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(352,009)</w:t>
            </w: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(2,880)</w:t>
            </w: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prepayment fees</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03"/>
        </w:trPr>
        <w:tc>
          <w:tcPr>
            <w:tcW w:w="81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17,621</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(8,113)</w:t>
            </w:r>
          </w:p>
        </w:tc>
      </w:tr>
      <w:tr>
        <w:trPr>
          <w:trHeight w:val="208"/>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58,261</w:t>
            </w:r>
          </w:p>
        </w:tc>
      </w:tr>
      <w:tr>
        <w:trPr>
          <w:trHeight w:val="21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 beginning of the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119,423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99,265</w:t>
            </w:r>
          </w:p>
        </w:tc>
      </w:tr>
      <w:tr>
        <w:trPr>
          <w:trHeight w:val="233"/>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204,046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157,526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0"/>
        </w:trPr>
        <w:tc>
          <w:tcPr>
            <w:tcW w:w="81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21,793</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37,405</w:t>
            </w:r>
          </w:p>
        </w:tc>
      </w:tr>
      <w:tr>
        <w:trPr>
          <w:trHeight w:val="215"/>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r>
      <w:tr>
        <w:trPr>
          <w:trHeight w:val="207"/>
        </w:trPr>
        <w:tc>
          <w:tcPr>
            <w:tcW w:w="8100" w:type="dxa"/>
            <w:vAlign w:val="bottom"/>
          </w:tcPr>
          <w:p>
            <w:pPr>
              <w:ind w:left="140"/>
              <w:spacing w:after="0"/>
              <w:rPr>
                <w:sz w:val="20"/>
                <w:szCs w:val="20"/>
                <w:color w:val="auto"/>
              </w:rPr>
            </w:pPr>
            <w:r>
              <w:rPr>
                <w:rFonts w:ascii="Arial" w:cs="Arial" w:eastAsia="Arial" w:hAnsi="Arial"/>
                <w:sz w:val="16"/>
                <w:szCs w:val="16"/>
                <w:color w:val="auto"/>
              </w:rPr>
              <w:t>Cash paid for operating leases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12,435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12,909</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3" w:lineRule="exact"/>
        <w:rPr>
          <w:sz w:val="20"/>
          <w:szCs w:val="20"/>
          <w:color w:val="auto"/>
        </w:rPr>
      </w:pPr>
    </w:p>
    <w:p>
      <w:pPr>
        <w:ind w:right="3700"/>
        <w:spacing w:after="0" w:line="252" w:lineRule="auto"/>
        <w:rPr>
          <w:sz w:val="20"/>
          <w:szCs w:val="20"/>
          <w:color w:val="auto"/>
        </w:rPr>
      </w:pPr>
      <w:r>
        <w:rPr>
          <w:rFonts w:ascii="Arial" w:cs="Arial" w:eastAsia="Arial" w:hAnsi="Arial"/>
          <w:sz w:val="18"/>
          <w:szCs w:val="18"/>
          <w:b w:val="1"/>
          <w:bCs w:val="1"/>
          <w:color w:val="auto"/>
        </w:rPr>
        <w:t>UNAUDITED CONDENSED CONSOLIDATED STATEMENTS OF STOCKHOLDERS’ EQUITY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Retained</w:t>
            </w:r>
          </w:p>
        </w:tc>
        <w:tc>
          <w:tcPr>
            <w:tcW w:w="15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Accumulated Other</w:t>
            </w:r>
          </w:p>
        </w:tc>
        <w:tc>
          <w:tcPr>
            <w:tcW w:w="140" w:type="dxa"/>
            <w:vAlign w:val="bottom"/>
          </w:tcPr>
          <w:p>
            <w:pPr>
              <w:spacing w:after="0"/>
              <w:rPr>
                <w:sz w:val="16"/>
                <w:szCs w:val="16"/>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Preferred</w:t>
            </w:r>
          </w:p>
        </w:tc>
        <w:tc>
          <w:tcPr>
            <w:tcW w:w="12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80" w:type="dxa"/>
            <w:vAlign w:val="bottom"/>
          </w:tcPr>
          <w:p>
            <w:pPr>
              <w:spacing w:after="0"/>
              <w:rPr>
                <w:sz w:val="13"/>
                <w:szCs w:val="13"/>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line="159" w:lineRule="exact"/>
              <w:rPr>
                <w:sz w:val="20"/>
                <w:szCs w:val="20"/>
                <w:color w:val="auto"/>
              </w:rPr>
            </w:pPr>
            <w:r>
              <w:rPr>
                <w:rFonts w:ascii="Arial" w:cs="Arial" w:eastAsia="Arial" w:hAnsi="Arial"/>
                <w:sz w:val="16"/>
                <w:szCs w:val="16"/>
                <w:b w:val="1"/>
                <w:bCs w:val="1"/>
                <w:color w:val="auto"/>
                <w:w w:val="90"/>
              </w:rPr>
              <w:t>Earnings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0"/>
              </w:rPr>
              <w:t>(Accumulated</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9" w:lineRule="exact"/>
              <w:rPr>
                <w:sz w:val="20"/>
                <w:szCs w:val="20"/>
                <w:color w:val="auto"/>
              </w:rPr>
            </w:pPr>
            <w:r>
              <w:rPr>
                <w:rFonts w:ascii="Arial" w:cs="Arial" w:eastAsia="Arial" w:hAnsi="Arial"/>
                <w:sz w:val="16"/>
                <w:szCs w:val="16"/>
                <w:b w:val="1"/>
                <w:bCs w:val="1"/>
                <w:color w:val="auto"/>
                <w:w w:val="87"/>
              </w:rPr>
              <w:t>(Loss)</w:t>
            </w:r>
          </w:p>
        </w:tc>
        <w:tc>
          <w:tcPr>
            <w:tcW w:w="140" w:type="dxa"/>
            <w:vAlign w:val="bottom"/>
          </w:tcPr>
          <w:p>
            <w:pPr>
              <w:spacing w:after="0"/>
              <w:rPr>
                <w:sz w:val="13"/>
                <w:szCs w:val="13"/>
                <w:color w:val="auto"/>
              </w:rPr>
            </w:pPr>
          </w:p>
        </w:tc>
        <w:tc>
          <w:tcPr>
            <w:tcW w:w="1160" w:type="dxa"/>
            <w:vAlign w:val="bottom"/>
          </w:tcPr>
          <w:p>
            <w:pPr>
              <w:jc w:val="center"/>
              <w:ind w:right="60"/>
              <w:spacing w:after="0" w:line="159" w:lineRule="exact"/>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Deficit)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18"/>
                <w:szCs w:val="18"/>
                <w:color w:val="auto"/>
              </w:rPr>
            </w:pPr>
          </w:p>
        </w:tc>
        <w:tc>
          <w:tcPr>
            <w:tcW w:w="1160" w:type="dxa"/>
            <w:vAlign w:val="bottom"/>
          </w:tcPr>
          <w:p>
            <w:pPr>
              <w:jc w:val="center"/>
              <w:ind w:right="6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1,129,312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1,015,724</w:t>
            </w:r>
          </w:p>
        </w:tc>
        <w:tc>
          <w:tcPr>
            <w:tcW w:w="0" w:type="dxa"/>
            <w:vAlign w:val="bottom"/>
          </w:tcPr>
          <w:p>
            <w:pPr>
              <w:spacing w:after="0"/>
              <w:rPr>
                <w:sz w:val="1"/>
                <w:szCs w:val="1"/>
                <w:color w:val="auto"/>
              </w:rPr>
            </w:pPr>
          </w:p>
        </w:tc>
      </w:tr>
      <w:tr>
        <w:trPr>
          <w:trHeight w:val="163"/>
        </w:trPr>
        <w:tc>
          <w:tcPr>
            <w:tcW w:w="2780" w:type="dxa"/>
            <w:vAlign w:val="bottom"/>
          </w:tcPr>
          <w:p>
            <w:pPr>
              <w:ind w:left="140"/>
              <w:spacing w:after="0" w:line="163"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140"/>
              <w:spacing w:after="0" w:line="159" w:lineRule="exact"/>
              <w:rPr>
                <w:sz w:val="20"/>
                <w:szCs w:val="20"/>
                <w:color w:val="auto"/>
              </w:rPr>
            </w:pPr>
            <w:r>
              <w:rPr>
                <w:rFonts w:ascii="Arial" w:cs="Arial" w:eastAsia="Arial" w:hAnsi="Arial"/>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(2,861)</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w:t>
            </w:r>
          </w:p>
        </w:tc>
        <w:tc>
          <w:tcPr>
            <w:tcW w:w="0" w:type="dxa"/>
            <w:vAlign w:val="bottom"/>
          </w:tcPr>
          <w:p>
            <w:pPr>
              <w:spacing w:after="0"/>
              <w:rPr>
                <w:sz w:val="1"/>
                <w:szCs w:val="1"/>
                <w:color w:val="auto"/>
              </w:rPr>
            </w:pPr>
          </w:p>
        </w:tc>
      </w:tr>
      <w:tr>
        <w:trPr>
          <w:trHeight w:val="203"/>
        </w:trPr>
        <w:tc>
          <w:tcPr>
            <w:tcW w:w="2780" w:type="dxa"/>
            <w:vAlign w:val="bottom"/>
          </w:tcPr>
          <w:p>
            <w:pPr>
              <w:ind w:left="140"/>
              <w:spacing w:after="0"/>
              <w:rPr>
                <w:sz w:val="20"/>
                <w:szCs w:val="20"/>
                <w:color w:val="auto"/>
              </w:rPr>
            </w:pPr>
            <w:r>
              <w:rPr>
                <w:rFonts w:ascii="Arial" w:cs="Arial" w:eastAsia="Arial" w:hAnsi="Arial"/>
                <w:sz w:val="16"/>
                <w:szCs w:val="16"/>
                <w:color w:val="auto"/>
              </w:rPr>
              <w:t>Balance - March 31, 2021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1,130,448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(102,892)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(7,091)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1,018,080</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140"/>
              <w:spacing w:after="0" w:line="159"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14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2,525</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0" w:type="dxa"/>
            <w:vAlign w:val="bottom"/>
          </w:tcPr>
          <w:p>
            <w:pPr>
              <w:spacing w:after="0"/>
              <w:rPr>
                <w:sz w:val="1"/>
                <w:szCs w:val="1"/>
                <w:color w:val="auto"/>
              </w:rPr>
            </w:pPr>
          </w:p>
        </w:tc>
      </w:tr>
      <w:tr>
        <w:trPr>
          <w:trHeight w:val="22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1,132,964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1,056,611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1,138,855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1,175,886</w:t>
            </w:r>
          </w:p>
        </w:tc>
        <w:tc>
          <w:tcPr>
            <w:tcW w:w="0" w:type="dxa"/>
            <w:vAlign w:val="bottom"/>
          </w:tcPr>
          <w:p>
            <w:pPr>
              <w:spacing w:after="0"/>
              <w:rPr>
                <w:sz w:val="1"/>
                <w:szCs w:val="1"/>
                <w:color w:val="auto"/>
              </w:rPr>
            </w:pPr>
          </w:p>
        </w:tc>
      </w:tr>
      <w:tr>
        <w:trPr>
          <w:trHeight w:val="163"/>
        </w:trPr>
        <w:tc>
          <w:tcPr>
            <w:tcW w:w="2780" w:type="dxa"/>
            <w:vAlign w:val="bottom"/>
          </w:tcPr>
          <w:p>
            <w:pPr>
              <w:ind w:left="20"/>
              <w:spacing w:after="0" w:line="163"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tcPr>
          <w:p>
            <w:pPr>
              <w:ind w:left="20"/>
              <w:spacing w:after="0" w:line="159" w:lineRule="exact"/>
              <w:rPr>
                <w:sz w:val="20"/>
                <w:szCs w:val="20"/>
                <w:color w:val="auto"/>
              </w:rPr>
            </w:pPr>
            <w:r>
              <w:rPr>
                <w:rFonts w:ascii="Arial" w:cs="Arial" w:eastAsia="Arial" w:hAnsi="Arial"/>
                <w:sz w:val="16"/>
                <w:szCs w:val="16"/>
                <w:color w:val="auto"/>
              </w:rPr>
              <w:t>restricted stock, and related tax</w:t>
            </w:r>
          </w:p>
        </w:tc>
        <w:tc>
          <w:tcPr>
            <w:tcW w:w="120" w:type="dxa"/>
            <w:vAlign w:val="bottom"/>
          </w:tcPr>
          <w:p>
            <w:pPr>
              <w:spacing w:after="0"/>
              <w:rPr>
                <w:sz w:val="13"/>
                <w:szCs w:val="13"/>
                <w:color w:val="auto"/>
              </w:rPr>
            </w:pPr>
          </w:p>
        </w:tc>
        <w:tc>
          <w:tcPr>
            <w:tcW w:w="94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withholdings</w:t>
            </w: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30,275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30,275</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11,070</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Arial" w:cs="Arial" w:eastAsia="Arial" w:hAnsi="Arial"/>
                <w:sz w:val="16"/>
                <w:szCs w:val="16"/>
                <w:color w:val="auto"/>
              </w:rPr>
              <w:t>Balance - March 31,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1,143,388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70,142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10,619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1,221,764</w:t>
            </w:r>
          </w:p>
        </w:tc>
        <w:tc>
          <w:tcPr>
            <w:tcW w:w="0" w:type="dxa"/>
            <w:vAlign w:val="bottom"/>
          </w:tcPr>
          <w:p>
            <w:pPr>
              <w:spacing w:after="0"/>
              <w:rPr>
                <w:sz w:val="1"/>
                <w:szCs w:val="1"/>
                <w:color w:val="auto"/>
              </w:rPr>
            </w:pPr>
          </w:p>
        </w:tc>
      </w:tr>
      <w:tr>
        <w:trPr>
          <w:trHeight w:val="165"/>
        </w:trPr>
        <w:tc>
          <w:tcPr>
            <w:tcW w:w="278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Exercise of stock options, vesting of</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20"/>
              <w:spacing w:after="0" w:line="159" w:lineRule="exact"/>
              <w:rPr>
                <w:sz w:val="20"/>
                <w:szCs w:val="20"/>
                <w:color w:val="auto"/>
              </w:rPr>
            </w:pPr>
            <w:r>
              <w:rPr>
                <w:rFonts w:ascii="Arial" w:cs="Arial" w:eastAsia="Arial" w:hAnsi="Arial"/>
                <w:sz w:val="16"/>
                <w:szCs w:val="16"/>
                <w:color w:val="auto"/>
              </w:rPr>
              <w:t>restricted stock, and related tax</w:t>
            </w:r>
          </w:p>
        </w:tc>
        <w:tc>
          <w:tcPr>
            <w:tcW w:w="12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withholdings</w:t>
            </w:r>
          </w:p>
        </w:tc>
        <w:tc>
          <w:tcPr>
            <w:tcW w:w="12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color w:val="auto"/>
              </w:rPr>
              <w:t>Exercise of warrants</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20,098</w:t>
            </w:r>
          </w:p>
        </w:tc>
        <w:tc>
          <w:tcPr>
            <w:tcW w:w="0" w:type="dxa"/>
            <w:vAlign w:val="bottom"/>
          </w:tcPr>
          <w:p>
            <w:pPr>
              <w:spacing w:after="0"/>
              <w:rPr>
                <w:sz w:val="1"/>
                <w:szCs w:val="1"/>
                <w:color w:val="auto"/>
              </w:rPr>
            </w:pPr>
          </w:p>
        </w:tc>
      </w:tr>
      <w:tr>
        <w:trPr>
          <w:trHeight w:val="215"/>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incentive compensation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4,398</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8"/>
                <w:szCs w:val="18"/>
                <w:color w:val="auto"/>
              </w:rPr>
            </w:pP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33,929</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0" w:type="dxa"/>
            <w:vAlign w:val="bottom"/>
          </w:tcPr>
          <w:p>
            <w:pPr>
              <w:spacing w:after="0"/>
              <w:rPr>
                <w:sz w:val="1"/>
                <w:szCs w:val="1"/>
                <w:color w:val="auto"/>
              </w:rPr>
            </w:pPr>
          </w:p>
        </w:tc>
      </w:tr>
      <w:tr>
        <w:trPr>
          <w:trHeight w:val="208"/>
        </w:trPr>
        <w:tc>
          <w:tcPr>
            <w:tcW w:w="2780" w:type="dxa"/>
            <w:vAlign w:val="bottom"/>
          </w:tcPr>
          <w:p>
            <w:pPr>
              <w:ind w:left="20"/>
              <w:spacing w:after="0"/>
              <w:rPr>
                <w:sz w:val="20"/>
                <w:szCs w:val="20"/>
                <w:color w:val="auto"/>
              </w:rPr>
            </w:pPr>
            <w:r>
              <w:rPr>
                <w:rFonts w:ascii="Arial" w:cs="Arial" w:eastAsia="Arial" w:hAnsi="Arial"/>
                <w:sz w:val="16"/>
                <w:szCs w:val="16"/>
                <w:color w:val="auto"/>
              </w:rPr>
              <w:t>Balance - June 30, 2022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ind w:left="300"/>
              <w:spacing w:after="0"/>
              <w:rPr>
                <w:sz w:val="20"/>
                <w:szCs w:val="20"/>
                <w:color w:val="auto"/>
              </w:rPr>
            </w:pPr>
            <w:r>
              <w:rPr>
                <w:rFonts w:ascii="Arial" w:cs="Arial" w:eastAsia="Arial" w:hAnsi="Arial"/>
                <w:sz w:val="16"/>
                <w:szCs w:val="16"/>
                <w:color w:val="auto"/>
                <w:w w:val="94"/>
              </w:rPr>
              <w:t>(2,403)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1,168,052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104,071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15,256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1,284,994</w:t>
            </w: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CARE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PRESENTATION OF FINANCIAL STATEMENTS</w:t>
      </w:r>
    </w:p>
    <w:p>
      <w:pPr>
        <w:spacing w:after="0" w:line="178" w:lineRule="exact"/>
        <w:rPr>
          <w:sz w:val="20"/>
          <w:szCs w:val="20"/>
          <w:color w:val="auto"/>
        </w:rPr>
      </w:pPr>
    </w:p>
    <w:p>
      <w:pPr>
        <w:ind w:firstLine="319"/>
        <w:spacing w:after="0" w:line="281" w:lineRule="auto"/>
        <w:rPr>
          <w:sz w:val="20"/>
          <w:szCs w:val="20"/>
          <w:color w:val="auto"/>
        </w:rPr>
      </w:pPr>
      <w:r>
        <w:rPr>
          <w:rFonts w:ascii="Arial" w:cs="Arial" w:eastAsia="Arial" w:hAnsi="Arial"/>
          <w:sz w:val="17"/>
          <w:szCs w:val="17"/>
          <w:b w:val="1"/>
          <w:bCs w:val="1"/>
          <w:color w:val="auto"/>
        </w:rPr>
        <w:t xml:space="preserve">Corporate Organization and Business </w:t>
      </w:r>
      <w:r>
        <w:rPr>
          <w:rFonts w:ascii="Arial" w:cs="Arial" w:eastAsia="Arial" w:hAnsi="Arial"/>
          <w:sz w:val="17"/>
          <w:szCs w:val="17"/>
          <w:color w:val="auto"/>
        </w:rPr>
        <w:t>— HC Group Holdings II, Inc. (“HC II”) was incorporated under the laws of the State of Delaware on January 7,</w:t>
      </w:r>
      <w:r>
        <w:rPr>
          <w:rFonts w:ascii="Arial" w:cs="Arial" w:eastAsia="Arial" w:hAnsi="Arial"/>
          <w:sz w:val="17"/>
          <w:szCs w:val="17"/>
          <w:b w:val="1"/>
          <w:bCs w:val="1"/>
          <w:color w:val="auto"/>
        </w:rPr>
        <w:t xml:space="preserve"> </w:t>
      </w:r>
      <w:r>
        <w:rPr>
          <w:rFonts w:ascii="Arial" w:cs="Arial" w:eastAsia="Arial" w:hAnsi="Arial"/>
          <w:sz w:val="17"/>
          <w:szCs w:val="17"/>
          <w:color w:val="auto"/>
        </w:rPr>
        <w:t>2015, with its sole shareholder being HC Group Holdings I, LLC (“HC I”). On April 7, 2015, HC I and HC II collectively acquired Walgreens Infusion Services, Inc. and its subsidiaries from Walgreen Co., and the business was rebranded as Option Care (“Option Care”).</w:t>
      </w:r>
    </w:p>
    <w:p>
      <w:pPr>
        <w:spacing w:after="0" w:line="130" w:lineRule="exact"/>
        <w:rPr>
          <w:sz w:val="20"/>
          <w:szCs w:val="20"/>
          <w:color w:val="auto"/>
        </w:rPr>
      </w:pPr>
    </w:p>
    <w:p>
      <w:pPr>
        <w:ind w:right="20" w:firstLine="319"/>
        <w:spacing w:after="0" w:line="266" w:lineRule="auto"/>
        <w:rPr>
          <w:sz w:val="20"/>
          <w:szCs w:val="20"/>
          <w:color w:val="auto"/>
        </w:rPr>
      </w:pPr>
      <w:r>
        <w:rPr>
          <w:rFonts w:ascii="Arial" w:cs="Arial" w:eastAsia="Arial" w:hAnsi="Arial"/>
          <w:sz w:val="17"/>
          <w:szCs w:val="17"/>
          <w:color w:val="auto"/>
        </w:rPr>
        <w:t>On March 14, 2019, HC I and HC II entered into a definitive agreement (the “Merger Agreement”) to merge with and into a wholly-owned subsidiary of BioScrip, Inc. (“BioScrip”), a national provider of infusion and home care management solutions, along with certain other subsidiaries of BioScrip and HC II. The merger contemplated by the Merger Agreement (the “Merger”)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(“Option Care Health”, or the “Company”). The combined Company’s stock is listed on the Nasdaq Global Select Market as of June 30, 2022. HC I holds approximately 20.5% of the common stock of the Company.</w:t>
      </w:r>
    </w:p>
    <w:p>
      <w:pPr>
        <w:spacing w:after="0" w:line="157" w:lineRule="exact"/>
        <w:rPr>
          <w:sz w:val="20"/>
          <w:szCs w:val="20"/>
          <w:color w:val="auto"/>
        </w:rPr>
      </w:pPr>
    </w:p>
    <w:p>
      <w:pPr>
        <w:ind w:right="160" w:firstLine="319"/>
        <w:spacing w:after="0" w:line="272" w:lineRule="auto"/>
        <w:rPr>
          <w:sz w:val="20"/>
          <w:szCs w:val="20"/>
          <w:color w:val="auto"/>
        </w:rPr>
      </w:pPr>
      <w:r>
        <w:rPr>
          <w:rFonts w:ascii="Arial" w:cs="Arial" w:eastAsia="Arial" w:hAnsi="Arial"/>
          <w:sz w:val="17"/>
          <w:szCs w:val="17"/>
          <w:color w:val="auto"/>
        </w:rPr>
        <w:t>Option Care Health, and its wholly-owned subsidiaries, provides infusion therapy and other ancillary health care services through a national network of 97 full service pharmacies and 60 stand-alone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w:t>
      </w:r>
    </w:p>
    <w:p>
      <w:pPr>
        <w:spacing w:after="0" w:line="130" w:lineRule="exact"/>
        <w:rPr>
          <w:sz w:val="20"/>
          <w:szCs w:val="20"/>
          <w:color w:val="auto"/>
        </w:rPr>
      </w:pPr>
    </w:p>
    <w:p>
      <w:pPr>
        <w:ind w:firstLine="319"/>
        <w:spacing w:after="0" w:line="311" w:lineRule="auto"/>
        <w:rPr>
          <w:sz w:val="20"/>
          <w:szCs w:val="20"/>
          <w:color w:val="auto"/>
        </w:rPr>
      </w:pPr>
      <w:r>
        <w:rPr>
          <w:rFonts w:ascii="Arial" w:cs="Arial" w:eastAsia="Arial" w:hAnsi="Arial"/>
          <w:sz w:val="15"/>
          <w:szCs w:val="15"/>
          <w:b w:val="1"/>
          <w:bCs w:val="1"/>
          <w:color w:val="auto"/>
        </w:rPr>
        <w:t xml:space="preserve">Basis of Presentation </w:t>
      </w:r>
      <w:r>
        <w:rPr>
          <w:rFonts w:ascii="Arial" w:cs="Arial" w:eastAsia="Arial" w:hAnsi="Arial"/>
          <w:sz w:val="15"/>
          <w:szCs w:val="15"/>
          <w:color w:val="auto"/>
        </w:rPr>
        <w:t>— The accompanying unaudited condensed consolidated financial statements have been prepared in conformity with generally</w:t>
      </w:r>
      <w:r>
        <w:rPr>
          <w:rFonts w:ascii="Arial" w:cs="Arial" w:eastAsia="Arial" w:hAnsi="Arial"/>
          <w:sz w:val="15"/>
          <w:szCs w:val="15"/>
          <w:b w:val="1"/>
          <w:bCs w:val="1"/>
          <w:color w:val="auto"/>
        </w:rPr>
        <w:t xml:space="preserve"> </w:t>
      </w:r>
      <w:r>
        <w:rPr>
          <w:rFonts w:ascii="Arial" w:cs="Arial" w:eastAsia="Arial" w:hAnsi="Arial"/>
          <w:sz w:val="15"/>
          <w:szCs w:val="15"/>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2021 audited consolidated financial statements, including the notes thereto, as presented in our Form 10-K.</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Principles of Consolidation </w:t>
      </w:r>
      <w:r>
        <w:rPr>
          <w:rFonts w:ascii="Arial" w:cs="Arial" w:eastAsia="Arial" w:hAnsi="Arial"/>
          <w:sz w:val="15"/>
          <w:szCs w:val="15"/>
          <w:color w:val="auto"/>
        </w:rPr>
        <w:t>— The Company’s unaudited condensed consolidated financial statements include the accounts of Option Care Health,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 All intercompany transactions and balances are eliminated in consolidation.</w:t>
      </w:r>
    </w:p>
    <w:p>
      <w:pPr>
        <w:spacing w:after="0" w:line="180" w:lineRule="exact"/>
        <w:rPr>
          <w:sz w:val="20"/>
          <w:szCs w:val="20"/>
          <w:color w:val="auto"/>
        </w:rPr>
      </w:pPr>
    </w:p>
    <w:p>
      <w:pPr>
        <w:jc w:val="both"/>
        <w:ind w:right="60" w:firstLine="319"/>
        <w:spacing w:after="0" w:line="252" w:lineRule="auto"/>
        <w:rPr>
          <w:sz w:val="20"/>
          <w:szCs w:val="20"/>
          <w:color w:val="auto"/>
        </w:rPr>
      </w:pPr>
      <w:r>
        <w:rPr>
          <w:rFonts w:ascii="Arial" w:cs="Arial" w:eastAsia="Arial" w:hAnsi="Arial"/>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91" w:lineRule="exact"/>
        <w:rPr>
          <w:sz w:val="20"/>
          <w:szCs w:val="20"/>
          <w:color w:val="auto"/>
        </w:rPr>
      </w:pPr>
    </w:p>
    <w:p>
      <w:pPr>
        <w:ind w:right="660" w:firstLine="319"/>
        <w:spacing w:after="0" w:line="27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The Company considers all highly liquid investments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28" w:lineRule="exact"/>
        <w:rPr>
          <w:sz w:val="20"/>
          <w:szCs w:val="20"/>
          <w:color w:val="auto"/>
        </w:rPr>
      </w:pPr>
    </w:p>
    <w:p>
      <w:pPr>
        <w:ind w:right="320" w:firstLine="319"/>
        <w:spacing w:after="0" w:line="281" w:lineRule="auto"/>
        <w:rPr>
          <w:sz w:val="20"/>
          <w:szCs w:val="20"/>
          <w:color w:val="auto"/>
        </w:rPr>
      </w:pPr>
      <w:r>
        <w:rPr>
          <w:rFonts w:ascii="Arial" w:cs="Arial" w:eastAsia="Arial" w:hAnsi="Arial"/>
          <w:sz w:val="17"/>
          <w:szCs w:val="17"/>
          <w:b w:val="1"/>
          <w:bCs w:val="1"/>
          <w:color w:val="auto"/>
        </w:rPr>
        <w:t xml:space="preserve">Prepaid expenses and other current assets </w:t>
      </w:r>
      <w:r>
        <w:rPr>
          <w:rFonts w:ascii="Arial" w:cs="Arial" w:eastAsia="Arial" w:hAnsi="Arial"/>
          <w:sz w:val="17"/>
          <w:szCs w:val="17"/>
          <w:color w:val="auto"/>
        </w:rPr>
        <w:t>— Included in prepaid expenses and other current assets are rebates receivable from pharmaceutical and</w:t>
      </w:r>
      <w:r>
        <w:rPr>
          <w:rFonts w:ascii="Arial" w:cs="Arial" w:eastAsia="Arial" w:hAnsi="Arial"/>
          <w:sz w:val="17"/>
          <w:szCs w:val="17"/>
          <w:b w:val="1"/>
          <w:bCs w:val="1"/>
          <w:color w:val="auto"/>
        </w:rPr>
        <w:t xml:space="preserve"> </w:t>
      </w:r>
      <w:r>
        <w:rPr>
          <w:rFonts w:ascii="Arial" w:cs="Arial" w:eastAsia="Arial" w:hAnsi="Arial"/>
          <w:sz w:val="17"/>
          <w:szCs w:val="17"/>
          <w:color w:val="auto"/>
        </w:rPr>
        <w:t>medical supply manufacturers of $47.0 million and $43.0 million as of June 30, 2022 and December 31, 2021, respectively. There were no other items included in prepaid expenses and other current assets that comprised 5% or more of total current assets.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auto"/>
        </w:rPr>
        <w:t xml:space="preserve">Equity Method Investments </w:t>
      </w:r>
      <w:r>
        <w:rPr>
          <w:rFonts w:ascii="Arial" w:cs="Arial" w:eastAsia="Arial" w:hAnsi="Arial"/>
          <w:sz w:val="15"/>
          <w:szCs w:val="15"/>
          <w:color w:val="auto"/>
        </w:rPr>
        <w:t>— The Company’s investments in certain unconsolidated entities are accounted for under the equity method. The balance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of these investments is included in other noncurrent assets in the accompanying condensed consolidated balance sheets. As of June 30, 2022 and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December 31, 2021, the balance of the investments were $21.7 million and $20.1 million, respectively. The balance of these investments is increased to reflect</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the Company’s capital contributions and equity in earnings of the investees. The balance of these investments is decreased to reflect the Company’s equity in</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losses of the investees and for distributions received that are not in excess of the carrying amount of the investments. The Company’s proportionate share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earnings or losses of the investees is recorded in equity in earnings of joint ventures in the accompanying unaudited condensed consolidated statements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comprehensive income. The Company’s proportionate share of earnings was $1.3 million and $2.6 million for the three and six months ended June 30, 2022,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respectively. The Company’s proportionate share of earnings was $1.7 million and $2.9 million for the three and six months ended June 30, 2021,</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respectively. See Footnote 16, </w:t>
      </w:r>
      <w:r>
        <w:rPr>
          <w:rFonts w:ascii="Arial" w:cs="Arial" w:eastAsia="Arial" w:hAnsi="Arial"/>
          <w:sz w:val="18"/>
          <w:szCs w:val="18"/>
          <w:i w:val="1"/>
          <w:iCs w:val="1"/>
          <w:color w:val="auto"/>
        </w:rPr>
        <w:t>Related-Party Transactions</w:t>
      </w:r>
      <w:r>
        <w:rPr>
          <w:rFonts w:ascii="Arial" w:cs="Arial" w:eastAsia="Arial" w:hAnsi="Arial"/>
          <w:sz w:val="18"/>
          <w:szCs w:val="18"/>
          <w:color w:val="auto"/>
        </w:rPr>
        <w:t>, for discussion of related-party transactions with these investees.</w:t>
      </w:r>
    </w:p>
    <w:p>
      <w:pPr>
        <w:spacing w:after="0" w:line="148" w:lineRule="exact"/>
        <w:rPr>
          <w:sz w:val="20"/>
          <w:szCs w:val="20"/>
          <w:color w:val="auto"/>
        </w:rPr>
      </w:pPr>
    </w:p>
    <w:p>
      <w:pPr>
        <w:ind w:right="200" w:firstLine="319"/>
        <w:spacing w:after="0" w:line="242" w:lineRule="auto"/>
        <w:rPr>
          <w:sz w:val="20"/>
          <w:szCs w:val="20"/>
          <w:color w:val="auto"/>
        </w:rPr>
      </w:pPr>
      <w:r>
        <w:rPr>
          <w:rFonts w:ascii="Arial" w:cs="Arial" w:eastAsia="Arial" w:hAnsi="Arial"/>
          <w:sz w:val="17"/>
          <w:szCs w:val="17"/>
          <w:b w:val="1"/>
          <w:bCs w:val="1"/>
          <w:color w:val="auto"/>
        </w:rPr>
        <w:t xml:space="preserve">Concentrations of Business Risk </w:t>
      </w:r>
      <w:r>
        <w:rPr>
          <w:rFonts w:ascii="Arial" w:cs="Arial" w:eastAsia="Arial" w:hAnsi="Arial"/>
          <w:sz w:val="17"/>
          <w:szCs w:val="17"/>
          <w:color w:val="auto"/>
        </w:rPr>
        <w:t>— The Company generates revenue from managed care contracts and other agreements with commercial third-party</w:t>
      </w:r>
      <w:r>
        <w:rPr>
          <w:rFonts w:ascii="Arial" w:cs="Arial" w:eastAsia="Arial" w:hAnsi="Arial"/>
          <w:sz w:val="17"/>
          <w:szCs w:val="17"/>
          <w:b w:val="1"/>
          <w:bCs w:val="1"/>
          <w:color w:val="auto"/>
        </w:rPr>
        <w:t xml:space="preserve"> </w:t>
      </w:r>
      <w:r>
        <w:rPr>
          <w:rFonts w:ascii="Arial" w:cs="Arial" w:eastAsia="Arial" w:hAnsi="Arial"/>
          <w:sz w:val="17"/>
          <w:szCs w:val="17"/>
          <w:color w:val="auto"/>
        </w:rPr>
        <w:t>payers. Revenue related to the Company’s largest payer was approximately 15% and 15%, respectively, for the three and six months ended June 30, 2022. Revenue related to the Company’s largest payer was approximately 16% and 16% for the three and six months ended June 30, 2021. There were no other managed care contracts that represent greater than 10% of revenue for the periods presented.</w:t>
      </w:r>
    </w:p>
    <w:p>
      <w:pPr>
        <w:spacing w:after="0" w:line="161" w:lineRule="exact"/>
        <w:rPr>
          <w:sz w:val="20"/>
          <w:szCs w:val="20"/>
          <w:color w:val="auto"/>
        </w:rPr>
      </w:pPr>
    </w:p>
    <w:p>
      <w:pPr>
        <w:ind w:right="40" w:firstLine="319"/>
        <w:spacing w:after="0" w:line="249" w:lineRule="auto"/>
        <w:rPr>
          <w:sz w:val="20"/>
          <w:szCs w:val="20"/>
          <w:color w:val="auto"/>
        </w:rPr>
      </w:pPr>
      <w:r>
        <w:rPr>
          <w:rFonts w:ascii="Arial" w:cs="Arial" w:eastAsia="Arial" w:hAnsi="Arial"/>
          <w:sz w:val="18"/>
          <w:szCs w:val="18"/>
          <w:color w:val="auto"/>
        </w:rPr>
        <w:t>For the three and six months ended June 30, 2022, approximately 12% and 12%, respectively, of the Company’s revenue was reimbursable through direct government healthcare programs, such as Medicare and Medicaid. For the three and six months ended June 30, 2021, approximately 12% and 12%, respectively of the Company’s revenue was reimbursable through direct government healthcare programs, such as Medicare and Medicaid. As of June 30, 2022 and December 31, 2021, approximately 11% and 11%,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223" w:lineRule="exact"/>
        <w:rPr>
          <w:sz w:val="20"/>
          <w:szCs w:val="20"/>
          <w:color w:val="auto"/>
        </w:rPr>
      </w:pPr>
    </w:p>
    <w:p>
      <w:pPr>
        <w:ind w:right="20" w:firstLine="319"/>
        <w:spacing w:after="0" w:line="252" w:lineRule="auto"/>
        <w:rPr>
          <w:sz w:val="20"/>
          <w:szCs w:val="20"/>
          <w:color w:val="auto"/>
        </w:rPr>
      </w:pPr>
      <w:r>
        <w:rPr>
          <w:rFonts w:ascii="Arial" w:cs="Arial" w:eastAsia="Arial" w:hAnsi="Arial"/>
          <w:sz w:val="18"/>
          <w:szCs w:val="18"/>
          <w:color w:val="auto"/>
        </w:rPr>
        <w:t>The Company does not require its patients nor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53" w:lineRule="exact"/>
        <w:rPr>
          <w:sz w:val="20"/>
          <w:szCs w:val="20"/>
          <w:color w:val="auto"/>
        </w:rPr>
      </w:pPr>
    </w:p>
    <w:p>
      <w:pPr>
        <w:ind w:right="180" w:firstLine="319"/>
        <w:spacing w:after="0" w:line="309" w:lineRule="auto"/>
        <w:rPr>
          <w:sz w:val="20"/>
          <w:szCs w:val="20"/>
          <w:color w:val="auto"/>
        </w:rPr>
      </w:pPr>
      <w:r>
        <w:rPr>
          <w:rFonts w:ascii="Arial" w:cs="Arial" w:eastAsia="Arial" w:hAnsi="Arial"/>
          <w:sz w:val="15"/>
          <w:szCs w:val="15"/>
          <w:color w:val="auto"/>
        </w:rPr>
        <w:t>For the three and six months ended June 30, 2022, approximately 72% and 73%, respectively, of the Company’s pharmaceutical and medical supply purchases were from four vendors. For the three and six months ended June 30, 2021 approximately 64% and 65%, respectively, of the Company’s pharmaceutical and medical supply purchases were from three vendors. Although there are a limited number of suppliers, the Company believes that other vendors could provide similar products on comparable terms. However, a change in suppliers could cause delays in service delivery and possible losses in revenue, which could adversely affect the Company’s financial condition or operating results. Although there remains some uncertainty regarding the COVID-19 pandemic, as of June 30, 2022 the Company has been able to maintain adequate levels of supplies and pharmaceuticals to support its operations.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AND ASSET ACQUISITIONS</w:t>
      </w:r>
    </w:p>
    <w:p>
      <w:pPr>
        <w:spacing w:after="0" w:line="191" w:lineRule="exact"/>
        <w:rPr>
          <w:sz w:val="20"/>
          <w:szCs w:val="20"/>
          <w:color w:val="auto"/>
        </w:rPr>
      </w:pPr>
    </w:p>
    <w:p>
      <w:pPr>
        <w:ind w:right="240"/>
        <w:spacing w:after="0" w:line="281" w:lineRule="auto"/>
        <w:rPr>
          <w:sz w:val="20"/>
          <w:szCs w:val="20"/>
          <w:color w:val="auto"/>
        </w:rPr>
      </w:pPr>
      <w:r>
        <w:rPr>
          <w:rFonts w:ascii="Arial" w:cs="Arial" w:eastAsia="Arial" w:hAnsi="Arial"/>
          <w:sz w:val="17"/>
          <w:szCs w:val="17"/>
          <w:b w:val="1"/>
          <w:bCs w:val="1"/>
          <w:color w:val="auto"/>
        </w:rPr>
        <w:t xml:space="preserve">Infinity Infusion Nursing LLC — </w:t>
      </w:r>
      <w:r>
        <w:rPr>
          <w:rFonts w:ascii="Arial" w:cs="Arial" w:eastAsia="Arial" w:hAnsi="Arial"/>
          <w:sz w:val="17"/>
          <w:szCs w:val="17"/>
          <w:color w:val="auto"/>
        </w:rPr>
        <w:t>In October 2021, pursuant to the equity purchase agreement dated October 1, 2021, the Company completed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100% of the equity interests in Infinity Infusion Nursing, LLC for a purchase price, net of cash acquired, of $59.6 million. The Company has finalized the purchase price allocation of the acquisition and no purchase accounting adjustments were made.</w:t>
      </w:r>
    </w:p>
    <w:p>
      <w:pPr>
        <w:spacing w:after="0" w:line="124" w:lineRule="exact"/>
        <w:rPr>
          <w:sz w:val="20"/>
          <w:szCs w:val="20"/>
          <w:color w:val="auto"/>
        </w:rPr>
      </w:pPr>
    </w:p>
    <w:p>
      <w:pPr>
        <w:ind w:right="140"/>
        <w:spacing w:after="0" w:line="322" w:lineRule="auto"/>
        <w:rPr>
          <w:sz w:val="20"/>
          <w:szCs w:val="20"/>
          <w:color w:val="auto"/>
        </w:rPr>
      </w:pPr>
      <w:r>
        <w:rPr>
          <w:rFonts w:ascii="Arial" w:cs="Arial" w:eastAsia="Arial" w:hAnsi="Arial"/>
          <w:sz w:val="15"/>
          <w:szCs w:val="15"/>
          <w:b w:val="1"/>
          <w:bCs w:val="1"/>
          <w:color w:val="auto"/>
        </w:rPr>
        <w:t xml:space="preserve">Wasatch Infusion LLC Acquisition — </w:t>
      </w:r>
      <w:r>
        <w:rPr>
          <w:rFonts w:ascii="Arial" w:cs="Arial" w:eastAsia="Arial" w:hAnsi="Arial"/>
          <w:sz w:val="15"/>
          <w:szCs w:val="15"/>
          <w:color w:val="auto"/>
        </w:rPr>
        <w:t>In December 2021, pursuant to the executed asset purchase agreement on December 29, 2021, the Company</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completed the acquisition of Wasatch Infusion LLC for a purchase price of $19.5 million. As of March 31, 2022, the Company finalized the purchase price allocation of the acquisition. Certain adjustments were made to preliminary valuation amounts related to accounts receivable, other assets and other assumed liabilities. The following is a final allocation of the consideration transferred to acquired identifiable assets and assumed liabilities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Amount</w:t>
            </w:r>
          </w:p>
        </w:tc>
      </w:tr>
      <w:tr>
        <w:trPr>
          <w:trHeight w:val="185"/>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2,688</w:t>
            </w:r>
          </w:p>
        </w:tc>
      </w:tr>
      <w:tr>
        <w:trPr>
          <w:trHeight w:val="183"/>
        </w:trPr>
        <w:tc>
          <w:tcPr>
            <w:tcW w:w="906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2,038</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r>
      <w:tr>
        <w:trPr>
          <w:trHeight w:val="183"/>
        </w:trPr>
        <w:tc>
          <w:tcPr>
            <w:tcW w:w="90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769</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(6,686)</w:t>
            </w:r>
          </w:p>
        </w:tc>
      </w:tr>
      <w:tr>
        <w:trPr>
          <w:trHeight w:val="18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assumed liabilities</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(965)</w:t>
            </w:r>
          </w:p>
        </w:tc>
      </w:tr>
      <w:tr>
        <w:trPr>
          <w:trHeight w:val="18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Identifiable assets and liabilities</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2,089</w:t>
            </w:r>
          </w:p>
        </w:tc>
      </w:tr>
      <w:tr>
        <w:trPr>
          <w:trHeight w:val="18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 (1)</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17,366</w:t>
            </w:r>
          </w:p>
        </w:tc>
      </w:tr>
      <w:tr>
        <w:trPr>
          <w:trHeight w:val="20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 Goodwill is attributable to cost synergies from procurement and operational efficiencies and elimination of duplicative administrative costs.</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color w:val="auto"/>
        </w:rPr>
        <w:t xml:space="preserve">Specialty Pharmacy Nursing Network, Inc. — </w:t>
      </w:r>
      <w:r>
        <w:rPr>
          <w:rFonts w:ascii="Arial" w:cs="Arial" w:eastAsia="Arial" w:hAnsi="Arial"/>
          <w:sz w:val="18"/>
          <w:szCs w:val="18"/>
          <w:color w:val="auto"/>
        </w:rPr>
        <w:t>In April 2022, pursuant to the equity purchase agreement dated February 7, 2022, the Company completed</w:t>
      </w:r>
      <w:r>
        <w:rPr>
          <w:rFonts w:ascii="Arial" w:cs="Arial" w:eastAsia="Arial" w:hAnsi="Arial"/>
          <w:sz w:val="18"/>
          <w:szCs w:val="18"/>
          <w:b w:val="1"/>
          <w:bCs w:val="1"/>
          <w:color w:val="auto"/>
        </w:rPr>
        <w:t xml:space="preserve"> </w:t>
      </w:r>
      <w:r>
        <w:rPr>
          <w:rFonts w:ascii="Arial" w:cs="Arial" w:eastAsia="Arial" w:hAnsi="Arial"/>
          <w:sz w:val="18"/>
          <w:szCs w:val="18"/>
          <w:color w:val="auto"/>
        </w:rPr>
        <w:t>the acquisition of 100% of the equity interests in Specialty Pharmacy Nursing Network, Inc. (“SPNN”) for a purchase price, net of cash acquired, of $59.9 million.</w:t>
      </w:r>
    </w:p>
    <w:p>
      <w:pPr>
        <w:spacing w:after="0" w:line="146" w:lineRule="exact"/>
        <w:rPr>
          <w:sz w:val="20"/>
          <w:szCs w:val="20"/>
          <w:color w:val="auto"/>
        </w:rPr>
      </w:pPr>
    </w:p>
    <w:p>
      <w:pPr>
        <w:jc w:val="both"/>
        <w:ind w:right="120" w:firstLine="319"/>
        <w:spacing w:after="0" w:line="272" w:lineRule="auto"/>
        <w:rPr>
          <w:sz w:val="20"/>
          <w:szCs w:val="20"/>
          <w:color w:val="auto"/>
        </w:rPr>
      </w:pPr>
      <w:r>
        <w:rPr>
          <w:rFonts w:ascii="Arial" w:cs="Arial" w:eastAsia="Arial" w:hAnsi="Arial"/>
          <w:sz w:val="17"/>
          <w:szCs w:val="17"/>
          <w:color w:val="auto"/>
        </w:rPr>
        <w:t xml:space="preserve">The allocation of the purchase price of SPNN was accounted for as a business combination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with the total purchase price being allocated to the assets and liabilities acquired based on the relative fair value of each asset and liability. The following is a preliminary estimate of the allocation of the consideration transferred, open for accounts receivable and accounts payable, to acquired identifiable assets and assumed liabilities, net of cash acquired, as of June 30, 2022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b w:val="1"/>
                <w:bCs w:val="1"/>
                <w:color w:val="auto"/>
              </w:rPr>
              <w:t>Amount</w:t>
            </w:r>
          </w:p>
        </w:tc>
      </w:tr>
      <w:tr>
        <w:trPr>
          <w:trHeight w:val="185"/>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w:t>
            </w: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w:t>
            </w:r>
          </w:p>
        </w:tc>
      </w:tr>
      <w:tr>
        <w:trPr>
          <w:trHeight w:val="183"/>
        </w:trPr>
        <w:tc>
          <w:tcPr>
            <w:tcW w:w="90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25,580</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r>
      <w:tr>
        <w:trPr>
          <w:trHeight w:val="183"/>
        </w:trPr>
        <w:tc>
          <w:tcPr>
            <w:tcW w:w="9060" w:type="dxa"/>
            <w:vAlign w:val="bottom"/>
          </w:tcPr>
          <w:p>
            <w:pPr>
              <w:ind w:left="20"/>
              <w:spacing w:after="0"/>
              <w:rPr>
                <w:sz w:val="20"/>
                <w:szCs w:val="20"/>
                <w:color w:val="auto"/>
              </w:rPr>
            </w:pPr>
            <w:r>
              <w:rPr>
                <w:rFonts w:ascii="Arial" w:cs="Arial" w:eastAsia="Arial" w:hAnsi="Arial"/>
                <w:sz w:val="14"/>
                <w:szCs w:val="14"/>
                <w:color w:val="auto"/>
              </w:rPr>
              <w:t>Accrued compensation</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(1,164)</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 and other liabilities</w:t>
            </w:r>
          </w:p>
        </w:tc>
        <w:tc>
          <w:tcPr>
            <w:tcW w:w="46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(1,168)</w:t>
            </w:r>
          </w:p>
        </w:tc>
      </w:tr>
      <w:tr>
        <w:trPr>
          <w:trHeight w:val="176"/>
        </w:trPr>
        <w:tc>
          <w:tcPr>
            <w:tcW w:w="9060" w:type="dxa"/>
            <w:vAlign w:val="bottom"/>
          </w:tcPr>
          <w:p>
            <w:pPr>
              <w:ind w:left="20"/>
              <w:spacing w:after="0"/>
              <w:rPr>
                <w:sz w:val="20"/>
                <w:szCs w:val="20"/>
                <w:color w:val="auto"/>
              </w:rPr>
            </w:pPr>
            <w:r>
              <w:rPr>
                <w:rFonts w:ascii="Arial" w:cs="Arial" w:eastAsia="Arial" w:hAnsi="Arial"/>
                <w:sz w:val="14"/>
                <w:szCs w:val="14"/>
                <w:color w:val="auto"/>
              </w:rPr>
              <w:t>Fair value identifiable assets and liabilities</w:t>
            </w:r>
          </w:p>
        </w:tc>
        <w:tc>
          <w:tcPr>
            <w:tcW w:w="46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26,151</w:t>
            </w:r>
          </w:p>
        </w:tc>
      </w:tr>
      <w:tr>
        <w:trPr>
          <w:trHeight w:val="189"/>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(1)</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33,746</w:t>
            </w:r>
          </w:p>
        </w:tc>
      </w:tr>
      <w:tr>
        <w:trPr>
          <w:trHeight w:val="18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acquired</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r>
      <w:tr>
        <w:trPr>
          <w:trHeight w:val="182"/>
        </w:trPr>
        <w:tc>
          <w:tcPr>
            <w:tcW w:w="9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46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60,558</w:t>
            </w:r>
          </w:p>
        </w:tc>
      </w:tr>
      <w:tr>
        <w:trPr>
          <w:trHeight w:val="183"/>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cash acquired</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r>
      <w:tr>
        <w:trPr>
          <w:trHeight w:val="207"/>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price, net of cash acquired</w:t>
            </w: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59,897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right="60" w:firstLine="183"/>
        <w:spacing w:after="0" w:line="265" w:lineRule="auto"/>
        <w:tabs>
          <w:tab w:leader="none" w:pos="428" w:val="left"/>
        </w:tabs>
        <w:numPr>
          <w:ilvl w:val="0"/>
          <w:numId w:val="3"/>
        </w:numPr>
        <w:rPr>
          <w:rFonts w:ascii="Arial" w:cs="Arial" w:eastAsia="Arial" w:hAnsi="Arial"/>
          <w:sz w:val="18"/>
          <w:szCs w:val="18"/>
          <w:color w:val="auto"/>
        </w:rPr>
      </w:pPr>
      <w:r>
        <w:rPr>
          <w:rFonts w:ascii="Arial" w:cs="Arial" w:eastAsia="Arial" w:hAnsi="Arial"/>
          <w:sz w:val="18"/>
          <w:szCs w:val="18"/>
          <w:color w:val="auto"/>
        </w:rPr>
        <w:t>Goodwill is attributable to cost synergies from operational efficiencies and establishing a more comprehensive clinical platform through the Company’s national infrastructure and SPNN’s nursing network.</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following table sets forth the net revenue earned by category of payer for the three and six months ended June 30, 2022 and 2021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380" w:type="dxa"/>
            <w:vAlign w:val="bottom"/>
          </w:tcPr>
          <w:p>
            <w:pPr>
              <w:spacing w:after="0"/>
              <w:rPr>
                <w:sz w:val="18"/>
                <w:szCs w:val="18"/>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43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2021</w:t>
            </w:r>
          </w:p>
        </w:tc>
      </w:tr>
      <w:tr>
        <w:trPr>
          <w:trHeight w:val="208"/>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payers</w:t>
            </w: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851,915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0"/>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746,647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1,638,192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1,395,154</w:t>
            </w:r>
          </w:p>
        </w:tc>
      </w:tr>
      <w:tr>
        <w:trPr>
          <w:trHeight w:val="210"/>
        </w:trPr>
        <w:tc>
          <w:tcPr>
            <w:tcW w:w="4380" w:type="dxa"/>
            <w:vAlign w:val="bottom"/>
          </w:tcPr>
          <w:p>
            <w:pPr>
              <w:ind w:left="20"/>
              <w:spacing w:after="0"/>
              <w:rPr>
                <w:sz w:val="20"/>
                <w:szCs w:val="20"/>
                <w:color w:val="auto"/>
              </w:rPr>
            </w:pPr>
            <w:r>
              <w:rPr>
                <w:rFonts w:ascii="Arial" w:cs="Arial" w:eastAsia="Arial" w:hAnsi="Arial"/>
                <w:sz w:val="16"/>
                <w:szCs w:val="16"/>
                <w:color w:val="auto"/>
              </w:rPr>
              <w:t>Government payers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119,385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102,581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234,590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200,422</w:t>
            </w:r>
          </w:p>
        </w:tc>
      </w:tr>
      <w:tr>
        <w:trPr>
          <w:trHeight w:val="212"/>
        </w:trPr>
        <w:tc>
          <w:tcPr>
            <w:tcW w:w="4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Patients</w:t>
            </w: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23,822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23,933</w:t>
            </w:r>
          </w:p>
        </w:tc>
      </w:tr>
      <w:tr>
        <w:trPr>
          <w:trHeight w:val="208"/>
        </w:trPr>
        <w:tc>
          <w:tcPr>
            <w:tcW w:w="4380" w:type="dxa"/>
            <w:vAlign w:val="bottom"/>
          </w:tcPr>
          <w:p>
            <w:pPr>
              <w:ind w:left="20"/>
              <w:spacing w:after="0"/>
              <w:rPr>
                <w:sz w:val="20"/>
                <w:szCs w:val="20"/>
                <w:color w:val="auto"/>
              </w:rPr>
            </w:pPr>
            <w:r>
              <w:rPr>
                <w:rFonts w:ascii="Arial" w:cs="Arial" w:eastAsia="Arial" w:hAnsi="Arial"/>
                <w:sz w:val="16"/>
                <w:szCs w:val="16"/>
                <w:color w:val="auto"/>
              </w:rPr>
              <w:t>Net revenue</w:t>
            </w: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980,820</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4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860,272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1,896,604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1,619,509</w:t>
            </w:r>
          </w:p>
        </w:tc>
      </w:tr>
      <w:tr>
        <w:trPr>
          <w:trHeight w:val="20"/>
        </w:trPr>
        <w:tc>
          <w:tcPr>
            <w:tcW w:w="4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71" w:lineRule="exact"/>
        <w:rPr>
          <w:sz w:val="20"/>
          <w:szCs w:val="20"/>
          <w:color w:val="auto"/>
        </w:rPr>
      </w:pPr>
    </w:p>
    <w:p>
      <w:pPr>
        <w:ind w:right="40" w:firstLine="319"/>
        <w:spacing w:after="0" w:line="234" w:lineRule="auto"/>
        <w:rPr>
          <w:sz w:val="20"/>
          <w:szCs w:val="20"/>
          <w:color w:val="auto"/>
        </w:rPr>
      </w:pPr>
      <w:r>
        <w:rPr>
          <w:rFonts w:ascii="Arial" w:cs="Arial" w:eastAsia="Arial" w:hAnsi="Arial"/>
          <w:sz w:val="17"/>
          <w:szCs w:val="17"/>
          <w:color w:val="auto"/>
        </w:rPr>
        <w:t>During the three and six months ended June 30, 2022, the Company recorded tax expense of $13.7 million and $24.7 million, respectively, which represents an effective tax rate of 28.8% and 27.8%, respectively. The variance in the Company’s effective tax rate of 28.8% and 27.8% for the three and six months ended June 30, 2022, respectively, compared to the federal statutory rate of 21% is primarily attributable to current and deferred state taxes as well as various non-deductible expenses. During the three and six months ended June 30, 2021, the Company recorded tax expense of $0.7 million and $2.0 million which represents an effective tax rate of 2.2% and 6.5%, respectively. The variance in the Company’s effective tax rate of 2.2% and 6.5% for the three and six months ended June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w:t>
      </w:r>
    </w:p>
    <w:p>
      <w:pPr>
        <w:spacing w:after="0" w:line="215" w:lineRule="exact"/>
        <w:rPr>
          <w:sz w:val="20"/>
          <w:szCs w:val="20"/>
          <w:color w:val="auto"/>
        </w:rPr>
      </w:pPr>
    </w:p>
    <w:p>
      <w:pPr>
        <w:ind w:right="100" w:firstLine="319"/>
        <w:spacing w:after="0" w:line="250" w:lineRule="auto"/>
        <w:rPr>
          <w:sz w:val="20"/>
          <w:szCs w:val="20"/>
          <w:color w:val="auto"/>
        </w:rPr>
      </w:pPr>
      <w:r>
        <w:rPr>
          <w:rFonts w:ascii="Arial" w:cs="Arial" w:eastAsia="Arial" w:hAnsi="Arial"/>
          <w:sz w:val="18"/>
          <w:szCs w:val="18"/>
          <w:color w:val="auto"/>
        </w:rPr>
        <w:t>The Company maintains a valuation allowance of $13.0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207" w:lineRule="exact"/>
        <w:rPr>
          <w:sz w:val="20"/>
          <w:szCs w:val="20"/>
          <w:color w:val="auto"/>
        </w:rPr>
      </w:pPr>
    </w:p>
    <w:p>
      <w:pPr>
        <w:ind w:right="40" w:firstLine="319"/>
        <w:spacing w:after="0" w:line="226" w:lineRule="auto"/>
        <w:rPr>
          <w:sz w:val="20"/>
          <w:szCs w:val="20"/>
          <w:color w:val="auto"/>
        </w:rPr>
      </w:pPr>
      <w:r>
        <w:rPr>
          <w:rFonts w:ascii="Arial" w:cs="Arial" w:eastAsia="Arial" w:hAnsi="Arial"/>
          <w:sz w:val="18"/>
          <w:szCs w:val="18"/>
          <w:color w:val="auto"/>
        </w:rPr>
        <w:t>The Company’s tax expense for the three and six months ended June 30, 2022 of $13.7 million and $24.7 million, respectively, consists of quarterly tax liabilities attributable to specific state taxing authorities as well as recognized deferred federal and state tax expense. The Company’s tax expense for the three and six months ended June 30, 2021 of $0.7 million and $2.0 million, respectively, consists of quarterly tax liabilities attributed to specific state taxing authorities as well as recognized deferred tax expense.</w:t>
      </w:r>
    </w:p>
    <w:p>
      <w:pPr>
        <w:spacing w:after="0" w:line="203" w:lineRule="exact"/>
        <w:rPr>
          <w:sz w:val="20"/>
          <w:szCs w:val="20"/>
          <w:color w:val="auto"/>
        </w:rPr>
      </w:pPr>
    </w:p>
    <w:p>
      <w:pPr>
        <w:ind w:right="800" w:firstLine="319"/>
        <w:spacing w:after="0" w:line="237" w:lineRule="auto"/>
        <w:rPr>
          <w:sz w:val="20"/>
          <w:szCs w:val="20"/>
          <w:color w:val="auto"/>
        </w:rPr>
      </w:pPr>
      <w:r>
        <w:rPr>
          <w:rFonts w:ascii="Arial" w:cs="Arial" w:eastAsia="Arial" w:hAnsi="Arial"/>
          <w:sz w:val="18"/>
          <w:szCs w:val="18"/>
          <w:color w:val="auto"/>
        </w:rPr>
        <w:t>The Company has accumulated federal net operating loss carryovers that are subject to one or more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197" w:lineRule="exact"/>
        <w:rPr>
          <w:sz w:val="20"/>
          <w:szCs w:val="20"/>
          <w:color w:val="auto"/>
        </w:rPr>
      </w:pPr>
    </w:p>
    <w:p>
      <w:pPr>
        <w:ind w:right="40" w:firstLine="319"/>
        <w:spacing w:after="0" w:line="331" w:lineRule="auto"/>
        <w:rPr>
          <w:sz w:val="20"/>
          <w:szCs w:val="20"/>
          <w:color w:val="auto"/>
        </w:rPr>
      </w:pPr>
      <w:r>
        <w:rPr>
          <w:rFonts w:ascii="Arial" w:cs="Arial" w:eastAsia="Arial" w:hAnsi="Arial"/>
          <w:sz w:val="15"/>
          <w:szCs w:val="15"/>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6" w:lineRule="exact"/>
        <w:rPr>
          <w:sz w:val="20"/>
          <w:szCs w:val="20"/>
          <w:color w:val="auto"/>
        </w:rPr>
      </w:pPr>
    </w:p>
    <w:p>
      <w:pPr>
        <w:ind w:right="20" w:firstLine="319"/>
        <w:spacing w:after="0" w:line="248" w:lineRule="auto"/>
        <w:rPr>
          <w:sz w:val="20"/>
          <w:szCs w:val="20"/>
          <w:color w:val="auto"/>
        </w:rPr>
      </w:pPr>
      <w:r>
        <w:rPr>
          <w:rFonts w:ascii="Arial" w:cs="Arial" w:eastAsia="Arial" w:hAnsi="Arial"/>
          <w:sz w:val="17"/>
          <w:szCs w:val="17"/>
          <w:color w:val="auto"/>
        </w:rPr>
        <w:t>The earnings are used as the basis of determining whether the inclusion of common stock equivalents would be anti-dilutive. The computation of diluted shares for the three and six months ended June 30, 2022 and 2021 includes the effect of shares that would be issued in connection with warrants, stock options and restricted stock awards, as these common stock equivalents are dilutive to the earnings per share recorded in those periods. For the three months ended June 30, 2022, there were 900,378 stock option awards and 136,568 restricted stock awards outstanding that were excluded from the calculation of earnings per share as they would be anti-dilutive. For the six months ended June 30, 2022, there were 836,957 stock option awards and 389,831 restricted stock awards outstanding that were excluded from the calculation of earnings per share as they would be anti-dilutive. For the three months ended June 30, 2021, there were 915,507 warrants and 547,310 stock option awards outstanding that were excluded from the calculation of earnings per share as they would be anti-dilutive. For the six months ended June 30, 2021, there were 915,507 warrants and 433,440 stock option awards outstanding that were excluded from the calculation of earnings per share as they would be anti-dilutive.</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basic earnings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0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458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4"/>
        </w:trPr>
        <w:tc>
          <w:tcPr>
            <w:tcW w:w="458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3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180,293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per common share, basic</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Company’s diluted earnings per share and shares outstanding (in thousands, except per share data):</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580" w:type="dxa"/>
            <w:vAlign w:val="bottom"/>
          </w:tcPr>
          <w:p>
            <w:pPr>
              <w:spacing w:after="0"/>
              <w:rPr>
                <w:sz w:val="18"/>
                <w:szCs w:val="18"/>
                <w:color w:val="auto"/>
              </w:rPr>
            </w:pPr>
          </w:p>
        </w:tc>
        <w:tc>
          <w:tcPr>
            <w:tcW w:w="3220" w:type="dxa"/>
            <w:vAlign w:val="bottom"/>
            <w:gridSpan w:val="6"/>
          </w:tcPr>
          <w:p>
            <w:pPr>
              <w:ind w:left="54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4"/>
        </w:trPr>
        <w:tc>
          <w:tcPr>
            <w:tcW w:w="45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8"/>
        </w:trPr>
        <w:tc>
          <w:tcPr>
            <w:tcW w:w="4580" w:type="dxa"/>
            <w:vAlign w:val="bottom"/>
          </w:tcPr>
          <w:p>
            <w:pPr>
              <w:ind w:left="20"/>
              <w:spacing w:after="0"/>
              <w:rPr>
                <w:sz w:val="20"/>
                <w:szCs w:val="20"/>
                <w:color w:val="auto"/>
              </w:rPr>
            </w:pPr>
            <w:r>
              <w:rPr>
                <w:rFonts w:ascii="Arial" w:cs="Arial" w:eastAsia="Arial" w:hAnsi="Arial"/>
                <w:sz w:val="16"/>
                <w:szCs w:val="16"/>
                <w:color w:val="auto"/>
              </w:rPr>
              <w:t>Numerator:</w:t>
            </w: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5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number of common shares outstanding</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180,621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180,293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179,826</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Effect of dilutive securities</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w:t>
            </w:r>
          </w:p>
        </w:tc>
        <w:tc>
          <w:tcPr>
            <w:tcW w:w="0" w:type="dxa"/>
            <w:vAlign w:val="bottom"/>
          </w:tcPr>
          <w:p>
            <w:pPr>
              <w:spacing w:after="0"/>
              <w:rPr>
                <w:sz w:val="1"/>
                <w:szCs w:val="1"/>
                <w:color w:val="auto"/>
              </w:rPr>
            </w:pPr>
          </w:p>
        </w:tc>
      </w:tr>
      <w:tr>
        <w:trPr>
          <w:trHeight w:val="233"/>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4"/>
              </w:rPr>
              <w:t>Weighted average number of common shares outstanding, diluted</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181,618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181,176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180,975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common share:</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 per common share, diluted</w:t>
            </w: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18" w:lineRule="exact"/>
        <w:rPr>
          <w:sz w:val="20"/>
          <w:szCs w:val="20"/>
          <w:color w:val="auto"/>
        </w:rPr>
      </w:pPr>
    </w:p>
    <w:p>
      <w:pPr>
        <w:ind w:right="60" w:firstLine="319"/>
        <w:spacing w:after="0" w:line="267" w:lineRule="auto"/>
        <w:rPr>
          <w:sz w:val="20"/>
          <w:szCs w:val="20"/>
          <w:color w:val="auto"/>
        </w:rPr>
      </w:pPr>
      <w:r>
        <w:rPr>
          <w:rFonts w:ascii="Arial" w:cs="Arial" w:eastAsia="Arial" w:hAnsi="Arial"/>
          <w:sz w:val="17"/>
          <w:szCs w:val="17"/>
          <w:color w:val="auto"/>
        </w:rPr>
        <w:t>During the three and six months ended June 30, 2022, the Company incurred operating lease expenses of $7.4 million and $14.8 million, respectively, including short-term lease expense, which were included as a component of selling, general and administrative expense in the unaudited condensed consolidated statements of comprehensive income. During the three and six months ended June 30, 2021, the Company incurred operating lease expenses of $6.9 million and $14.5 million, respectively, including short-term lease expense, which were included as a component of selling, general and administrative expenses in the unaudited condensed consolidated statements of comprehensive income. As of June 30, 2022, the weighted-average remaining lease term was 6.7 years and the weighted-average discount rate was 5.10%.</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leases mature as follows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180" w:type="dxa"/>
            <w:vAlign w:val="bottom"/>
            <w:gridSpan w:val="2"/>
          </w:tcPr>
          <w:p>
            <w:pPr>
              <w:ind w:left="920"/>
              <w:spacing w:after="0"/>
              <w:rPr>
                <w:sz w:val="20"/>
                <w:szCs w:val="20"/>
                <w:color w:val="auto"/>
              </w:rPr>
            </w:pPr>
            <w:r>
              <w:rPr>
                <w:rFonts w:ascii="Arial" w:cs="Arial" w:eastAsia="Arial" w:hAnsi="Arial"/>
                <w:sz w:val="16"/>
                <w:szCs w:val="16"/>
                <w:b w:val="1"/>
                <w:bCs w:val="1"/>
                <w:color w:val="auto"/>
              </w:rPr>
              <w:t>Fiscal Year Ended December 31,</w:t>
            </w:r>
          </w:p>
        </w:tc>
        <w:tc>
          <w:tcPr>
            <w:tcW w:w="240" w:type="dxa"/>
            <w:vAlign w:val="bottom"/>
          </w:tcPr>
          <w:p>
            <w:pPr>
              <w:spacing w:after="0"/>
              <w:rPr>
                <w:sz w:val="18"/>
                <w:szCs w:val="18"/>
                <w:color w:val="auto"/>
              </w:rPr>
            </w:pPr>
          </w:p>
        </w:tc>
        <w:tc>
          <w:tcPr>
            <w:tcW w:w="1920" w:type="dxa"/>
            <w:vAlign w:val="bottom"/>
          </w:tcPr>
          <w:p>
            <w:pPr>
              <w:jc w:val="right"/>
              <w:ind w:right="300"/>
              <w:spacing w:after="0"/>
              <w:rPr>
                <w:sz w:val="20"/>
                <w:szCs w:val="20"/>
                <w:color w:val="auto"/>
              </w:rPr>
            </w:pPr>
            <w:r>
              <w:rPr>
                <w:rFonts w:ascii="Arial" w:cs="Arial" w:eastAsia="Arial" w:hAnsi="Arial"/>
                <w:sz w:val="16"/>
                <w:szCs w:val="16"/>
                <w:b w:val="1"/>
                <w:bCs w:val="1"/>
                <w:color w:val="auto"/>
              </w:rPr>
              <w:t>Minimum Payments</w:t>
            </w:r>
          </w:p>
        </w:tc>
      </w:tr>
      <w:tr>
        <w:trPr>
          <w:trHeight w:val="206"/>
        </w:trPr>
        <w:tc>
          <w:tcPr>
            <w:tcW w:w="4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14,539</w:t>
            </w:r>
          </w:p>
        </w:tc>
      </w:tr>
      <w:tr>
        <w:trPr>
          <w:trHeight w:val="215"/>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22,190</w:t>
            </w: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16,215</w:t>
            </w:r>
          </w:p>
        </w:tc>
      </w:tr>
      <w:tr>
        <w:trPr>
          <w:trHeight w:val="215"/>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13,388</w:t>
            </w:r>
          </w:p>
        </w:tc>
      </w:tr>
      <w:tr>
        <w:trPr>
          <w:trHeight w:val="210"/>
        </w:trPr>
        <w:tc>
          <w:tcPr>
            <w:tcW w:w="4060" w:type="dxa"/>
            <w:vAlign w:val="bottom"/>
          </w:tcPr>
          <w:p>
            <w:pPr>
              <w:ind w:left="2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10,416</w:t>
            </w:r>
          </w:p>
        </w:tc>
      </w:tr>
      <w:tr>
        <w:trPr>
          <w:trHeight w:val="215"/>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34,835</w:t>
            </w:r>
          </w:p>
        </w:tc>
      </w:tr>
      <w:tr>
        <w:trPr>
          <w:trHeight w:val="203"/>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Total lease payments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111,583</w:t>
            </w:r>
          </w:p>
        </w:tc>
      </w:tr>
      <w:tr>
        <w:trPr>
          <w:trHeight w:val="212"/>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Interest</w:t>
            </w: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(19,234)</w:t>
            </w:r>
          </w:p>
        </w:tc>
      </w:tr>
      <w:tr>
        <w:trPr>
          <w:trHeight w:val="208"/>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Present value of lease liabilities</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92,349</w:t>
            </w: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firstLine="319"/>
        <w:spacing w:after="0" w:line="250" w:lineRule="auto"/>
        <w:rPr>
          <w:sz w:val="20"/>
          <w:szCs w:val="20"/>
          <w:color w:val="auto"/>
        </w:rPr>
      </w:pPr>
      <w:r>
        <w:rPr>
          <w:rFonts w:ascii="Arial" w:cs="Arial" w:eastAsia="Arial" w:hAnsi="Arial"/>
          <w:sz w:val="18"/>
          <w:szCs w:val="18"/>
          <w:color w:val="auto"/>
        </w:rPr>
        <w:t>During the six months ended June 30, 2022, the Company commenced new leases, extensions and amendments, resulting in non-cash operating activities in the unaudited condensed consolidated statements of cash flow of $8.4 million related to increases in the operating lease right-of-use assets and operating lease liabilities, respectively. During the six months ended June 30, 2021, the Company commenced new leases, extensions and amendments, resulting in non-cash operating activities in the unaudited condensed consolidated statements of cash flow of $5.7 million related to increases in the operating lease right-of-use assets and operating lease liabilities, respectively. As of June 30, 2022,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was as follows as of June 30, 2022 and December 31, 2021 (in thousands):</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Pr>
          <w:p>
            <w:pPr>
              <w:spacing w:after="0"/>
              <w:rPr>
                <w:sz w:val="18"/>
                <w:szCs w:val="18"/>
                <w:color w:val="auto"/>
              </w:rPr>
            </w:pPr>
          </w:p>
        </w:tc>
        <w:tc>
          <w:tcPr>
            <w:tcW w:w="1860" w:type="dxa"/>
            <w:vAlign w:val="bottom"/>
          </w:tcPr>
          <w:p>
            <w:pPr>
              <w:jc w:val="right"/>
              <w:ind w:right="340"/>
              <w:spacing w:after="0"/>
              <w:rPr>
                <w:sz w:val="20"/>
                <w:szCs w:val="20"/>
                <w:color w:val="auto"/>
              </w:rPr>
            </w:pPr>
            <w:r>
              <w:rPr>
                <w:rFonts w:ascii="Arial" w:cs="Arial" w:eastAsia="Arial" w:hAnsi="Arial"/>
                <w:sz w:val="16"/>
                <w:szCs w:val="16"/>
                <w:b w:val="1"/>
                <w:bCs w:val="1"/>
                <w:color w:val="auto"/>
                <w:w w:val="98"/>
              </w:rPr>
              <w:t>December 31, 2021</w:t>
            </w:r>
          </w:p>
        </w:tc>
      </w:tr>
      <w:tr>
        <w:trPr>
          <w:trHeight w:val="208"/>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Infusion pumps</w:t>
            </w:r>
          </w:p>
        </w:tc>
        <w:tc>
          <w:tcPr>
            <w:tcW w:w="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36,516</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34,547</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Equipment, furniture and other</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58,557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52,913</w:t>
            </w: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92,229</w:t>
            </w:r>
          </w:p>
        </w:tc>
      </w:tr>
      <w:tr>
        <w:trPr>
          <w:trHeight w:val="210"/>
        </w:trPr>
        <w:tc>
          <w:tcPr>
            <w:tcW w:w="6560" w:type="dxa"/>
            <w:vAlign w:val="bottom"/>
          </w:tcPr>
          <w:p>
            <w:pPr>
              <w:ind w:left="20"/>
              <w:spacing w:after="0"/>
              <w:rPr>
                <w:sz w:val="20"/>
                <w:szCs w:val="20"/>
                <w:color w:val="auto"/>
              </w:rPr>
            </w:pPr>
            <w:r>
              <w:rPr>
                <w:rFonts w:ascii="Arial" w:cs="Arial" w:eastAsia="Arial" w:hAnsi="Arial"/>
                <w:sz w:val="16"/>
                <w:szCs w:val="16"/>
                <w:color w:val="auto"/>
              </w:rPr>
              <w:t>Computer software, purchased and internally developed</w:t>
            </w:r>
          </w:p>
        </w:tc>
        <w:tc>
          <w:tcPr>
            <w:tcW w:w="3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33,969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30,744</w:t>
            </w: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under development</w:t>
            </w:r>
          </w:p>
        </w:tc>
        <w:tc>
          <w:tcPr>
            <w:tcW w:w="3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14,721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19,924</w:t>
            </w:r>
          </w:p>
        </w:tc>
      </w:tr>
      <w:tr>
        <w:trPr>
          <w:trHeight w:val="206"/>
        </w:trPr>
        <w:tc>
          <w:tcPr>
            <w:tcW w:w="6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240,562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230,357</w:t>
            </w:r>
          </w:p>
        </w:tc>
      </w:tr>
      <w:tr>
        <w:trPr>
          <w:trHeight w:val="212"/>
        </w:trPr>
        <w:tc>
          <w:tcPr>
            <w:tcW w:w="6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3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(135,352)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(118,822)</w:t>
            </w:r>
          </w:p>
        </w:tc>
      </w:tr>
      <w:tr>
        <w:trPr>
          <w:trHeight w:val="208"/>
        </w:trPr>
        <w:tc>
          <w:tcPr>
            <w:tcW w:w="65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111,535</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right="260" w:firstLine="319"/>
        <w:spacing w:after="0" w:line="269" w:lineRule="auto"/>
        <w:rPr>
          <w:sz w:val="20"/>
          <w:szCs w:val="20"/>
          <w:color w:val="auto"/>
        </w:rPr>
      </w:pPr>
      <w:r>
        <w:rPr>
          <w:rFonts w:ascii="Arial" w:cs="Arial" w:eastAsia="Arial" w:hAnsi="Arial"/>
          <w:sz w:val="17"/>
          <w:szCs w:val="17"/>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2022 and 2021 (in thousands):</w:t>
      </w:r>
    </w:p>
    <w:p>
      <w:pPr>
        <w:spacing w:after="0" w:line="178"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26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6"/>
                <w:szCs w:val="16"/>
                <w:b w:val="1"/>
                <w:bCs w:val="1"/>
                <w:color w:val="auto"/>
              </w:rPr>
              <w:t>Six Months Ended June 30,</w:t>
            </w:r>
          </w:p>
        </w:tc>
      </w:tr>
      <w:tr>
        <w:trPr>
          <w:trHeight w:val="206"/>
        </w:trPr>
        <w:tc>
          <w:tcPr>
            <w:tcW w:w="42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2021</w:t>
            </w:r>
          </w:p>
        </w:tc>
      </w:tr>
      <w:tr>
        <w:trPr>
          <w:trHeight w:val="20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 in cost of revenue</w:t>
            </w: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r>
      <w:tr>
        <w:trPr>
          <w:trHeight w:val="21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expense in operating expenses</w:t>
            </w:r>
          </w:p>
        </w:tc>
        <w:tc>
          <w:tcPr>
            <w:tcW w:w="10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7,371</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7,589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15,188</w:t>
            </w:r>
          </w:p>
        </w:tc>
      </w:tr>
      <w:tr>
        <w:trPr>
          <w:trHeight w:val="23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depreciation expense</w:t>
            </w:r>
          </w:p>
        </w:tc>
        <w:tc>
          <w:tcPr>
            <w:tcW w:w="1060" w:type="dxa"/>
            <w:vAlign w:val="bottom"/>
            <w:tcBorders>
              <w:bottom w:val="single" w:sz="8" w:color="auto"/>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8,604</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00"/>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17,050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INTANGIBLE ASSETS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the carrying amount of goodwill consists of the following activity for the three and six months June 30, 2022 (in thousands):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3460" w:type="dxa"/>
            <w:vAlign w:val="bottom"/>
          </w:tcPr>
          <w:p>
            <w:pPr>
              <w:ind w:left="340"/>
              <w:spacing w:after="0"/>
              <w:rPr>
                <w:sz w:val="20"/>
                <w:szCs w:val="20"/>
                <w:color w:val="auto"/>
              </w:rPr>
            </w:pPr>
            <w:r>
              <w:rPr>
                <w:rFonts w:ascii="Arial" w:cs="Arial" w:eastAsia="Arial" w:hAnsi="Arial"/>
                <w:sz w:val="16"/>
                <w:szCs w:val="16"/>
                <w:b w:val="1"/>
                <w:bCs w:val="1"/>
                <w:color w:val="auto"/>
              </w:rPr>
              <w:t>Balance at December 31, 2021</w:t>
            </w:r>
          </w:p>
        </w:tc>
        <w:tc>
          <w:tcPr>
            <w:tcW w:w="8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1,477,564</w:t>
            </w:r>
          </w:p>
        </w:tc>
      </w:tr>
      <w:tr>
        <w:trPr>
          <w:trHeight w:val="215"/>
        </w:trPr>
        <w:tc>
          <w:tcPr>
            <w:tcW w:w="3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Purchase accounting adjustments</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w:t>
            </w:r>
          </w:p>
        </w:tc>
      </w:tr>
      <w:tr>
        <w:trPr>
          <w:trHeight w:val="203"/>
        </w:trPr>
        <w:tc>
          <w:tcPr>
            <w:tcW w:w="3460" w:type="dxa"/>
            <w:vAlign w:val="bottom"/>
          </w:tcPr>
          <w:p>
            <w:pPr>
              <w:ind w:left="360"/>
              <w:spacing w:after="0"/>
              <w:rPr>
                <w:sz w:val="20"/>
                <w:szCs w:val="20"/>
                <w:color w:val="auto"/>
              </w:rPr>
            </w:pPr>
            <w:r>
              <w:rPr>
                <w:rFonts w:ascii="Arial" w:cs="Arial" w:eastAsia="Arial" w:hAnsi="Arial"/>
                <w:sz w:val="16"/>
                <w:szCs w:val="16"/>
                <w:b w:val="1"/>
                <w:bCs w:val="1"/>
                <w:color w:val="auto"/>
              </w:rPr>
              <w:t>Balance at March 31, 2022</w:t>
            </w:r>
          </w:p>
        </w:tc>
        <w:tc>
          <w:tcPr>
            <w:tcW w:w="8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1,478,500</w:t>
            </w:r>
          </w:p>
        </w:tc>
      </w:tr>
      <w:tr>
        <w:trPr>
          <w:trHeight w:val="215"/>
        </w:trPr>
        <w:tc>
          <w:tcPr>
            <w:tcW w:w="34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Acquisitions</w:t>
            </w:r>
          </w:p>
        </w:tc>
        <w:tc>
          <w:tcPr>
            <w:tcW w:w="8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33,746</w:t>
            </w:r>
          </w:p>
        </w:tc>
      </w:tr>
      <w:tr>
        <w:trPr>
          <w:trHeight w:val="201"/>
        </w:trPr>
        <w:tc>
          <w:tcPr>
            <w:tcW w:w="3460" w:type="dxa"/>
            <w:vAlign w:val="bottom"/>
          </w:tcPr>
          <w:p>
            <w:pPr>
              <w:ind w:left="360"/>
              <w:spacing w:after="0"/>
              <w:rPr>
                <w:sz w:val="20"/>
                <w:szCs w:val="20"/>
                <w:color w:val="auto"/>
              </w:rPr>
            </w:pPr>
            <w:r>
              <w:rPr>
                <w:rFonts w:ascii="Arial" w:cs="Arial" w:eastAsia="Arial" w:hAnsi="Arial"/>
                <w:sz w:val="16"/>
                <w:szCs w:val="16"/>
                <w:b w:val="1"/>
                <w:bCs w:val="1"/>
                <w:color w:val="auto"/>
              </w:rPr>
              <w:t>Balance at June 30, 2022</w:t>
            </w:r>
          </w:p>
        </w:tc>
        <w:tc>
          <w:tcPr>
            <w:tcW w:w="8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1,512,246</w:t>
            </w:r>
          </w:p>
        </w:tc>
      </w:tr>
    </w:tbl>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changes in the carrying amount of goodwill for the three or six months ended June 30, 2021.</w:t>
      </w:r>
    </w:p>
    <w:p>
      <w:pPr>
        <w:spacing w:after="0" w:line="178" w:lineRule="exact"/>
        <w:rPr>
          <w:sz w:val="20"/>
          <w:szCs w:val="20"/>
          <w:color w:val="auto"/>
        </w:rPr>
      </w:pPr>
    </w:p>
    <w:p>
      <w:pPr>
        <w:ind w:right="680" w:firstLine="319"/>
        <w:spacing w:after="0" w:line="265" w:lineRule="auto"/>
        <w:rPr>
          <w:sz w:val="20"/>
          <w:szCs w:val="20"/>
          <w:color w:val="auto"/>
        </w:rPr>
      </w:pPr>
      <w:r>
        <w:rPr>
          <w:rFonts w:ascii="Arial" w:cs="Arial" w:eastAsia="Arial" w:hAnsi="Arial"/>
          <w:sz w:val="18"/>
          <w:szCs w:val="18"/>
          <w:color w:val="auto"/>
        </w:rPr>
        <w:t>The carrying amount and accumulated amortization of intangible assets consists of the following as of June 30, 2022 and December 31, 2021 (in thousands):</w:t>
      </w:r>
    </w:p>
    <w:p>
      <w:pPr>
        <w:spacing w:after="0" w:line="179"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w w:val="97"/>
              </w:rPr>
              <w:t>December 31, 2021</w:t>
            </w:r>
          </w:p>
        </w:tc>
      </w:tr>
      <w:tr>
        <w:trPr>
          <w:trHeight w:val="195"/>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intangible assets:</w:t>
            </w:r>
          </w:p>
        </w:tc>
        <w:tc>
          <w:tcPr>
            <w:tcW w:w="320" w:type="dxa"/>
            <w:vAlign w:val="bottom"/>
            <w:tcBorders>
              <w:top w:val="single" w:sz="8" w:color="auto"/>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spacing w:after="0"/>
              <w:rPr>
                <w:sz w:val="16"/>
                <w:szCs w:val="16"/>
                <w:color w:val="auto"/>
              </w:rPr>
            </w:pPr>
          </w:p>
        </w:tc>
      </w:tr>
      <w:tr>
        <w:trPr>
          <w:trHeight w:val="210"/>
        </w:trPr>
        <w:tc>
          <w:tcPr>
            <w:tcW w:w="682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320" w:type="dxa"/>
            <w:vAlign w:val="bottom"/>
          </w:tcPr>
          <w:p>
            <w:pPr>
              <w:jc w:val="right"/>
              <w:ind w:right="140"/>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504,812</w:t>
            </w:r>
          </w:p>
        </w:tc>
        <w:tc>
          <w:tcPr>
            <w:tcW w:w="10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482,200</w:t>
            </w:r>
          </w:p>
        </w:tc>
      </w:tr>
      <w:tr>
        <w:trPr>
          <w:trHeight w:val="215"/>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47,718</w:t>
            </w:r>
          </w:p>
        </w:tc>
      </w:tr>
      <w:tr>
        <w:trPr>
          <w:trHeight w:val="21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w:t>
            </w:r>
          </w:p>
        </w:tc>
      </w:tr>
      <w:tr>
        <w:trPr>
          <w:trHeight w:val="20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gross intangible assets</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543,618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530,955</w:t>
            </w:r>
          </w:p>
        </w:tc>
      </w:tr>
      <w:tr>
        <w:trPr>
          <w:trHeight w:val="248"/>
        </w:trPr>
        <w:tc>
          <w:tcPr>
            <w:tcW w:w="6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80" w:type="dxa"/>
            <w:vAlign w:val="bottom"/>
          </w:tcPr>
          <w:p>
            <w:pPr>
              <w:spacing w:after="0"/>
              <w:rPr>
                <w:sz w:val="21"/>
                <w:szCs w:val="21"/>
                <w:color w:val="auto"/>
              </w:rPr>
            </w:pP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amortization:</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10"/>
        </w:trPr>
        <w:tc>
          <w:tcPr>
            <w:tcW w:w="6820" w:type="dxa"/>
            <w:vAlign w:val="bottom"/>
          </w:tcPr>
          <w:p>
            <w:pPr>
              <w:ind w:left="140"/>
              <w:spacing w:after="0"/>
              <w:rPr>
                <w:sz w:val="20"/>
                <w:szCs w:val="20"/>
                <w:color w:val="auto"/>
              </w:rPr>
            </w:pPr>
            <w:r>
              <w:rPr>
                <w:rFonts w:ascii="Arial" w:cs="Arial" w:eastAsia="Arial" w:hAnsi="Arial"/>
                <w:sz w:val="16"/>
                <w:szCs w:val="16"/>
                <w:color w:val="auto"/>
              </w:rPr>
              <w:t>Referral sources</w:t>
            </w:r>
          </w:p>
        </w:tc>
        <w:tc>
          <w:tcPr>
            <w:tcW w:w="3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(152,444)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(137,613)</w:t>
            </w:r>
          </w:p>
        </w:tc>
      </w:tr>
      <w:tr>
        <w:trPr>
          <w:trHeight w:val="215"/>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Trademarks/names</w:t>
            </w: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(26,936)</w:t>
            </w:r>
          </w:p>
        </w:tc>
      </w:tr>
      <w:tr>
        <w:trPr>
          <w:trHeight w:val="210"/>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amortizable intangible assets</w:t>
            </w: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06"/>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accumulated amortization</w:t>
            </w:r>
          </w:p>
        </w:tc>
        <w:tc>
          <w:tcPr>
            <w:tcW w:w="3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(168,089)</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(164,935)</w:t>
            </w: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Total intangible assets, net</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375,529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366,020</w:t>
            </w:r>
          </w:p>
        </w:tc>
      </w:tr>
      <w:tr>
        <w:trPr>
          <w:trHeight w:val="20"/>
        </w:trPr>
        <w:tc>
          <w:tcPr>
            <w:tcW w:w="6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for intangible assets was $8.7 million and $16.2 million for the three and six months ended June 30, 2022, respectively.</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$9.0 million and $17.6 million for the three and six months ended June 30,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INDEBTEDNESS</w:t>
      </w: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consisted of the following as of June 30, 2022 (in thousands):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3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Principal Amount</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Discount</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Net Balance</w:t>
            </w:r>
          </w:p>
        </w:tc>
        <w:tc>
          <w:tcPr>
            <w:tcW w:w="0" w:type="dxa"/>
            <w:vAlign w:val="bottom"/>
          </w:tcPr>
          <w:p>
            <w:pPr>
              <w:spacing w:after="0"/>
              <w:rPr>
                <w:sz w:val="1"/>
                <w:szCs w:val="1"/>
                <w:color w:val="auto"/>
              </w:rPr>
            </w:pPr>
          </w:p>
        </w:tc>
      </w:tr>
      <w:tr>
        <w:trPr>
          <w:trHeight w:val="208"/>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Asset-based-lending (“ABL”)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6"/>
                <w:szCs w:val="16"/>
                <w:color w:val="auto"/>
                <w:w w:val="89"/>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597,000</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(8,966)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(12,443)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575,591</w:t>
            </w:r>
          </w:p>
        </w:tc>
        <w:tc>
          <w:tcPr>
            <w:tcW w:w="0" w:type="dxa"/>
            <w:vAlign w:val="bottom"/>
          </w:tcPr>
          <w:p>
            <w:pPr>
              <w:spacing w:after="0"/>
              <w:rPr>
                <w:sz w:val="1"/>
                <w:szCs w:val="1"/>
                <w:color w:val="auto"/>
              </w:rPr>
            </w:pPr>
          </w:p>
        </w:tc>
      </w:tr>
      <w:tr>
        <w:trPr>
          <w:trHeight w:val="212"/>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489,426</w:t>
            </w:r>
          </w:p>
        </w:tc>
        <w:tc>
          <w:tcPr>
            <w:tcW w:w="0" w:type="dxa"/>
            <w:vAlign w:val="bottom"/>
          </w:tcPr>
          <w:p>
            <w:pPr>
              <w:spacing w:after="0"/>
              <w:rPr>
                <w:sz w:val="1"/>
                <w:szCs w:val="1"/>
                <w:color w:val="auto"/>
              </w:rPr>
            </w:pPr>
          </w:p>
        </w:tc>
      </w:tr>
      <w:tr>
        <w:trPr>
          <w:trHeight w:val="208"/>
        </w:trPr>
        <w:tc>
          <w:tcPr>
            <w:tcW w:w="3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1,097,000</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000"/>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(8,966)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(23,017)</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1,065,017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08"/>
        </w:trPr>
        <w:tc>
          <w:tcPr>
            <w:tcW w:w="342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1,059,017</w:t>
            </w:r>
          </w:p>
        </w:tc>
        <w:tc>
          <w:tcPr>
            <w:tcW w:w="0" w:type="dxa"/>
            <w:vAlign w:val="bottom"/>
          </w:tcPr>
          <w:p>
            <w:pPr>
              <w:spacing w:after="0"/>
              <w:rPr>
                <w:sz w:val="1"/>
                <w:szCs w:val="1"/>
                <w:color w:val="auto"/>
              </w:rPr>
            </w:pPr>
          </w:p>
        </w:tc>
      </w:tr>
      <w:tr>
        <w:trPr>
          <w:trHeight w:val="20"/>
        </w:trPr>
        <w:tc>
          <w:tcPr>
            <w:tcW w:w="6380" w:type="dxa"/>
            <w:vAlign w:val="bottom"/>
            <w:gridSpan w:val="5"/>
            <w:vMerge w:val="restart"/>
          </w:tcPr>
          <w:p>
            <w:pPr>
              <w:spacing w:after="0"/>
              <w:rPr>
                <w:sz w:val="20"/>
                <w:szCs w:val="20"/>
                <w:color w:val="auto"/>
              </w:rPr>
            </w:pPr>
            <w:r>
              <w:rPr>
                <w:rFonts w:ascii="Arial" w:cs="Arial" w:eastAsia="Arial" w:hAnsi="Arial"/>
                <w:sz w:val="18"/>
                <w:szCs w:val="18"/>
                <w:color w:val="auto"/>
                <w:w w:val="96"/>
              </w:rPr>
              <w:t>Long-term debt consisted of the following as of December 31, 2021 (in thousands):</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380" w:type="dxa"/>
            <w:vAlign w:val="bottom"/>
            <w:gridSpan w:val="5"/>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34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Principal Amount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Discount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7"/>
              </w:rPr>
              <w:t>Debt Issuance Costs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Net Balance</w:t>
            </w:r>
          </w:p>
        </w:tc>
      </w:tr>
      <w:tr>
        <w:trPr>
          <w:trHeight w:val="208"/>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facility</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   $</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420" w:type="dxa"/>
            <w:vAlign w:val="bottom"/>
          </w:tcPr>
          <w:p>
            <w:pPr>
              <w:ind w:left="20"/>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(13,331)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577,064</w:t>
            </w:r>
          </w:p>
        </w:tc>
      </w:tr>
      <w:tr>
        <w:trPr>
          <w:trHeight w:val="212"/>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488,836</w:t>
            </w:r>
          </w:p>
        </w:tc>
      </w:tr>
      <w:tr>
        <w:trPr>
          <w:trHeight w:val="208"/>
        </w:trPr>
        <w:tc>
          <w:tcPr>
            <w:tcW w:w="34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1,100,000</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1,065,900</w:t>
            </w: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r>
      <w:tr>
        <w:trPr>
          <w:trHeight w:val="176"/>
        </w:trPr>
        <w:tc>
          <w:tcPr>
            <w:tcW w:w="34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(6,000)</w:t>
            </w:r>
          </w:p>
        </w:tc>
      </w:tr>
      <w:tr>
        <w:trPr>
          <w:trHeight w:val="208"/>
        </w:trPr>
        <w:tc>
          <w:tcPr>
            <w:tcW w:w="342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1,059,900</w:t>
            </w: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320" w:firstLine="319"/>
        <w:spacing w:after="0" w:line="313" w:lineRule="auto"/>
        <w:rPr>
          <w:sz w:val="20"/>
          <w:szCs w:val="20"/>
          <w:color w:val="auto"/>
        </w:rPr>
      </w:pPr>
      <w:r>
        <w:rPr>
          <w:rFonts w:ascii="Arial" w:cs="Arial" w:eastAsia="Arial" w:hAnsi="Arial"/>
          <w:sz w:val="15"/>
          <w:szCs w:val="15"/>
          <w:color w:val="auto"/>
        </w:rPr>
        <w:t>The interest rate on the First Lien Term Loan was 3.81% and 3.25% as of June 30, 2022 and December 31, 2021, respectively. The weighted average interest rate incurred on the First Lien Term Loan was 3.52% and 3.39% for the three and six months ended June 30, 2022, respectively. The weighted average interest rate incurred on the First Lien Term Loan was 3.85% and 3.91% for the three and six months ended June 30, 2021, respectively. The interest rate on the Senior Notes was 4.375% as of both June 30, 2022 and December 31, 2021, respectively. The weighted average interest rate incurred on the Senior Secured Notes was 4.375% for both the three and six months ended June 30, 2022, respectively.</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matures as follows (in thousands):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940" w:type="dxa"/>
            <w:vAlign w:val="bottom"/>
            <w:gridSpan w:val="2"/>
          </w:tcPr>
          <w:p>
            <w:pPr>
              <w:ind w:left="340"/>
              <w:spacing w:after="0"/>
              <w:rPr>
                <w:sz w:val="20"/>
                <w:szCs w:val="20"/>
                <w:color w:val="auto"/>
              </w:rPr>
            </w:pPr>
            <w:r>
              <w:rPr>
                <w:rFonts w:ascii="Arial" w:cs="Arial" w:eastAsia="Arial" w:hAnsi="Arial"/>
                <w:sz w:val="16"/>
                <w:szCs w:val="16"/>
                <w:b w:val="1"/>
                <w:bCs w:val="1"/>
                <w:color w:val="auto"/>
              </w:rPr>
              <w:t>Fiscal Year Ended December 31,</w:t>
            </w:r>
          </w:p>
        </w:tc>
        <w:tc>
          <w:tcPr>
            <w:tcW w:w="2240" w:type="dxa"/>
            <w:vAlign w:val="bottom"/>
            <w:gridSpan w:val="2"/>
          </w:tcPr>
          <w:p>
            <w:pPr>
              <w:ind w:left="340"/>
              <w:spacing w:after="0"/>
              <w:rPr>
                <w:sz w:val="20"/>
                <w:szCs w:val="20"/>
                <w:color w:val="auto"/>
              </w:rPr>
            </w:pPr>
            <w:r>
              <w:rPr>
                <w:rFonts w:ascii="Arial" w:cs="Arial" w:eastAsia="Arial" w:hAnsi="Arial"/>
                <w:sz w:val="16"/>
                <w:szCs w:val="16"/>
                <w:b w:val="1"/>
                <w:bCs w:val="1"/>
                <w:color w:val="auto"/>
              </w:rPr>
              <w:t>Minimum Payments</w:t>
            </w:r>
          </w:p>
        </w:tc>
      </w:tr>
      <w:tr>
        <w:trPr>
          <w:trHeight w:val="208"/>
        </w:trPr>
        <w:tc>
          <w:tcPr>
            <w:tcW w:w="28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2022</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r>
      <w:tr>
        <w:trPr>
          <w:trHeight w:val="210"/>
        </w:trPr>
        <w:tc>
          <w:tcPr>
            <w:tcW w:w="2820" w:type="dxa"/>
            <w:vAlign w:val="bottom"/>
          </w:tcPr>
          <w:p>
            <w:pPr>
              <w:ind w:left="3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5"/>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2820" w:type="dxa"/>
            <w:vAlign w:val="bottom"/>
          </w:tcPr>
          <w:p>
            <w:pPr>
              <w:ind w:left="3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15"/>
        </w:trPr>
        <w:tc>
          <w:tcPr>
            <w:tcW w:w="2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r>
      <w:tr>
        <w:trPr>
          <w:trHeight w:val="210"/>
        </w:trPr>
        <w:tc>
          <w:tcPr>
            <w:tcW w:w="29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Thereafter</w:t>
            </w:r>
          </w:p>
        </w:tc>
        <w:tc>
          <w:tcPr>
            <w:tcW w:w="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1,070,000</w:t>
            </w:r>
          </w:p>
        </w:tc>
      </w:tr>
      <w:tr>
        <w:trPr>
          <w:trHeight w:val="233"/>
        </w:trPr>
        <w:tc>
          <w:tcPr>
            <w:tcW w:w="29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1,097,000</w:t>
            </w: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firstLine="319"/>
        <w:spacing w:after="0" w:line="265" w:lineRule="auto"/>
        <w:rPr>
          <w:sz w:val="20"/>
          <w:szCs w:val="20"/>
          <w:color w:val="auto"/>
        </w:rPr>
      </w:pPr>
      <w:r>
        <w:rPr>
          <w:rFonts w:ascii="Arial" w:cs="Arial" w:eastAsia="Arial" w:hAnsi="Arial"/>
          <w:sz w:val="18"/>
          <w:szCs w:val="18"/>
          <w:color w:val="auto"/>
        </w:rPr>
        <w:t xml:space="preserve">During the three and six months ended June 30, 2022 and 2021, the Company engaged in hedging activities to limit its exposure to changes in interest rates.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for further discussion.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estimated fair values of the Company’s debt obligations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Financial Instrument</w:t>
            </w:r>
          </w:p>
        </w:tc>
        <w:tc>
          <w:tcPr>
            <w:tcW w:w="1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Value as of</w:t>
            </w:r>
          </w:p>
        </w:tc>
        <w:tc>
          <w:tcPr>
            <w:tcW w:w="2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Markets for Identical Item</w:t>
            </w:r>
          </w:p>
        </w:tc>
        <w:tc>
          <w:tcPr>
            <w:tcW w:w="240" w:type="dxa"/>
            <w:vAlign w:val="bottom"/>
          </w:tcPr>
          <w:p>
            <w:pPr>
              <w:spacing w:after="0"/>
              <w:rPr>
                <w:sz w:val="16"/>
                <w:szCs w:val="16"/>
                <w:color w:val="auto"/>
              </w:rPr>
            </w:pPr>
          </w:p>
        </w:tc>
        <w:tc>
          <w:tcPr>
            <w:tcW w:w="1820" w:type="dxa"/>
            <w:vAlign w:val="bottom"/>
            <w:gridSpan w:val="2"/>
          </w:tcPr>
          <w:p>
            <w:pPr>
              <w:ind w:left="140"/>
              <w:spacing w:after="0"/>
              <w:rPr>
                <w:sz w:val="20"/>
                <w:szCs w:val="20"/>
                <w:color w:val="auto"/>
              </w:rPr>
            </w:pPr>
            <w:r>
              <w:rPr>
                <w:rFonts w:ascii="Arial" w:cs="Arial" w:eastAsia="Arial" w:hAnsi="Arial"/>
                <w:sz w:val="16"/>
                <w:szCs w:val="16"/>
                <w:b w:val="1"/>
                <w:bCs w:val="1"/>
                <w:color w:val="auto"/>
              </w:rPr>
              <w:t>Significant Other</w:t>
            </w:r>
          </w:p>
        </w:tc>
        <w:tc>
          <w:tcPr>
            <w:tcW w:w="100" w:type="dxa"/>
            <w:vAlign w:val="bottom"/>
          </w:tcPr>
          <w:p>
            <w:pPr>
              <w:spacing w:after="0"/>
              <w:rPr>
                <w:sz w:val="16"/>
                <w:szCs w:val="16"/>
                <w:color w:val="auto"/>
              </w:rPr>
            </w:pPr>
          </w:p>
        </w:tc>
        <w:tc>
          <w:tcPr>
            <w:tcW w:w="1840" w:type="dxa"/>
            <w:vAlign w:val="bottom"/>
          </w:tcPr>
          <w:p>
            <w:pPr>
              <w:jc w:val="center"/>
              <w:ind w:right="20"/>
              <w:spacing w:after="0"/>
              <w:rPr>
                <w:sz w:val="20"/>
                <w:szCs w:val="20"/>
                <w:color w:val="auto"/>
              </w:rPr>
            </w:pPr>
            <w:r>
              <w:rPr>
                <w:rFonts w:ascii="Arial" w:cs="Arial" w:eastAsia="Arial" w:hAnsi="Arial"/>
                <w:sz w:val="16"/>
                <w:szCs w:val="16"/>
                <w:b w:val="1"/>
                <w:bCs w:val="1"/>
                <w:color w:val="auto"/>
                <w:w w:val="88"/>
              </w:rPr>
              <w:t>Significant Unobservable</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June 30, 2022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0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1"/>
              </w:rPr>
              <w:t>Observable Inputs (Level 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Inputs (Level 3)</w:t>
            </w:r>
          </w:p>
        </w:tc>
        <w:tc>
          <w:tcPr>
            <w:tcW w:w="0" w:type="dxa"/>
            <w:vAlign w:val="bottom"/>
          </w:tcPr>
          <w:p>
            <w:pPr>
              <w:spacing w:after="0"/>
              <w:rPr>
                <w:sz w:val="1"/>
                <w:szCs w:val="1"/>
                <w:color w:val="auto"/>
              </w:rPr>
            </w:pPr>
          </w:p>
        </w:tc>
      </w:tr>
      <w:tr>
        <w:trPr>
          <w:trHeight w:val="208"/>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First Lien 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575,591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Notes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430,000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debt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1,065,017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1,001,628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Note 12,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97" w:lineRule="exact"/>
        <w:rPr>
          <w:sz w:val="20"/>
          <w:szCs w:val="20"/>
          <w:color w:val="auto"/>
        </w:rPr>
      </w:pPr>
    </w:p>
    <w:p>
      <w:pPr>
        <w:ind w:right="40" w:firstLine="319"/>
        <w:spacing w:after="0" w:line="307" w:lineRule="auto"/>
        <w:rPr>
          <w:sz w:val="20"/>
          <w:szCs w:val="20"/>
          <w:color w:val="auto"/>
        </w:rPr>
      </w:pPr>
      <w:r>
        <w:rPr>
          <w:rFonts w:ascii="Arial" w:cs="Arial" w:eastAsia="Arial" w:hAnsi="Arial"/>
          <w:sz w:val="15"/>
          <w:szCs w:val="15"/>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55" w:lineRule="exact"/>
        <w:rPr>
          <w:sz w:val="20"/>
          <w:szCs w:val="20"/>
          <w:color w:val="auto"/>
        </w:rPr>
      </w:pPr>
    </w:p>
    <w:p>
      <w:pPr>
        <w:ind w:right="120" w:firstLine="319"/>
        <w:spacing w:after="0" w:line="278" w:lineRule="auto"/>
        <w:rPr>
          <w:sz w:val="20"/>
          <w:szCs w:val="20"/>
          <w:color w:val="auto"/>
        </w:rPr>
      </w:pPr>
      <w:r>
        <w:rPr>
          <w:rFonts w:ascii="Arial" w:cs="Arial" w:eastAsia="Arial" w:hAnsi="Arial"/>
          <w:sz w:val="17"/>
          <w:szCs w:val="17"/>
          <w:color w:val="auto"/>
        </w:rPr>
        <w:t>In October 2021, the Company entered into an interest rate cap hedge with a notional amount of $300 million for a 5-year term beginning November 30, 2021. The hedge partially offsets risk associated with the First Lien Term Loan Facility’s variable interest rate. The interest rate cap instrument perfectly offsets the terms of the interest rates associated with the variable interest rate of the First Lien Term Loan.</w:t>
      </w:r>
    </w:p>
    <w:p>
      <w:pPr>
        <w:spacing w:after="0" w:line="171" w:lineRule="exact"/>
        <w:rPr>
          <w:sz w:val="20"/>
          <w:szCs w:val="20"/>
          <w:color w:val="auto"/>
        </w:rPr>
      </w:pPr>
    </w:p>
    <w:p>
      <w:pPr>
        <w:ind w:right="480" w:firstLine="319"/>
        <w:spacing w:after="0" w:line="265" w:lineRule="auto"/>
        <w:rPr>
          <w:sz w:val="20"/>
          <w:szCs w:val="20"/>
          <w:color w:val="auto"/>
        </w:rPr>
      </w:pPr>
      <w:r>
        <w:rPr>
          <w:rFonts w:ascii="Arial" w:cs="Arial" w:eastAsia="Arial" w:hAnsi="Arial"/>
          <w:sz w:val="18"/>
          <w:szCs w:val="18"/>
          <w:color w:val="auto"/>
        </w:rPr>
        <w:t>The following table summarizes the amount and location of the Company’s derivative instruments in the condensed consolidated balance sheets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00" w:type="dxa"/>
            <w:vAlign w:val="bottom"/>
          </w:tcPr>
          <w:p>
            <w:pPr>
              <w:spacing w:after="0"/>
              <w:rPr>
                <w:sz w:val="18"/>
                <w:szCs w:val="18"/>
                <w:color w:val="auto"/>
              </w:rPr>
            </w:pPr>
          </w:p>
        </w:tc>
        <w:tc>
          <w:tcPr>
            <w:tcW w:w="4940" w:type="dxa"/>
            <w:vAlign w:val="bottom"/>
            <w:tcBorders>
              <w:bottom w:val="single" w:sz="8" w:color="auto"/>
            </w:tcBorders>
            <w:gridSpan w:val="5"/>
          </w:tcPr>
          <w:p>
            <w:pPr>
              <w:ind w:left="2020"/>
              <w:spacing w:after="0"/>
              <w:rPr>
                <w:sz w:val="20"/>
                <w:szCs w:val="20"/>
                <w:color w:val="auto"/>
              </w:rPr>
            </w:pPr>
            <w:r>
              <w:rPr>
                <w:rFonts w:ascii="Arial" w:cs="Arial" w:eastAsia="Arial" w:hAnsi="Arial"/>
                <w:sz w:val="16"/>
                <w:szCs w:val="16"/>
                <w:b w:val="1"/>
                <w:bCs w:val="1"/>
                <w:color w:val="auto"/>
                <w:w w:val="95"/>
              </w:rPr>
              <w:t>Fair value - Derivatives in asset position</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3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208"/>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Prepaid expenses and other current assets</w:t>
            </w: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60" w:type="dxa"/>
            <w:vAlign w:val="bottom"/>
            <w:gridSpan w:val="2"/>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14,771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05"/>
        </w:trPr>
        <w:tc>
          <w:tcPr>
            <w:tcW w:w="4500" w:type="dxa"/>
            <w:vAlign w:val="bottom"/>
          </w:tcPr>
          <w:p>
            <w:pPr>
              <w:spacing w:after="0"/>
              <w:rPr>
                <w:sz w:val="24"/>
                <w:szCs w:val="24"/>
                <w:color w:val="auto"/>
              </w:rPr>
            </w:pPr>
          </w:p>
        </w:tc>
        <w:tc>
          <w:tcPr>
            <w:tcW w:w="4940" w:type="dxa"/>
            <w:vAlign w:val="bottom"/>
            <w:tcBorders>
              <w:bottom w:val="single" w:sz="8" w:color="auto"/>
            </w:tcBorders>
            <w:gridSpan w:val="5"/>
          </w:tcPr>
          <w:p>
            <w:pPr>
              <w:ind w:left="1920"/>
              <w:spacing w:after="0"/>
              <w:rPr>
                <w:sz w:val="20"/>
                <w:szCs w:val="20"/>
                <w:color w:val="auto"/>
              </w:rPr>
            </w:pPr>
            <w:r>
              <w:rPr>
                <w:rFonts w:ascii="Arial" w:cs="Arial" w:eastAsia="Arial" w:hAnsi="Arial"/>
                <w:sz w:val="16"/>
                <w:szCs w:val="16"/>
                <w:b w:val="1"/>
                <w:bCs w:val="1"/>
                <w:color w:val="auto"/>
                <w:w w:val="93"/>
              </w:rPr>
              <w:t>Fair value - Derivatives in liability position</w:t>
            </w: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Balance Sheet Caption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2"/>
              </w:rPr>
              <w:t>December 31, 2021</w:t>
            </w:r>
          </w:p>
        </w:tc>
        <w:tc>
          <w:tcPr>
            <w:tcW w:w="0" w:type="dxa"/>
            <w:vAlign w:val="bottom"/>
          </w:tcPr>
          <w:p>
            <w:pPr>
              <w:spacing w:after="0"/>
              <w:rPr>
                <w:sz w:val="1"/>
                <w:szCs w:val="1"/>
                <w:color w:val="auto"/>
              </w:rPr>
            </w:pPr>
          </w:p>
        </w:tc>
      </w:tr>
      <w:tr>
        <w:trPr>
          <w:trHeight w:val="158"/>
        </w:trPr>
        <w:tc>
          <w:tcPr>
            <w:tcW w:w="450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0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rPr>
              <w:t>Accrued expenses and other current</w:t>
            </w:r>
          </w:p>
        </w:tc>
        <w:tc>
          <w:tcPr>
            <w:tcW w:w="26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209"/>
        </w:trPr>
        <w:tc>
          <w:tcPr>
            <w:tcW w:w="4500" w:type="dxa"/>
            <w:vAlign w:val="bottom"/>
            <w:vMerge w:val="continue"/>
            <w:shd w:val="clear" w:color="auto" w:fill="CCEEFF"/>
          </w:tcPr>
          <w:p>
            <w:pPr>
              <w:spacing w:after="0"/>
              <w:rPr>
                <w:sz w:val="18"/>
                <w:szCs w:val="18"/>
                <w:color w:val="auto"/>
              </w:rPr>
            </w:pP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vMerge w:val="continue"/>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60" w:firstLine="319"/>
        <w:spacing w:after="0" w:line="256" w:lineRule="auto"/>
        <w:rPr>
          <w:sz w:val="20"/>
          <w:szCs w:val="20"/>
          <w:color w:val="auto"/>
        </w:rPr>
      </w:pPr>
      <w:r>
        <w:rPr>
          <w:rFonts w:ascii="Arial" w:cs="Arial" w:eastAsia="Arial" w:hAnsi="Arial"/>
          <w:sz w:val="18"/>
          <w:szCs w:val="18"/>
          <w:color w:val="auto"/>
        </w:rPr>
        <w:t>The gain associated with the change in the fair value of the effective portion of the hedging instrument are recorded into other comprehensive income. The following table presents the pre-tax gains from derivative instruments recognized in other comprehensive income in the Company’s unaudited condensed consolidated statements of comprehensive income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r>
      <w:tr>
        <w:trPr>
          <w:trHeight w:val="208"/>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cap designated as cash flow hedge</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80" w:type="dxa"/>
            <w:vAlign w:val="bottom"/>
            <w:gridSpan w:val="2"/>
          </w:tcPr>
          <w:p>
            <w:pPr>
              <w:ind w:left="20"/>
              <w:spacing w:after="0"/>
              <w:rPr>
                <w:sz w:val="20"/>
                <w:szCs w:val="20"/>
                <w:color w:val="auto"/>
              </w:rPr>
            </w:pPr>
            <w:r>
              <w:rPr>
                <w:rFonts w:ascii="Arial" w:cs="Arial" w:eastAsia="Arial" w:hAnsi="Arial"/>
                <w:sz w:val="16"/>
                <w:szCs w:val="16"/>
                <w:color w:val="auto"/>
              </w:rPr>
              <w:t>Interest rate swaps designated as cash flow hedges</w:t>
            </w:r>
          </w:p>
        </w:tc>
        <w:tc>
          <w:tcPr>
            <w:tcW w:w="3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8,280</w:t>
            </w:r>
          </w:p>
        </w:tc>
      </w:tr>
      <w:tr>
        <w:trPr>
          <w:trHeight w:val="231"/>
        </w:trPr>
        <w:tc>
          <w:tcPr>
            <w:tcW w:w="4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0"/>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20,226</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jc w:val="both"/>
        <w:ind w:right="20" w:firstLine="319"/>
        <w:spacing w:after="0" w:line="265" w:lineRule="auto"/>
        <w:rPr>
          <w:sz w:val="20"/>
          <w:szCs w:val="20"/>
          <w:color w:val="auto"/>
        </w:rPr>
      </w:pPr>
      <w:r>
        <w:rPr>
          <w:rFonts w:ascii="Arial" w:cs="Arial" w:eastAsia="Arial" w:hAnsi="Arial"/>
          <w:sz w:val="18"/>
          <w:szCs w:val="18"/>
          <w:color w:val="auto"/>
        </w:rPr>
        <w:t>The following table presents the amount and location of pre-tax income (loss) recognized in the Company’s unaudited condensed consolidated statements of comprehensive income related to the Company’s derivative instruments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8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Income Statement Caption</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58"/>
        </w:trPr>
        <w:tc>
          <w:tcPr>
            <w:tcW w:w="2060" w:type="dxa"/>
            <w:vAlign w:val="bottom"/>
            <w:gridSpan w:val="2"/>
            <w:shd w:val="clear" w:color="auto" w:fill="CCEEFF"/>
          </w:tcPr>
          <w:p>
            <w:pPr>
              <w:ind w:left="20"/>
              <w:spacing w:after="0" w:line="158" w:lineRule="exact"/>
              <w:rPr>
                <w:sz w:val="20"/>
                <w:szCs w:val="20"/>
                <w:color w:val="auto"/>
              </w:rPr>
            </w:pPr>
            <w:r>
              <w:rPr>
                <w:rFonts w:ascii="Arial" w:cs="Arial" w:eastAsia="Arial" w:hAnsi="Arial"/>
                <w:sz w:val="16"/>
                <w:szCs w:val="16"/>
                <w:color w:val="auto"/>
                <w:w w:val="91"/>
              </w:rPr>
              <w:t>Interest rate cap designated as</w:t>
            </w:r>
          </w:p>
        </w:tc>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360" w:type="dxa"/>
            <w:vAlign w:val="bottom"/>
            <w:gridSpan w:val="2"/>
            <w:vMerge w:val="restart"/>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 hedge</w:t>
            </w:r>
          </w:p>
        </w:tc>
        <w:tc>
          <w:tcPr>
            <w:tcW w:w="25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2"/>
          </w:tcPr>
          <w:p>
            <w:pPr>
              <w:ind w:left="20"/>
              <w:spacing w:after="0" w:line="163" w:lineRule="exact"/>
              <w:rPr>
                <w:sz w:val="20"/>
                <w:szCs w:val="20"/>
                <w:color w:val="auto"/>
              </w:rPr>
            </w:pPr>
            <w:r>
              <w:rPr>
                <w:rFonts w:ascii="Arial" w:cs="Arial" w:eastAsia="Arial" w:hAnsi="Arial"/>
                <w:sz w:val="16"/>
                <w:szCs w:val="16"/>
                <w:color w:val="auto"/>
                <w:w w:val="92"/>
              </w:rPr>
              <w:t>Interest rate swaps designated</w:t>
            </w:r>
          </w:p>
        </w:tc>
        <w:tc>
          <w:tcPr>
            <w:tcW w:w="2560" w:type="dxa"/>
            <w:vAlign w:val="bottom"/>
            <w:gridSpan w:val="2"/>
            <w:vMerge w:val="restart"/>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tcPr>
          <w:p>
            <w:pPr>
              <w:spacing w:after="0"/>
              <w:rPr>
                <w:sz w:val="14"/>
                <w:szCs w:val="14"/>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(4,246)</w:t>
            </w:r>
          </w:p>
        </w:tc>
        <w:tc>
          <w:tcPr>
            <w:tcW w:w="100" w:type="dxa"/>
            <w:vAlign w:val="bottom"/>
          </w:tcPr>
          <w:p>
            <w:pPr>
              <w:spacing w:after="0"/>
              <w:rPr>
                <w:sz w:val="14"/>
                <w:szCs w:val="14"/>
                <w:color w:val="auto"/>
              </w:rPr>
            </w:pPr>
          </w:p>
        </w:tc>
        <w:tc>
          <w:tcPr>
            <w:tcW w:w="360" w:type="dxa"/>
            <w:vAlign w:val="bottom"/>
            <w:vMerge w:val="restart"/>
          </w:tcPr>
          <w:p>
            <w:pPr>
              <w:jc w:val="right"/>
              <w:ind w:right="180"/>
              <w:spacing w:after="0"/>
              <w:rPr>
                <w:sz w:val="20"/>
                <w:szCs w:val="20"/>
                <w:color w:val="auto"/>
              </w:rPr>
            </w:pPr>
            <w:r>
              <w:rPr>
                <w:rFonts w:ascii="Arial" w:cs="Arial" w:eastAsia="Arial" w:hAnsi="Arial"/>
                <w:sz w:val="16"/>
                <w:szCs w:val="16"/>
                <w:color w:val="auto"/>
                <w:w w:val="89"/>
              </w:rPr>
              <w:t>$</w:t>
            </w: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(8,395)</w:t>
            </w:r>
          </w:p>
        </w:tc>
        <w:tc>
          <w:tcPr>
            <w:tcW w:w="0" w:type="dxa"/>
            <w:vAlign w:val="bottom"/>
          </w:tcPr>
          <w:p>
            <w:pPr>
              <w:spacing w:after="0"/>
              <w:rPr>
                <w:sz w:val="1"/>
                <w:szCs w:val="1"/>
                <w:color w:val="auto"/>
              </w:rPr>
            </w:pPr>
          </w:p>
        </w:tc>
      </w:tr>
      <w:tr>
        <w:trPr>
          <w:trHeight w:val="207"/>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as cash flow hedges</w:t>
            </w:r>
          </w:p>
        </w:tc>
        <w:tc>
          <w:tcPr>
            <w:tcW w:w="256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60" w:type="dxa"/>
            <w:vAlign w:val="bottom"/>
            <w:gridSpan w:val="2"/>
            <w:shd w:val="clear" w:color="auto" w:fill="CCEEFF"/>
          </w:tcPr>
          <w:p>
            <w:pPr>
              <w:ind w:left="20"/>
              <w:spacing w:after="0" w:line="165" w:lineRule="exact"/>
              <w:rPr>
                <w:sz w:val="20"/>
                <w:szCs w:val="20"/>
                <w:color w:val="auto"/>
              </w:rPr>
            </w:pPr>
            <w:r>
              <w:rPr>
                <w:rFonts w:ascii="Arial" w:cs="Arial" w:eastAsia="Arial" w:hAnsi="Arial"/>
                <w:sz w:val="16"/>
                <w:szCs w:val="16"/>
                <w:color w:val="auto"/>
              </w:rPr>
              <w:t>Interest rate swaps not</w:t>
            </w:r>
          </w:p>
        </w:tc>
        <w:tc>
          <w:tcPr>
            <w:tcW w:w="25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7"/>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designated as hedges</w:t>
            </w:r>
          </w:p>
        </w:tc>
        <w:tc>
          <w:tcPr>
            <w:tcW w:w="256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1,184</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(8,397)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84" w:lineRule="exact"/>
        <w:rPr>
          <w:sz w:val="20"/>
          <w:szCs w:val="20"/>
          <w:color w:val="auto"/>
        </w:rPr>
      </w:pPr>
    </w:p>
    <w:p>
      <w:pPr>
        <w:ind w:right="100" w:firstLine="319"/>
        <w:spacing w:after="0" w:line="278" w:lineRule="auto"/>
        <w:rPr>
          <w:sz w:val="20"/>
          <w:szCs w:val="20"/>
          <w:color w:val="auto"/>
        </w:rPr>
      </w:pPr>
      <w:r>
        <w:rPr>
          <w:rFonts w:ascii="Arial" w:cs="Arial" w:eastAsia="Arial" w:hAnsi="Arial"/>
          <w:sz w:val="17"/>
          <w:szCs w:val="17"/>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1" w:lineRule="exact"/>
        <w:rPr>
          <w:sz w:val="20"/>
          <w:szCs w:val="20"/>
          <w:color w:val="auto"/>
        </w:rPr>
      </w:pPr>
    </w:p>
    <w:p>
      <w:pPr>
        <w:ind w:left="880" w:hanging="15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to the fair value measurement are quoted prices in active markets for identical assets or liabilities.</w:t>
      </w:r>
    </w:p>
    <w:p>
      <w:pPr>
        <w:spacing w:after="0" w:line="16" w:lineRule="exact"/>
        <w:rPr>
          <w:rFonts w:ascii="Arial" w:cs="Arial" w:eastAsia="Arial" w:hAnsi="Arial"/>
          <w:sz w:val="18"/>
          <w:szCs w:val="18"/>
          <w:color w:val="auto"/>
        </w:rPr>
      </w:pPr>
    </w:p>
    <w:p>
      <w:pPr>
        <w:jc w:val="both"/>
        <w:ind w:left="880" w:right="80" w:hanging="157"/>
        <w:spacing w:after="0" w:line="246" w:lineRule="auto"/>
        <w:tabs>
          <w:tab w:leader="none" w:pos="87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ind w:left="880" w:hanging="157"/>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to the fair value measurement are unobservable inputs or valuation techniques.</w:t>
      </w:r>
    </w:p>
    <w:p>
      <w:pPr>
        <w:spacing w:after="0" w:line="180" w:lineRule="exact"/>
        <w:rPr>
          <w:sz w:val="20"/>
          <w:szCs w:val="20"/>
          <w:color w:val="auto"/>
        </w:rPr>
      </w:pPr>
    </w:p>
    <w:p>
      <w:pPr>
        <w:ind w:right="260" w:firstLine="319"/>
        <w:spacing w:after="0" w:line="366" w:lineRule="auto"/>
        <w:rPr>
          <w:sz w:val="20"/>
          <w:szCs w:val="20"/>
          <w:color w:val="auto"/>
        </w:rPr>
      </w:pPr>
      <w:r>
        <w:rPr>
          <w:rFonts w:ascii="Arial" w:cs="Arial" w:eastAsia="Arial" w:hAnsi="Arial"/>
          <w:sz w:val="15"/>
          <w:szCs w:val="15"/>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2"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i w:val="1"/>
          <w:iCs w:val="1"/>
          <w:color w:val="auto"/>
        </w:rPr>
        <w:t>First Lien Term Loan</w:t>
      </w:r>
      <w:r>
        <w:rPr>
          <w:rFonts w:ascii="Arial" w:cs="Arial" w:eastAsia="Arial" w:hAnsi="Arial"/>
          <w:sz w:val="18"/>
          <w:szCs w:val="18"/>
          <w:color w:val="auto"/>
        </w:rPr>
        <w:t>: The fair value of the First Lien Term Loan is derived from a broker quote on the loans in the syndication (Level 2 inputs). See Note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10, </w:t>
      </w:r>
      <w:r>
        <w:rPr>
          <w:rFonts w:ascii="Arial" w:cs="Arial" w:eastAsia="Arial" w:hAnsi="Arial"/>
          <w:sz w:val="18"/>
          <w:szCs w:val="18"/>
          <w:i w:val="1"/>
          <w:iCs w:val="1"/>
          <w:color w:val="auto"/>
        </w:rPr>
        <w:t>Indebtedness</w:t>
      </w:r>
      <w:r>
        <w:rPr>
          <w:rFonts w:ascii="Arial" w:cs="Arial" w:eastAsia="Arial" w:hAnsi="Arial"/>
          <w:sz w:val="18"/>
          <w:szCs w:val="18"/>
          <w:color w:val="auto"/>
        </w:rPr>
        <w:t>, for further discussion of the carrying amount and fair value of the First Lien Term Loan.</w:t>
      </w:r>
    </w:p>
    <w:p>
      <w:pPr>
        <w:spacing w:after="0" w:line="141"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The fair value of the Senior Notes is derived from a broker quote (Level 2 inputs). See Note 10,</w:t>
      </w:r>
      <w:r>
        <w:rPr>
          <w:rFonts w:ascii="Arial" w:cs="Arial" w:eastAsia="Arial" w:hAnsi="Arial"/>
          <w:sz w:val="18"/>
          <w:szCs w:val="18"/>
          <w:i w:val="1"/>
          <w:iCs w:val="1"/>
          <w:color w:val="auto"/>
        </w:rPr>
        <w:t xml:space="preserve"> Indebtedness</w:t>
      </w:r>
      <w:r>
        <w:rPr>
          <w:rFonts w:ascii="Arial" w:cs="Arial" w:eastAsia="Arial" w:hAnsi="Arial"/>
          <w:sz w:val="18"/>
          <w:szCs w:val="18"/>
          <w:color w:val="auto"/>
        </w:rPr>
        <w:t>, for further discussion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and fair value of the Senior Notes.</w:t>
      </w:r>
    </w:p>
    <w:p>
      <w:pPr>
        <w:spacing w:after="0" w:line="154" w:lineRule="exact"/>
        <w:rPr>
          <w:sz w:val="20"/>
          <w:szCs w:val="20"/>
          <w:color w:val="auto"/>
        </w:rPr>
      </w:pPr>
    </w:p>
    <w:p>
      <w:pPr>
        <w:ind w:right="160" w:firstLine="319"/>
        <w:spacing w:after="0" w:line="256" w:lineRule="auto"/>
        <w:rPr>
          <w:sz w:val="20"/>
          <w:szCs w:val="20"/>
          <w:color w:val="auto"/>
        </w:rPr>
      </w:pPr>
      <w:r>
        <w:rPr>
          <w:rFonts w:ascii="Arial" w:cs="Arial" w:eastAsia="Arial" w:hAnsi="Arial"/>
          <w:sz w:val="18"/>
          <w:szCs w:val="18"/>
          <w:i w:val="1"/>
          <w:iCs w:val="1"/>
          <w:color w:val="auto"/>
        </w:rPr>
        <w:t xml:space="preserve">Interest rate cap: </w:t>
      </w:r>
      <w:r>
        <w:rPr>
          <w:rFonts w:ascii="Arial" w:cs="Arial" w:eastAsia="Arial" w:hAnsi="Arial"/>
          <w:sz w:val="18"/>
          <w:szCs w:val="18"/>
          <w:color w:val="auto"/>
        </w:rPr>
        <w:t>The fair value of the interest rate cap is derived from the interest rates prevalent in the market and future expectations of those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rates (Level 2 inputs). The Company determines the fair value of the investments based on quoted prices from third-party brokers. See Note 11,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discussion of the fair value of the interest rate cap.</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other assets or liabilities measured at fair value at June 30, 2022 and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97" w:lineRule="exact"/>
        <w:rPr>
          <w:sz w:val="20"/>
          <w:szCs w:val="20"/>
          <w:color w:val="auto"/>
        </w:rPr>
      </w:pPr>
    </w:p>
    <w:p>
      <w:pPr>
        <w:ind w:firstLine="319"/>
        <w:spacing w:after="0" w:line="264" w:lineRule="auto"/>
        <w:rPr>
          <w:sz w:val="20"/>
          <w:szCs w:val="20"/>
          <w:color w:val="auto"/>
        </w:rPr>
      </w:pPr>
      <w:r>
        <w:rPr>
          <w:rFonts w:ascii="Arial" w:cs="Arial" w:eastAsia="Arial" w:hAnsi="Arial"/>
          <w:sz w:val="17"/>
          <w:szCs w:val="17"/>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 The results of legal proceedings are often uncertain and difficult to predict, and the costs incurred in litigation can be substantial, regardless of the outcome. The Company believes that its defenses and assertions in pending legal proceedings have merit and does not believe that any of these pending matters, after consideration of applicable reserves and rights to indemnification, will have a material adverse effect on the Company’s condensed consolidated balance sheets. 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INCENTIVE COMPENSATION</w:t>
      </w:r>
    </w:p>
    <w:p>
      <w:pPr>
        <w:spacing w:after="0" w:line="191" w:lineRule="exact"/>
        <w:rPr>
          <w:sz w:val="20"/>
          <w:szCs w:val="20"/>
          <w:color w:val="auto"/>
        </w:rPr>
      </w:pPr>
    </w:p>
    <w:p>
      <w:pPr>
        <w:ind w:firstLine="319"/>
        <w:spacing w:after="0" w:line="307" w:lineRule="auto"/>
        <w:rPr>
          <w:sz w:val="20"/>
          <w:szCs w:val="20"/>
          <w:color w:val="auto"/>
        </w:rPr>
      </w:pPr>
      <w:r>
        <w:rPr>
          <w:rFonts w:ascii="Arial" w:cs="Arial" w:eastAsia="Arial" w:hAnsi="Arial"/>
          <w:sz w:val="15"/>
          <w:szCs w:val="15"/>
          <w:b w:val="1"/>
          <w:bCs w:val="1"/>
          <w:color w:val="auto"/>
        </w:rPr>
        <w:t xml:space="preserve">Equity Incentive Plans </w:t>
      </w:r>
      <w:r>
        <w:rPr>
          <w:rFonts w:ascii="Arial" w:cs="Arial" w:eastAsia="Arial" w:hAnsi="Arial"/>
          <w:sz w:val="15"/>
          <w:szCs w:val="15"/>
          <w:color w:val="auto"/>
        </w:rPr>
        <w:t>— Under the Company’s 2018 Equity Incentive Plan (the “2018 Plan”), approved at the annual meeting by the BioScrip</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 on May 3, 2018 and amended and restated on May 19, 2021, the Company may issue, among other things, incentive stock options, non-qualified stock options, stock appreciation rights, restricted stock units, stock grants, and performance units to key employees and directors, resulting in a total of 9,101,734 shares of common stock are authorized for issuance. The 2018 plan is administered by the Company’s Compensation Committee, a standing committee of the Board of Directors. The Company had stock options, restricted stock and performance stock units outstanding related to the 2018 Plan as of June 30, 2022. During the three and six months ended June 30, 2022, total stock-based incentive compensation expense recognized by the Company related to these plans was $4.4 million and $8.6 million, respectively. During the three and six months ended June 30, 2021, total stock-based incentive compensation expense recognized by the Company related to these plans was $2.5 million and $3.7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178" w:lineRule="exact"/>
        <w:rPr>
          <w:sz w:val="20"/>
          <w:szCs w:val="20"/>
          <w:color w:val="auto"/>
        </w:rPr>
      </w:pPr>
    </w:p>
    <w:p>
      <w:pPr>
        <w:jc w:val="both"/>
        <w:ind w:right="220" w:firstLine="319"/>
        <w:spacing w:after="0" w:line="255" w:lineRule="auto"/>
        <w:rPr>
          <w:sz w:val="20"/>
          <w:szCs w:val="20"/>
          <w:color w:val="auto"/>
        </w:rPr>
      </w:pPr>
      <w:r>
        <w:rPr>
          <w:rFonts w:ascii="Arial" w:cs="Arial" w:eastAsia="Arial" w:hAnsi="Arial"/>
          <w:sz w:val="18"/>
          <w:szCs w:val="18"/>
          <w:b w:val="1"/>
          <w:bCs w:val="1"/>
          <w:color w:val="auto"/>
        </w:rPr>
        <w:t xml:space="preserve">2017 Warrants </w:t>
      </w:r>
      <w:r>
        <w:rPr>
          <w:rFonts w:ascii="Arial" w:cs="Arial" w:eastAsia="Arial" w:hAnsi="Arial"/>
          <w:sz w:val="18"/>
          <w:szCs w:val="18"/>
          <w:color w:val="auto"/>
        </w:rPr>
        <w:t>— During the three and six months ended June 30, 2022, warrant holders elected to exercise 1,130,089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During the three and six months ended June 30, 2021, warrant holders did not elect to exercise any warrants to purchase shares of common stock. As of June 30, 2022 and December 31, 2021, the remaining warrant holders are entitled to purchase 240,188 and 1,370,277 shares of common stock, respectively.</w:t>
      </w:r>
    </w:p>
    <w:p>
      <w:pPr>
        <w:spacing w:after="0" w:line="156" w:lineRule="exact"/>
        <w:rPr>
          <w:sz w:val="20"/>
          <w:szCs w:val="20"/>
          <w:color w:val="auto"/>
        </w:rPr>
      </w:pPr>
    </w:p>
    <w:p>
      <w:pPr>
        <w:ind w:right="240" w:firstLine="319"/>
        <w:spacing w:after="0" w:line="255" w:lineRule="auto"/>
        <w:rPr>
          <w:sz w:val="20"/>
          <w:szCs w:val="20"/>
          <w:color w:val="auto"/>
        </w:rPr>
      </w:pPr>
      <w:r>
        <w:rPr>
          <w:rFonts w:ascii="Arial" w:cs="Arial" w:eastAsia="Arial" w:hAnsi="Arial"/>
          <w:sz w:val="18"/>
          <w:szCs w:val="18"/>
          <w:b w:val="1"/>
          <w:bCs w:val="1"/>
          <w:color w:val="auto"/>
        </w:rPr>
        <w:t xml:space="preserve">2015 Warrants </w:t>
      </w:r>
      <w:r>
        <w:rPr>
          <w:rFonts w:ascii="Arial" w:cs="Arial" w:eastAsia="Arial" w:hAnsi="Arial"/>
          <w:sz w:val="18"/>
          <w:szCs w:val="18"/>
          <w:color w:val="auto"/>
        </w:rPr>
        <w:t>— During the three and six months ended June 30, 2022, warrant holders elected to exercise 868,304 warrants to purchase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During the three and six months ended June 30, 2021, warrant holders did not elect to exercise any warrants to purchase shares of common stock. As of June 30, 2022 and December 31, 2021, the remaining warrant holders are entitled to purchase 47,199 and 915,503 shares of common stock,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78" w:lineRule="exact"/>
        <w:rPr>
          <w:sz w:val="20"/>
          <w:szCs w:val="20"/>
          <w:color w:val="auto"/>
        </w:rPr>
      </w:pPr>
    </w:p>
    <w:p>
      <w:pPr>
        <w:ind w:right="120" w:firstLine="319"/>
        <w:spacing w:after="0" w:line="311" w:lineRule="auto"/>
        <w:rPr>
          <w:sz w:val="20"/>
          <w:szCs w:val="20"/>
          <w:color w:val="auto"/>
        </w:rPr>
      </w:pPr>
      <w:r>
        <w:rPr>
          <w:rFonts w:ascii="Arial" w:cs="Arial" w:eastAsia="Arial" w:hAnsi="Arial"/>
          <w:sz w:val="15"/>
          <w:szCs w:val="15"/>
          <w:b w:val="1"/>
          <w:bCs w:val="1"/>
          <w:color w:val="auto"/>
        </w:rPr>
        <w:t xml:space="preserve">Transactions with Equity-Method Investees </w:t>
      </w:r>
      <w:r>
        <w:rPr>
          <w:rFonts w:ascii="Arial" w:cs="Arial" w:eastAsia="Arial" w:hAnsi="Arial"/>
          <w:sz w:val="15"/>
          <w:szCs w:val="15"/>
          <w:color w:val="auto"/>
        </w:rPr>
        <w:t>— The Company provides management services to its joint ventures such as accounting, invoicing and</w:t>
      </w:r>
      <w:r>
        <w:rPr>
          <w:rFonts w:ascii="Arial" w:cs="Arial" w:eastAsia="Arial" w:hAnsi="Arial"/>
          <w:sz w:val="15"/>
          <w:szCs w:val="15"/>
          <w:b w:val="1"/>
          <w:bCs w:val="1"/>
          <w:color w:val="auto"/>
        </w:rPr>
        <w:t xml:space="preserve"> </w:t>
      </w:r>
      <w:r>
        <w:rPr>
          <w:rFonts w:ascii="Arial" w:cs="Arial" w:eastAsia="Arial" w:hAnsi="Arial"/>
          <w:sz w:val="15"/>
          <w:szCs w:val="15"/>
          <w:color w:val="auto"/>
        </w:rPr>
        <w:t>collections in addition to day-to-day managerial support of the operations of the businesses. The Company recorded management fee income of $0.9 million and $1.8 million for the three and six months ended June 30, 2022, respectively. The Company recorded management fee income of $0.9 million and $1.7 million for the three and six months ended June 30, 2021, respectively. Management fees are recorded in net revenues in the accompanying unaudited condensed consolidated statements of comprehensive income. During the three and six months ended June 30, 2022, the Company received $1.0 million in distributions from the investees. During the three and six months ended June 30, 2021, the Company did not receive a distribution from the investees.</w:t>
      </w:r>
    </w:p>
    <w:p>
      <w:pPr>
        <w:spacing w:after="0" w:line="126" w:lineRule="exact"/>
        <w:rPr>
          <w:sz w:val="20"/>
          <w:szCs w:val="20"/>
          <w:color w:val="auto"/>
        </w:rPr>
      </w:pPr>
    </w:p>
    <w:p>
      <w:pPr>
        <w:ind w:right="240" w:firstLine="319"/>
        <w:spacing w:after="0" w:line="272" w:lineRule="auto"/>
        <w:rPr>
          <w:sz w:val="20"/>
          <w:szCs w:val="20"/>
          <w:color w:val="auto"/>
        </w:rPr>
      </w:pPr>
      <w:r>
        <w:rPr>
          <w:rFonts w:ascii="Arial" w:cs="Arial" w:eastAsia="Arial" w:hAnsi="Arial"/>
          <w:sz w:val="17"/>
          <w:szCs w:val="17"/>
          <w:color w:val="auto"/>
        </w:rPr>
        <w:t>The Company had amounts due to its joint ventures of $0.7 million as of June 30, 2022. Payables were included in accrued expenses and other current liabilities in the accompanying condensed consolidated balance sheets. The Company also had amounts due to its joint ventures of $1.4 million as of December 31, 2021.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97" w:lineRule="exact"/>
        <w:rPr>
          <w:sz w:val="20"/>
          <w:szCs w:val="20"/>
          <w:color w:val="auto"/>
        </w:rPr>
      </w:pPr>
    </w:p>
    <w:p>
      <w:pPr>
        <w:ind w:right="80" w:firstLine="319"/>
        <w:spacing w:after="0" w:line="307" w:lineRule="auto"/>
        <w:rPr>
          <w:sz w:val="20"/>
          <w:szCs w:val="20"/>
          <w:color w:val="auto"/>
        </w:rPr>
      </w:pPr>
      <w:r>
        <w:rPr>
          <w:rFonts w:ascii="Arial" w:cs="Arial" w:eastAsia="Arial" w:hAnsi="Arial"/>
          <w:sz w:val="15"/>
          <w:szCs w:val="15"/>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2021 (our “Form 10-K”), may cause our actual results, financial position, and cash generated from operations to differ materially from these forward-looking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84" w:lineRule="exact"/>
        <w:rPr>
          <w:sz w:val="20"/>
          <w:szCs w:val="20"/>
          <w:color w:val="auto"/>
        </w:rPr>
      </w:pPr>
    </w:p>
    <w:p>
      <w:pPr>
        <w:ind w:right="40" w:firstLine="319"/>
        <w:spacing w:after="0" w:line="249" w:lineRule="auto"/>
        <w:rPr>
          <w:sz w:val="20"/>
          <w:szCs w:val="20"/>
          <w:color w:val="auto"/>
        </w:rPr>
      </w:pPr>
      <w:r>
        <w:rPr>
          <w:rFonts w:ascii="Arial" w:cs="Arial" w:eastAsia="Arial" w:hAnsi="Arial"/>
          <w:sz w:val="18"/>
          <w:szCs w:val="18"/>
          <w:color w:val="auto"/>
        </w:rPr>
        <w:t>Option Care Health, and its wholly-owned subsidiaries, provides infusion therapy and other ancillary health care services through a national network of 157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dietitians and respiratory therapists,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70" w:lineRule="exact"/>
        <w:rPr>
          <w:sz w:val="20"/>
          <w:szCs w:val="20"/>
          <w:color w:val="auto"/>
        </w:rPr>
      </w:pPr>
    </w:p>
    <w:p>
      <w:pPr>
        <w:ind w:firstLine="319"/>
        <w:spacing w:after="0" w:line="265" w:lineRule="auto"/>
        <w:rPr>
          <w:sz w:val="20"/>
          <w:szCs w:val="20"/>
          <w:color w:val="auto"/>
        </w:rPr>
      </w:pPr>
      <w:r>
        <w:rPr>
          <w:rFonts w:ascii="Arial" w:cs="Arial" w:eastAsia="Arial" w:hAnsi="Arial"/>
          <w:sz w:val="17"/>
          <w:szCs w:val="17"/>
          <w:color w:val="auto"/>
        </w:rPr>
        <w:t>HC Group Holdings II, Inc. (“HC II”) was incorporated under the laws of the State of Delaware on January 7, 2015, with its sole shareholder being HC Group Holdings I, LLC. (“HC I”). On April 7, 2015, HC I and HC II collectively acquired Walgreens Infusion Services, Inc. and its subsidiaries from Walgreen Co., and the business was rebranded as Option Care, Inc. (“Option Care”). On March 14, 2019, HC I and HC II entered into a definitive agreement (the “Merger Agreement”) to merge with and into a wholly-owned subsidiary of BioScrip, Inc. (“BioScrip”) (the “Merger”), a national provider of infusion and home care management solutions, which was completed on August 6, 2019 (the “Merger Date”). The Merger was accounted for as a reverse merger under the acquisition method of accounting for business combinations with Option Care being considered the accounting acquirer and BioScrip being considered the legal acquirer. Following the close of the transaction, BioScrip was rebranded as Option Care Health, Inc. and the combined company’s common stock, par value $0.0001, is listed on the Nasdaq Capital Market under the ticker symbol “OPCH”.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the Impact of the COVID-19 Pandemic</w:t>
      </w:r>
    </w:p>
    <w:p>
      <w:pPr>
        <w:spacing w:after="0" w:line="197" w:lineRule="exact"/>
        <w:rPr>
          <w:sz w:val="20"/>
          <w:szCs w:val="20"/>
          <w:color w:val="auto"/>
        </w:rPr>
      </w:pPr>
    </w:p>
    <w:p>
      <w:pPr>
        <w:ind w:firstLine="319"/>
        <w:spacing w:after="0" w:line="269" w:lineRule="auto"/>
        <w:rPr>
          <w:sz w:val="20"/>
          <w:szCs w:val="20"/>
          <w:color w:val="auto"/>
        </w:rPr>
      </w:pPr>
      <w:r>
        <w:rPr>
          <w:rFonts w:ascii="Arial" w:cs="Arial" w:eastAsia="Arial" w:hAnsi="Arial"/>
          <w:sz w:val="17"/>
          <w:szCs w:val="17"/>
          <w:color w:val="auto"/>
        </w:rPr>
        <w:t>The primary operations of the Company focus on providing infusion therapy services and based on the recent impact of the pandemic across the healthcare ecosystem, the Company began experiencing a related impact across a number of facets beginning in March 2020. The Company has been disrupted by both positive and negative referral patterns, experienced challenges in our staffing, increased pricing and ability to procure personal protection equipment, supplies and key drugs. The Company anticipates that the pandemic could affect its operations for an extended period; however, at this time it cannot confidently forecast the duration nor the ultimate financial impact on its operations.</w:t>
      </w:r>
    </w:p>
    <w:p>
      <w:pPr>
        <w:spacing w:after="0" w:line="140" w:lineRule="exact"/>
        <w:rPr>
          <w:sz w:val="20"/>
          <w:szCs w:val="20"/>
          <w:color w:val="auto"/>
        </w:rPr>
      </w:pPr>
    </w:p>
    <w:p>
      <w:pPr>
        <w:ind w:right="60" w:firstLine="319"/>
        <w:spacing w:after="0" w:line="265" w:lineRule="auto"/>
        <w:rPr>
          <w:sz w:val="20"/>
          <w:szCs w:val="20"/>
          <w:color w:val="auto"/>
        </w:rPr>
      </w:pPr>
      <w:r>
        <w:rPr>
          <w:rFonts w:ascii="Arial" w:cs="Arial" w:eastAsia="Arial" w:hAnsi="Arial"/>
          <w:sz w:val="18"/>
          <w:szCs w:val="18"/>
          <w:color w:val="auto"/>
        </w:rPr>
        <w:t>See Item 1A. “Risk Factors” under the caption “The COVID-19 pandemic and other pandemic events could adversely impact our business operations, results of operations, cash flows and financial position” included in our Form 10-K for further discussion of risks.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Results of Operations</w:t>
      </w:r>
    </w:p>
    <w:p>
      <w:pPr>
        <w:spacing w:after="0" w:line="197" w:lineRule="exact"/>
        <w:rPr>
          <w:sz w:val="20"/>
          <w:szCs w:val="20"/>
          <w:color w:val="auto"/>
        </w:rPr>
      </w:pPr>
    </w:p>
    <w:p>
      <w:pPr>
        <w:ind w:firstLine="319"/>
        <w:spacing w:after="0" w:line="265" w:lineRule="auto"/>
        <w:rPr>
          <w:sz w:val="20"/>
          <w:szCs w:val="20"/>
          <w:color w:val="auto"/>
        </w:rPr>
      </w:pPr>
      <w:r>
        <w:rPr>
          <w:rFonts w:ascii="Arial" w:cs="Arial" w:eastAsia="Arial" w:hAnsi="Arial"/>
          <w:sz w:val="18"/>
          <w:szCs w:val="18"/>
          <w:color w:val="auto"/>
        </w:rPr>
        <w:t>The following results of operations include the accounts of Option Care Health and our subsidiaries for the three and six months ended June 30, 2022 and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profit represents our net revenue less cost of revenue.</w:t>
      </w:r>
    </w:p>
    <w:p>
      <w:pPr>
        <w:spacing w:after="0" w:line="191" w:lineRule="exact"/>
        <w:rPr>
          <w:sz w:val="20"/>
          <w:szCs w:val="20"/>
          <w:color w:val="auto"/>
        </w:rPr>
      </w:pPr>
    </w:p>
    <w:p>
      <w:pPr>
        <w:ind w:right="20" w:firstLine="319"/>
        <w:spacing w:after="0" w:line="256" w:lineRule="auto"/>
        <w:rPr>
          <w:sz w:val="20"/>
          <w:szCs w:val="20"/>
          <w:color w:val="auto"/>
        </w:rPr>
      </w:pPr>
      <w:r>
        <w:rPr>
          <w:rFonts w:ascii="Arial" w:cs="Arial" w:eastAsia="Arial" w:hAnsi="Arial"/>
          <w:sz w:val="18"/>
          <w:szCs w:val="18"/>
          <w:i w:val="1"/>
          <w:iCs w:val="1"/>
          <w:color w:val="auto"/>
        </w:rPr>
        <w:t xml:space="preserve">Net Revenue. </w:t>
      </w:r>
      <w:r>
        <w:rPr>
          <w:rFonts w:ascii="Arial" w:cs="Arial" w:eastAsia="Arial" w:hAnsi="Arial"/>
          <w:sz w:val="18"/>
          <w:szCs w:val="18"/>
          <w:color w:val="auto"/>
        </w:rPr>
        <w:t>Infusion and related health care services revenue is reported at the estimated net realizable amounts from third-party payers and patients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sold and services rendered. When pharmaceuticals are provided to a patient, revenue is recognized upon delivery of the goods. When nursing services are provided, revenue is recognized when the services are rendered.</w:t>
      </w:r>
    </w:p>
    <w:p>
      <w:pPr>
        <w:spacing w:after="0" w:line="148" w:lineRule="exact"/>
        <w:rPr>
          <w:sz w:val="20"/>
          <w:szCs w:val="20"/>
          <w:color w:val="auto"/>
        </w:rPr>
      </w:pPr>
    </w:p>
    <w:p>
      <w:pPr>
        <w:ind w:right="20" w:firstLine="319"/>
        <w:spacing w:after="0" w:line="319" w:lineRule="auto"/>
        <w:rPr>
          <w:sz w:val="20"/>
          <w:szCs w:val="20"/>
          <w:color w:val="auto"/>
        </w:rPr>
      </w:pPr>
      <w:r>
        <w:rPr>
          <w:rFonts w:ascii="Arial" w:cs="Arial" w:eastAsia="Arial" w:hAnsi="Arial"/>
          <w:sz w:val="15"/>
          <w:szCs w:val="15"/>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06" w:lineRule="exact"/>
        <w:rPr>
          <w:sz w:val="20"/>
          <w:szCs w:val="20"/>
          <w:color w:val="auto"/>
        </w:rPr>
      </w:pPr>
    </w:p>
    <w:p>
      <w:pPr>
        <w:ind w:right="200" w:firstLine="319"/>
        <w:spacing w:after="0" w:line="252"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the actual cost of pharmaceuticals and other medical supplies dispensed to patients. In addition to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67" w:lineRule="exact"/>
        <w:rPr>
          <w:sz w:val="20"/>
          <w:szCs w:val="20"/>
          <w:color w:val="auto"/>
        </w:rPr>
      </w:pPr>
    </w:p>
    <w:p>
      <w:pPr>
        <w:ind w:right="460" w:firstLine="319"/>
        <w:spacing w:after="0" w:line="366" w:lineRule="auto"/>
        <w:rPr>
          <w:sz w:val="20"/>
          <w:szCs w:val="20"/>
          <w:color w:val="auto"/>
        </w:rPr>
      </w:pPr>
      <w:r>
        <w:rPr>
          <w:rFonts w:ascii="Arial" w:cs="Arial" w:eastAsia="Arial" w:hAnsi="Arial"/>
          <w:sz w:val="15"/>
          <w:szCs w:val="15"/>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78" w:lineRule="exact"/>
        <w:rPr>
          <w:sz w:val="20"/>
          <w:szCs w:val="20"/>
          <w:color w:val="auto"/>
        </w:rPr>
      </w:pPr>
    </w:p>
    <w:p>
      <w:pPr>
        <w:ind w:right="160" w:firstLine="319"/>
        <w:spacing w:after="0" w:line="295"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Selling, general and administrative expenses consist principally of salaries for administrative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that directly and indirectly support the operations, occupancy costs, marketing expenditures, insurance, and professional fees.</w:t>
      </w:r>
    </w:p>
    <w:p>
      <w:pPr>
        <w:spacing w:after="0" w:line="130" w:lineRule="exact"/>
        <w:rPr>
          <w:sz w:val="20"/>
          <w:szCs w:val="20"/>
          <w:color w:val="auto"/>
        </w:rPr>
      </w:pPr>
    </w:p>
    <w:p>
      <w:pPr>
        <w:jc w:val="both"/>
        <w:ind w:right="180" w:firstLine="319"/>
        <w:spacing w:after="0" w:line="366" w:lineRule="auto"/>
        <w:rPr>
          <w:sz w:val="20"/>
          <w:szCs w:val="20"/>
          <w:color w:val="auto"/>
        </w:rPr>
      </w:pPr>
      <w:r>
        <w:rPr>
          <w:rFonts w:ascii="Arial" w:cs="Arial" w:eastAsia="Arial" w:hAnsi="Arial"/>
          <w:sz w:val="15"/>
          <w:szCs w:val="15"/>
          <w:i w:val="1"/>
          <w:iCs w:val="1"/>
          <w:color w:val="auto"/>
        </w:rPr>
        <w:t xml:space="preserve">Depreciation and Amortization Expense. </w:t>
      </w:r>
      <w:r>
        <w:rPr>
          <w:rFonts w:ascii="Arial" w:cs="Arial" w:eastAsia="Arial" w:hAnsi="Arial"/>
          <w:sz w:val="15"/>
          <w:szCs w:val="15"/>
          <w:color w:val="auto"/>
        </w:rPr>
        <w:t>Depreciation within this caption includes infrastructure items such as computer hardware and software, office</w:t>
      </w:r>
      <w:r>
        <w:rPr>
          <w:rFonts w:ascii="Arial" w:cs="Arial" w:eastAsia="Arial" w:hAnsi="Arial"/>
          <w:sz w:val="15"/>
          <w:szCs w:val="15"/>
          <w:i w:val="1"/>
          <w:iCs w:val="1"/>
          <w:color w:val="auto"/>
        </w:rPr>
        <w:t xml:space="preserve"> </w:t>
      </w:r>
      <w:r>
        <w:rPr>
          <w:rFonts w:ascii="Arial" w:cs="Arial" w:eastAsia="Arial" w:hAnsi="Arial"/>
          <w:sz w:val="15"/>
          <w:szCs w:val="15"/>
          <w:color w:val="auto"/>
        </w:rPr>
        <w:t>equipment and leasehold improvements. Depreciation of revenue-generating assets, such as infusion pumps, is included in cost of revenue.</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78" w:lineRule="exact"/>
        <w:rPr>
          <w:sz w:val="20"/>
          <w:szCs w:val="20"/>
          <w:color w:val="auto"/>
        </w:rPr>
      </w:pPr>
    </w:p>
    <w:p>
      <w:pPr>
        <w:jc w:val="both"/>
        <w:ind w:right="180" w:firstLine="319"/>
        <w:spacing w:after="0" w:line="256"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consists principally of interest payments on the Company’s outstanding borrowings under the ABL Facility,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Lien Term Loan and Senior Notes, amortization of discount and deferred financing fees. Refer to the “Liquidity and Capital Resources” section below for further discussion of these outstanding borrowings.</w:t>
      </w:r>
    </w:p>
    <w:p>
      <w:pPr>
        <w:spacing w:after="0" w:line="161" w:lineRule="exact"/>
        <w:rPr>
          <w:sz w:val="20"/>
          <w:szCs w:val="20"/>
          <w:color w:val="auto"/>
        </w:rPr>
      </w:pPr>
    </w:p>
    <w:p>
      <w:pPr>
        <w:ind w:right="380" w:firstLine="319"/>
        <w:spacing w:after="0" w:line="265" w:lineRule="auto"/>
        <w:rPr>
          <w:sz w:val="20"/>
          <w:szCs w:val="20"/>
          <w:color w:val="auto"/>
        </w:rPr>
      </w:pPr>
      <w:r>
        <w:rPr>
          <w:rFonts w:ascii="Arial" w:cs="Arial" w:eastAsia="Arial" w:hAnsi="Arial"/>
          <w:sz w:val="18"/>
          <w:szCs w:val="18"/>
          <w:i w:val="1"/>
          <w:iCs w:val="1"/>
          <w:color w:val="auto"/>
        </w:rPr>
        <w:t>Equity in Earnings of Joint Ventures</w:t>
      </w:r>
      <w:r>
        <w:rPr>
          <w:rFonts w:ascii="Arial" w:cs="Arial" w:eastAsia="Arial" w:hAnsi="Arial"/>
          <w:sz w:val="18"/>
          <w:szCs w:val="18"/>
          <w:color w:val="auto"/>
        </w:rPr>
        <w:t>. Equity in earnings of joint ventures consists of our proportionate share of equity earnings or losses from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two infusion joint ventures with health systems.</w:t>
      </w:r>
    </w:p>
    <w:p>
      <w:pPr>
        <w:spacing w:after="0" w:line="141" w:lineRule="exact"/>
        <w:rPr>
          <w:sz w:val="20"/>
          <w:szCs w:val="20"/>
          <w:color w:val="auto"/>
        </w:rPr>
      </w:pPr>
    </w:p>
    <w:p>
      <w:pPr>
        <w:ind w:right="200" w:firstLine="319"/>
        <w:spacing w:after="0" w:line="265"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Other income (expense) primarily includes activity in the prior year loss on extinguishment of debt incurred in connection with the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2021 debt refinancing and miscellaneous non-operating expenses.</w:t>
      </w:r>
    </w:p>
    <w:p>
      <w:pPr>
        <w:spacing w:after="0" w:line="141" w:lineRule="exact"/>
        <w:rPr>
          <w:sz w:val="20"/>
          <w:szCs w:val="20"/>
          <w:color w:val="auto"/>
        </w:rPr>
      </w:pPr>
    </w:p>
    <w:p>
      <w:pPr>
        <w:ind w:right="100" w:firstLine="319"/>
        <w:spacing w:after="0" w:line="265"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The Company is subject to taxation in the United States and various states. The Company’s income tax expense is reflective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federal and state tax rates.</w:t>
      </w:r>
    </w:p>
    <w:p>
      <w:pPr>
        <w:spacing w:after="0" w:line="154" w:lineRule="exact"/>
        <w:rPr>
          <w:sz w:val="20"/>
          <w:szCs w:val="20"/>
          <w:color w:val="auto"/>
        </w:rPr>
      </w:pPr>
    </w:p>
    <w:p>
      <w:pPr>
        <w:jc w:val="both"/>
        <w:ind w:right="160" w:firstLine="319"/>
        <w:spacing w:after="0" w:line="256" w:lineRule="auto"/>
        <w:rPr>
          <w:sz w:val="20"/>
          <w:szCs w:val="20"/>
          <w:color w:val="auto"/>
        </w:rPr>
      </w:pPr>
      <w:r>
        <w:rPr>
          <w:rFonts w:ascii="Arial" w:cs="Arial" w:eastAsia="Arial" w:hAnsi="Arial"/>
          <w:sz w:val="18"/>
          <w:szCs w:val="18"/>
          <w:i w:val="1"/>
          <w:iCs w:val="1"/>
          <w:color w:val="auto"/>
        </w:rPr>
        <w:t>Change in unrealized gains (losses) on cash flow hedges, net of income tax expense (benefit)</w:t>
      </w:r>
      <w:r>
        <w:rPr>
          <w:rFonts w:ascii="Arial" w:cs="Arial" w:eastAsia="Arial" w:hAnsi="Arial"/>
          <w:sz w:val="18"/>
          <w:szCs w:val="18"/>
          <w:color w:val="auto"/>
        </w:rPr>
        <w:t>. Change in unrealized gains (losses) on cash flow hedges,</w:t>
      </w:r>
      <w:r>
        <w:rPr>
          <w:rFonts w:ascii="Arial" w:cs="Arial" w:eastAsia="Arial" w:hAnsi="Arial"/>
          <w:sz w:val="18"/>
          <w:szCs w:val="18"/>
          <w:i w:val="1"/>
          <w:iCs w:val="1"/>
          <w:color w:val="auto"/>
        </w:rPr>
        <w:t xml:space="preserve"> </w:t>
      </w:r>
      <w:r>
        <w:rPr>
          <w:rFonts w:ascii="Arial" w:cs="Arial" w:eastAsia="Arial" w:hAnsi="Arial"/>
          <w:sz w:val="18"/>
          <w:szCs w:val="18"/>
          <w:color w:val="auto"/>
        </w:rPr>
        <w:t>net of income taxes, consists of the gains and losses associated with the changes in the fair value of derivatives designated as hedging instruments related to the interest rate caps and interest rate swaps, net of income taxes.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4" w:lineRule="exact"/>
        <w:rPr>
          <w:sz w:val="20"/>
          <w:szCs w:val="20"/>
          <w:color w:val="auto"/>
        </w:rPr>
      </w:pPr>
    </w:p>
    <w:p>
      <w:pPr>
        <w:ind w:right="80" w:firstLine="319"/>
        <w:spacing w:after="0" w:line="265" w:lineRule="auto"/>
        <w:rPr>
          <w:sz w:val="20"/>
          <w:szCs w:val="20"/>
          <w:color w:val="auto"/>
        </w:rPr>
      </w:pPr>
      <w:r>
        <w:rPr>
          <w:rFonts w:ascii="Arial" w:cs="Arial" w:eastAsia="Arial" w:hAnsi="Arial"/>
          <w:sz w:val="18"/>
          <w:szCs w:val="18"/>
          <w:color w:val="auto"/>
        </w:rPr>
        <w:t>The following table presents Option Care Health’s consolidated results of operations for the three and six months ended June 30, 2022 and June 30, 2021 (in thousands, except for percentages):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7"/>
              </w:rPr>
              <w:t>For the three months ended</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For the six months ended</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4"/>
          </w:tcPr>
          <w:p>
            <w:pPr>
              <w:ind w:left="460"/>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Pr>
          <w:p>
            <w:pPr>
              <w:spacing w:after="0"/>
              <w:rPr>
                <w:sz w:val="17"/>
                <w:szCs w:val="17"/>
                <w:color w:val="auto"/>
              </w:rPr>
            </w:pPr>
          </w:p>
        </w:tc>
        <w:tc>
          <w:tcPr>
            <w:tcW w:w="200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4"/>
          </w:tcPr>
          <w:p>
            <w:pPr>
              <w:ind w:left="480"/>
              <w:spacing w:after="0"/>
              <w:rPr>
                <w:sz w:val="20"/>
                <w:szCs w:val="20"/>
                <w:color w:val="auto"/>
              </w:rPr>
            </w:pPr>
            <w:r>
              <w:rPr>
                <w:rFonts w:ascii="Arial" w:cs="Arial" w:eastAsia="Arial" w:hAnsi="Arial"/>
                <w:sz w:val="16"/>
                <w:szCs w:val="16"/>
                <w:b w:val="1"/>
                <w:bCs w:val="1"/>
                <w:color w:val="auto"/>
              </w:rPr>
              <w:t>June 30, 2022</w:t>
            </w:r>
          </w:p>
        </w:tc>
        <w:tc>
          <w:tcPr>
            <w:tcW w:w="160" w:type="dxa"/>
            <w:vAlign w:val="bottom"/>
          </w:tcPr>
          <w:p>
            <w:pPr>
              <w:spacing w:after="0"/>
              <w:rPr>
                <w:sz w:val="17"/>
                <w:szCs w:val="17"/>
                <w:color w:val="auto"/>
              </w:rPr>
            </w:pPr>
          </w:p>
        </w:tc>
        <w:tc>
          <w:tcPr>
            <w:tcW w:w="202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06"/>
        </w:trPr>
        <w:tc>
          <w:tcPr>
            <w:tcW w:w="23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 of Revenue</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980,820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860,272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1,896,604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763,920</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661,304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76.9 %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1,478,768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78.0 %</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1,255,068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77.5 %</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417,836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364,441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OPERATING COSTS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140"/>
              <w:spacing w:after="0" w:line="163" w:lineRule="exact"/>
              <w:rPr>
                <w:sz w:val="20"/>
                <w:szCs w:val="20"/>
                <w:color w:val="auto"/>
              </w:rPr>
            </w:pPr>
            <w:r>
              <w:rPr>
                <w:rFonts w:ascii="Arial" w:cs="Arial" w:eastAsia="Arial" w:hAnsi="Arial"/>
                <w:sz w:val="16"/>
                <w:szCs w:val="16"/>
                <w:color w:val="auto"/>
              </w:rPr>
              <w:t>Selling, general and</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141,787</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134,257</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15.6 %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275,756</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14.5 %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254,297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7"/>
        </w:trPr>
        <w:tc>
          <w:tcPr>
            <w:tcW w:w="2340" w:type="dxa"/>
            <w:vAlign w:val="bottom"/>
          </w:tcPr>
          <w:p>
            <w:pPr>
              <w:ind w:left="140"/>
              <w:spacing w:after="0"/>
              <w:rPr>
                <w:sz w:val="20"/>
                <w:szCs w:val="20"/>
                <w:color w:val="auto"/>
              </w:rPr>
            </w:pPr>
            <w:r>
              <w:rPr>
                <w:rFonts w:ascii="Arial" w:cs="Arial" w:eastAsia="Arial" w:hAnsi="Arial"/>
                <w:sz w:val="16"/>
                <w:szCs w:val="16"/>
                <w:color w:val="auto"/>
              </w:rPr>
              <w:t>administrative expenses</w:t>
            </w: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3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16,037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16,619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30,759</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32,958</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expense</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157,824</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16.1 %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150,876</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16.2 %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287,255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17.7 %</w:t>
            </w:r>
          </w:p>
        </w:tc>
        <w:tc>
          <w:tcPr>
            <w:tcW w:w="0" w:type="dxa"/>
            <w:vAlign w:val="bottom"/>
          </w:tcPr>
          <w:p>
            <w:pPr>
              <w:spacing w:after="0"/>
              <w:rPr>
                <w:sz w:val="1"/>
                <w:szCs w:val="1"/>
                <w:color w:val="auto"/>
              </w:rPr>
            </w:pPr>
          </w:p>
        </w:tc>
      </w:tr>
      <w:tr>
        <w:trPr>
          <w:trHeight w:val="208"/>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59,076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48,092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OTHER INCOME (EXPENSE):</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(12,765)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(17,236)</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(25,011)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(36,717)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65"/>
        </w:trPr>
        <w:tc>
          <w:tcPr>
            <w:tcW w:w="23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2,891</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ventures</w:t>
            </w: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 %</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(12,396)</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6"/>
        </w:trPr>
        <w:tc>
          <w:tcPr>
            <w:tcW w:w="2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other expense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8"/>
        </w:trPr>
        <w:tc>
          <w:tcPr>
            <w:tcW w:w="2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INCOME BEFORE INCOME</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47,638</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32,547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88,906</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30,964</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24,702</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1.3 %</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33"/>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OTHER COMPREHENSIVE</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NET OF TAX:</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340" w:type="dxa"/>
            <w:vAlign w:val="bottom"/>
          </w:tcPr>
          <w:p>
            <w:pPr>
              <w:ind w:left="20"/>
              <w:spacing w:after="0" w:line="163" w:lineRule="exact"/>
              <w:rPr>
                <w:sz w:val="20"/>
                <w:szCs w:val="20"/>
                <w:color w:val="auto"/>
              </w:rPr>
            </w:pPr>
            <w:r>
              <w:rPr>
                <w:rFonts w:ascii="Arial" w:cs="Arial" w:eastAsia="Arial" w:hAnsi="Arial"/>
                <w:sz w:val="16"/>
                <w:szCs w:val="16"/>
                <w:color w:val="auto"/>
                <w:w w:val="90"/>
              </w:rPr>
              <w:t>Change in unrealized gains on cash</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40" w:type="dxa"/>
            <w:vAlign w:val="bottom"/>
          </w:tcPr>
          <w:p>
            <w:pPr>
              <w:ind w:left="20"/>
              <w:spacing w:after="0" w:line="159" w:lineRule="exact"/>
              <w:rPr>
                <w:sz w:val="20"/>
                <w:szCs w:val="20"/>
                <w:color w:val="auto"/>
              </w:rPr>
            </w:pPr>
            <w:r>
              <w:rPr>
                <w:rFonts w:ascii="Arial" w:cs="Arial" w:eastAsia="Arial" w:hAnsi="Arial"/>
                <w:sz w:val="16"/>
                <w:szCs w:val="16"/>
                <w:color w:val="auto"/>
              </w:rPr>
              <w:t>flow hedges, net of income tax</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40" w:type="dxa"/>
            <w:vAlign w:val="bottom"/>
          </w:tcPr>
          <w:p>
            <w:pPr>
              <w:ind w:left="20"/>
              <w:spacing w:after="0" w:line="159" w:lineRule="exact"/>
              <w:rPr>
                <w:sz w:val="20"/>
                <w:szCs w:val="20"/>
                <w:color w:val="auto"/>
              </w:rPr>
            </w:pPr>
            <w:r>
              <w:rPr>
                <w:rFonts w:ascii="Arial" w:cs="Arial" w:eastAsia="Arial" w:hAnsi="Arial"/>
                <w:sz w:val="16"/>
                <w:szCs w:val="16"/>
                <w:color w:val="auto"/>
                <w:w w:val="96"/>
              </w:rPr>
              <w:t>expense of $756, $0, $4,519, and</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4,637</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4,199</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15,707</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8,280</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7"/>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$0, respectively</w:t>
            </w:r>
          </w:p>
        </w:tc>
        <w:tc>
          <w:tcPr>
            <w:tcW w:w="1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2340" w:type="dxa"/>
            <w:vAlign w:val="bottom"/>
            <w:shd w:val="clear" w:color="auto" w:fill="CCEEFF"/>
          </w:tcPr>
          <w:p>
            <w:pPr>
              <w:ind w:left="220"/>
              <w:spacing w:after="0" w:line="145" w:lineRule="exact"/>
              <w:rPr>
                <w:sz w:val="20"/>
                <w:szCs w:val="20"/>
                <w:color w:val="auto"/>
              </w:rPr>
            </w:pPr>
            <w:r>
              <w:rPr>
                <w:rFonts w:ascii="Arial" w:cs="Arial" w:eastAsia="Arial" w:hAnsi="Arial"/>
                <w:sz w:val="16"/>
                <w:szCs w:val="16"/>
                <w:color w:val="auto"/>
              </w:rPr>
              <w:t>OTHER COMPREHENSIVE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4"/>
        </w:trPr>
        <w:tc>
          <w:tcPr>
            <w:tcW w:w="2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w:t>
            </w: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340" w:type="dxa"/>
            <w:vAlign w:val="bottom"/>
          </w:tcPr>
          <w:p>
            <w:pPr>
              <w:ind w:left="20"/>
              <w:spacing w:after="0" w:line="143" w:lineRule="exact"/>
              <w:rPr>
                <w:sz w:val="20"/>
                <w:szCs w:val="20"/>
                <w:color w:val="auto"/>
              </w:rPr>
            </w:pPr>
            <w:r>
              <w:rPr>
                <w:rFonts w:ascii="Arial" w:cs="Arial" w:eastAsia="Arial" w:hAnsi="Arial"/>
                <w:sz w:val="16"/>
                <w:szCs w:val="16"/>
                <w:color w:val="auto"/>
              </w:rPr>
              <w:t>NET COMPREHENSIVE</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38,566</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36,015</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79,911</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37,235</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line="183" w:lineRule="exact"/>
              <w:rPr>
                <w:sz w:val="20"/>
                <w:szCs w:val="20"/>
                <w:color w:val="auto"/>
              </w:rPr>
            </w:pPr>
            <w:r>
              <w:rPr>
                <w:rFonts w:ascii="Arial" w:cs="Arial" w:eastAsia="Arial" w:hAnsi="Arial"/>
                <w:sz w:val="16"/>
                <w:szCs w:val="16"/>
                <w:color w:val="auto"/>
              </w:rPr>
              <w:t>INCOME</w:t>
            </w:r>
          </w:p>
        </w:tc>
        <w:tc>
          <w:tcPr>
            <w:tcW w:w="1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Three Months Ended June 30, 2022 Compared to Three Months Ended June 30, 2021</w:t>
      </w:r>
    </w:p>
    <w:p>
      <w:pPr>
        <w:spacing w:after="0" w:line="197" w:lineRule="exact"/>
        <w:rPr>
          <w:sz w:val="20"/>
          <w:szCs w:val="20"/>
          <w:color w:val="auto"/>
        </w:rPr>
      </w:pPr>
    </w:p>
    <w:p>
      <w:pPr>
        <w:ind w:right="540" w:firstLine="319"/>
        <w:spacing w:after="0" w:line="265"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three months ended June 30, 2022 and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For the three months ended</w:t>
            </w: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180" w:type="dxa"/>
            <w:vAlign w:val="bottom"/>
          </w:tcPr>
          <w:p>
            <w:pPr>
              <w:spacing w:after="0"/>
              <w:rPr>
                <w:sz w:val="17"/>
                <w:szCs w:val="17"/>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2021</w:t>
            </w: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60" w:type="dxa"/>
            <w:vAlign w:val="bottom"/>
            <w:gridSpan w:val="6"/>
          </w:tcPr>
          <w:p>
            <w:pPr>
              <w:ind w:left="6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980,820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860,272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120,548</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0" w:type="dxa"/>
            <w:vAlign w:val="bottom"/>
          </w:tcPr>
          <w:p>
            <w:pPr>
              <w:spacing w:after="0"/>
              <w:rPr>
                <w:sz w:val="1"/>
                <w:szCs w:val="1"/>
                <w:color w:val="auto"/>
              </w:rPr>
            </w:pPr>
          </w:p>
        </w:tc>
      </w:tr>
      <w:tr>
        <w:trPr>
          <w:trHeight w:val="21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763,920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661,304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102,616</w:t>
            </w:r>
          </w:p>
        </w:tc>
        <w:tc>
          <w:tcPr>
            <w:tcW w:w="7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33"/>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216,900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198,968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17,932</w:t>
            </w:r>
          </w:p>
        </w:tc>
        <w:tc>
          <w:tcPr>
            <w:tcW w:w="7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22.1 %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spacing w:after="0" w:line="181" w:lineRule="exact"/>
              <w:rPr>
                <w:sz w:val="20"/>
                <w:szCs w:val="20"/>
                <w:color w:val="auto"/>
              </w:rPr>
            </w:pPr>
            <w:r>
              <w:rPr>
                <w:rFonts w:ascii="Arial" w:cs="Arial" w:eastAsia="Arial" w:hAnsi="Arial"/>
                <w:sz w:val="16"/>
                <w:szCs w:val="16"/>
                <w:color w:val="auto"/>
              </w:rPr>
              <w:t>23.1 %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ind w:right="20" w:firstLine="319"/>
        <w:spacing w:after="0" w:line="269"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low single digit growth relative to the prior year while chronic revenue grew in the mid-teens. Acquisition related growth accounted for approximately 2% and 3% of the increase in net revenue and gross profit, respectively. The increase in cost of revenue was driven by the growth in revenue. The increase in gross profit was primarily related to contribution margin from the increase in net revenue. Gross profit margin decreased from prior year due to the impact of mix shift toward lower margin Chronic therapies and impact of inflation and rising fuel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0" w:right="1480"/>
        <w:spacing w:after="0" w:line="346"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For the 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June 30, 2021</w:t>
            </w: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3"/>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5"/>
          </w:tcPr>
          <w:p>
            <w:pPr>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1"/>
                <w:szCs w:val="21"/>
                <w:color w:val="auto"/>
              </w:rPr>
            </w:pPr>
          </w:p>
        </w:tc>
      </w:tr>
      <w:tr>
        <w:trPr>
          <w:trHeight w:val="212"/>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141,787</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134,257</w:t>
            </w:r>
          </w:p>
        </w:tc>
        <w:tc>
          <w:tcPr>
            <w:tcW w:w="100" w:type="dxa"/>
            <w:vAlign w:val="bottom"/>
          </w:tcPr>
          <w:p>
            <w:pPr>
              <w:spacing w:after="0"/>
              <w:rPr>
                <w:sz w:val="18"/>
                <w:szCs w:val="18"/>
                <w:color w:val="auto"/>
              </w:rPr>
            </w:pPr>
          </w:p>
        </w:tc>
        <w:tc>
          <w:tcPr>
            <w:tcW w:w="460" w:type="dxa"/>
            <w:vAlign w:val="bottom"/>
          </w:tcPr>
          <w:p>
            <w:pPr>
              <w:jc w:val="right"/>
              <w:ind w:right="28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7,530</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5"/>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16,037</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16,619</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8"/>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157,824</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150,876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6,948</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-446405</wp:posOffset>
            </wp:positionV>
            <wp:extent cx="693229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2295" cy="134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-176530</wp:posOffset>
            </wp:positionV>
            <wp:extent cx="6932295" cy="16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229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121" w:right="339" w:bottom="1440" w:gutter="0" w:footer="0" w:header="0"/>
          <w:type w:val="continuous"/>
        </w:sectPr>
      </w:pPr>
    </w:p>
    <w:p>
      <w:pPr>
        <w:spacing w:after="0" w:line="53" w:lineRule="exact"/>
        <w:rPr>
          <w:sz w:val="20"/>
          <w:szCs w:val="20"/>
          <w:color w:val="auto"/>
        </w:rPr>
      </w:pPr>
    </w:p>
    <w:p>
      <w:pPr>
        <w:ind w:right="260" w:firstLine="319"/>
        <w:spacing w:after="0" w:line="331" w:lineRule="auto"/>
        <w:rPr>
          <w:sz w:val="20"/>
          <w:szCs w:val="20"/>
          <w:color w:val="auto"/>
        </w:rPr>
      </w:pPr>
      <w:r>
        <w:rPr>
          <w:rFonts w:ascii="Arial" w:cs="Arial" w:eastAsia="Arial" w:hAnsi="Arial"/>
          <w:sz w:val="15"/>
          <w:szCs w:val="15"/>
          <w:color w:val="auto"/>
        </w:rPr>
        <w:t>The increase in selling, general and administrative expenses is primarily due to salaries and benefits as a result of acquired team members and inflationary pressures, but has decreased as a percentage of revenue to 14.5% for the three months ended June 30, 2022 as compared to 15.6% for the three months ended June 30, 2021, as our revenue has grown at a faster pace than our selling, general and administrative expenses.</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depreciation and amortization expense is primarily attributed to certain intangible assets whose useful life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4"/>
        </w:trPr>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June 30, 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4"/>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580"/>
              <w:spacing w:after="0"/>
              <w:rPr>
                <w:sz w:val="20"/>
                <w:szCs w:val="20"/>
                <w:color w:val="auto"/>
              </w:rPr>
            </w:pPr>
            <w:r>
              <w:rPr>
                <w:rFonts w:ascii="Arial" w:cs="Arial" w:eastAsia="Arial" w:hAnsi="Arial"/>
                <w:sz w:val="16"/>
                <w:szCs w:val="16"/>
                <w:b w:val="1"/>
                <w:bCs w:val="1"/>
                <w:color w:val="auto"/>
              </w:rPr>
              <w:t>Variance</w:t>
            </w:r>
          </w:p>
        </w:tc>
        <w:tc>
          <w:tcPr>
            <w:tcW w:w="740" w:type="dxa"/>
            <w:vAlign w:val="bottom"/>
            <w:tcBorders>
              <w:bottom w:val="single" w:sz="8" w:color="auto"/>
            </w:tcBorders>
          </w:tcPr>
          <w:p>
            <w:pPr>
              <w:spacing w:after="0"/>
              <w:rPr>
                <w:sz w:val="18"/>
                <w:szCs w:val="18"/>
                <w:color w:val="auto"/>
              </w:rPr>
            </w:pPr>
          </w:p>
        </w:tc>
      </w:tr>
      <w:tr>
        <w:trPr>
          <w:trHeight w:val="246"/>
        </w:trPr>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60" w:type="dxa"/>
            <w:vAlign w:val="bottom"/>
            <w:gridSpan w:val="7"/>
          </w:tcPr>
          <w:p>
            <w:pPr>
              <w:ind w:left="80"/>
              <w:spacing w:after="0"/>
              <w:rPr>
                <w:sz w:val="20"/>
                <w:szCs w:val="20"/>
                <w:color w:val="auto"/>
              </w:rPr>
            </w:pPr>
            <w:r>
              <w:rPr>
                <w:rFonts w:ascii="Arial" w:cs="Arial" w:eastAsia="Arial" w:hAnsi="Arial"/>
                <w:sz w:val="16"/>
                <w:szCs w:val="16"/>
                <w:b w:val="1"/>
                <w:bCs w:val="1"/>
                <w:color w:val="auto"/>
              </w:rPr>
              <w:t>(in thousands, except for percentages)</w:t>
            </w:r>
          </w:p>
        </w:tc>
        <w:tc>
          <w:tcPr>
            <w:tcW w:w="740" w:type="dxa"/>
            <w:vAlign w:val="bottom"/>
          </w:tcPr>
          <w:p>
            <w:pPr>
              <w:spacing w:after="0"/>
              <w:rPr>
                <w:sz w:val="21"/>
                <w:szCs w:val="21"/>
                <w:color w:val="auto"/>
              </w:rPr>
            </w:pPr>
          </w:p>
        </w:tc>
      </w:tr>
      <w:tr>
        <w:trPr>
          <w:trHeight w:val="215"/>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(17,236)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r>
      <w:tr>
        <w:trPr>
          <w:trHeight w:val="208"/>
        </w:trPr>
        <w:tc>
          <w:tcPr>
            <w:tcW w:w="544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(11,438)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(15,545)</w:t>
            </w:r>
          </w:p>
        </w:tc>
        <w:tc>
          <w:tcPr>
            <w:tcW w:w="120" w:type="dxa"/>
            <w:vAlign w:val="bottom"/>
          </w:tcPr>
          <w:p>
            <w:pPr>
              <w:spacing w:after="0"/>
              <w:rPr>
                <w:sz w:val="18"/>
                <w:szCs w:val="18"/>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4,107</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right="280" w:firstLine="319"/>
        <w:spacing w:after="0" w:line="366" w:lineRule="auto"/>
        <w:rPr>
          <w:sz w:val="20"/>
          <w:szCs w:val="20"/>
          <w:color w:val="auto"/>
        </w:rPr>
      </w:pPr>
      <w:r>
        <w:rPr>
          <w:rFonts w:ascii="Arial" w:cs="Arial" w:eastAsia="Arial" w:hAnsi="Arial"/>
          <w:sz w:val="15"/>
          <w:szCs w:val="15"/>
          <w:color w:val="auto"/>
        </w:rPr>
        <w:t xml:space="preserve">The decrease in interest expense during the three months ended June 30, 2022 was primarily attributable to the debt refinancing of the First Lien Term Loan and issuance of Senior Notes in October 2021. See Note 10, </w:t>
      </w:r>
      <w:r>
        <w:rPr>
          <w:rFonts w:ascii="Arial" w:cs="Arial" w:eastAsia="Arial" w:hAnsi="Arial"/>
          <w:sz w:val="15"/>
          <w:szCs w:val="15"/>
          <w:i w:val="1"/>
          <w:iCs w:val="1"/>
          <w:color w:val="auto"/>
        </w:rPr>
        <w:t>Indebtedness</w:t>
      </w:r>
      <w:r>
        <w:rPr>
          <w:rFonts w:ascii="Arial" w:cs="Arial" w:eastAsia="Arial" w:hAnsi="Arial"/>
          <w:sz w:val="15"/>
          <w:szCs w:val="15"/>
          <w:color w:val="auto"/>
        </w:rPr>
        <w:t>, of the consolidated financial statements for further information.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equity in earnings of joint ventures was primarily attributable to the performance of the joint ventures.</w:t>
      </w:r>
    </w:p>
    <w:p>
      <w:pPr>
        <w:spacing w:after="0" w:line="200" w:lineRule="exact"/>
        <w:rPr>
          <w:sz w:val="20"/>
          <w:szCs w:val="20"/>
          <w:color w:val="auto"/>
        </w:rPr>
      </w:pPr>
    </w:p>
    <w:p>
      <w:pPr>
        <w:spacing w:after="0" w:line="3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137"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For the three months ended</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4"/>
        </w:trPr>
        <w:tc>
          <w:tcPr>
            <w:tcW w:w="5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60"/>
              <w:spacing w:after="0"/>
              <w:rPr>
                <w:sz w:val="20"/>
                <w:szCs w:val="20"/>
                <w:color w:val="auto"/>
              </w:rPr>
            </w:pPr>
            <w:r>
              <w:rPr>
                <w:rFonts w:ascii="Arial" w:cs="Arial" w:eastAsia="Arial" w:hAnsi="Arial"/>
                <w:sz w:val="16"/>
                <w:szCs w:val="16"/>
                <w:b w:val="1"/>
                <w:bCs w:val="1"/>
                <w:color w:val="auto"/>
                <w:w w:val="88"/>
              </w:rPr>
              <w:t>June 30, 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June 30, 2021</w:t>
            </w: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4"/>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(unaudited)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46"/>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w w:val="90"/>
              </w:rPr>
              <w:t>(in thousands, except for percentages)</w:t>
            </w:r>
          </w:p>
        </w:tc>
        <w:tc>
          <w:tcPr>
            <w:tcW w:w="820" w:type="dxa"/>
            <w:vAlign w:val="bottom"/>
          </w:tcPr>
          <w:p>
            <w:pPr>
              <w:spacing w:after="0"/>
              <w:rPr>
                <w:sz w:val="21"/>
                <w:szCs w:val="21"/>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12,978</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1,775.4 %</w:t>
            </w: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firstLine="319"/>
        <w:spacing w:after="0" w:line="302" w:lineRule="auto"/>
        <w:rPr>
          <w:sz w:val="20"/>
          <w:szCs w:val="20"/>
          <w:color w:val="auto"/>
        </w:rPr>
      </w:pPr>
      <w:r>
        <w:rPr>
          <w:rFonts w:ascii="Arial" w:cs="Arial" w:eastAsia="Arial" w:hAnsi="Arial"/>
          <w:sz w:val="15"/>
          <w:szCs w:val="15"/>
          <w:color w:val="auto"/>
        </w:rPr>
        <w:t>The Company maintains a valuation allowance of $13.0 million against certain state net operating losses (“NOLs”). The Company’s tax expense for the three months ended June 30, 2022 consists of quarterly tax liabilities attributable to state tax returns as well as recognized deferred federal and state tax expense. These tax expense items resulted in an effective tax rate of 28.8% during the three months ended June 30, 2022. During the three months ended June 30, 2021, the effective tax rate was 2.2%. The variance in the Company’s effective tax rate of 28.8% for the three months ended June 30, 2022 compared to the federal statutory rate of 21% is primarily attributable to current and deferred state taxes as well as various non-deductible expenses. The variance in the Company’s effective tax rate of 2.2% for the three months ended June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 The variance in the year-over-year effective tax rates is primarily attributable to the Company not recognizing any tax benefit for the period ended June 30, 2021 because it maintained a full tax valuation allowance reserve against such benefits. This reserve was subsequently reversed during the three months ended December 31, 2021, with the exception of the $13.0 million allowance noted above. Therefore, the reserve was not applicable in computing tax expense for the three months ended June 30, 2022, thus producing the effective tax rate variance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Income and Other Comprehensive Income</w:t>
      </w:r>
    </w:p>
    <w:p>
      <w:pPr>
        <w:spacing w:after="0" w:line="23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5"/>
          </w:tcPr>
          <w:p>
            <w:pPr>
              <w:ind w:left="320"/>
              <w:spacing w:after="0"/>
              <w:rPr>
                <w:sz w:val="20"/>
                <w:szCs w:val="20"/>
                <w:color w:val="auto"/>
              </w:rPr>
            </w:pPr>
            <w:r>
              <w:rPr>
                <w:rFonts w:ascii="Arial" w:cs="Arial" w:eastAsia="Arial" w:hAnsi="Arial"/>
                <w:sz w:val="16"/>
                <w:szCs w:val="16"/>
                <w:b w:val="1"/>
                <w:bCs w:val="1"/>
                <w:color w:val="auto"/>
              </w:rPr>
              <w:t>For the three months ended</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40"/>
              <w:spacing w:after="0"/>
              <w:rPr>
                <w:sz w:val="20"/>
                <w:szCs w:val="20"/>
                <w:color w:val="auto"/>
              </w:rPr>
            </w:pPr>
            <w:r>
              <w:rPr>
                <w:rFonts w:ascii="Arial" w:cs="Arial" w:eastAsia="Arial" w:hAnsi="Arial"/>
                <w:sz w:val="16"/>
                <w:szCs w:val="16"/>
                <w:b w:val="1"/>
                <w:bCs w:val="1"/>
                <w:color w:val="auto"/>
                <w:w w:val="94"/>
              </w:rPr>
              <w:t>June 30, 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Variance</w:t>
            </w:r>
          </w:p>
        </w:tc>
        <w:tc>
          <w:tcPr>
            <w:tcW w:w="720" w:type="dxa"/>
            <w:vAlign w:val="bottom"/>
            <w:tcBorders>
              <w:bottom w:val="single" w:sz="8" w:color="auto"/>
            </w:tcBorders>
          </w:tcPr>
          <w:p>
            <w:pPr>
              <w:spacing w:after="0"/>
              <w:rPr>
                <w:sz w:val="18"/>
                <w:szCs w:val="18"/>
                <w:color w:val="auto"/>
              </w:rPr>
            </w:pPr>
          </w:p>
        </w:tc>
      </w:tr>
      <w:tr>
        <w:trPr>
          <w:trHeight w:val="246"/>
        </w:trPr>
        <w:tc>
          <w:tcPr>
            <w:tcW w:w="5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2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for percentages)</w:t>
            </w:r>
          </w:p>
        </w:tc>
        <w:tc>
          <w:tcPr>
            <w:tcW w:w="720" w:type="dxa"/>
            <w:vAlign w:val="bottom"/>
          </w:tcPr>
          <w:p>
            <w:pPr>
              <w:spacing w:after="0"/>
              <w:rPr>
                <w:sz w:val="21"/>
                <w:szCs w:val="21"/>
                <w:color w:val="auto"/>
              </w:rPr>
            </w:pPr>
          </w:p>
        </w:tc>
      </w:tr>
      <w:tr>
        <w:trPr>
          <w:trHeight w:val="215"/>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5"/>
        </w:trPr>
        <w:tc>
          <w:tcPr>
            <w:tcW w:w="54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unrealized gains on cash flow hedges, 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03"/>
        </w:trPr>
        <w:tc>
          <w:tcPr>
            <w:tcW w:w="54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w:t>
            </w:r>
          </w:p>
        </w:tc>
        <w:tc>
          <w:tcPr>
            <w:tcW w:w="7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10.4 %</w:t>
            </w:r>
          </w:p>
        </w:tc>
      </w:tr>
      <w:tr>
        <w:trPr>
          <w:trHeight w:val="228"/>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7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change in net income was primarily attributable to organic growth from additional revenue related to the factors described in the above sections.</w:t>
      </w:r>
    </w:p>
    <w:p>
      <w:pPr>
        <w:spacing w:after="0" w:line="226" w:lineRule="exact"/>
        <w:rPr>
          <w:sz w:val="20"/>
          <w:szCs w:val="20"/>
          <w:color w:val="auto"/>
        </w:rPr>
      </w:pPr>
    </w:p>
    <w:p>
      <w:pPr>
        <w:ind w:right="100" w:firstLine="319"/>
        <w:spacing w:after="0" w:line="252" w:lineRule="auto"/>
        <w:rPr>
          <w:sz w:val="20"/>
          <w:szCs w:val="20"/>
          <w:color w:val="auto"/>
        </w:rPr>
      </w:pPr>
      <w:r>
        <w:rPr>
          <w:rFonts w:ascii="Arial" w:cs="Arial" w:eastAsia="Arial" w:hAnsi="Arial"/>
          <w:sz w:val="18"/>
          <w:szCs w:val="18"/>
          <w:color w:val="auto"/>
        </w:rPr>
        <w:t>For the three months ended June 30, 2022, the change in unrealized gains on cash flow hedges, net of income taxes, was primarily related to the increase in fair market value of the $300.0 million interest rate cap hedge executed in October 2021. For the three months ended June 30, 2021, the change in unrealized gains on cash flow hedges, net of income taxes, primarily related to the increase in fair value on the $925.0 million notional swap; the swap expired in August 2021.</w:t>
      </w:r>
    </w:p>
    <w:p>
      <w:pPr>
        <w:spacing w:after="0" w:line="153" w:lineRule="exact"/>
        <w:rPr>
          <w:sz w:val="20"/>
          <w:szCs w:val="20"/>
          <w:color w:val="auto"/>
        </w:rPr>
      </w:pPr>
    </w:p>
    <w:p>
      <w:pPr>
        <w:jc w:val="both"/>
        <w:ind w:right="20" w:firstLine="319"/>
        <w:spacing w:after="0" w:line="256" w:lineRule="auto"/>
        <w:rPr>
          <w:sz w:val="20"/>
          <w:szCs w:val="20"/>
          <w:color w:val="auto"/>
        </w:rPr>
      </w:pPr>
      <w:r>
        <w:rPr>
          <w:rFonts w:ascii="Arial" w:cs="Arial" w:eastAsia="Arial" w:hAnsi="Arial"/>
          <w:sz w:val="18"/>
          <w:szCs w:val="18"/>
          <w:color w:val="auto"/>
        </w:rPr>
        <w:t>Net comprehensive income increased to $38.6 million for the three months ended June 30, 2022, compared to net comprehensive income of $36.0 million for the three months ended June 30, 2021, primarily as a result of the changes in net income, discussed above, further increased by the impact of the fair value of the interest rate cap hedge.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Six Months Ended June 30, 2022 Compared to Six Months Ended June 30, 2021</w:t>
      </w:r>
    </w:p>
    <w:p>
      <w:pPr>
        <w:spacing w:after="0" w:line="197" w:lineRule="exact"/>
        <w:rPr>
          <w:sz w:val="20"/>
          <w:szCs w:val="20"/>
          <w:color w:val="auto"/>
        </w:rPr>
      </w:pPr>
    </w:p>
    <w:p>
      <w:pPr>
        <w:ind w:right="540" w:firstLine="319"/>
        <w:spacing w:after="0" w:line="265" w:lineRule="auto"/>
        <w:rPr>
          <w:sz w:val="20"/>
          <w:szCs w:val="20"/>
          <w:color w:val="auto"/>
        </w:rPr>
      </w:pPr>
      <w:r>
        <w:rPr>
          <w:rFonts w:ascii="Arial" w:cs="Arial" w:eastAsia="Arial" w:hAnsi="Arial"/>
          <w:sz w:val="18"/>
          <w:szCs w:val="18"/>
          <w:color w:val="auto"/>
        </w:rPr>
        <w:t>The following tables present selected consolidated comparative results of operations from Option Care Health’s unaudited condensed consolidated financial statements for the six months ended June 30, 2022 and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For the six months ended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50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0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60" w:type="dxa"/>
            <w:vAlign w:val="bottom"/>
            <w:gridSpan w:val="6"/>
          </w:tcPr>
          <w:p>
            <w:pPr>
              <w:ind w:left="8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1,896,604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1,619,509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277,095</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1,478,768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1,255,068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223,700</w:t>
            </w:r>
          </w:p>
        </w:tc>
        <w:tc>
          <w:tcPr>
            <w:tcW w:w="7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17.8 %</w:t>
            </w:r>
          </w:p>
        </w:tc>
        <w:tc>
          <w:tcPr>
            <w:tcW w:w="0" w:type="dxa"/>
            <w:vAlign w:val="bottom"/>
          </w:tcPr>
          <w:p>
            <w:pPr>
              <w:spacing w:after="0"/>
              <w:rPr>
                <w:sz w:val="1"/>
                <w:szCs w:val="1"/>
                <w:color w:val="auto"/>
              </w:rPr>
            </w:pPr>
          </w:p>
        </w:tc>
      </w:tr>
      <w:tr>
        <w:trPr>
          <w:trHeight w:val="233"/>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417,836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364,441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53,395</w:t>
            </w:r>
          </w:p>
        </w:tc>
        <w:tc>
          <w:tcPr>
            <w:tcW w:w="7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profit margin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0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22.0 %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Arial" w:cs="Arial" w:eastAsia="Arial" w:hAnsi="Arial"/>
                <w:sz w:val="16"/>
                <w:szCs w:val="16"/>
                <w:color w:val="auto"/>
              </w:rPr>
              <w:t>22.5 %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319"/>
        <w:spacing w:after="0" w:line="269" w:lineRule="auto"/>
        <w:rPr>
          <w:sz w:val="20"/>
          <w:szCs w:val="20"/>
          <w:color w:val="auto"/>
        </w:rPr>
      </w:pPr>
      <w:r>
        <w:rPr>
          <w:rFonts w:ascii="Arial" w:cs="Arial" w:eastAsia="Arial" w:hAnsi="Arial"/>
          <w:sz w:val="17"/>
          <w:szCs w:val="17"/>
          <w:color w:val="auto"/>
        </w:rPr>
        <w:t>The increase in net revenue was primarily driven by organic growth in the Company’s portfolio of therapies, consisting of acute revenue that had mid single digit growth relative to the prior year while chronic revenue grew in the low-twenties. Acquisition related growth accounted for approximately 2% and 3% of the increase in net revenue and gross profit, respectively. The increase in cost of revenue was driven by the growth in revenue. The increase in gross profit was primarily related to contribution margin from the increase in net revenue. Gross profit margin decreased from prior year due to the impact of mix shift toward lower margin Chronic therapies and impact of inflation and rising fuel costs.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right="1480"/>
        <w:spacing w:after="0" w:line="346" w:lineRule="auto"/>
        <w:rPr>
          <w:sz w:val="20"/>
          <w:szCs w:val="20"/>
          <w:color w:val="auto"/>
        </w:rPr>
      </w:pPr>
      <w:r>
        <w:rPr>
          <w:rFonts w:ascii="Arial" w:cs="Arial" w:eastAsia="Arial" w:hAnsi="Arial"/>
          <w:sz w:val="14"/>
          <w:szCs w:val="14"/>
          <w:color w:val="auto"/>
        </w:rPr>
        <w:t>Selling, general and administrative expenses Depreciation and amortization expense</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For the six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2022</w:t>
            </w: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June 30, 2021</w:t>
            </w:r>
          </w:p>
        </w:tc>
        <w:tc>
          <w:tcPr>
            <w:tcW w:w="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1"/>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3"/>
        </w:trPr>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380" w:type="dxa"/>
            <w:vAlign w:val="bottom"/>
            <w:gridSpan w:val="5"/>
          </w:tcPr>
          <w:p>
            <w:pPr>
              <w:spacing w:after="0"/>
              <w:rPr>
                <w:sz w:val="20"/>
                <w:szCs w:val="20"/>
                <w:color w:val="auto"/>
              </w:rPr>
            </w:pPr>
            <w:r>
              <w:rPr>
                <w:rFonts w:ascii="Arial" w:cs="Arial" w:eastAsia="Arial" w:hAnsi="Arial"/>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2"/>
        </w:trPr>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275,756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254,297</w:t>
            </w:r>
          </w:p>
        </w:tc>
        <w:tc>
          <w:tcPr>
            <w:tcW w:w="100" w:type="dxa"/>
            <w:vAlign w:val="bottom"/>
          </w:tcPr>
          <w:p>
            <w:pPr>
              <w:spacing w:after="0"/>
              <w:rPr>
                <w:sz w:val="18"/>
                <w:szCs w:val="18"/>
                <w:color w:val="auto"/>
              </w:rPr>
            </w:pPr>
          </w:p>
        </w:tc>
        <w:tc>
          <w:tcPr>
            <w:tcW w:w="440" w:type="dxa"/>
            <w:vAlign w:val="bottom"/>
          </w:tcPr>
          <w:p>
            <w:pPr>
              <w:jc w:val="right"/>
              <w:ind w:right="260"/>
              <w:spacing w:after="0"/>
              <w:rPr>
                <w:sz w:val="20"/>
                <w:szCs w:val="20"/>
                <w:color w:val="auto"/>
              </w:rPr>
            </w:pPr>
            <w:r>
              <w:rPr>
                <w:rFonts w:ascii="Arial" w:cs="Arial" w:eastAsia="Arial" w:hAnsi="Arial"/>
                <w:sz w:val="16"/>
                <w:szCs w:val="16"/>
                <w:color w:val="auto"/>
                <w:w w:val="89"/>
              </w:rPr>
              <w:t>$</w:t>
            </w:r>
          </w:p>
        </w:tc>
        <w:tc>
          <w:tcPr>
            <w:tcW w:w="840" w:type="dxa"/>
            <w:vAlign w:val="bottom"/>
          </w:tcPr>
          <w:p>
            <w:pPr>
              <w:ind w:left="340"/>
              <w:spacing w:after="0"/>
              <w:rPr>
                <w:sz w:val="20"/>
                <w:szCs w:val="20"/>
                <w:color w:val="auto"/>
              </w:rPr>
            </w:pPr>
            <w:r>
              <w:rPr>
                <w:rFonts w:ascii="Arial" w:cs="Arial" w:eastAsia="Arial" w:hAnsi="Arial"/>
                <w:sz w:val="16"/>
                <w:szCs w:val="16"/>
                <w:color w:val="auto"/>
                <w:w w:val="98"/>
              </w:rPr>
              <w:t>21,459</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8.4 %</w:t>
            </w:r>
          </w:p>
        </w:tc>
      </w:tr>
      <w:tr>
        <w:trPr>
          <w:trHeight w:val="215"/>
        </w:trPr>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32,958</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4"/>
              </w:rPr>
              <w:t>(2,199)</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8"/>
        </w:trPr>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306,515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287,255</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w w:val="98"/>
              </w:rPr>
              <w:t>19,260</w:t>
            </w:r>
          </w:p>
        </w:tc>
        <w:tc>
          <w:tcPr>
            <w:tcW w:w="7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6.7 %</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-446405</wp:posOffset>
            </wp:positionV>
            <wp:extent cx="6932295"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2295" cy="13462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-176530</wp:posOffset>
            </wp:positionV>
            <wp:extent cx="6932295" cy="16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229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740"/>
          </w:cols>
          <w:pgMar w:left="320" w:top="121" w:right="339" w:bottom="1440" w:gutter="0" w:footer="0" w:header="0"/>
          <w:type w:val="continuous"/>
        </w:sectPr>
      </w:pPr>
    </w:p>
    <w:p>
      <w:pPr>
        <w:spacing w:after="0" w:line="53" w:lineRule="exact"/>
        <w:rPr>
          <w:sz w:val="20"/>
          <w:szCs w:val="20"/>
          <w:color w:val="auto"/>
        </w:rPr>
      </w:pPr>
    </w:p>
    <w:p>
      <w:pPr>
        <w:ind w:right="560" w:firstLine="319"/>
        <w:spacing w:after="0" w:line="331" w:lineRule="auto"/>
        <w:rPr>
          <w:sz w:val="20"/>
          <w:szCs w:val="20"/>
          <w:color w:val="auto"/>
        </w:rPr>
      </w:pPr>
      <w:r>
        <w:rPr>
          <w:rFonts w:ascii="Arial" w:cs="Arial" w:eastAsia="Arial" w:hAnsi="Arial"/>
          <w:sz w:val="15"/>
          <w:szCs w:val="15"/>
          <w:color w:val="auto"/>
        </w:rPr>
        <w:t>The increase in selling, general and administrative expenses is primarily due to salaries and benefits as a result of acquired team members and inflationary pressures, but has decreased as a percentage of revenue to 14.5% for the six months ended June 30, 2022 as compared to 15.7% for the six months ended June 30, 2021, as our revenue has grown at a faster pace than our selling, general and administrative expenses.</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decrease in depreciation and amortization expense is primarily attributed to certain intangible assets whose useful life expired.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For the six months ended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54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4"/>
              </w:rPr>
              <w:t>June 30, 2022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11"/>
        </w:trPr>
        <w:tc>
          <w:tcPr>
            <w:tcW w:w="5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6"/>
        </w:trPr>
        <w:tc>
          <w:tcPr>
            <w:tcW w:w="5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20" w:type="dxa"/>
            <w:vAlign w:val="bottom"/>
            <w:gridSpan w:val="7"/>
          </w:tcPr>
          <w:p>
            <w:pPr>
              <w:jc w:val="right"/>
              <w:ind w:right="680"/>
              <w:spacing w:after="0"/>
              <w:rPr>
                <w:sz w:val="20"/>
                <w:szCs w:val="20"/>
                <w:color w:val="auto"/>
              </w:rPr>
            </w:pPr>
            <w:r>
              <w:rPr>
                <w:rFonts w:ascii="Arial" w:cs="Arial" w:eastAsia="Arial" w:hAnsi="Arial"/>
                <w:sz w:val="16"/>
                <w:szCs w:val="16"/>
                <w:b w:val="1"/>
                <w:bCs w:val="1"/>
                <w:color w:val="auto"/>
                <w:w w:val="89"/>
              </w:rPr>
              <w:t>(in thousands, except for percentages)</w:t>
            </w:r>
          </w:p>
        </w:tc>
        <w:tc>
          <w:tcPr>
            <w:tcW w:w="780" w:type="dxa"/>
            <w:vAlign w:val="bottom"/>
          </w:tcPr>
          <w:p>
            <w:pPr>
              <w:spacing w:after="0"/>
              <w:rPr>
                <w:sz w:val="21"/>
                <w:szCs w:val="21"/>
                <w:color w:val="auto"/>
              </w:rPr>
            </w:pPr>
          </w:p>
        </w:tc>
      </w:tr>
      <w:tr>
        <w:trPr>
          <w:trHeight w:val="215"/>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11,706</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10"/>
        </w:trPr>
        <w:tc>
          <w:tcPr>
            <w:tcW w:w="5440" w:type="dxa"/>
            <w:vAlign w:val="bottom"/>
          </w:tcPr>
          <w:p>
            <w:pPr>
              <w:ind w:left="20"/>
              <w:spacing w:after="0"/>
              <w:rPr>
                <w:sz w:val="20"/>
                <w:szCs w:val="20"/>
                <w:color w:val="auto"/>
              </w:rPr>
            </w:pPr>
            <w:r>
              <w:rPr>
                <w:rFonts w:ascii="Arial" w:cs="Arial" w:eastAsia="Arial" w:hAnsi="Arial"/>
                <w:sz w:val="16"/>
                <w:szCs w:val="16"/>
                <w:color w:val="auto"/>
              </w:rPr>
              <w:t>Equity in earnings of joint ventures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12,399</w:t>
            </w: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8"/>
        </w:trPr>
        <w:tc>
          <w:tcPr>
            <w:tcW w:w="5440" w:type="dxa"/>
            <w:vAlign w:val="bottom"/>
          </w:tcPr>
          <w:p>
            <w:pPr>
              <w:ind w:left="260"/>
              <w:spacing w:after="0"/>
              <w:rPr>
                <w:sz w:val="20"/>
                <w:szCs w:val="20"/>
                <w:color w:val="auto"/>
              </w:rPr>
            </w:pPr>
            <w:r>
              <w:rPr>
                <w:rFonts w:ascii="Arial" w:cs="Arial" w:eastAsia="Arial" w:hAnsi="Arial"/>
                <w:sz w:val="16"/>
                <w:szCs w:val="16"/>
                <w:color w:val="auto"/>
              </w:rPr>
              <w:t>Total other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(22,415)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(46,222)</w:t>
            </w:r>
          </w:p>
        </w:tc>
        <w:tc>
          <w:tcPr>
            <w:tcW w:w="120" w:type="dxa"/>
            <w:vAlign w:val="bottom"/>
          </w:tcPr>
          <w:p>
            <w:pPr>
              <w:spacing w:after="0"/>
              <w:rPr>
                <w:sz w:val="18"/>
                <w:szCs w:val="18"/>
                <w:color w:val="auto"/>
              </w:rPr>
            </w:pPr>
          </w:p>
        </w:tc>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23,807</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0"/>
        </w:trPr>
        <w:tc>
          <w:tcPr>
            <w:tcW w:w="5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53" w:lineRule="exact"/>
        <w:rPr>
          <w:sz w:val="20"/>
          <w:szCs w:val="20"/>
          <w:color w:val="auto"/>
        </w:rPr>
      </w:pPr>
    </w:p>
    <w:p>
      <w:pPr>
        <w:jc w:val="both"/>
        <w:ind w:right="20" w:firstLine="319"/>
        <w:spacing w:after="0" w:line="366" w:lineRule="auto"/>
        <w:rPr>
          <w:sz w:val="20"/>
          <w:szCs w:val="20"/>
          <w:color w:val="auto"/>
        </w:rPr>
      </w:pPr>
      <w:r>
        <w:rPr>
          <w:rFonts w:ascii="Arial" w:cs="Arial" w:eastAsia="Arial" w:hAnsi="Arial"/>
          <w:sz w:val="15"/>
          <w:szCs w:val="15"/>
          <w:color w:val="auto"/>
        </w:rPr>
        <w:t xml:space="preserve">The decrease in interest expense during the six months ended June 30, 2022 was primarily attributable to the debt refinancing of the First Lien Term Loan and issuance of Senior Notes in October 2021. See Note 10, </w:t>
      </w:r>
      <w:r>
        <w:rPr>
          <w:rFonts w:ascii="Arial" w:cs="Arial" w:eastAsia="Arial" w:hAnsi="Arial"/>
          <w:sz w:val="15"/>
          <w:szCs w:val="15"/>
          <w:i w:val="1"/>
          <w:iCs w:val="1"/>
          <w:color w:val="auto"/>
        </w:rPr>
        <w:t>Indebtedness</w:t>
      </w:r>
      <w:r>
        <w:rPr>
          <w:rFonts w:ascii="Arial" w:cs="Arial" w:eastAsia="Arial" w:hAnsi="Arial"/>
          <w:sz w:val="15"/>
          <w:szCs w:val="15"/>
          <w:color w:val="auto"/>
        </w:rPr>
        <w:t>, of the consolidated financial statements for further information.</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decrease in equity in earnings of joint ventures was primarily attributable to the performance of the joint ventures.</w:t>
      </w:r>
    </w:p>
    <w:p>
      <w:pPr>
        <w:spacing w:after="0" w:line="178" w:lineRule="exact"/>
        <w:rPr>
          <w:sz w:val="20"/>
          <w:szCs w:val="20"/>
          <w:color w:val="auto"/>
        </w:rPr>
      </w:pPr>
    </w:p>
    <w:p>
      <w:pPr>
        <w:ind w:right="180" w:firstLine="319"/>
        <w:spacing w:after="0" w:line="295" w:lineRule="auto"/>
        <w:rPr>
          <w:sz w:val="20"/>
          <w:szCs w:val="20"/>
          <w:color w:val="auto"/>
        </w:rPr>
      </w:pPr>
      <w:r>
        <w:rPr>
          <w:rFonts w:ascii="Arial" w:cs="Arial" w:eastAsia="Arial" w:hAnsi="Arial"/>
          <w:sz w:val="17"/>
          <w:szCs w:val="17"/>
          <w:color w:val="auto"/>
        </w:rPr>
        <w:t>The change in other, net is due to the loss on extinguishment of debt incurred in conjunction with the January 2021 debt refinancing and included in the results for the six months ended June 30, 2021. There was no comparable activity during the six months ended June 30, 2022.</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Income Tax Expense</w:t>
      </w:r>
    </w:p>
    <w:p>
      <w:pPr>
        <w:spacing w:after="0" w:line="21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For the six months ended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88"/>
              </w:rPr>
              <w:t>June 30, 2022</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88"/>
              </w:rPr>
              <w:t>June 30, 2021</w:t>
            </w:r>
          </w:p>
        </w:tc>
        <w:tc>
          <w:tcPr>
            <w:tcW w:w="3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1"/>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(unaudited)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1"/>
              </w:rPr>
              <w:t>(unaudited)</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r>
      <w:tr>
        <w:trPr>
          <w:trHeight w:val="246"/>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4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w w:val="90"/>
              </w:rPr>
              <w:t>(in thousands, except for percentages)</w:t>
            </w:r>
          </w:p>
        </w:tc>
        <w:tc>
          <w:tcPr>
            <w:tcW w:w="820" w:type="dxa"/>
            <w:vAlign w:val="bottom"/>
          </w:tcPr>
          <w:p>
            <w:pPr>
              <w:spacing w:after="0"/>
              <w:rPr>
                <w:sz w:val="21"/>
                <w:szCs w:val="21"/>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600"/>
              <w:spacing w:after="0"/>
              <w:rPr>
                <w:sz w:val="20"/>
                <w:szCs w:val="20"/>
                <w:color w:val="auto"/>
              </w:rPr>
            </w:pPr>
            <w:r>
              <w:rPr>
                <w:rFonts w:ascii="Arial" w:cs="Arial" w:eastAsia="Arial" w:hAnsi="Arial"/>
                <w:sz w:val="16"/>
                <w:szCs w:val="16"/>
                <w:color w:val="auto"/>
              </w:rPr>
              <w:t>22,693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1,129.6 %</w:t>
            </w:r>
          </w:p>
        </w:tc>
      </w:tr>
    </w:tbl>
    <w:p>
      <w:pPr>
        <w:spacing w:after="0" w:line="253" w:lineRule="exact"/>
        <w:rPr>
          <w:sz w:val="20"/>
          <w:szCs w:val="20"/>
          <w:color w:val="auto"/>
        </w:rPr>
      </w:pPr>
    </w:p>
    <w:p>
      <w:pPr>
        <w:ind w:right="40" w:firstLine="319"/>
        <w:spacing w:after="0" w:line="264" w:lineRule="auto"/>
        <w:rPr>
          <w:sz w:val="20"/>
          <w:szCs w:val="20"/>
          <w:color w:val="auto"/>
        </w:rPr>
      </w:pPr>
      <w:r>
        <w:rPr>
          <w:rFonts w:ascii="Arial" w:cs="Arial" w:eastAsia="Arial" w:hAnsi="Arial"/>
          <w:sz w:val="17"/>
          <w:szCs w:val="17"/>
          <w:color w:val="auto"/>
        </w:rPr>
        <w:t>The Company maintains a valuation allowance of $13.0 million against certain state NOLs. The Company’s tax expense for the six months ended June 30, 2022 consists of quarterly tax liabilities attributable to state tax returns as well as recognized deferred federal and state tax expense. These tax expense items resulted in an effective tax rate of 27.8% during the six months ended June 30, 2022. During the six months ended June 30, 2021, the effective tax rate was 6.5%. The variance in the Company’s effective tax rate of 27.8% for the six months ended June 30, 2022 compared to the federal statutory rate of 21% is primarily attributable to current and deferred state taxes as well as various non-deductible expenses. The variance in the Company’s effective tax rate of 6.5% for the six months ended June 30, 2021 compared to the federal statutory rate of 21% is primarily attributable to the Company only recognizing certain deferred federal and state tax expense and current state tax expense while any tax benefits that would have otherwise been recognized were offset by the Company’s tax valuation allowance in effect during that period. The variance in the year-over-year effective tax rates is primarily attributable to the Company not recognizing any tax benefit for the period ended June 30, 2021 because it maintained a full tax valuation allowance reserve against such benefits. This reserve was subsequently reversed during the three months ended December 31, 2021, with the exception of the $13.0 million allowance noted above. Therefore, the reserve was not applicable in computing tax expense for the six months ended June 30, 2022, thus producing the effective tax rate variance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231F20"/>
        </w:rPr>
        <w:t>Net Income and Other Comprehensive Income</w:t>
      </w:r>
    </w:p>
    <w:p>
      <w:pPr>
        <w:spacing w:after="0" w:line="26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For the six months ended</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5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94"/>
              </w:rPr>
              <w:t>June 30, 2022</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2021</w:t>
            </w: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1"/>
        </w:trPr>
        <w:tc>
          <w:tcPr>
            <w:tcW w:w="5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r>
      <w:tr>
        <w:trPr>
          <w:trHeight w:val="246"/>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0" w:type="dxa"/>
            <w:vAlign w:val="bottom"/>
            <w:gridSpan w:val="7"/>
          </w:tcPr>
          <w:p>
            <w:pPr>
              <w:ind w:left="100"/>
              <w:spacing w:after="0"/>
              <w:rPr>
                <w:sz w:val="20"/>
                <w:szCs w:val="20"/>
                <w:color w:val="auto"/>
              </w:rPr>
            </w:pPr>
            <w:r>
              <w:rPr>
                <w:rFonts w:ascii="Arial" w:cs="Arial" w:eastAsia="Arial" w:hAnsi="Arial"/>
                <w:sz w:val="16"/>
                <w:szCs w:val="16"/>
                <w:b w:val="1"/>
                <w:bCs w:val="1"/>
                <w:color w:val="auto"/>
              </w:rPr>
              <w:t>(in thousands, except for percentages)</w:t>
            </w:r>
          </w:p>
        </w:tc>
        <w:tc>
          <w:tcPr>
            <w:tcW w:w="760" w:type="dxa"/>
            <w:vAlign w:val="bottom"/>
          </w:tcPr>
          <w:p>
            <w:pPr>
              <w:spacing w:after="0"/>
              <w:rPr>
                <w:sz w:val="21"/>
                <w:szCs w:val="21"/>
                <w:color w:val="auto"/>
              </w:rPr>
            </w:pPr>
          </w:p>
        </w:tc>
      </w:tr>
      <w:tr>
        <w:trPr>
          <w:trHeight w:val="215"/>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35,249</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121.7 %</w:t>
            </w:r>
          </w:p>
        </w:tc>
      </w:tr>
      <w:tr>
        <w:trPr>
          <w:trHeight w:val="210"/>
        </w:trPr>
        <w:tc>
          <w:tcPr>
            <w:tcW w:w="5380" w:type="dxa"/>
            <w:vAlign w:val="bottom"/>
          </w:tcPr>
          <w:p>
            <w:pPr>
              <w:ind w:left="20"/>
              <w:spacing w:after="0"/>
              <w:rPr>
                <w:sz w:val="20"/>
                <w:szCs w:val="20"/>
                <w:color w:val="auto"/>
              </w:rPr>
            </w:pPr>
            <w:r>
              <w:rPr>
                <w:rFonts w:ascii="Arial" w:cs="Arial" w:eastAsia="Arial" w:hAnsi="Arial"/>
                <w:sz w:val="16"/>
                <w:szCs w:val="16"/>
                <w:color w:val="auto"/>
              </w:rPr>
              <w:t>Other comprehensive income, net of tax:</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5"/>
        </w:trPr>
        <w:tc>
          <w:tcPr>
            <w:tcW w:w="53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unrealized gains on cash flow hedges, net of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7,427</w:t>
            </w: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89.7 %</w:t>
            </w:r>
          </w:p>
        </w:tc>
      </w:tr>
      <w:tr>
        <w:trPr>
          <w:trHeight w:val="203"/>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comprehensive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w:t>
            </w:r>
          </w:p>
        </w:tc>
        <w:tc>
          <w:tcPr>
            <w:tcW w:w="6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89.7 %</w:t>
            </w:r>
          </w:p>
        </w:tc>
      </w:tr>
      <w:tr>
        <w:trPr>
          <w:trHeight w:val="228"/>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comprehensive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79,911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42,676</w:t>
            </w:r>
          </w:p>
        </w:tc>
        <w:tc>
          <w:tcPr>
            <w:tcW w:w="6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114.6 %</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change in net income was primarily attributable to organic growth from additional revenue related to the factors described in the above sections.</w:t>
      </w:r>
    </w:p>
    <w:p>
      <w:pPr>
        <w:spacing w:after="0" w:line="106" w:lineRule="exact"/>
        <w:rPr>
          <w:sz w:val="20"/>
          <w:szCs w:val="20"/>
          <w:color w:val="auto"/>
        </w:rPr>
      </w:pPr>
    </w:p>
    <w:p>
      <w:pPr>
        <w:ind w:right="20" w:firstLine="319"/>
        <w:spacing w:after="0" w:line="331" w:lineRule="auto"/>
        <w:rPr>
          <w:sz w:val="20"/>
          <w:szCs w:val="20"/>
          <w:color w:val="auto"/>
        </w:rPr>
      </w:pPr>
      <w:r>
        <w:rPr>
          <w:rFonts w:ascii="Arial" w:cs="Arial" w:eastAsia="Arial" w:hAnsi="Arial"/>
          <w:sz w:val="15"/>
          <w:szCs w:val="15"/>
          <w:color w:val="auto"/>
        </w:rPr>
        <w:t>For the six months ended June 30, 2022, the change in unrealized gains on cash flow hedges, net of income taxes, was related to the increase in fair market value of the $300.0 million interest rate cap hedge executed in October 2021. For the six months ended June 30, 2021, the change in unrealized gains on cash flow hedges, net of income taxes, primarily related to the increase in fair value on the $925.0 million notional swap; the swap expired in August 2021.</w:t>
      </w:r>
    </w:p>
    <w:p>
      <w:pPr>
        <w:spacing w:after="0" w:line="110" w:lineRule="exact"/>
        <w:rPr>
          <w:sz w:val="20"/>
          <w:szCs w:val="20"/>
          <w:color w:val="auto"/>
        </w:rPr>
      </w:pPr>
    </w:p>
    <w:p>
      <w:pPr>
        <w:jc w:val="both"/>
        <w:ind w:right="160" w:firstLine="319"/>
        <w:spacing w:after="0" w:line="256" w:lineRule="auto"/>
        <w:rPr>
          <w:sz w:val="20"/>
          <w:szCs w:val="20"/>
          <w:color w:val="auto"/>
        </w:rPr>
      </w:pPr>
      <w:r>
        <w:rPr>
          <w:rFonts w:ascii="Arial" w:cs="Arial" w:eastAsia="Arial" w:hAnsi="Arial"/>
          <w:sz w:val="18"/>
          <w:szCs w:val="18"/>
          <w:color w:val="auto"/>
        </w:rPr>
        <w:t>Net comprehensive income increased to $79.9 million for the six months ended June 30, 2022, compared to net comprehensive income of $37.2 million for the six months ended June 30, 2021, primarily as a result of the changes in net income, discussed above, further increased by the impact of the fair value of the interest rate cap hedge.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7" w:lineRule="exact"/>
        <w:rPr>
          <w:sz w:val="20"/>
          <w:szCs w:val="20"/>
          <w:color w:val="auto"/>
        </w:rPr>
      </w:pPr>
    </w:p>
    <w:p>
      <w:pPr>
        <w:ind w:right="20" w:firstLine="319"/>
        <w:spacing w:after="0" w:line="251" w:lineRule="auto"/>
        <w:rPr>
          <w:sz w:val="20"/>
          <w:szCs w:val="20"/>
          <w:color w:val="auto"/>
        </w:rPr>
      </w:pPr>
      <w:r>
        <w:rPr>
          <w:rFonts w:ascii="Arial" w:cs="Arial" w:eastAsia="Arial" w:hAnsi="Arial"/>
          <w:sz w:val="18"/>
          <w:szCs w:val="18"/>
          <w:color w:val="auto"/>
        </w:rPr>
        <w:t>For the six months ended June 30, 2022 and the twelve months ended December 31, 2021, the Company’s primary sources of liquidity were cash on hand of $204.0 million and $119.4 million, respectively, as well as $168.3 million of borrowings available under its credit facilities (net of $6.7 million undrawn letters of credit issued and outstanding). During the six months ended June 30, 2022 and the year ended December 31, 2021, the Company’s positive cash flows from operations enabled investments in pharmacy and information technology infrastructure to support growth and create additional capacity in the future, as well as to pursue acquisitions.</w:t>
      </w:r>
    </w:p>
    <w:p>
      <w:pPr>
        <w:spacing w:after="0" w:line="153" w:lineRule="exact"/>
        <w:rPr>
          <w:sz w:val="20"/>
          <w:szCs w:val="20"/>
          <w:color w:val="auto"/>
        </w:rPr>
      </w:pPr>
    </w:p>
    <w:p>
      <w:pPr>
        <w:ind w:right="80" w:firstLine="319"/>
        <w:spacing w:after="0" w:line="250" w:lineRule="auto"/>
        <w:rPr>
          <w:sz w:val="20"/>
          <w:szCs w:val="20"/>
          <w:color w:val="auto"/>
        </w:rPr>
      </w:pPr>
      <w:r>
        <w:rPr>
          <w:rFonts w:ascii="Arial" w:cs="Arial" w:eastAsia="Arial" w:hAnsi="Arial"/>
          <w:sz w:val="18"/>
          <w:szCs w:val="18"/>
          <w:color w:val="auto"/>
        </w:rPr>
        <w:t>The Company’s primary uses of cash include supporting our ongoing business activities, investment in capital expenditures in both facilities and technology, and the pursuit of acquisitions. Ongoing operating cash outflows are associated with procuring and dispensing drugs, personnel and other costs associated with servicing patients, as well as paying cash interest on outstanding debt.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proceeds of warrant exercises, along with quarterly principal payments on our outstanding debt.</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with the exception of the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and Long-Term Liquidity Requirements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ability to make principal and interest payments on any borrowings under our credit facilities and our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319" w:lineRule="auto"/>
        <w:rPr>
          <w:sz w:val="20"/>
          <w:szCs w:val="20"/>
          <w:color w:val="auto"/>
        </w:rPr>
      </w:pPr>
      <w:r>
        <w:rPr>
          <w:rFonts w:ascii="Arial" w:cs="Arial" w:eastAsia="Arial" w:hAnsi="Arial"/>
          <w:sz w:val="15"/>
          <w:szCs w:val="15"/>
          <w:color w:val="auto"/>
        </w:rPr>
        <w:t>ability to fund planned capital expenditures will depend on our ability to generate cash in the future, which, to a certain extent, is subject to general economic, financial, competitive, regulatory and other conditions. Based on our current level of operations and planned capital expenditures, we believe that our existing cash balances and expected cash flows generated from operations will be sufficient to meet our operating requirements for at least the next 12 months. We may require additional borrowings under our credit facilities and alternative forms of financings or investments to achieve our longer-term strategic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78" w:lineRule="exact"/>
        <w:rPr>
          <w:sz w:val="20"/>
          <w:szCs w:val="20"/>
          <w:color w:val="auto"/>
        </w:rPr>
      </w:pPr>
    </w:p>
    <w:p>
      <w:pPr>
        <w:ind w:right="40" w:firstLine="319"/>
        <w:spacing w:after="0" w:line="249" w:lineRule="auto"/>
        <w:rPr>
          <w:sz w:val="20"/>
          <w:szCs w:val="20"/>
          <w:color w:val="auto"/>
        </w:rPr>
      </w:pPr>
      <w:r>
        <w:rPr>
          <w:rFonts w:ascii="Arial" w:cs="Arial" w:eastAsia="Arial" w:hAnsi="Arial"/>
          <w:sz w:val="18"/>
          <w:szCs w:val="18"/>
          <w:color w:val="auto"/>
        </w:rPr>
        <w:t>The Company’s asset-based-lending revolving credit facility provides for borrowings up to $175.0 million, which matures on October 27, 2026 (the “ABL Facility”). The ABL Facility bears interest at a rate equal to, at the Borrowers’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LIBOR (or a comparable successor rate, with a floor of 0.00% per annum) plus an applicable margin, which is equal to between 1.25% and 1.75% based on the historical excess availability as a percentage of the Line Cap. The Company had $6.7 million of undrawn letters of credit issued and outstanding, resulting in net borrowing availability under the ABL Facility of $168.3 million as of June 30, 2022.</w:t>
      </w:r>
    </w:p>
    <w:p>
      <w:pPr>
        <w:spacing w:after="0" w:line="223" w:lineRule="exact"/>
        <w:rPr>
          <w:sz w:val="20"/>
          <w:szCs w:val="20"/>
          <w:color w:val="auto"/>
        </w:rPr>
      </w:pPr>
    </w:p>
    <w:p>
      <w:pPr>
        <w:ind w:right="260" w:firstLine="319"/>
        <w:spacing w:after="0" w:line="319" w:lineRule="auto"/>
        <w:rPr>
          <w:sz w:val="20"/>
          <w:szCs w:val="20"/>
          <w:color w:val="auto"/>
        </w:rPr>
      </w:pPr>
      <w:r>
        <w:rPr>
          <w:rFonts w:ascii="Arial" w:cs="Arial" w:eastAsia="Arial" w:hAnsi="Arial"/>
          <w:sz w:val="15"/>
          <w:szCs w:val="15"/>
          <w:color w:val="auto"/>
        </w:rPr>
        <w:t>The principal balance of the First Lien Term Loan is repayable in quarterly installments of $1.5 million plus interest, with a final payment of all remaining outstanding principal due on October 27, 2028. The quarterly principal payments commenced in March of 2022. Interest on the First Lien Term Loan is payable monthly on either (i) LIBOR (or a comparable successor rate, with a floor of 0.50% per annum) plus an applicable margin of 2.75% for Eurocurrency Rate Loans and (ii) a base rate determined in accordance with the new First Lien Term Loan agreement, plus 1.75% for Base Rate Loans.</w:t>
      </w:r>
    </w:p>
    <w:p>
      <w:pPr>
        <w:spacing w:after="0" w:line="172" w:lineRule="exact"/>
        <w:rPr>
          <w:sz w:val="20"/>
          <w:szCs w:val="20"/>
          <w:color w:val="auto"/>
        </w:rPr>
      </w:pPr>
    </w:p>
    <w:p>
      <w:pPr>
        <w:jc w:val="both"/>
        <w:ind w:right="160" w:firstLine="319"/>
        <w:spacing w:after="0" w:line="265" w:lineRule="auto"/>
        <w:rPr>
          <w:sz w:val="20"/>
          <w:szCs w:val="20"/>
          <w:color w:val="auto"/>
        </w:rPr>
      </w:pPr>
      <w:r>
        <w:rPr>
          <w:rFonts w:ascii="Arial" w:cs="Arial" w:eastAsia="Arial" w:hAnsi="Arial"/>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207" w:lineRule="exact"/>
        <w:rPr>
          <w:sz w:val="20"/>
          <w:szCs w:val="20"/>
          <w:color w:val="auto"/>
        </w:rPr>
      </w:pPr>
    </w:p>
    <w:p>
      <w:pPr>
        <w:jc w:val="both"/>
        <w:ind w:right="160" w:firstLine="319"/>
        <w:spacing w:after="0" w:line="256" w:lineRule="auto"/>
        <w:rPr>
          <w:sz w:val="20"/>
          <w:szCs w:val="20"/>
          <w:color w:val="auto"/>
        </w:rPr>
      </w:pPr>
      <w:r>
        <w:rPr>
          <w:rFonts w:ascii="Arial" w:cs="Arial" w:eastAsia="Arial" w:hAnsi="Arial"/>
          <w:sz w:val="18"/>
          <w:szCs w:val="18"/>
          <w:color w:val="auto"/>
        </w:rPr>
        <w:t>Interest payments over the course of long-term debt obligations total an estimated $304.1 million based on final maturity dates of the Company’s credit facilities. Interest payments are calculated based on the LIBOR rate as of June 30, 2022. Actual payments are based on changes in LIBOR and exclude the interest rate cap derivative instrument.</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Six Months Ended June 30, 2022 Compared to Six Months Ended June 30, 2021</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selected data from Option Care Health’s unaudited condensed consolidated statements of cash flows:</w:t>
      </w:r>
    </w:p>
    <w:p>
      <w:pPr>
        <w:spacing w:after="0" w:line="216"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6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center"/>
              <w:ind w:left="780"/>
              <w:spacing w:after="0"/>
              <w:rPr>
                <w:sz w:val="20"/>
                <w:szCs w:val="20"/>
                <w:color w:val="auto"/>
              </w:rPr>
            </w:pPr>
            <w:r>
              <w:rPr>
                <w:rFonts w:ascii="Arial" w:cs="Arial" w:eastAsia="Arial" w:hAnsi="Arial"/>
                <w:sz w:val="16"/>
                <w:szCs w:val="16"/>
                <w:b w:val="1"/>
                <w:bCs w:val="1"/>
                <w:color w:val="auto"/>
                <w:w w:val="89"/>
              </w:rPr>
              <w:t>Six Months Ended June 30,</w:t>
            </w:r>
          </w:p>
        </w:tc>
        <w:tc>
          <w:tcPr>
            <w:tcW w:w="1020" w:type="dxa"/>
            <w:vAlign w:val="bottom"/>
            <w:tcBorders>
              <w:bottom w:val="single" w:sz="8" w:color="auto"/>
            </w:tcBorders>
          </w:tcPr>
          <w:p>
            <w:pPr>
              <w:spacing w:after="0"/>
              <w:rPr>
                <w:sz w:val="18"/>
                <w:szCs w:val="18"/>
                <w:color w:val="auto"/>
              </w:rPr>
            </w:pPr>
          </w:p>
        </w:tc>
      </w:tr>
      <w:tr>
        <w:trPr>
          <w:trHeight w:val="204"/>
        </w:trPr>
        <w:tc>
          <w:tcPr>
            <w:tcW w:w="6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42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60"/>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4"/>
        </w:trPr>
        <w:tc>
          <w:tcPr>
            <w:tcW w:w="6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(unaudited)</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1"/>
              </w:rPr>
              <w:t>(unaudited)</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Variance</w:t>
            </w:r>
          </w:p>
        </w:tc>
      </w:tr>
      <w:tr>
        <w:trPr>
          <w:trHeight w:val="246"/>
        </w:trPr>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(in thousands)</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5"/>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380"/>
              <w:spacing w:after="0"/>
              <w:rPr>
                <w:sz w:val="20"/>
                <w:szCs w:val="20"/>
                <w:color w:val="auto"/>
              </w:rPr>
            </w:pPr>
            <w:r>
              <w:rPr>
                <w:rFonts w:ascii="Arial" w:cs="Arial" w:eastAsia="Arial" w:hAnsi="Arial"/>
                <w:sz w:val="16"/>
                <w:szCs w:val="16"/>
                <w:color w:val="auto"/>
                <w:w w:val="89"/>
              </w:rPr>
              <w:t>44,920</w:t>
            </w: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(25,660)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center"/>
              <w:ind w:left="360"/>
              <w:spacing w:after="0"/>
              <w:rPr>
                <w:sz w:val="20"/>
                <w:szCs w:val="20"/>
                <w:color w:val="auto"/>
              </w:rPr>
            </w:pPr>
            <w:r>
              <w:rPr>
                <w:rFonts w:ascii="Arial" w:cs="Arial" w:eastAsia="Arial" w:hAnsi="Arial"/>
                <w:sz w:val="16"/>
                <w:szCs w:val="16"/>
                <w:color w:val="auto"/>
                <w:w w:val="90"/>
              </w:rPr>
              <w:t>(44,292)</w:t>
            </w:r>
          </w:p>
        </w:tc>
      </w:tr>
      <w:tr>
        <w:trPr>
          <w:trHeight w:val="215"/>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17,621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6"/>
                <w:szCs w:val="16"/>
                <w:color w:val="auto"/>
                <w:w w:val="89"/>
              </w:rPr>
              <w:t>25,734</w:t>
            </w:r>
          </w:p>
        </w:tc>
      </w:tr>
      <w:tr>
        <w:trPr>
          <w:trHeight w:val="203"/>
        </w:trPr>
        <w:tc>
          <w:tcPr>
            <w:tcW w:w="684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84,623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58,261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center"/>
              <w:ind w:left="380"/>
              <w:spacing w:after="0"/>
              <w:rPr>
                <w:sz w:val="20"/>
                <w:szCs w:val="20"/>
                <w:color w:val="auto"/>
              </w:rPr>
            </w:pPr>
            <w:r>
              <w:rPr>
                <w:rFonts w:ascii="Arial" w:cs="Arial" w:eastAsia="Arial" w:hAnsi="Arial"/>
                <w:sz w:val="16"/>
                <w:szCs w:val="16"/>
                <w:color w:val="auto"/>
                <w:w w:val="89"/>
              </w:rPr>
              <w:t>26,362</w:t>
            </w: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119,423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99,265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6"/>
                <w:szCs w:val="16"/>
                <w:color w:val="auto"/>
                <w:w w:val="89"/>
              </w:rPr>
              <w:t>20,158</w:t>
            </w:r>
          </w:p>
        </w:tc>
      </w:tr>
      <w:tr>
        <w:trPr>
          <w:trHeight w:val="208"/>
        </w:trPr>
        <w:tc>
          <w:tcPr>
            <w:tcW w:w="6840" w:type="dxa"/>
            <w:vAlign w:val="bottom"/>
          </w:tcPr>
          <w:p>
            <w:pPr>
              <w:ind w:left="20"/>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204,046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157,526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380"/>
              <w:spacing w:after="0"/>
              <w:rPr>
                <w:sz w:val="20"/>
                <w:szCs w:val="20"/>
                <w:color w:val="auto"/>
              </w:rPr>
            </w:pPr>
            <w:r>
              <w:rPr>
                <w:rFonts w:ascii="Arial" w:cs="Arial" w:eastAsia="Arial" w:hAnsi="Arial"/>
                <w:sz w:val="16"/>
                <w:szCs w:val="16"/>
                <w:color w:val="auto"/>
                <w:w w:val="89"/>
              </w:rPr>
              <w:t>46,520</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78" w:lineRule="exact"/>
        <w:rPr>
          <w:sz w:val="20"/>
          <w:szCs w:val="20"/>
          <w:color w:val="auto"/>
        </w:rPr>
      </w:pPr>
    </w:p>
    <w:p>
      <w:pPr>
        <w:ind w:right="260" w:firstLine="319"/>
        <w:spacing w:after="0" w:line="278" w:lineRule="auto"/>
        <w:rPr>
          <w:sz w:val="20"/>
          <w:szCs w:val="20"/>
          <w:color w:val="auto"/>
        </w:rPr>
      </w:pPr>
      <w:r>
        <w:rPr>
          <w:rFonts w:ascii="Arial" w:cs="Arial" w:eastAsia="Arial" w:hAnsi="Arial"/>
          <w:sz w:val="17"/>
          <w:szCs w:val="17"/>
          <w:color w:val="auto"/>
        </w:rPr>
        <w:t>The increase in cash flows provided by operating activities is primarily due to higher net income, decrease in interest expense due to the October 2021 debt refinancings, timing of vendor payments, and deferred income taxes, which were partially offset by changes in accounts receivable, inventory, and certain accruals during the six months ended June 30, 2022 as compared to the six months ended June 30, 2021.</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1" w:lineRule="exact"/>
        <w:rPr>
          <w:sz w:val="20"/>
          <w:szCs w:val="20"/>
          <w:color w:val="auto"/>
        </w:rPr>
      </w:pPr>
    </w:p>
    <w:p>
      <w:pPr>
        <w:ind w:right="260" w:firstLine="319"/>
        <w:spacing w:after="0" w:line="265" w:lineRule="auto"/>
        <w:rPr>
          <w:sz w:val="20"/>
          <w:szCs w:val="20"/>
          <w:color w:val="auto"/>
        </w:rPr>
      </w:pPr>
      <w:r>
        <w:rPr>
          <w:rFonts w:ascii="Arial" w:cs="Arial" w:eastAsia="Arial" w:hAnsi="Arial"/>
          <w:sz w:val="18"/>
          <w:szCs w:val="18"/>
          <w:color w:val="auto"/>
        </w:rPr>
        <w:t>The increase in cash flows used in investing activities is primarily due to the acquisition of SPNN made within the six months ended June 30, 2022, as compared to the acquisition of Biocure made within the six months ended June 30, 2021.</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78" w:lineRule="exact"/>
        <w:rPr>
          <w:sz w:val="20"/>
          <w:szCs w:val="20"/>
          <w:color w:val="auto"/>
        </w:rPr>
      </w:pPr>
    </w:p>
    <w:p>
      <w:pPr>
        <w:ind w:right="40" w:firstLine="319"/>
        <w:spacing w:after="0" w:line="278" w:lineRule="auto"/>
        <w:rPr>
          <w:sz w:val="20"/>
          <w:szCs w:val="20"/>
          <w:color w:val="auto"/>
        </w:rPr>
      </w:pPr>
      <w:r>
        <w:rPr>
          <w:rFonts w:ascii="Arial" w:cs="Arial" w:eastAsia="Arial" w:hAnsi="Arial"/>
          <w:sz w:val="17"/>
          <w:szCs w:val="17"/>
          <w:color w:val="auto"/>
        </w:rPr>
        <w:t>The increase in cash provided in financing activities is related to the proceeds from warrant exercises during the six months ended June 30, 2022, with no comparable activity during the six months ended June 30, 2021. Additionally, the cash used in financing activities for the six months ended June 30, 2021 is related to the January 2021 debt refinancing, with no comparable activity during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7" w:lineRule="exact"/>
        <w:rPr>
          <w:sz w:val="20"/>
          <w:szCs w:val="20"/>
          <w:color w:val="auto"/>
        </w:rPr>
      </w:pPr>
    </w:p>
    <w:p>
      <w:pPr>
        <w:ind w:right="40" w:firstLine="319"/>
        <w:spacing w:after="0" w:line="250" w:lineRule="auto"/>
        <w:rPr>
          <w:sz w:val="20"/>
          <w:szCs w:val="20"/>
          <w:color w:val="auto"/>
        </w:rPr>
      </w:pPr>
      <w:r>
        <w:rPr>
          <w:rFonts w:ascii="Arial" w:cs="Arial" w:eastAsia="Arial" w:hAnsi="Arial"/>
          <w:sz w:val="18"/>
          <w:szCs w:val="18"/>
          <w:color w:val="auto"/>
        </w:rPr>
        <w:t>The Company prepares its unaudited condensed consolidated financial statements in accordance with United States generally accepted accounting principles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1" w:lineRule="exact"/>
        <w:rPr>
          <w:sz w:val="20"/>
          <w:szCs w:val="20"/>
          <w:color w:val="auto"/>
        </w:rPr>
      </w:pPr>
    </w:p>
    <w:p>
      <w:pPr>
        <w:ind w:right="520" w:firstLine="319"/>
        <w:spacing w:after="0" w:line="237" w:lineRule="auto"/>
        <w:rPr>
          <w:sz w:val="20"/>
          <w:szCs w:val="20"/>
          <w:color w:val="auto"/>
        </w:rPr>
      </w:pPr>
      <w:r>
        <w:rPr>
          <w:rFonts w:ascii="Arial" w:cs="Arial" w:eastAsia="Arial" w:hAnsi="Arial"/>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7" w:lineRule="exact"/>
        <w:rPr>
          <w:sz w:val="20"/>
          <w:szCs w:val="20"/>
          <w:color w:val="auto"/>
        </w:rPr>
      </w:pPr>
    </w:p>
    <w:p>
      <w:pPr>
        <w:ind w:right="700" w:firstLine="319"/>
        <w:spacing w:after="0" w:line="265" w:lineRule="auto"/>
        <w:rPr>
          <w:sz w:val="20"/>
          <w:szCs w:val="20"/>
          <w:color w:val="auto"/>
        </w:rPr>
      </w:pPr>
      <w:r>
        <w:rPr>
          <w:rFonts w:ascii="Arial" w:cs="Arial" w:eastAsia="Arial" w:hAnsi="Arial"/>
          <w:sz w:val="18"/>
          <w:szCs w:val="18"/>
          <w:color w:val="auto"/>
        </w:rPr>
        <w:t>There have been no material changes to our exposure to market risk from those included in our Annual Report on Form 10-K for the year ended December 31, 2021, which is hereby incorporated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4" w:lineRule="exact"/>
        <w:rPr>
          <w:sz w:val="20"/>
          <w:szCs w:val="20"/>
          <w:color w:val="auto"/>
        </w:rPr>
      </w:pPr>
    </w:p>
    <w:p>
      <w:pPr>
        <w:ind w:firstLine="319"/>
        <w:spacing w:after="0" w:line="307" w:lineRule="auto"/>
        <w:rPr>
          <w:sz w:val="20"/>
          <w:szCs w:val="20"/>
          <w:color w:val="auto"/>
        </w:rPr>
      </w:pPr>
      <w:r>
        <w:rPr>
          <w:rFonts w:ascii="Arial" w:cs="Arial" w:eastAsia="Arial" w:hAnsi="Arial"/>
          <w:sz w:val="15"/>
          <w:szCs w:val="15"/>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2022. Based on that evaluation, the Company’s Chief Executive Officer and its Chief Financial Officer concluded that our disclosure controls and procedures were effective as of June 30, 2022.</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84" w:lineRule="exact"/>
        <w:rPr>
          <w:sz w:val="20"/>
          <w:szCs w:val="20"/>
          <w:color w:val="auto"/>
        </w:rPr>
      </w:pPr>
    </w:p>
    <w:p>
      <w:pPr>
        <w:ind w:right="540" w:firstLine="319"/>
        <w:spacing w:after="0" w:line="265"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June 30, 2022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OTHER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right="100" w:firstLine="336"/>
        <w:spacing w:after="0" w:line="265" w:lineRule="auto"/>
        <w:rPr>
          <w:sz w:val="20"/>
          <w:szCs w:val="20"/>
          <w:color w:val="auto"/>
        </w:rPr>
      </w:pPr>
      <w:r>
        <w:rPr>
          <w:rFonts w:ascii="Arial" w:cs="Arial" w:eastAsia="Arial" w:hAnsi="Arial"/>
          <w:sz w:val="18"/>
          <w:szCs w:val="18"/>
          <w:color w:val="auto"/>
        </w:rPr>
        <w:t xml:space="preserve">For a summary of legal proceedings, refer to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of the unaudited condensed consolidated financial statements included in Item 1 of this Quarterly Report on Form 10-Q.</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4" w:lineRule="exact"/>
        <w:rPr>
          <w:sz w:val="20"/>
          <w:szCs w:val="20"/>
          <w:color w:val="auto"/>
        </w:rPr>
      </w:pPr>
    </w:p>
    <w:p>
      <w:pPr>
        <w:ind w:right="100" w:firstLine="319"/>
        <w:spacing w:after="0" w:line="331" w:lineRule="auto"/>
        <w:rPr>
          <w:sz w:val="20"/>
          <w:szCs w:val="20"/>
          <w:color w:val="auto"/>
        </w:rPr>
      </w:pPr>
      <w:r>
        <w:rPr>
          <w:rFonts w:ascii="Arial" w:cs="Arial" w:eastAsia="Arial" w:hAnsi="Arial"/>
          <w:sz w:val="15"/>
          <w:szCs w:val="15"/>
          <w:color w:val="auto"/>
        </w:rPr>
        <w:t>There have been no material changes to the risk factors affecting our business, financial condition or results of operations from those set forth in Part I, Item 1A. “Risk Factors” in our Annual Report on Form 10-K for the year ended December 31, 2021. Additional risks and uncertainties not currently known to us or that we currently deem to be immaterial may also materially adversely affect our business, financial condition and/or operating results.</w:t>
      </w:r>
    </w:p>
    <w:p>
      <w:pPr>
        <w:spacing w:after="0" w:line="1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14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Number</w:t>
            </w:r>
          </w:p>
        </w:tc>
        <w:tc>
          <w:tcPr>
            <w:tcW w:w="9720" w:type="dxa"/>
            <w:vAlign w:val="bottom"/>
            <w:tcBorders>
              <w:bottom w:val="single" w:sz="8" w:color="auto"/>
            </w:tcBorders>
            <w:gridSpan w:val="4"/>
          </w:tcPr>
          <w:p>
            <w:pPr>
              <w:ind w:left="4460"/>
              <w:spacing w:after="0"/>
              <w:rPr>
                <w:sz w:val="20"/>
                <w:szCs w:val="20"/>
                <w:color w:val="auto"/>
              </w:rPr>
            </w:pPr>
            <w:r>
              <w:rPr>
                <w:rFonts w:ascii="Arial" w:cs="Arial" w:eastAsia="Arial" w:hAnsi="Arial"/>
                <w:sz w:val="16"/>
                <w:szCs w:val="16"/>
                <w:b w:val="1"/>
                <w:bCs w:val="1"/>
                <w:color w:val="auto"/>
              </w:rPr>
              <w:t>Description</w:t>
            </w:r>
          </w:p>
        </w:tc>
      </w:tr>
      <w:tr>
        <w:trPr>
          <w:trHeight w:val="22"/>
        </w:trPr>
        <w:tc>
          <w:tcPr>
            <w:tcW w:w="1460" w:type="dxa"/>
            <w:vAlign w:val="bottom"/>
            <w:tcBorders>
              <w:bottom w:val="single" w:sz="8" w:color="auto"/>
            </w:tcBorders>
          </w:tcPr>
          <w:p>
            <w:pPr>
              <w:spacing w:after="0" w:line="20" w:lineRule="exact"/>
              <w:rPr>
                <w:sz w:val="1"/>
                <w:szCs w:val="1"/>
                <w:color w:val="auto"/>
              </w:rPr>
            </w:pPr>
          </w:p>
        </w:tc>
        <w:tc>
          <w:tcPr>
            <w:tcW w:w="9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79"/>
        </w:trPr>
        <w:tc>
          <w:tcPr>
            <w:tcW w:w="1460" w:type="dxa"/>
            <w:vAlign w:val="bottom"/>
          </w:tcPr>
          <w:p>
            <w:pPr>
              <w:spacing w:after="0" w:line="179" w:lineRule="exact"/>
              <w:rPr>
                <w:sz w:val="20"/>
                <w:szCs w:val="20"/>
                <w:color w:val="auto"/>
              </w:rPr>
            </w:pPr>
            <w:r>
              <w:rPr>
                <w:rFonts w:ascii="Arial" w:cs="Arial" w:eastAsia="Arial" w:hAnsi="Arial"/>
                <w:sz w:val="16"/>
                <w:szCs w:val="16"/>
                <w:color w:val="auto"/>
              </w:rPr>
              <w:t>31.1</w:t>
            </w:r>
          </w:p>
        </w:tc>
        <w:tc>
          <w:tcPr>
            <w:tcW w:w="9720" w:type="dxa"/>
            <w:vAlign w:val="bottom"/>
            <w:gridSpan w:val="4"/>
          </w:tcPr>
          <w:p>
            <w:pPr>
              <w:spacing w:after="0" w:line="179" w:lineRule="exact"/>
              <w:rPr>
                <w:rFonts w:ascii="Arial" w:cs="Arial" w:eastAsia="Arial" w:hAnsi="Arial"/>
                <w:sz w:val="16"/>
                <w:szCs w:val="16"/>
                <w:color w:val="0000FF"/>
                <w:w w:val="93"/>
              </w:rPr>
            </w:pPr>
            <w:hyperlink w:anchor="page36">
              <w:r>
                <w:rPr>
                  <w:rFonts w:ascii="Arial" w:cs="Arial" w:eastAsia="Arial" w:hAnsi="Arial"/>
                  <w:sz w:val="16"/>
                  <w:szCs w:val="16"/>
                  <w:color w:val="0000FF"/>
                  <w:w w:val="93"/>
                </w:rPr>
                <w:t>Certification of Chief Executive Officer pursuant to 18 U.S.C. Section 1350, as adopted pursuant to Section 302 of the Sarbanes-Oxley Act of 2002.</w:t>
              </w:r>
            </w:hyperlink>
          </w:p>
        </w:tc>
      </w:tr>
      <w:tr>
        <w:trPr>
          <w:trHeight w:val="206"/>
        </w:trPr>
        <w:tc>
          <w:tcPr>
            <w:tcW w:w="1460" w:type="dxa"/>
            <w:vAlign w:val="bottom"/>
          </w:tcPr>
          <w:p>
            <w:pPr>
              <w:spacing w:after="0"/>
              <w:rPr>
                <w:sz w:val="20"/>
                <w:szCs w:val="20"/>
                <w:color w:val="auto"/>
              </w:rPr>
            </w:pPr>
            <w:r>
              <w:rPr>
                <w:rFonts w:ascii="Arial" w:cs="Arial" w:eastAsia="Arial" w:hAnsi="Arial"/>
                <w:sz w:val="16"/>
                <w:szCs w:val="16"/>
                <w:color w:val="auto"/>
              </w:rPr>
              <w:t>31.2</w:t>
            </w:r>
          </w:p>
        </w:tc>
        <w:tc>
          <w:tcPr>
            <w:tcW w:w="94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0"/>
              </w:rPr>
            </w:pPr>
            <w:hyperlink w:anchor="page37">
              <w:r>
                <w:rPr>
                  <w:rFonts w:ascii="Arial" w:cs="Arial" w:eastAsia="Arial" w:hAnsi="Arial"/>
                  <w:sz w:val="16"/>
                  <w:szCs w:val="16"/>
                  <w:color w:val="0000FF"/>
                  <w:w w:val="90"/>
                </w:rPr>
                <w:t>Certification of Chief Financial Officer pursuant to 18 U.S.C. Section 1350, as adopted pursuant to Section 302 of the Sarbanes-Oxley Act of 2002.</w:t>
              </w:r>
            </w:hyperlink>
          </w:p>
        </w:tc>
        <w:tc>
          <w:tcPr>
            <w:tcW w:w="2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32.1</w:t>
            </w:r>
          </w:p>
        </w:tc>
        <w:tc>
          <w:tcPr>
            <w:tcW w:w="9720" w:type="dxa"/>
            <w:vAlign w:val="bottom"/>
            <w:gridSpan w:val="4"/>
          </w:tcPr>
          <w:p>
            <w:pPr>
              <w:spacing w:after="0"/>
              <w:rPr>
                <w:rFonts w:ascii="Arial" w:cs="Arial" w:eastAsia="Arial" w:hAnsi="Arial"/>
                <w:sz w:val="16"/>
                <w:szCs w:val="16"/>
                <w:color w:val="0000FF"/>
                <w:w w:val="93"/>
              </w:rPr>
            </w:pPr>
            <w:hyperlink w:anchor="page38">
              <w:r>
                <w:rPr>
                  <w:rFonts w:ascii="Arial" w:cs="Arial" w:eastAsia="Arial" w:hAnsi="Arial"/>
                  <w:sz w:val="16"/>
                  <w:szCs w:val="16"/>
                  <w:color w:val="0000FF"/>
                  <w:w w:val="93"/>
                </w:rPr>
                <w:t>Certification of Chief Executive Officer pursuant to 18 U.S.C. Section 1350, as adopted pursuant to Section 906 of the Sarbanes-Oxley Act of 2002.</w:t>
              </w:r>
            </w:hyperlink>
          </w:p>
        </w:tc>
      </w:tr>
      <w:tr>
        <w:trPr>
          <w:trHeight w:val="192"/>
        </w:trPr>
        <w:tc>
          <w:tcPr>
            <w:tcW w:w="1460" w:type="dxa"/>
            <w:vAlign w:val="bottom"/>
          </w:tcPr>
          <w:p>
            <w:pPr>
              <w:spacing w:after="0"/>
              <w:rPr>
                <w:sz w:val="20"/>
                <w:szCs w:val="20"/>
                <w:color w:val="auto"/>
              </w:rPr>
            </w:pPr>
            <w:r>
              <w:rPr>
                <w:rFonts w:ascii="Arial" w:cs="Arial" w:eastAsia="Arial" w:hAnsi="Arial"/>
                <w:sz w:val="16"/>
                <w:szCs w:val="16"/>
                <w:color w:val="auto"/>
              </w:rPr>
              <w:t>32.2</w:t>
            </w:r>
          </w:p>
        </w:tc>
        <w:tc>
          <w:tcPr>
            <w:tcW w:w="9420" w:type="dxa"/>
            <w:vAlign w:val="bottom"/>
            <w:tcBorders>
              <w:top w:val="single" w:sz="8" w:color="0000FF"/>
              <w:bottom w:val="single" w:sz="8" w:color="0000FF"/>
            </w:tcBorders>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Certification of Chief Financial Officer pursuant to 18 U.S.C. Section 1350, as adopted pursuant to Section 906 of the Sarbanes-Oxley Act of 2002.</w:t>
              </w:r>
            </w:hyperlink>
          </w:p>
        </w:tc>
        <w:tc>
          <w:tcPr>
            <w:tcW w:w="40" w:type="dxa"/>
            <w:vAlign w:val="bottom"/>
            <w:tcBorders>
              <w:top w:val="single" w:sz="8" w:color="0000FF"/>
            </w:tcBorders>
            <w:gridSpan w:val="2"/>
          </w:tcPr>
          <w:p>
            <w:pPr>
              <w:spacing w:after="0"/>
              <w:rPr>
                <w:sz w:val="16"/>
                <w:szCs w:val="16"/>
                <w:color w:val="auto"/>
              </w:rPr>
            </w:pPr>
          </w:p>
        </w:tc>
        <w:tc>
          <w:tcPr>
            <w:tcW w:w="260" w:type="dxa"/>
            <w:vAlign w:val="bottom"/>
          </w:tcPr>
          <w:p>
            <w:pPr>
              <w:spacing w:after="0"/>
              <w:rPr>
                <w:sz w:val="16"/>
                <w:szCs w:val="16"/>
                <w:color w:val="auto"/>
              </w:rPr>
            </w:pPr>
          </w:p>
        </w:tc>
      </w:tr>
      <w:tr>
        <w:trPr>
          <w:trHeight w:val="227"/>
        </w:trPr>
        <w:tc>
          <w:tcPr>
            <w:tcW w:w="1460" w:type="dxa"/>
            <w:vAlign w:val="bottom"/>
          </w:tcPr>
          <w:p>
            <w:pPr>
              <w:spacing w:after="0"/>
              <w:rPr>
                <w:sz w:val="20"/>
                <w:szCs w:val="20"/>
                <w:color w:val="auto"/>
              </w:rPr>
            </w:pPr>
            <w:r>
              <w:rPr>
                <w:rFonts w:ascii="Arial" w:cs="Arial" w:eastAsia="Arial" w:hAnsi="Arial"/>
                <w:sz w:val="16"/>
                <w:szCs w:val="16"/>
                <w:color w:val="auto"/>
              </w:rPr>
              <w:t>101.INS</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Instance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101.SCH</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101.CAL</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101.DEF</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101.LAB</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Labels Linkbase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101.PRE</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Taxonomy Extension Presentation Linkbase Document</w:t>
            </w:r>
          </w:p>
        </w:tc>
      </w:tr>
      <w:tr>
        <w:trPr>
          <w:trHeight w:val="212"/>
        </w:trPr>
        <w:tc>
          <w:tcPr>
            <w:tcW w:w="1460" w:type="dxa"/>
            <w:vAlign w:val="bottom"/>
          </w:tcPr>
          <w:p>
            <w:pPr>
              <w:spacing w:after="0"/>
              <w:rPr>
                <w:sz w:val="20"/>
                <w:szCs w:val="20"/>
                <w:color w:val="auto"/>
              </w:rPr>
            </w:pPr>
            <w:r>
              <w:rPr>
                <w:rFonts w:ascii="Arial" w:cs="Arial" w:eastAsia="Arial" w:hAnsi="Arial"/>
                <w:sz w:val="16"/>
                <w:szCs w:val="16"/>
                <w:color w:val="auto"/>
              </w:rPr>
              <w:t>104</w:t>
            </w:r>
          </w:p>
        </w:tc>
        <w:tc>
          <w:tcPr>
            <w:tcW w:w="9720" w:type="dxa"/>
            <w:vAlign w:val="bottom"/>
            <w:gridSpan w:val="4"/>
          </w:tcPr>
          <w:p>
            <w:pPr>
              <w:spacing w:after="0"/>
              <w:rPr>
                <w:sz w:val="20"/>
                <w:szCs w:val="20"/>
                <w:color w:val="auto"/>
              </w:rPr>
            </w:pPr>
            <w:r>
              <w:rPr>
                <w:rFonts w:ascii="Arial" w:cs="Arial" w:eastAsia="Arial" w:hAnsi="Arial"/>
                <w:sz w:val="16"/>
                <w:szCs w:val="16"/>
                <w:color w:val="auto"/>
              </w:rPr>
              <w:t>XBRL Formatted Cover Page</w:t>
            </w:r>
          </w:p>
        </w:tc>
      </w:tr>
    </w:tbl>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97" w:lineRule="exact"/>
        <w:rPr>
          <w:sz w:val="20"/>
          <w:szCs w:val="20"/>
          <w:color w:val="auto"/>
        </w:rPr>
      </w:pPr>
    </w:p>
    <w:p>
      <w:pPr>
        <w:ind w:right="900" w:firstLine="31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140" w:type="dxa"/>
            <w:vAlign w:val="bottom"/>
          </w:tcPr>
          <w:p>
            <w:pPr>
              <w:spacing w:after="0"/>
              <w:rPr>
                <w:sz w:val="19"/>
                <w:szCs w:val="19"/>
                <w:color w:val="auto"/>
              </w:rPr>
            </w:pPr>
          </w:p>
        </w:tc>
        <w:tc>
          <w:tcPr>
            <w:tcW w:w="7540" w:type="dxa"/>
            <w:vAlign w:val="bottom"/>
            <w:gridSpan w:val="2"/>
          </w:tcPr>
          <w:p>
            <w:pPr>
              <w:jc w:val="right"/>
              <w:spacing w:after="0"/>
              <w:rPr>
                <w:sz w:val="20"/>
                <w:szCs w:val="20"/>
                <w:color w:val="auto"/>
              </w:rPr>
            </w:pPr>
            <w:r>
              <w:rPr>
                <w:rFonts w:ascii="Arial" w:cs="Arial" w:eastAsia="Arial" w:hAnsi="Arial"/>
                <w:sz w:val="18"/>
                <w:szCs w:val="18"/>
                <w:b w:val="1"/>
                <w:bCs w:val="1"/>
                <w:color w:val="auto"/>
              </w:rPr>
              <w:t>OPTION CARE HEALTH, IN</w:t>
            </w:r>
          </w:p>
        </w:tc>
      </w:tr>
      <w:tr>
        <w:trPr>
          <w:trHeight w:val="413"/>
        </w:trPr>
        <w:tc>
          <w:tcPr>
            <w:tcW w:w="3140" w:type="dxa"/>
            <w:vAlign w:val="bottom"/>
          </w:tcPr>
          <w:p>
            <w:pPr>
              <w:spacing w:after="0"/>
              <w:rPr>
                <w:sz w:val="20"/>
                <w:szCs w:val="20"/>
                <w:color w:val="auto"/>
              </w:rPr>
            </w:pPr>
            <w:r>
              <w:rPr>
                <w:rFonts w:ascii="Arial" w:cs="Arial" w:eastAsia="Arial" w:hAnsi="Arial"/>
                <w:sz w:val="18"/>
                <w:szCs w:val="18"/>
                <w:color w:val="auto"/>
              </w:rPr>
              <w:t>Date: July 27, 2022</w:t>
            </w:r>
          </w:p>
        </w:tc>
        <w:tc>
          <w:tcPr>
            <w:tcW w:w="62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/s/ Michael Shap</w:t>
            </w:r>
          </w:p>
        </w:tc>
      </w:tr>
      <w:tr>
        <w:trPr>
          <w:trHeight w:val="244"/>
        </w:trPr>
        <w:tc>
          <w:tcPr>
            <w:tcW w:w="3140" w:type="dxa"/>
            <w:vAlign w:val="bottom"/>
          </w:tcPr>
          <w:p>
            <w:pPr>
              <w:spacing w:after="0"/>
              <w:rPr>
                <w:sz w:val="21"/>
                <w:szCs w:val="21"/>
                <w:color w:val="auto"/>
              </w:rPr>
            </w:pPr>
          </w:p>
        </w:tc>
        <w:tc>
          <w:tcPr>
            <w:tcW w:w="6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Michael Shap</w:t>
            </w:r>
          </w:p>
        </w:tc>
      </w:tr>
      <w:tr>
        <w:trPr>
          <w:trHeight w:val="372"/>
        </w:trPr>
        <w:tc>
          <w:tcPr>
            <w:tcW w:w="3140" w:type="dxa"/>
            <w:vAlign w:val="bottom"/>
          </w:tcPr>
          <w:p>
            <w:pPr>
              <w:spacing w:after="0"/>
              <w:rPr>
                <w:sz w:val="24"/>
                <w:szCs w:val="24"/>
                <w:color w:val="auto"/>
              </w:rPr>
            </w:pP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Chief Financial Officer (Principal Financial Officer and Duly Authorized Offic</w:t>
            </w:r>
          </w:p>
        </w:tc>
      </w:tr>
      <w:tr>
        <w:trPr>
          <w:trHeight w:val="837"/>
        </w:trPr>
        <w:tc>
          <w:tcPr>
            <w:tcW w:w="3140" w:type="dxa"/>
            <w:vAlign w:val="bottom"/>
          </w:tcPr>
          <w:p>
            <w:pPr>
              <w:spacing w:after="0"/>
              <w:rPr>
                <w:sz w:val="24"/>
                <w:szCs w:val="24"/>
                <w:color w:val="auto"/>
              </w:rPr>
            </w:pPr>
          </w:p>
        </w:tc>
        <w:tc>
          <w:tcPr>
            <w:tcW w:w="6280" w:type="dxa"/>
            <w:vAlign w:val="bottom"/>
          </w:tcPr>
          <w:p>
            <w:pPr>
              <w:jc w:val="right"/>
              <w:ind w:right="4271"/>
              <w:spacing w:after="0"/>
              <w:rPr>
                <w:sz w:val="20"/>
                <w:szCs w:val="20"/>
                <w:color w:val="auto"/>
              </w:rPr>
            </w:pPr>
            <w:r>
              <w:rPr>
                <w:rFonts w:ascii="Arial" w:cs="Arial" w:eastAsia="Arial" w:hAnsi="Arial"/>
                <w:sz w:val="18"/>
                <w:szCs w:val="18"/>
                <w:color w:val="auto"/>
              </w:rPr>
              <w:t>36</w:t>
            </w:r>
          </w:p>
        </w:tc>
        <w:tc>
          <w:tcPr>
            <w:tcW w:w="1260" w:type="dxa"/>
            <w:vAlign w:val="bottom"/>
          </w:tcPr>
          <w:p>
            <w:pPr>
              <w:spacing w:after="0"/>
              <w:rPr>
                <w:sz w:val="24"/>
                <w:szCs w:val="24"/>
                <w:color w:val="auto"/>
              </w:rPr>
            </w:pPr>
          </w:p>
        </w:tc>
      </w:tr>
    </w:tbl>
    <w:p>
      <w:pPr>
        <w:sectPr>
          <w:pgSz w:w="11900" w:h="16838" w:orient="portrait"/>
          <w:cols w:equalWidth="0" w:num="1">
            <w:col w:w="11340"/>
          </w:cols>
          <w:pgMar w:left="320" w:top="121" w:right="239" w:bottom="1440" w:gutter="0" w:footer="0" w:header="0"/>
        </w:sectPr>
      </w:pPr>
    </w:p>
    <w:bookmarkStart w:id="35" w:name="page36"/>
    <w:bookmarkEnd w:id="35"/>
    <w:p>
      <w:pPr>
        <w:ind w:left="10200"/>
        <w:spacing w:after="0"/>
        <w:rPr>
          <w:sz w:val="20"/>
          <w:szCs w:val="20"/>
          <w:color w:val="auto"/>
        </w:rPr>
      </w:pPr>
      <w:r>
        <w:rPr>
          <w:rFonts w:ascii="Arial" w:cs="Arial" w:eastAsia="Arial" w:hAnsi="Arial"/>
          <w:sz w:val="16"/>
          <w:szCs w:val="16"/>
          <w:b w:val="1"/>
          <w:bCs w:val="1"/>
          <w:color w:val="auto"/>
        </w:rPr>
        <w:t>EXHIBIT 31.1</w:t>
      </w: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John Rademacher, certify that:</w:t>
      </w:r>
    </w:p>
    <w:p>
      <w:pPr>
        <w:spacing w:after="0" w:line="98" w:lineRule="exact"/>
        <w:rPr>
          <w:sz w:val="20"/>
          <w:szCs w:val="20"/>
          <w:color w:val="auto"/>
        </w:rPr>
      </w:pPr>
    </w:p>
    <w:p>
      <w:pPr>
        <w:ind w:left="360" w:hanging="354"/>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85" w:lineRule="exact"/>
        <w:rPr>
          <w:rFonts w:ascii="Arial" w:cs="Arial" w:eastAsia="Arial" w:hAnsi="Arial"/>
          <w:sz w:val="18"/>
          <w:szCs w:val="18"/>
          <w:color w:val="auto"/>
        </w:rPr>
      </w:pPr>
    </w:p>
    <w:p>
      <w:pPr>
        <w:ind w:left="640" w:hanging="634"/>
        <w:spacing w:after="0" w:line="256" w:lineRule="auto"/>
        <w:tabs>
          <w:tab w:leader="none" w:pos="449"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640" w:hanging="634"/>
        <w:spacing w:after="0" w:line="295" w:lineRule="auto"/>
        <w:tabs>
          <w:tab w:leader="none" w:pos="461"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640" w:hanging="634"/>
        <w:spacing w:after="0" w:line="256" w:lineRule="auto"/>
        <w:tabs>
          <w:tab w:leader="none" w:pos="4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1280" w:hanging="636"/>
        <w:spacing w:after="0" w:line="256" w:lineRule="auto"/>
        <w:tabs>
          <w:tab w:leader="none" w:pos="1088"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280" w:hanging="636"/>
        <w:spacing w:after="0" w:line="256" w:lineRule="auto"/>
        <w:tabs>
          <w:tab w:leader="none" w:pos="117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1280" w:hanging="636"/>
        <w:spacing w:after="0" w:line="295" w:lineRule="auto"/>
        <w:tabs>
          <w:tab w:leader="none" w:pos="1202"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280" w:hanging="636"/>
        <w:spacing w:after="0" w:line="256" w:lineRule="auto"/>
        <w:tabs>
          <w:tab w:leader="none" w:pos="1099"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634"/>
        <w:spacing w:after="0" w:line="295" w:lineRule="auto"/>
        <w:tabs>
          <w:tab w:leader="none" w:pos="44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left="1280" w:hanging="636"/>
        <w:spacing w:after="0" w:line="295" w:lineRule="auto"/>
        <w:tabs>
          <w:tab w:leader="none" w:pos="1059"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280" w:hanging="636"/>
        <w:spacing w:after="0" w:line="265" w:lineRule="auto"/>
        <w:tabs>
          <w:tab w:leader="none" w:pos="1063"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83"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31.2</w:t>
      </w: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 Michael Shapiro, certify that:</w:t>
      </w:r>
    </w:p>
    <w:p>
      <w:pPr>
        <w:spacing w:after="0" w:line="98" w:lineRule="exact"/>
        <w:rPr>
          <w:sz w:val="20"/>
          <w:szCs w:val="20"/>
          <w:color w:val="auto"/>
        </w:rPr>
      </w:pPr>
    </w:p>
    <w:p>
      <w:pPr>
        <w:ind w:left="360" w:hanging="354"/>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Option Care Health, Inc.;</w:t>
      </w:r>
    </w:p>
    <w:p>
      <w:pPr>
        <w:spacing w:after="0" w:line="85" w:lineRule="exact"/>
        <w:rPr>
          <w:rFonts w:ascii="Arial" w:cs="Arial" w:eastAsia="Arial" w:hAnsi="Arial"/>
          <w:sz w:val="18"/>
          <w:szCs w:val="18"/>
          <w:color w:val="auto"/>
        </w:rPr>
      </w:pPr>
    </w:p>
    <w:p>
      <w:pPr>
        <w:ind w:left="640" w:hanging="634"/>
        <w:spacing w:after="0" w:line="256" w:lineRule="auto"/>
        <w:tabs>
          <w:tab w:leader="none" w:pos="449"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Arial" w:cs="Arial" w:eastAsia="Arial" w:hAnsi="Arial"/>
          <w:sz w:val="18"/>
          <w:szCs w:val="18"/>
          <w:color w:val="auto"/>
        </w:rPr>
      </w:pPr>
    </w:p>
    <w:p>
      <w:pPr>
        <w:ind w:left="640" w:hanging="634"/>
        <w:spacing w:after="0" w:line="295" w:lineRule="auto"/>
        <w:tabs>
          <w:tab w:leader="none" w:pos="461"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640" w:hanging="634"/>
        <w:spacing w:after="0" w:line="256"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1280" w:hanging="636"/>
        <w:spacing w:after="0" w:line="256" w:lineRule="auto"/>
        <w:tabs>
          <w:tab w:leader="none" w:pos="10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1280" w:hanging="636"/>
        <w:spacing w:after="0" w:line="256" w:lineRule="auto"/>
        <w:tabs>
          <w:tab w:leader="none" w:pos="117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1280" w:hanging="636"/>
        <w:spacing w:after="0" w:line="295" w:lineRule="auto"/>
        <w:tabs>
          <w:tab w:leader="none" w:pos="1202"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1280" w:hanging="636"/>
        <w:spacing w:after="0" w:line="256" w:lineRule="auto"/>
        <w:tabs>
          <w:tab w:leader="none" w:pos="1099"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640" w:hanging="634"/>
        <w:spacing w:after="0" w:line="295" w:lineRule="auto"/>
        <w:tabs>
          <w:tab w:leader="none" w:pos="44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7" w:lineRule="exact"/>
        <w:rPr>
          <w:rFonts w:ascii="Arial" w:cs="Arial" w:eastAsia="Arial" w:hAnsi="Arial"/>
          <w:sz w:val="17"/>
          <w:szCs w:val="17"/>
          <w:color w:val="auto"/>
        </w:rPr>
      </w:pPr>
    </w:p>
    <w:p>
      <w:pPr>
        <w:ind w:left="1280" w:hanging="636"/>
        <w:spacing w:after="0" w:line="295" w:lineRule="auto"/>
        <w:tabs>
          <w:tab w:leader="none" w:pos="1059"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7"/>
          <w:szCs w:val="17"/>
          <w:color w:val="auto"/>
        </w:rPr>
      </w:pPr>
    </w:p>
    <w:p>
      <w:pPr>
        <w:ind w:left="1280" w:hanging="636"/>
        <w:spacing w:after="0" w:line="265" w:lineRule="auto"/>
        <w:tabs>
          <w:tab w:leader="none" w:pos="1063"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p>
      <w:pPr>
        <w:sectPr>
          <w:pgSz w:w="11900" w:h="16838" w:orient="portrait"/>
          <w:cols w:equalWidth="0" w:num="1">
            <w:col w:w="11240"/>
          </w:cols>
          <w:pgMar w:left="320" w:top="88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firstLine="195"/>
        <w:spacing w:after="0" w:line="27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2022,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38" w:lineRule="exact"/>
        <w:rPr>
          <w:sz w:val="20"/>
          <w:szCs w:val="20"/>
          <w:color w:val="auto"/>
        </w:rPr>
      </w:pPr>
    </w:p>
    <w:p>
      <w:pPr>
        <w:ind w:left="440" w:hanging="43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8" w:lineRule="exact"/>
        <w:rPr>
          <w:rFonts w:ascii="Arial" w:cs="Arial" w:eastAsia="Arial" w:hAnsi="Arial"/>
          <w:sz w:val="18"/>
          <w:szCs w:val="18"/>
          <w:color w:val="auto"/>
        </w:rPr>
      </w:pPr>
    </w:p>
    <w:p>
      <w:pPr>
        <w:ind w:left="380" w:hanging="374"/>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John Rademacher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John Rademacher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Principal Executive Officer</w:t>
      </w:r>
    </w:p>
    <w:p>
      <w:pPr>
        <w:sectPr>
          <w:pgSz w:w="11900" w:h="16838" w:orient="portrait"/>
          <w:cols w:equalWidth="0" w:num="1">
            <w:col w:w="11240"/>
          </w:cols>
          <w:pgMar w:left="320" w:top="878"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firstLine="195"/>
        <w:spacing w:after="0" w:line="278" w:lineRule="auto"/>
        <w:rPr>
          <w:sz w:val="20"/>
          <w:szCs w:val="20"/>
          <w:color w:val="auto"/>
        </w:rPr>
      </w:pPr>
      <w:r>
        <w:rPr>
          <w:rFonts w:ascii="Arial" w:cs="Arial" w:eastAsia="Arial" w:hAnsi="Arial"/>
          <w:sz w:val="17"/>
          <w:szCs w:val="17"/>
          <w:color w:val="auto"/>
        </w:rPr>
        <w:t>In connection with the Quarterly Report of Option Care Health, Inc. (the “Company”) on Form 10-Q for the quarter ended June 30, 2022,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38" w:lineRule="exact"/>
        <w:rPr>
          <w:sz w:val="20"/>
          <w:szCs w:val="20"/>
          <w:color w:val="auto"/>
        </w:rPr>
      </w:pPr>
    </w:p>
    <w:p>
      <w:pPr>
        <w:ind w:left="440" w:hanging="434"/>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8" w:lineRule="exact"/>
        <w:rPr>
          <w:rFonts w:ascii="Arial" w:cs="Arial" w:eastAsia="Arial" w:hAnsi="Arial"/>
          <w:sz w:val="18"/>
          <w:szCs w:val="18"/>
          <w:color w:val="auto"/>
        </w:rPr>
      </w:pPr>
    </w:p>
    <w:p>
      <w:pPr>
        <w:ind w:left="380" w:hanging="374"/>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2022</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Michael Shapiro</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Michael Shapiro</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Principal Financial Officer</w:t>
      </w:r>
    </w:p>
    <w:sectPr>
      <w:pgSz w:w="11900" w:h="16838" w:orient="portrait"/>
      <w:cols w:equalWidth="0" w:num="1">
        <w:col w:w="11240"/>
      </w:cols>
      <w:pgMar w:left="320" w:top="8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2022-07-27T16:00:05Z</dcterms:created>
  <dcterms:modified xsi:type="dcterms:W3CDTF">2022-07-27T16:00:05Z</dcterms:modified>
</cp:coreProperties>
</file>