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370"/>
        <w:gridCol w:w="325"/>
        <w:gridCol w:w="327"/>
        <w:gridCol w:w="2689"/>
        <w:gridCol w:w="2689"/>
        <w:gridCol w:w="3805"/>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For the quarterly period ended June 30, 2025</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100" w:after="200"/>
        <w:jc w:val="center"/>
        <w:rPr>
          <w:rFonts w:ascii="Times New Roman;serif" w:hAnsi="Times New Roman;serif"/>
          <w:b/>
          <w:color w:val="000000"/>
          <w:sz w:val="18"/>
        </w:rPr>
      </w:pPr>
      <w:r>
        <w:rPr>
          <w:rFonts w:ascii="Times New Roman;serif" w:hAnsi="Times New Roman;serif"/>
          <w:b/>
          <w:color w:val="000000"/>
          <w:sz w:val="18"/>
        </w:rPr>
        <w:t>Commission file number: 001-11993</w:t>
      </w:r>
    </w:p>
    <w:p>
      <w:pPr>
        <w:pStyle w:val="TextBody"/>
        <w:bidi w:val="0"/>
        <w:spacing w:before="0" w:after="0"/>
        <w:jc w:val="center"/>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OPTION CARE HEALTH, INC.</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6852" w:type="dxa"/>
        <w:jc w:val="center"/>
        <w:tblInd w:w="0" w:type="dxa"/>
        <w:tblLayout w:type="fixed"/>
        <w:tblCellMar>
          <w:top w:w="28" w:type="dxa"/>
          <w:left w:w="28" w:type="dxa"/>
          <w:bottom w:w="28" w:type="dxa"/>
          <w:right w:w="28" w:type="dxa"/>
        </w:tblCellMar>
      </w:tblPr>
      <w:tblGrid>
        <w:gridCol w:w="1392"/>
        <w:gridCol w:w="1227"/>
        <w:gridCol w:w="1236"/>
        <w:gridCol w:w="109"/>
        <w:gridCol w:w="109"/>
        <w:gridCol w:w="109"/>
        <w:gridCol w:w="778"/>
        <w:gridCol w:w="778"/>
        <w:gridCol w:w="1114"/>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05-0489664</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3000 Lakeside Dr. Suite 300N, Bannockburn,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60015</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312-940-2443</w:t>
      </w:r>
    </w:p>
    <w:p>
      <w:pPr>
        <w:pStyle w:val="TextBody"/>
        <w:bidi w:val="0"/>
        <w:spacing w:lineRule="auto" w:line="288" w:before="0" w:after="200"/>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00" w:after="200"/>
        <w:ind w:left="0" w:right="0" w:firstLine="18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20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0" w:after="200"/>
        <w:ind w:left="0" w:right="0" w:firstLine="180"/>
        <w:jc w:val="center"/>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ind w:left="0" w:right="0" w:firstLine="18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w:t>
      </w:r>
    </w:p>
    <w:p>
      <w:pPr>
        <w:pStyle w:val="TextBody"/>
        <w:bidi w:val="0"/>
        <w:spacing w:lineRule="auto" w:line="288" w:before="0" w:after="20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On July 28, 2025, there were 162,295,059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52" w:type="dxa"/>
        <w:jc w:val="center"/>
        <w:tblInd w:w="0" w:type="dxa"/>
        <w:tblLayout w:type="fixed"/>
        <w:tblCellMar>
          <w:top w:w="28" w:type="dxa"/>
          <w:left w:w="28" w:type="dxa"/>
          <w:bottom w:w="28" w:type="dxa"/>
          <w:right w:w="28" w:type="dxa"/>
        </w:tblCellMar>
      </w:tblPr>
      <w:tblGrid>
        <w:gridCol w:w="456"/>
        <w:gridCol w:w="399"/>
        <w:gridCol w:w="406"/>
        <w:gridCol w:w="2163"/>
        <w:gridCol w:w="2163"/>
        <w:gridCol w:w="2169"/>
        <w:gridCol w:w="233"/>
        <w:gridCol w:w="233"/>
        <w:gridCol w:w="330"/>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6">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6">
              <w:r>
                <w:rPr>
                  <w:rStyle w:val="InternetLink"/>
                  <w:rFonts w:ascii="Times New Roman;serif" w:hAnsi="Times New Roman;serif"/>
                  <w:b w:val="false"/>
                  <w:color w:val="0000FF"/>
                  <w:sz w:val="18"/>
                  <w:u w:val="single"/>
                </w:rPr>
                <w:t>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6">
              <w:r>
                <w:rPr>
                  <w:rStyle w:val="InternetLink"/>
                  <w:rFonts w:ascii="Times New Roman;serif" w:hAnsi="Times New Roman;serif"/>
                  <w:b w:val="false"/>
                  <w:color w:val="0000FF"/>
                  <w:sz w:val="18"/>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9">
              <w:r>
                <w:rPr>
                  <w:rStyle w:val="InternetLink"/>
                  <w:rFonts w:ascii="Times New Roman;serif" w:hAnsi="Times New Roman;serif"/>
                  <w:b w:val="false"/>
                  <w:color w:val="0000FF"/>
                  <w:sz w:val="18"/>
                  <w:u w:val="single"/>
                </w:rPr>
                <w:t>Condensed Consolidated Balance Sheets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9">
              <w:r>
                <w:rPr>
                  <w:rStyle w:val="InternetLink"/>
                  <w:rFonts w:ascii="Times New Roman;serif" w:hAnsi="Times New Roman;serif"/>
                  <w:b w:val="false"/>
                  <w:color w:val="0000FF"/>
                  <w:sz w:val="18"/>
                  <w:u w:val="single"/>
                </w:rPr>
                <w:t>5</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22">
              <w:r>
                <w:rPr>
                  <w:rStyle w:val="InternetLink"/>
                  <w:rFonts w:ascii="Times New Roman;serif" w:hAnsi="Times New Roman;serif"/>
                  <w:b w:val="false"/>
                  <w:color w:val="0000FF"/>
                  <w:sz w:val="18"/>
                  <w:u w:val="single"/>
                </w:rPr>
                <w:t>Unaudited Condensed Consolidated Statements of Comprehensive Income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22">
              <w:r>
                <w:rPr>
                  <w:rStyle w:val="InternetLink"/>
                  <w:rFonts w:ascii="Times New Roman;serif" w:hAnsi="Times New Roman;serif"/>
                  <w:b w:val="false"/>
                  <w:color w:val="0000FF"/>
                  <w:sz w:val="18"/>
                  <w:u w:val="single"/>
                </w:rPr>
                <w:t>6</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25">
              <w:r>
                <w:rPr>
                  <w:rStyle w:val="InternetLink"/>
                  <w:rFonts w:ascii="Times New Roman;serif" w:hAnsi="Times New Roman;serif"/>
                  <w:b w:val="false"/>
                  <w:color w:val="0000FF"/>
                  <w:sz w:val="18"/>
                  <w:u w:val="single"/>
                </w:rPr>
                <w:t>Unaudited Condensed Consolidated Statements of Cash Flows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25">
              <w:r>
                <w:rPr>
                  <w:rStyle w:val="InternetLink"/>
                  <w:rFonts w:ascii="Times New Roman;serif" w:hAnsi="Times New Roman;serif"/>
                  <w:b w:val="false"/>
                  <w:color w:val="0000FF"/>
                  <w:sz w:val="18"/>
                  <w:u w:val="single"/>
                </w:rPr>
                <w:t>7</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28">
              <w:r>
                <w:rPr>
                  <w:rStyle w:val="InternetLink"/>
                  <w:rFonts w:ascii="Times New Roman;serif" w:hAnsi="Times New Roman;serif"/>
                  <w:b w:val="false"/>
                  <w:color w:val="0000FF"/>
                  <w:sz w:val="18"/>
                  <w:u w:val="single"/>
                </w:rPr>
                <w:t>Unaudited Condensed Consolidated Statements of Stockholders’ Equity</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28">
              <w:r>
                <w:rPr>
                  <w:rStyle w:val="InternetLink"/>
                  <w:rFonts w:ascii="Times New Roman;serif" w:hAnsi="Times New Roman;serif"/>
                  <w:b w:val="false"/>
                  <w:color w:val="0000FF"/>
                  <w:sz w:val="18"/>
                  <w:u w:val="single"/>
                </w:rPr>
                <w:t>8</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31">
              <w:r>
                <w:rPr>
                  <w:rStyle w:val="InternetLink"/>
                  <w:rFonts w:ascii="Times New Roman;serif" w:hAnsi="Times New Roman;serif"/>
                  <w:b w:val="false"/>
                  <w:color w:val="0000FF"/>
                  <w:sz w:val="18"/>
                  <w:u w:val="single"/>
                </w:rPr>
                <w:t>Notes to Unaudited Condensed Consolidated 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31">
              <w:r>
                <w:rPr>
                  <w:rStyle w:val="InternetLink"/>
                  <w:rFonts w:ascii="Times New Roman;serif" w:hAnsi="Times New Roman;serif"/>
                  <w:b w:val="false"/>
                  <w:color w:val="0000FF"/>
                  <w:sz w:val="18"/>
                  <w:u w:val="single"/>
                </w:rPr>
                <w:t>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91">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9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91">
              <w:r>
                <w:rPr>
                  <w:rStyle w:val="InternetLink"/>
                  <w:rFonts w:ascii="Times New Roman;serif" w:hAnsi="Times New Roman;serif"/>
                  <w:b w:val="false"/>
                  <w:color w:val="0000FF"/>
                  <w:sz w:val="18"/>
                  <w:u w:val="single"/>
                </w:rPr>
                <w:t>22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21">
              <w:r>
                <w:rPr>
                  <w:rStyle w:val="InternetLink"/>
                  <w:rFonts w:ascii="Times New Roman;serif" w:hAnsi="Times New Roman;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21">
              <w:r>
                <w:rPr>
                  <w:rStyle w:val="InternetLink"/>
                  <w:rFonts w:ascii="Times New Roman;serif" w:hAnsi="Times New Roman;serif"/>
                  <w:b w:val="false"/>
                  <w:color w:val="0000FF"/>
                  <w:sz w:val="18"/>
                  <w:u w:val="single"/>
                </w:rPr>
                <w:t>Quantitative and Qualitative Disclosures About Market Risk</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21">
              <w:r>
                <w:rPr>
                  <w:rStyle w:val="InternetLink"/>
                  <w:rFonts w:ascii="Times New Roman;serif" w:hAnsi="Times New Roman;serif"/>
                  <w:b w:val="false"/>
                  <w:color w:val="0000FF"/>
                  <w:sz w:val="18"/>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24">
              <w:r>
                <w:rPr>
                  <w:rStyle w:val="InternetLink"/>
                  <w:rFonts w:ascii="Times New Roman;serif" w:hAnsi="Times New Roman;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24">
              <w:r>
                <w:rPr>
                  <w:rStyle w:val="InternetLink"/>
                  <w:rFonts w:ascii="Times New Roman;serif" w:hAnsi="Times New Roman;serif"/>
                  <w:b w:val="false"/>
                  <w:color w:val="0000FF"/>
                  <w:sz w:val="18"/>
                  <w:u w:val="single"/>
                </w:rPr>
                <w:t>Controls and Procedures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24">
              <w:r>
                <w:rPr>
                  <w:rStyle w:val="InternetLink"/>
                  <w:rFonts w:ascii="Times New Roman;serif" w:hAnsi="Times New Roman;serif"/>
                  <w:b w:val="false"/>
                  <w:color w:val="0000FF"/>
                  <w:sz w:val="18"/>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PART II</w:t>
            </w:r>
            <w:r>
              <w:rPr>
                <w:color w:val="000000"/>
              </w:rPr>
              <w:t>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0">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0">
              <w:r>
                <w:rPr>
                  <w:rStyle w:val="InternetLink"/>
                  <w:rFonts w:ascii="Times New Roman;serif" w:hAnsi="Times New Roman;serif"/>
                  <w:b w:val="false"/>
                  <w:color w:val="0000FF"/>
                  <w:sz w:val="18"/>
                  <w:u w:val="single"/>
                </w:rPr>
                <w:t>Legal Proceedings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30">
              <w:r>
                <w:rPr>
                  <w:rStyle w:val="InternetLink"/>
                  <w:rFonts w:ascii="Times New Roman;serif" w:hAnsi="Times New Roman;serif"/>
                  <w:b w:val="false"/>
                  <w:color w:val="0000FF"/>
                  <w:sz w:val="18"/>
                  <w:u w:val="single"/>
                </w:rPr>
                <w:t>33</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3">
              <w:r>
                <w:rPr>
                  <w:rStyle w:val="InternetLink"/>
                  <w:rFonts w:ascii="Times New Roman;serif" w:hAnsi="Times New Roman;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3">
              <w:r>
                <w:rPr>
                  <w:rStyle w:val="InternetLink"/>
                  <w:rFonts w:ascii="Times New Roman;serif" w:hAnsi="Times New Roman;serif"/>
                  <w:b w:val="false"/>
                  <w:color w:val="0000FF"/>
                  <w:sz w:val="18"/>
                  <w:u w:val="single"/>
                </w:rPr>
                <w:t>Risk Factors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33">
              <w:r>
                <w:rPr>
                  <w:rStyle w:val="InternetLink"/>
                  <w:rFonts w:ascii="Times New Roman;serif" w:hAnsi="Times New Roman;serif"/>
                  <w:b w:val="false"/>
                  <w:color w:val="0000FF"/>
                  <w:sz w:val="18"/>
                  <w:u w:val="single"/>
                </w:rPr>
                <w:t>33</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6">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6">
              <w:r>
                <w:rPr>
                  <w:rStyle w:val="InternetLink"/>
                  <w:rFonts w:ascii="Times New Roman;serif" w:hAnsi="Times New Roman;serif"/>
                  <w:b w:val="false"/>
                  <w:color w:val="0000FF"/>
                  <w:sz w:val="18"/>
                  <w:u w:val="single"/>
                </w:rPr>
                <w:t>Unregistered Sales of Equity Securities and Use of Proceeds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36">
              <w:r>
                <w:rPr>
                  <w:rStyle w:val="InternetLink"/>
                  <w:rFonts w:ascii="Times New Roman;serif" w:hAnsi="Times New Roman;serif"/>
                  <w:b w:val="false"/>
                  <w:color w:val="0000FF"/>
                  <w:sz w:val="18"/>
                  <w:u w:val="single"/>
                </w:rPr>
                <w:t>33</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9">
              <w:r>
                <w:rPr>
                  <w:rStyle w:val="InternetLink"/>
                  <w:rFonts w:ascii="Times New Roman;serif" w:hAnsi="Times New Roman;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39">
              <w:r>
                <w:rPr>
                  <w:rStyle w:val="InternetLink"/>
                  <w:rFonts w:ascii="Times New Roman;serif" w:hAnsi="Times New Roman;serif"/>
                  <w:b w:val="false"/>
                  <w:color w:val="0000FF"/>
                  <w:sz w:val="18"/>
                  <w:u w:val="single"/>
                </w:rPr>
                <w:t>Other Information</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39">
              <w:r>
                <w:rPr>
                  <w:rStyle w:val="InternetLink"/>
                  <w:rFonts w:ascii="Times New Roman;serif" w:hAnsi="Times New Roman;serif"/>
                  <w:b w:val="false"/>
                  <w:color w:val="0000FF"/>
                  <w:sz w:val="18"/>
                  <w:u w:val="single"/>
                </w:rPr>
                <w:t>33</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42">
              <w:r>
                <w:rPr>
                  <w:rStyle w:val="InternetLink"/>
                  <w:rFonts w:ascii="Times New Roman;serif" w:hAnsi="Times New Roman;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42">
              <w:r>
                <w:rPr>
                  <w:rStyle w:val="InternetLink"/>
                  <w:rFonts w:ascii="Times New Roman;serif" w:hAnsi="Times New Roman;serif"/>
                  <w:b w:val="false"/>
                  <w:color w:val="0000FF"/>
                  <w:sz w:val="18"/>
                  <w:u w:val="single"/>
                </w:rPr>
                <w:t>Exhibits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42">
              <w:r>
                <w:rPr>
                  <w:rStyle w:val="InternetLink"/>
                  <w:rFonts w:ascii="Times New Roman;serif" w:hAnsi="Times New Roman;serif"/>
                  <w:b w:val="false"/>
                  <w:color w:val="0000FF"/>
                  <w:sz w:val="18"/>
                  <w:u w:val="single"/>
                </w:rPr>
                <w:t>34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a5f9ea7a8e43439296f42e4bfba292_145">
              <w:r>
                <w:rPr>
                  <w:rStyle w:val="InternetLink"/>
                  <w:rFonts w:ascii="Times New Roman;serif" w:hAnsi="Times New Roman;serif"/>
                  <w:b w:val="false"/>
                  <w:color w:val="0000FF"/>
                  <w:sz w:val="18"/>
                  <w:u w:val="single"/>
                </w:rPr>
                <w:t>SIGNATURES</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a5f9ea7a8e43439296f42e4bfba292_145">
              <w:r>
                <w:rPr>
                  <w:rStyle w:val="InternetLink"/>
                  <w:rFonts w:ascii="Times New Roman;serif" w:hAnsi="Times New Roman;serif"/>
                  <w:b w:val="false"/>
                  <w:color w:val="0000FF"/>
                  <w:sz w:val="18"/>
                  <w:u w:val="single"/>
                </w:rPr>
                <w:t>35</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(this “Form 10-Q”) to “Option Care Health,” the “Company,” “we,” “us” and “our” refer to Option Care Health, Inc. and its consolidated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2024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927"/>
        <w:gridCol w:w="2200"/>
        <w:gridCol w:w="2218"/>
        <w:gridCol w:w="196"/>
        <w:gridCol w:w="871"/>
        <w:gridCol w:w="109"/>
        <w:gridCol w:w="109"/>
        <w:gridCol w:w="109"/>
        <w:gridCol w:w="109"/>
        <w:gridCol w:w="217"/>
        <w:gridCol w:w="967"/>
        <w:gridCol w:w="173"/>
      </w:tblGrid>
      <w:tr>
        <w:trPr/>
        <w:tc>
          <w:tcPr>
            <w:tcW w:w="292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3,421,743 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610,779 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780,146 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discount, deferred financing costs and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1,237,359 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12,500,000 shares authorized, no shares outstanding as of June 30, 2025 and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250,000,000 shares authorized, 184,479,253 shares issued and 162,293,554 shares outstanding as of June 30, 2025; 183,846,725 shares issued and 166,261,112 shares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22,185,699 and 17,585,613 shares outstanding, at cost, as of June 30, 2025 and December 31,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(507,598)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1,404,238 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3,421,743 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909"/>
        <w:gridCol w:w="1281"/>
        <w:gridCol w:w="1283"/>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9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(expense) of $548, $242, $1,331 and $(213),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174,831 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8018" w:type="dxa"/>
        <w:jc w:val="center"/>
        <w:tblInd w:w="0" w:type="dxa"/>
        <w:tblLayout w:type="fixed"/>
        <w:tblCellMar>
          <w:top w:w="28" w:type="dxa"/>
          <w:left w:w="28" w:type="dxa"/>
          <w:bottom w:w="28" w:type="dxa"/>
          <w:right w:w="28" w:type="dxa"/>
        </w:tblCellMar>
      </w:tblPr>
      <w:tblGrid>
        <w:gridCol w:w="2017"/>
        <w:gridCol w:w="1771"/>
        <w:gridCol w:w="1776"/>
        <w:gridCol w:w="196"/>
        <w:gridCol w:w="736"/>
        <w:gridCol w:w="109"/>
        <w:gridCol w:w="109"/>
        <w:gridCol w:w="109"/>
        <w:gridCol w:w="109"/>
        <w:gridCol w:w="196"/>
        <w:gridCol w:w="73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tax withholdings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excise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 principal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STOCKHOLDERS’ EQUITY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10600" w:type="dxa"/>
        <w:jc w:val="center"/>
        <w:tblInd w:w="0" w:type="dxa"/>
        <w:tblLayout w:type="fixed"/>
        <w:tblCellMar>
          <w:top w:w="28" w:type="dxa"/>
          <w:left w:w="28" w:type="dxa"/>
          <w:bottom w:w="28" w:type="dxa"/>
          <w:right w:w="28" w:type="dxa"/>
        </w:tblCellMar>
      </w:tblPr>
      <w:tblGrid>
        <w:gridCol w:w="582"/>
        <w:gridCol w:w="301"/>
        <w:gridCol w:w="303"/>
        <w:gridCol w:w="227"/>
        <w:gridCol w:w="471"/>
        <w:gridCol w:w="128"/>
        <w:gridCol w:w="109"/>
        <w:gridCol w:w="109"/>
        <w:gridCol w:w="109"/>
        <w:gridCol w:w="254"/>
        <w:gridCol w:w="429"/>
        <w:gridCol w:w="143"/>
        <w:gridCol w:w="109"/>
        <w:gridCol w:w="109"/>
        <w:gridCol w:w="109"/>
        <w:gridCol w:w="196"/>
        <w:gridCol w:w="751"/>
        <w:gridCol w:w="109"/>
        <w:gridCol w:w="109"/>
        <w:gridCol w:w="109"/>
        <w:gridCol w:w="109"/>
        <w:gridCol w:w="196"/>
        <w:gridCol w:w="871"/>
        <w:gridCol w:w="109"/>
        <w:gridCol w:w="109"/>
        <w:gridCol w:w="109"/>
        <w:gridCol w:w="109"/>
        <w:gridCol w:w="196"/>
        <w:gridCol w:w="736"/>
        <w:gridCol w:w="109"/>
        <w:gridCol w:w="109"/>
        <w:gridCol w:w="109"/>
        <w:gridCol w:w="109"/>
        <w:gridCol w:w="269"/>
        <w:gridCol w:w="887"/>
        <w:gridCol w:w="150"/>
        <w:gridCol w:w="109"/>
        <w:gridCol w:w="109"/>
        <w:gridCol w:w="109"/>
        <w:gridCol w:w="196"/>
        <w:gridCol w:w="87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June 30, 2025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 NATURE OF OPERATIONS AND PRESENTATION OF FINANCIAL STATEMENTS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Corporate Organization and Business </w:t>
      </w:r>
      <w:r>
        <w:rPr>
          <w:color w:val="000000"/>
        </w:rPr>
        <w:t xml:space="preserve">— </w:t>
      </w:r>
      <w:r>
        <w:rPr>
          <w:rFonts w:ascii="Times New Roman;serif" w:hAnsi="Times New Roman;serif"/>
          <w:b w:val="false"/>
          <w:color w:val="000000"/>
          <w:sz w:val="20"/>
        </w:rPr>
        <w:t>Option Care Health, and its wholly-owned subsidiaries, provides infusion therapy and other ancillary healthcare services through a national network of 89 full service pharmacies, including 76 with ambulatory infusion suites. Additionally, the Company has 101 stand-alone ambulatory infusion suites, including 18 with advanced practitioner capabilities.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June 30, 2025.</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Basis of Presentation </w:t>
      </w:r>
      <w:r>
        <w:rPr>
          <w:color w:val="000000"/>
        </w:rPr>
        <w:t xml:space="preserve">— </w:t>
      </w:r>
      <w:r>
        <w:rPr>
          <w:rFonts w:ascii="Times New Roman;serif" w:hAnsi="Times New Roman;serif"/>
          <w:b w:val="false"/>
          <w:color w:val="000000"/>
          <w:sz w:val="20"/>
        </w:rPr>
        <w:t>The accompanying unaudited condensed consolidated financial statements have been prepared in conformity with generally 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2024 audited consolidated financial statements, including the notes thereto, as presented in our Form 10-K.</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Principles of Consolidation </w:t>
      </w:r>
      <w:r>
        <w:rPr>
          <w:color w:val="000000"/>
        </w:rPr>
        <w:t xml:space="preserve">— </w:t>
      </w:r>
      <w:r>
        <w:rPr>
          <w:rFonts w:ascii="Times New Roman;serif" w:hAnsi="Times New Roman;serif"/>
          <w:b w:val="false"/>
          <w:color w:val="000000"/>
          <w:sz w:val="20"/>
        </w:rPr>
        <w:t>The Company’s unaudited condensed consolidated financial statements include the accounts of Option Care Health, Inc. and its subsidiaries. All intercompany transactions and balances are eliminated in consolidation.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discussion of the Company’s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Cash and Cash Equivalents </w:t>
      </w:r>
      <w:r>
        <w:rPr>
          <w:color w:val="000000"/>
        </w:rPr>
        <w:t xml:space="preserve">— </w:t>
      </w:r>
      <w:r>
        <w:rPr>
          <w:rFonts w:ascii="Times New Roman;serif" w:hAnsi="Times New Roman;serif"/>
          <w:b w:val="false"/>
          <w:color w:val="000000"/>
          <w:sz w:val="20"/>
        </w:rPr>
        <w:t>The Company considers all highly liquid investments with original maturities of three months or less to be cash equivalents. As of June 30, 2025, cash equivalents consisted of money market funds.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Prepaid Expenses and Other Current Assets </w:t>
      </w:r>
      <w:r>
        <w:rPr>
          <w:color w:val="000000"/>
        </w:rPr>
        <w:t xml:space="preserve">— </w:t>
      </w:r>
      <w:r>
        <w:rPr>
          <w:rFonts w:ascii="Times New Roman;serif" w:hAnsi="Times New Roman;serif"/>
          <w:b w:val="false"/>
          <w:color w:val="000000"/>
          <w:sz w:val="20"/>
        </w:rPr>
        <w:t>Included in prepaid expenses and other current assets are rebates receivable from pharmaceutical and medical supply manufacturers of $34.0 million and $54.4 million as of June 30, 2025 and December 31, 2024, respectively.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Equity-Method Investments </w:t>
      </w:r>
      <w:r>
        <w:rPr>
          <w:color w:val="000000"/>
        </w:rPr>
        <w:t xml:space="preserve">— </w:t>
      </w:r>
      <w:r>
        <w:rPr>
          <w:rFonts w:ascii="Times New Roman;serif" w:hAnsi="Times New Roman;serif"/>
          <w:b w:val="false"/>
          <w:color w:val="000000"/>
          <w:sz w:val="20"/>
        </w:rPr>
        <w:t xml:space="preserve">The Company’s investments in certain unconsolidated entities are accounted for under the equity method. The balance of these investments is included in other noncurrent assets in the accompanying condensed consolidated balance sheets. As of June 30, 2025 and December 31, 2024, the balance of the investments was $26.0 million and $24.5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$1.4 million and $3.1 million for the three and six months ended June 30, 2025, respectively. The Company’s proportionate share of earnings was $1.4 million and $2.5 million for the three and six months ended June 30, 2024, respectively. Distributions from the investees are treated as cash inflows from operating activities in the unaudited condensed consolidated statements of cash flows. During the three and six months ended June 30, 2025, the Company received distributions from the investees of $1.6 million. During the three months ended June 30, 2024, the Company did not receive any distributions from the investees. During the six months ended June 30, 2024, the Company received distributions from the investees of $0.8 million. See Note 16, </w:t>
      </w:r>
      <w:r>
        <w:rPr>
          <w:rFonts w:ascii="Times New Roman;serif" w:hAnsi="Times New Roman;serif"/>
          <w:b w:val="false"/>
          <w:i/>
          <w:color w:val="000000"/>
          <w:sz w:val="20"/>
        </w:rPr>
        <w:t>Related-Party Transactions</w:t>
      </w:r>
      <w:r>
        <w:rPr>
          <w:rFonts w:ascii="Times New Roman;serif" w:hAnsi="Times New Roman;serif"/>
          <w:b w:val="false"/>
          <w:color w:val="000000"/>
          <w:sz w:val="20"/>
        </w:rPr>
        <w:t>, for discussion of related-party transactions with these investees.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Concentrations of Business Risk </w:t>
      </w:r>
      <w:r>
        <w:rPr>
          <w:color w:val="000000"/>
        </w:rPr>
        <w:t xml:space="preserve">— </w:t>
      </w:r>
      <w:r>
        <w:rPr>
          <w:rFonts w:ascii="Times New Roman;serif" w:hAnsi="Times New Roman;serif"/>
          <w:b w:val="false"/>
          <w:color w:val="000000"/>
          <w:sz w:val="20"/>
        </w:rPr>
        <w:t>The Company generates revenue from managed care contracts and other agreements with commercial third-party payers. Revenue related to the Company’s largest payer was approximately 15% for the three and six months ended June 30, 2025. Revenue related to the Company’s largest payer was approximately 14% for the three and six months ended June 30, 2024. There were no other managed care contracts that represent greater than 10% of revenue for the periods presented.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and six months ended June 30, 2025, approximately 12% of the Company’s revenue was reimbursable through direct government healthcare programs, such as Medicare and Medicaid. For the three and six months ended June 30, 2024, approximately 11% and 12%, respectively, of the Company’s revenue was reimbursable through direct government healthcare programs, such as Medicare and Medicaid. </w:t>
      </w:r>
      <w:r>
        <w:rPr>
          <w:rFonts w:ascii="Times New Roman;serif" w:hAnsi="Times New Roman;serif"/>
          <w:b w:val="false"/>
          <w:color w:val="000000"/>
          <w:sz w:val="20"/>
          <w:shd w:fill="FFFFFF" w:val="clear"/>
        </w:rPr>
        <w:t>As of June 30, 2025 and December 31, 2024, approximately</w:t>
      </w:r>
      <w:r>
        <w:rPr>
          <w:color w:val="000000"/>
        </w:rPr>
        <w:t xml:space="preserve">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of the Company’s accounts receivable was related to these programs. Governmental programs pay for services based on fee schedules and rates that are determined by the related governmental agency. Laws and regulations pertaining</w:t>
      </w:r>
      <w:r>
        <w:rPr>
          <w:color w:val="000000"/>
        </w:rPr>
        <w:t xml:space="preserve"> </w:t>
      </w:r>
      <w:r>
        <w:rPr>
          <w:rFonts w:ascii="Times New Roman;serif" w:hAnsi="Times New Roman;serif"/>
          <w:b w:val="false"/>
          <w:color w:val="000000"/>
          <w:sz w:val="20"/>
        </w:rPr>
        <w:t>to government programs are complex and subject to interpretation. As a result, there is at least a reasonable possibility that recorded estimates will change in the near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approximately 59% of the Company’s pharmaceutical and medical supply purchases were from three vendors. For the six months ended June 30, 2025, approximately 67% of the Company’s pharmaceutical and medical supply purchases were from four vendors. For the three and six months ended June 30, 2024, approximately 68% and 67%, respectively, of the Company’s pharmaceutical and medical supply purchases were from four vendors. Although there are a limited number of suppliers, the Company believes that other vendors could provide similar products on comparable terms for most products. However, a change in suppliers could cause delays in service delivery and possible losses in revenue, which could adversely affect the Company’s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Intramed Plus, Inc. </w:t>
      </w:r>
      <w:r>
        <w:rPr>
          <w:color w:val="000000"/>
        </w:rPr>
        <w:t xml:space="preserve">— </w:t>
      </w:r>
      <w:r>
        <w:rPr>
          <w:rFonts w:ascii="Times New Roman;serif" w:hAnsi="Times New Roman;serif"/>
          <w:b w:val="false"/>
          <w:color w:val="000000"/>
          <w:sz w:val="20"/>
        </w:rPr>
        <w:t>On January 24, 2025, pursuant to the securities purchase agreement dated November 27, 2024, the Company completed the acquisition of 100% of the equity interests in Intramed Plus, Inc. (“Intramed Plus”) for a purchase price, net of cash acquired, of 117.2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of Intramed Plus was accounted for as a business combination in accordance with ASC Topic 805, Business Combinations, with the total purchase price being allocated to the assets and liabilities acquired based on the estimated fair value of each asset and liability. Certain adjustments were made to preliminary valuation amounts related to goodwill during the three months ended June 30, 2025. The following is a preliminary estimate of the allocation of the consideration transferred to acquired identifiable assets and assumed liabilities, net of cash acquired, as of June 30, 2025, which remains open for accounts receivable and accounts payable (in thousands):</w:t>
      </w:r>
    </w:p>
    <w:tbl>
      <w:tblPr>
        <w:tblW w:w="4176" w:type="dxa"/>
        <w:jc w:val="center"/>
        <w:tblInd w:w="0" w:type="dxa"/>
        <w:tblLayout w:type="fixed"/>
        <w:tblCellMar>
          <w:top w:w="28" w:type="dxa"/>
          <w:left w:w="28" w:type="dxa"/>
          <w:bottom w:w="28" w:type="dxa"/>
          <w:right w:w="28" w:type="dxa"/>
        </w:tblCellMar>
      </w:tblPr>
      <w:tblGrid>
        <w:gridCol w:w="1117"/>
        <w:gridCol w:w="983"/>
        <w:gridCol w:w="990"/>
        <w:gridCol w:w="196"/>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identifiable assets and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net of cash acquired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Referral sources and trademarks/names have been assigned a useful life of 15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Goodwill is attributable to cost synergies from procurement and operational efficiencies and elimination of duplicative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net revenue earned by category of payer for the three and six months ended June 30, 2025 and 2024 (in thousands):</w:t>
      </w:r>
    </w:p>
    <w:tbl>
      <w:tblPr>
        <w:tblW w:w="7244" w:type="dxa"/>
        <w:jc w:val="center"/>
        <w:tblInd w:w="0" w:type="dxa"/>
        <w:tblLayout w:type="fixed"/>
        <w:tblCellMar>
          <w:top w:w="28" w:type="dxa"/>
          <w:left w:w="28" w:type="dxa"/>
          <w:bottom w:w="28" w:type="dxa"/>
          <w:right w:w="28" w:type="dxa"/>
        </w:tblCellMar>
      </w:tblPr>
      <w:tblGrid>
        <w:gridCol w:w="548"/>
        <w:gridCol w:w="482"/>
        <w:gridCol w:w="48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payers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payers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recorded tax expense of $18.3 million and $35.2 million, respectively, which represents an effective tax rate of 26.6% and 26.5%, respectively. The variance in the Company’s effective tax rate of 26.6% and 26.5% for the three and six months ended June 30, 2025, respectively, compared to the federal statutory rate of 21%, is primarily attributable to the difference between federal and state tax rates and various non-deductible expenses. During the three and six months ended June 30, 2024, the Company recorded tax expense of $19.0 million and $31.2 million, respectively, which represents an effective tax rate of 26.4% and 24.2%, respectively. The variance in the Company’s effective tax rate of 26.4% and 24.2% for the three and six months ended June 30, 2024, respectively, compared to the federal statutory rate of 21%, is primarily attributable to the difference between federal and state tax rates, various non-deductible expenses, and a change in state valuation allowance. During the six months ended June 30, 2024, the Company released $2.2 million of state valuation allowance.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of $3.3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tax expense of $18.3 million and $35.2 million for the three and six months ended June 30, 2025, respectively, consists of quarterly federal and state tax liabilities as well as recognized deferred federal and state tax expense. The Company’s tax expense of $19.0 million and $31.2 million for the three and six months ended June 30, 2024, respectively, consists of quarterly federal and state tax liabilities as well as recognized deferred federal and state tax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accumulated federal net operating loss carryovers that are subject to one or more Internal Revenue Code (“Code”) Section 382 limitations. This may limit the Company’s ability to utilize its federal net operating losses.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earnings are used as the basis of determining whether the inclusion of common stock equivalents would be anti-dilutive. The computation of diluted shares for the three and six months ended June 30, 2025 and 2024 includes the effect of shares that would be issued in connection with warrants, stock options, restricted stock awards and performance stock unit awards, as these common stock equivalents are dilutive to the earnings per share recorded in those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common stock equivalents that were excluded from the calculation of earnings per share as they would be anti-dilutive:</w:t>
      </w:r>
    </w:p>
    <w:tbl>
      <w:tblPr>
        <w:tblW w:w="8345" w:type="dxa"/>
        <w:jc w:val="center"/>
        <w:tblInd w:w="0" w:type="dxa"/>
        <w:tblLayout w:type="fixed"/>
        <w:tblCellMar>
          <w:top w:w="28" w:type="dxa"/>
          <w:left w:w="28" w:type="dxa"/>
          <w:bottom w:w="28" w:type="dxa"/>
          <w:right w:w="28" w:type="dxa"/>
        </w:tblCellMar>
      </w:tblPr>
      <w:tblGrid>
        <w:gridCol w:w="834"/>
        <w:gridCol w:w="736"/>
        <w:gridCol w:w="739"/>
        <w:gridCol w:w="511"/>
        <w:gridCol w:w="271"/>
        <w:gridCol w:w="271"/>
        <w:gridCol w:w="271"/>
        <w:gridCol w:w="271"/>
        <w:gridCol w:w="271"/>
        <w:gridCol w:w="511"/>
        <w:gridCol w:w="271"/>
        <w:gridCol w:w="271"/>
        <w:gridCol w:w="109"/>
        <w:gridCol w:w="109"/>
        <w:gridCol w:w="109"/>
        <w:gridCol w:w="498"/>
        <w:gridCol w:w="242"/>
        <w:gridCol w:w="242"/>
        <w:gridCol w:w="242"/>
        <w:gridCol w:w="242"/>
        <w:gridCol w:w="242"/>
        <w:gridCol w:w="498"/>
        <w:gridCol w:w="242"/>
        <w:gridCol w:w="342"/>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awards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698,775 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866,612 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658,340 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431,444 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 awards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246,157 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basic earnings per share and shares outstanding (in thousands, except per share data):</w:t>
      </w:r>
    </w:p>
    <w:tbl>
      <w:tblPr>
        <w:tblW w:w="9229" w:type="dxa"/>
        <w:jc w:val="center"/>
        <w:tblInd w:w="0" w:type="dxa"/>
        <w:tblLayout w:type="fixed"/>
        <w:tblCellMar>
          <w:top w:w="28" w:type="dxa"/>
          <w:left w:w="28" w:type="dxa"/>
          <w:bottom w:w="28" w:type="dxa"/>
          <w:right w:w="28" w:type="dxa"/>
        </w:tblCellMar>
      </w:tblPr>
      <w:tblGrid>
        <w:gridCol w:w="1510"/>
        <w:gridCol w:w="1332"/>
        <w:gridCol w:w="1343"/>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basic</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diluted earnings per share and shares outstanding (in thousands, except per share data):</w:t>
      </w:r>
    </w:p>
    <w:tbl>
      <w:tblPr>
        <w:tblW w:w="9799" w:type="dxa"/>
        <w:jc w:val="center"/>
        <w:tblInd w:w="0" w:type="dxa"/>
        <w:tblLayout w:type="fixed"/>
        <w:tblCellMar>
          <w:top w:w="28" w:type="dxa"/>
          <w:left w:w="28" w:type="dxa"/>
          <w:bottom w:w="28" w:type="dxa"/>
          <w:right w:w="28" w:type="dxa"/>
        </w:tblCellMar>
      </w:tblPr>
      <w:tblGrid>
        <w:gridCol w:w="1716"/>
        <w:gridCol w:w="1513"/>
        <w:gridCol w:w="1526"/>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 diluted</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Earnings per common share: </w:t>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diluted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three and six months ended June 30, 2025, the Company incurred operating lease expenses of $8.8 million and $17.0 million, respectively, including short-term lease expenses, which were included as a component of selling, general and administrative expenses in the unaudited condensed consolidated statements of comprehensive income. During the three and six months ended June 30, 2024, the Company incurred operating lease expenses of $8.7 million and $16.6 million, respectively, including short-term lease expenses, which were included as a component of selling, general and administrative expenses in the unaudited condensed consolidated statements of comprehensive income. As of June 30, 2025 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the weighted-average remaining lease term was 6.7 years and 6.5 years, respectively, and the weighted-average discount rate was 6.90% and 6.56%,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mature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308"/>
        <w:gridCol w:w="1159"/>
        <w:gridCol w:w="242"/>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During the six months ended June 30, 2025 and 2024, the Company commenced new leases, extensions and amendments, resulting in non-cash operating activities in the unaudited condensed consolidated statements of cash flows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$21.6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$21.1 million, respectively, </w:t>
      </w:r>
      <w:r>
        <w:rPr>
          <w:rFonts w:ascii="Times New Roman;serif" w:hAnsi="Times New Roman;serif"/>
          <w:b w:val="false"/>
          <w:color w:val="000000"/>
          <w:sz w:val="20"/>
          <w:shd w:fill="FFFFFF" w:val="clear"/>
        </w:rPr>
        <w:t>re</w:t>
      </w:r>
      <w:r>
        <w:rPr>
          <w:rFonts w:ascii="Times New Roman;serif" w:hAnsi="Times New Roman;serif"/>
          <w:b w:val="false"/>
          <w:color w:val="000000"/>
          <w:sz w:val="20"/>
        </w:rPr>
        <w:t>lated to increases in the operating lease right-of-use assets and operating lease liabilities. As of June 30, 2025, the Company did not have any significant operating or financing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was as follows as of June 30, 2025 and December 31, 2024 (in thousands):</w:t>
      </w:r>
    </w:p>
    <w:tbl>
      <w:tblPr>
        <w:tblW w:w="7136" w:type="dxa"/>
        <w:jc w:val="center"/>
        <w:tblInd w:w="0" w:type="dxa"/>
        <w:tblLayout w:type="fixed"/>
        <w:tblCellMar>
          <w:top w:w="28" w:type="dxa"/>
          <w:left w:w="28" w:type="dxa"/>
          <w:bottom w:w="28" w:type="dxa"/>
          <w:right w:w="28" w:type="dxa"/>
        </w:tblCellMar>
      </w:tblPr>
      <w:tblGrid>
        <w:gridCol w:w="1472"/>
        <w:gridCol w:w="1290"/>
        <w:gridCol w:w="1302"/>
        <w:gridCol w:w="217"/>
        <w:gridCol w:w="817"/>
        <w:gridCol w:w="121"/>
        <w:gridCol w:w="109"/>
        <w:gridCol w:w="109"/>
        <w:gridCol w:w="109"/>
        <w:gridCol w:w="287"/>
        <w:gridCol w:w="1078"/>
        <w:gridCol w:w="225"/>
      </w:tblGrid>
      <w:tr>
        <w:trPr/>
        <w:tc>
          <w:tcPr>
            <w:tcW w:w="14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pumps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furniture and 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purchased and internally developed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development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247,911 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2025 and 2024 (in thousands):</w:t>
      </w:r>
    </w:p>
    <w:tbl>
      <w:tblPr>
        <w:tblW w:w="8255" w:type="dxa"/>
        <w:jc w:val="center"/>
        <w:tblInd w:w="0" w:type="dxa"/>
        <w:tblLayout w:type="fixed"/>
        <w:tblCellMar>
          <w:top w:w="28" w:type="dxa"/>
          <w:left w:w="28" w:type="dxa"/>
          <w:bottom w:w="28" w:type="dxa"/>
          <w:right w:w="28" w:type="dxa"/>
        </w:tblCellMar>
      </w:tblPr>
      <w:tblGrid>
        <w:gridCol w:w="1163"/>
        <w:gridCol w:w="1022"/>
        <w:gridCol w:w="1025"/>
        <w:gridCol w:w="233"/>
        <w:gridCol w:w="663"/>
        <w:gridCol w:w="130"/>
        <w:gridCol w:w="130"/>
        <w:gridCol w:w="130"/>
        <w:gridCol w:w="130"/>
        <w:gridCol w:w="233"/>
        <w:gridCol w:w="663"/>
        <w:gridCol w:w="130"/>
        <w:gridCol w:w="109"/>
        <w:gridCol w:w="109"/>
        <w:gridCol w:w="109"/>
        <w:gridCol w:w="196"/>
        <w:gridCol w:w="647"/>
        <w:gridCol w:w="109"/>
        <w:gridCol w:w="109"/>
        <w:gridCol w:w="109"/>
        <w:gridCol w:w="109"/>
        <w:gridCol w:w="196"/>
        <w:gridCol w:w="647"/>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cost of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operating expenses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GOODWILL AND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consist of the following for the three and six months ended June 30, 2025 (in thousands):</w:t>
      </w:r>
    </w:p>
    <w:tbl>
      <w:tblPr>
        <w:tblW w:w="3681" w:type="dxa"/>
        <w:jc w:val="center"/>
        <w:tblInd w:w="0" w:type="dxa"/>
        <w:tblLayout w:type="fixed"/>
        <w:tblCellMar>
          <w:top w:w="28" w:type="dxa"/>
          <w:left w:w="28" w:type="dxa"/>
          <w:bottom w:w="28" w:type="dxa"/>
          <w:right w:w="28" w:type="dxa"/>
        </w:tblCellMar>
      </w:tblPr>
      <w:tblGrid>
        <w:gridCol w:w="892"/>
        <w:gridCol w:w="783"/>
        <w:gridCol w:w="785"/>
        <w:gridCol w:w="196"/>
        <w:gridCol w:w="87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accounting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the carrying amount of goodwill for the three and six months ended June 30, 2024.</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and accumulated amortization of intangible assets consist of the following as of June 30, 2025 and December 31, 2024 (in thousands):</w:t>
      </w:r>
    </w:p>
    <w:tbl>
      <w:tblPr>
        <w:tblW w:w="5651" w:type="dxa"/>
        <w:jc w:val="center"/>
        <w:tblInd w:w="0" w:type="dxa"/>
        <w:tblLayout w:type="fixed"/>
        <w:tblCellMar>
          <w:top w:w="28" w:type="dxa"/>
          <w:left w:w="28" w:type="dxa"/>
          <w:bottom w:w="28" w:type="dxa"/>
          <w:right w:w="28" w:type="dxa"/>
        </w:tblCellMar>
      </w:tblPr>
      <w:tblGrid>
        <w:gridCol w:w="935"/>
        <w:gridCol w:w="820"/>
        <w:gridCol w:w="824"/>
        <w:gridCol w:w="217"/>
        <w:gridCol w:w="817"/>
        <w:gridCol w:w="121"/>
        <w:gridCol w:w="109"/>
        <w:gridCol w:w="109"/>
        <w:gridCol w:w="109"/>
        <w:gridCol w:w="287"/>
        <w:gridCol w:w="1078"/>
        <w:gridCol w:w="225"/>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intangible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intangible assets</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accumulated amortization</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(271,264)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(253,499)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$9.3 million and $18.4 million for the three and six months ended June 30, 2025, respectively. Amortization expense for intangible assets was $8.6 million and $17.2 million for the three and six months ended June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INDEBTEDNESS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June 30, 2025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1,128,362 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as of December 31, 2024 (in thousands): </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1,131,617 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the First Lien Term Loan was 6.58% and 6.82% as of June 30, 2025 and December 31, 2024, respectively. The weighted average interest rate incurred on the First Lien Term Loan was 6.57% and 6.58% for the three and six months ended June 30, 2025, respectively. The weighted average interest rate incurred on the First Lien Term Loan was 7.77% and 7.98% for the three and six months ended June 30, 2024, respectively. The First Lien Term Loan matures on October 27, 2028.</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the Senior Notes was 4.375% as of June 30, 2025 and December 31, 2024. The weighted average interest rate incurred on the Senior Notes was 4.375% for the three and six months ended June 30, 2025 and 2024. The Senior Notes mature on October 31, 2029.</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$4.1 million of undrawn letters of credit issued and outstanding, resulting in net borrowing availability under the Revolver Facility of $395.9 million. The Revolver Facility matures on the date that is the earlier of (i) December 7, 2028 and (ii) the date that is 91 days prior to the stated maturity date applicable to any Term B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matures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274"/>
        <w:gridCol w:w="1220"/>
        <w:gridCol w:w="2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612,082 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1,128,362 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During the three and six months ended June 30, 2025 and 2024, the Company engaged in hedging activities to limit its exposure to changes in interest rates.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fair values of the Company’s debt obligations as of June 30, 2025 (in thousands):</w:t>
      </w:r>
    </w:p>
    <w:tbl>
      <w:tblPr>
        <w:tblW w:w="10205" w:type="dxa"/>
        <w:jc w:val="center"/>
        <w:tblInd w:w="0" w:type="dxa"/>
        <w:tblLayout w:type="fixed"/>
        <w:tblCellMar>
          <w:top w:w="28" w:type="dxa"/>
          <w:left w:w="28" w:type="dxa"/>
          <w:bottom w:w="28" w:type="dxa"/>
          <w:right w:w="28" w:type="dxa"/>
        </w:tblCellMar>
      </w:tblPr>
      <w:tblGrid>
        <w:gridCol w:w="470"/>
        <w:gridCol w:w="413"/>
        <w:gridCol w:w="416"/>
        <w:gridCol w:w="109"/>
        <w:gridCol w:w="109"/>
        <w:gridCol w:w="109"/>
        <w:gridCol w:w="302"/>
        <w:gridCol w:w="1344"/>
        <w:gridCol w:w="168"/>
        <w:gridCol w:w="109"/>
        <w:gridCol w:w="109"/>
        <w:gridCol w:w="109"/>
        <w:gridCol w:w="438"/>
        <w:gridCol w:w="907"/>
        <w:gridCol w:w="246"/>
        <w:gridCol w:w="109"/>
        <w:gridCol w:w="109"/>
        <w:gridCol w:w="109"/>
        <w:gridCol w:w="355"/>
        <w:gridCol w:w="1579"/>
        <w:gridCol w:w="197"/>
        <w:gridCol w:w="109"/>
        <w:gridCol w:w="109"/>
        <w:gridCol w:w="109"/>
        <w:gridCol w:w="532"/>
        <w:gridCol w:w="1104"/>
        <w:gridCol w:w="42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Markets for Identical Item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 (Level 3)</w:t>
            </w:r>
          </w:p>
        </w:tc>
      </w:tr>
      <w:tr>
        <w:trPr/>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616,904 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631,502 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1,111,502 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Fair Value Measurements</w:t>
      </w:r>
      <w:r>
        <w:rPr>
          <w:rFonts w:ascii="Times New Roman;serif" w:hAnsi="Times New Roman;serif"/>
          <w:b w:val="false"/>
          <w:color w:val="000000"/>
          <w:sz w:val="20"/>
        </w:rPr>
        <w: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DERIVATIVE INSTRUMENTS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an interest rate cap hedge with a notional amount of $300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and location of the Company’s derivative instruments in the condensed consolidated balance sheets (in thousands):</w:t>
      </w:r>
    </w:p>
    <w:tbl>
      <w:tblPr>
        <w:tblW w:w="10205" w:type="dxa"/>
        <w:jc w:val="center"/>
        <w:tblInd w:w="0" w:type="dxa"/>
        <w:tblLayout w:type="fixed"/>
        <w:tblCellMar>
          <w:top w:w="28" w:type="dxa"/>
          <w:left w:w="28" w:type="dxa"/>
          <w:bottom w:w="28" w:type="dxa"/>
          <w:right w:w="28" w:type="dxa"/>
        </w:tblCellMar>
      </w:tblPr>
      <w:tblGrid>
        <w:gridCol w:w="1223"/>
        <w:gridCol w:w="1076"/>
        <w:gridCol w:w="1080"/>
        <w:gridCol w:w="109"/>
        <w:gridCol w:w="109"/>
        <w:gridCol w:w="109"/>
        <w:gridCol w:w="1003"/>
        <w:gridCol w:w="1001"/>
        <w:gridCol w:w="1006"/>
        <w:gridCol w:w="125"/>
        <w:gridCol w:w="125"/>
        <w:gridCol w:w="125"/>
        <w:gridCol w:w="261"/>
        <w:gridCol w:w="744"/>
        <w:gridCol w:w="145"/>
        <w:gridCol w:w="125"/>
        <w:gridCol w:w="125"/>
        <w:gridCol w:w="125"/>
        <w:gridCol w:w="310"/>
        <w:gridCol w:w="1026"/>
        <w:gridCol w:w="253"/>
      </w:tblGrid>
      <w:tr>
        <w:trPr/>
        <w:tc>
          <w:tcPr>
            <w:tcW w:w="122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 Derivatives in Asset Position</w:t>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Caption</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gain and loss associated with the changes in the fair value of the effective portion of the hedging instrument is recorded in other comprehensive (loss) income. The gain and loss associated with the changes in the fair value of the hedging instrument is recognized in net income through interest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pre-tax (loss) gain from derivative instruments recognized in other comprehensive (loss) income in the Company’s unaudited condensed consolidated statements of comprehensive income (in thousands):</w:t>
      </w:r>
    </w:p>
    <w:tbl>
      <w:tblPr>
        <w:tblW w:w="8793"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218"/>
        <w:gridCol w:w="701"/>
        <w:gridCol w:w="121"/>
        <w:gridCol w:w="121"/>
        <w:gridCol w:w="121"/>
        <w:gridCol w:w="121"/>
        <w:gridCol w:w="218"/>
        <w:gridCol w:w="701"/>
        <w:gridCol w:w="121"/>
        <w:gridCol w:w="109"/>
        <w:gridCol w:w="109"/>
        <w:gridCol w:w="109"/>
        <w:gridCol w:w="219"/>
        <w:gridCol w:w="707"/>
        <w:gridCol w:w="122"/>
        <w:gridCol w:w="122"/>
        <w:gridCol w:w="122"/>
        <w:gridCol w:w="122"/>
        <w:gridCol w:w="219"/>
        <w:gridCol w:w="472"/>
        <w:gridCol w:w="172"/>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and location of pre-tax income recognized in the Company’s unaudited condensed consolidated statements of comprehensive income related to the Company’s derivative instruments (in thousands):</w:t>
      </w:r>
    </w:p>
    <w:tbl>
      <w:tblPr>
        <w:tblW w:w="10205" w:type="dxa"/>
        <w:jc w:val="center"/>
        <w:tblInd w:w="0" w:type="dxa"/>
        <w:tblLayout w:type="fixed"/>
        <w:tblCellMar>
          <w:top w:w="28" w:type="dxa"/>
          <w:left w:w="28" w:type="dxa"/>
          <w:bottom w:w="28" w:type="dxa"/>
          <w:right w:w="28" w:type="dxa"/>
        </w:tblCellMar>
      </w:tblPr>
      <w:tblGrid>
        <w:gridCol w:w="1011"/>
        <w:gridCol w:w="890"/>
        <w:gridCol w:w="893"/>
        <w:gridCol w:w="109"/>
        <w:gridCol w:w="109"/>
        <w:gridCol w:w="109"/>
        <w:gridCol w:w="617"/>
        <w:gridCol w:w="617"/>
        <w:gridCol w:w="619"/>
        <w:gridCol w:w="109"/>
        <w:gridCol w:w="109"/>
        <w:gridCol w:w="109"/>
        <w:gridCol w:w="223"/>
        <w:gridCol w:w="636"/>
        <w:gridCol w:w="124"/>
        <w:gridCol w:w="124"/>
        <w:gridCol w:w="124"/>
        <w:gridCol w:w="124"/>
        <w:gridCol w:w="223"/>
        <w:gridCol w:w="636"/>
        <w:gridCol w:w="124"/>
        <w:gridCol w:w="109"/>
        <w:gridCol w:w="109"/>
        <w:gridCol w:w="109"/>
        <w:gridCol w:w="208"/>
        <w:gridCol w:w="592"/>
        <w:gridCol w:w="115"/>
        <w:gridCol w:w="115"/>
        <w:gridCol w:w="115"/>
        <w:gridCol w:w="115"/>
        <w:gridCol w:w="208"/>
        <w:gridCol w:w="592"/>
        <w:gridCol w:w="179"/>
      </w:tblGrid>
      <w:tr>
        <w:trPr/>
        <w:tc>
          <w:tcPr>
            <w:tcW w:w="10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Inputs to the fair value measurement are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 Inputs to the fair value measurement are unobservable inputs or valuation techniques.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While the Company believes its valuation methods are appropriate and consistent with other market participants, the use of</w:t>
      </w:r>
      <w:r>
        <w:rPr>
          <w:color w:val="FF0000"/>
        </w:rPr>
        <w:t xml:space="preserve"> </w:t>
      </w:r>
      <w:r>
        <w:rPr>
          <w:rFonts w:ascii="Times New Roman;serif" w:hAnsi="Times New Roman;serif"/>
          <w:b w:val="false"/>
          <w:color w:val="000000"/>
          <w:sz w:val="20"/>
        </w:rPr>
        <w:t>different methodologies or assumptions to determine the fair value of certain financial instruments could result in a different fair value measurement at the reporting date.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First Lien Term Loan</w:t>
      </w:r>
      <w:r>
        <w:rPr>
          <w:rFonts w:ascii="Times New Roman;serif" w:hAnsi="Times New Roman;serif"/>
          <w:b w:val="false"/>
          <w:color w:val="000000"/>
          <w:sz w:val="20"/>
        </w:rPr>
        <w:t xml:space="preserve">: The fair value of the First Lien Term Loan is derived from a broker quote on the loans in the syndication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First Lien Term Loan.</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Senior Notes: </w:t>
      </w:r>
      <w:r>
        <w:rPr>
          <w:rFonts w:ascii="Times New Roman;serif" w:hAnsi="Times New Roman;serif"/>
          <w:b w:val="false"/>
          <w:color w:val="000000"/>
          <w:sz w:val="20"/>
        </w:rPr>
        <w:t xml:space="preserve">The fair value of the Senior Notes is derived from a broker quote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Senior Notes.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Interest Rate Cap: </w:t>
      </w:r>
      <w:r>
        <w:rPr>
          <w:rFonts w:ascii="Times New Roman;serif" w:hAnsi="Times New Roman;serif"/>
          <w:b w:val="false"/>
          <w:color w:val="000000"/>
          <w:sz w:val="20"/>
        </w:rPr>
        <w:t xml:space="preserve">The fair value of the interest rate cap is derived from the interest rates prevalent in the market and future expectations of those interest rates (Level 2 inputs). The Company determines the fair value of the investments based on quoted prices from third-party brokers.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 of the fair value of the interest rate cap.</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The fair value of the money market funds is derived from the closing price reported by the fund sponsor and classified as cash and cash equivalents on the Company’s condensed consolidated balance sheets (Level 1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assets or liabilities measured at fair value at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STOCK-BASED INCENTIVE COMPENSATION</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 Incentive Plans </w:t>
      </w:r>
      <w:r>
        <w:rPr>
          <w:color w:val="000000"/>
        </w:rPr>
        <w:t xml:space="preserve">— </w:t>
      </w:r>
      <w:r>
        <w:rPr>
          <w:rFonts w:ascii="Times New Roman;serif" w:hAnsi="Times New Roman;serif"/>
          <w:b w:val="false"/>
          <w:color w:val="000000"/>
          <w:sz w:val="20"/>
        </w:rPr>
        <w:t>Under the Company’s 2018 Equity Incentive Plan (the “2018 Plan”), approved at the annual meeting by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June 30, 2025 and December 31, 2024. During the three and six months ended June 30, 2025, total stock-based incentive compensation expense recognized by the Company related to the 2018 Plan was $10.7 million and $19.5 million, respectively. During the three and six months ended June 30, 2024, total stock-based incentive compensation expense recognized by the Company related to the 2018 Plan was $7.6 million and $17.2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15. STOCKHOLDERS’ EQUITY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Warrants </w:t>
      </w:r>
      <w:r>
        <w:rPr>
          <w:color w:val="000000"/>
        </w:rPr>
        <w:t xml:space="preserve">— </w:t>
      </w:r>
      <w:r>
        <w:rPr>
          <w:rFonts w:ascii="Times New Roman;serif" w:hAnsi="Times New Roman;serif"/>
          <w:b w:val="false"/>
          <w:color w:val="000000"/>
          <w:sz w:val="20"/>
        </w:rPr>
        <w:t>As of June 30, 2025 and December 31, 2024, the Company had warrants outstanding which entitle holders to purchase an immaterial number of shares of common stock.</w:t>
      </w:r>
    </w:p>
    <w:p>
      <w:pPr>
        <w:pStyle w:val="TextBody"/>
        <w:bidi w:val="0"/>
        <w:spacing w:lineRule="auto" w:line="288" w:before="0" w:after="200"/>
        <w:ind w:left="0" w:right="0" w:firstLine="360"/>
        <w:jc w:val="left"/>
        <w:rPr/>
      </w:pPr>
      <w:r>
        <w:rPr>
          <w:rFonts w:ascii="Times New Roman;serif" w:hAnsi="Times New Roman;serif"/>
          <w:b/>
          <w:color w:val="000000"/>
          <w:sz w:val="20"/>
        </w:rPr>
        <w:t>Share Repurchase Program</w:t>
      </w:r>
      <w:r>
        <w:rPr>
          <w:color w:val="000000"/>
        </w:rPr>
        <w:t xml:space="preserve"> — </w:t>
      </w:r>
      <w:r>
        <w:rPr>
          <w:rFonts w:ascii="Times New Roman;serif" w:hAnsi="Times New Roman;serif"/>
          <w:b w:val="false"/>
          <w:color w:val="000000"/>
          <w:sz w:val="20"/>
        </w:rPr>
        <w:t>The Company’s Board of Directors approved a share repurchase program of up to an aggregate $500.0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purchased 1,553,871 and 4,600,086 shares of common stock for an average share price of $32.18 and $32.61, totaling $50.0 million and $150.0 million, respectively. During the three and six months ended June 30, 2024, the Company purchased 2,665,770 and 3,917,509 shares of common stock for an average share price of $29.28 and $30.13, totaling $78.1 million and $118.1 million, respectively. All repurchased shares became treasury stock. As of June 30, 2025, the Company is authorized to repurchase up to a remaining $350.0 million of common stock of the Company.</w:t>
      </w:r>
    </w:p>
    <w:p>
      <w:pPr>
        <w:pStyle w:val="TextBody"/>
        <w:bidi w:val="0"/>
        <w:spacing w:lineRule="auto" w:line="288" w:before="0" w:after="200"/>
        <w:ind w:left="0" w:right="0" w:firstLine="360"/>
        <w:jc w:val="left"/>
        <w:rPr/>
      </w:pPr>
      <w:r>
        <w:rPr>
          <w:rFonts w:ascii="Times New Roman;serif" w:hAnsi="Times New Roman;serif"/>
          <w:b/>
          <w:color w:val="000000"/>
          <w:sz w:val="20"/>
        </w:rPr>
        <w:t>Shares Outstanding</w:t>
      </w:r>
      <w:r>
        <w:rPr>
          <w:color w:val="000000"/>
        </w:rPr>
        <w:t xml:space="preserve"> — </w:t>
      </w:r>
      <w:r>
        <w:rPr>
          <w:rFonts w:ascii="Times New Roman;serif" w:hAnsi="Times New Roman;serif"/>
          <w:b w:val="false"/>
          <w:color w:val="000000"/>
          <w:sz w:val="20"/>
        </w:rPr>
        <w:t>The following table shows the Company’s changes in shares of common stock for the three and six months ended June 30, 2025 and 2024 (in thousands):</w:t>
      </w:r>
    </w:p>
    <w:tbl>
      <w:tblPr>
        <w:tblW w:w="4598" w:type="dxa"/>
        <w:jc w:val="center"/>
        <w:tblInd w:w="0" w:type="dxa"/>
        <w:tblLayout w:type="fixed"/>
        <w:tblCellMar>
          <w:top w:w="28" w:type="dxa"/>
          <w:left w:w="28" w:type="dxa"/>
          <w:bottom w:w="28" w:type="dxa"/>
          <w:right w:w="28" w:type="dxa"/>
        </w:tblCellMar>
      </w:tblPr>
      <w:tblGrid>
        <w:gridCol w:w="879"/>
        <w:gridCol w:w="774"/>
        <w:gridCol w:w="777"/>
        <w:gridCol w:w="368"/>
        <w:gridCol w:w="368"/>
        <w:gridCol w:w="156"/>
        <w:gridCol w:w="109"/>
        <w:gridCol w:w="109"/>
        <w:gridCol w:w="109"/>
        <w:gridCol w:w="368"/>
        <w:gridCol w:w="368"/>
        <w:gridCol w:w="21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the year</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RELATED-PARTY TRANSACTIONS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Transactions with Equity-Method Investees </w:t>
      </w:r>
      <w:r>
        <w:rPr>
          <w:color w:val="000000"/>
        </w:rPr>
        <w:t xml:space="preserve">— </w:t>
      </w:r>
      <w:r>
        <w:rPr>
          <w:rFonts w:ascii="Times New Roman;serif" w:hAnsi="Times New Roman;serif"/>
          <w:b w:val="false"/>
          <w:color w:val="000000"/>
          <w:sz w:val="20"/>
        </w:rPr>
        <w:t>The Company provides management services to its joint ventures such as accounting, invoicing and collections in addition to day-to-day managerial support of the operations of the businesses. The Company recorded management fee income of $1.9 million and $3.7 million for the three and six months ended June 30, 2025, respectively. The Company recorded management fee income of $1.3 million and $2.9 million for the three and six months ended June 30, 2024, respectively. Management fees are recorded in net revenues in the accompanying unaudited condensed consolidated statements of comprehensive income. During the three and six months ended June 30, 2025, the Company received distributions from the investees of $1.6 million. During the three months ended June 30, 2024, the Company did not receive any distributions from the investees. During the six months ended June 30, 2024, the Company received distributions from the investees of $0.8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amounts due from its joint ventures of $1.0 million and due to its joint ventures of $0.6 million as of June 30, 2025. The Company had amounts due to its joint ventures of $1.4 million as of December 31, 2024. Receivables were included in prepaid expenses and other current assets in the accompanying condensed consolidated balance sheets.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adopted ASU 2023-07, Segment Reporting (Topic 280): Improvements to Reportable Segment Disclosures and has revised prior year disclosures to conform with the current year presentation. 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segments have been identified based on the financial information utilized by the Company’s Chief Executive Officer, the chief operating decision maker (“CODM”). The CODM uses net income as a measure of profitability to assess segment performance and deciding how to allocate resources such as capital investments, share repurchases, and acquisitions. The CODM does not use or receive total assets by segment to make decisions regarding resources; therefore, the total asset disclosure by segment has not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results of operations of the Company’s reportable segment (in thousands):</w:t>
      </w:r>
    </w:p>
    <w:tbl>
      <w:tblPr>
        <w:tblW w:w="9134" w:type="dxa"/>
        <w:jc w:val="center"/>
        <w:tblInd w:w="0" w:type="dxa"/>
        <w:tblLayout w:type="fixed"/>
        <w:tblCellMar>
          <w:top w:w="28" w:type="dxa"/>
          <w:left w:w="28" w:type="dxa"/>
          <w:bottom w:w="28" w:type="dxa"/>
          <w:right w:w="28" w:type="dxa"/>
        </w:tblCellMar>
      </w:tblPr>
      <w:tblGrid>
        <w:gridCol w:w="1233"/>
        <w:gridCol w:w="1081"/>
        <w:gridCol w:w="109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services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Option Care Health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net revenues - drugs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benefits, and other employee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Represents business activities related to other miscellaneous revenue streams.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Other segment items includes expenses for medical supplies, delivery and packaging, leases, professional services,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w:t>
      </w:r>
      <w:r>
        <w:rPr>
          <w:color w:val="000000"/>
        </w:rPr>
        <w:t xml:space="preserve"> </w:t>
      </w:r>
      <w:r>
        <w:rPr>
          <w:rFonts w:ascii="Times New Roman;serif" w:hAnsi="Times New Roman;serif"/>
          <w:b/>
          <w:i/>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Form 10-Q. Certain statements in this Item 2 of Part I of this Form 10-Q, and in Item 1A, “Risk Factors” of Part I of our Annual Report on Form 10-K for the year ended December 31, 2024 (our “Form 10-K”), may cause our actual results, financial position, and cash and cash equivalents generated from operations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Option Care Health, and its wholly-owned subsidiaries, provides infusion therapy and other ancillary healthcare services through a national network of 190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therapies for neurological disorders and chronic inflammatory disorders, immunoglobulin therapy, and other therapies for chronic and acute conditions. The Company operates in one reporting segment, infusion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Composition of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results of operations include the accounts of Option Care Health and our subsidiaries for the three and six months ended June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represents our net revenue less cost of revenue.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Net Revenue.</w:t>
      </w:r>
      <w:r>
        <w:rPr>
          <w:color w:val="000000"/>
        </w:rPr>
        <w:t xml:space="preserve"> </w:t>
      </w:r>
      <w:r>
        <w:rPr>
          <w:rFonts w:ascii="Times New Roman;serif" w:hAnsi="Times New Roman;serif"/>
          <w:b w:val="false"/>
          <w:color w:val="000000"/>
          <w:sz w:val="20"/>
        </w:rPr>
        <w:t>Infusion and related healthcare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Costs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Selling, general and administrative expenses consist principally of salaries for administrative employees that directly and indirectly support the operations, occupancy costs, marketing expenditures, insurance, and professional fees.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within this caption relates to property and equipment and amortization relates to intangibles. Depreciation of revenue-generating assets, such as infusion pumps, is included in cost of revenue.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Interest Expense, Net</w:t>
      </w:r>
      <w:r>
        <w:rPr>
          <w:rFonts w:ascii="Times New Roman;serif" w:hAnsi="Times New Roman;serif"/>
          <w:b w:val="false"/>
          <w:color w:val="000000"/>
          <w:sz w:val="20"/>
        </w:rPr>
        <w:t>. Interest expense consists principally of interest payments on the Company’s outstanding borrowings under the First Lien 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Equity in Earnings of Joint Ventures</w:t>
      </w:r>
      <w:r>
        <w:rPr>
          <w:rFonts w:ascii="Times New Roman;serif" w:hAnsi="Times New Roman;serif"/>
          <w:b w:val="false"/>
          <w:color w:val="000000"/>
          <w:sz w:val="20"/>
        </w:rPr>
        <w:t>. Equity in earnings of joint ventures consists of our proportionate share of equity earnings or losses from equity investments in two infusion joint ventures with healthcare systems.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Other, Net</w:t>
      </w:r>
      <w:r>
        <w:rPr>
          <w:rFonts w:ascii="Times New Roman;serif" w:hAnsi="Times New Roman;serif"/>
          <w:b w:val="false"/>
          <w:color w:val="000000"/>
          <w:sz w:val="20"/>
        </w:rPr>
        <w:t>. Other income (expense) primarily includes activity related to non-operating income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Income Tax Expense</w:t>
      </w:r>
      <w:r>
        <w:rPr>
          <w:rFonts w:ascii="Times New Roman;serif" w:hAnsi="Times New Roman;serif"/>
          <w:b w:val="false"/>
          <w:color w:val="000000"/>
          <w:sz w:val="20"/>
        </w:rPr>
        <w:t>. The Company is subject to taxation in the United States and various states. The Company’s income tax expense is reflective of the current federal and state tax rates.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Change in Unrealized (Loss) Gain on Cash Flow Hedge, Net of Income Tax Benefit (Expense)</w:t>
      </w:r>
      <w:r>
        <w:rPr>
          <w:rFonts w:ascii="Times New Roman;serif" w:hAnsi="Times New Roman;serif"/>
          <w:b w:val="false"/>
          <w:color w:val="000000"/>
          <w:sz w:val="20"/>
        </w:rPr>
        <w:t>. Change in unrealized (loss) gain on cash flow hedge, net of income tax benefit (expense), consists of the (loss) gain associated with the changes in the fair value of derivatives designated as hedging instruments related to the interest rate cap hedge, net of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Option Care Health’s consolidated results of operations for the three and six months ended June 30, 2025 and 2024 (in thousands, except for percentages):</w:t>
      </w:r>
    </w:p>
    <w:tbl>
      <w:tblPr>
        <w:tblW w:w="12581" w:type="dxa"/>
        <w:jc w:val="center"/>
        <w:tblInd w:w="0" w:type="dxa"/>
        <w:tblLayout w:type="fixed"/>
        <w:tblCellMar>
          <w:top w:w="28" w:type="dxa"/>
          <w:left w:w="28" w:type="dxa"/>
          <w:bottom w:w="28" w:type="dxa"/>
          <w:right w:w="28" w:type="dxa"/>
        </w:tblCellMar>
      </w:tblPr>
      <w:tblGrid>
        <w:gridCol w:w="1038"/>
        <w:gridCol w:w="306"/>
        <w:gridCol w:w="307"/>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14"/>
        <w:gridCol w:w="109"/>
        <w:gridCol w:w="109"/>
        <w:gridCol w:w="109"/>
        <w:gridCol w:w="196"/>
        <w:gridCol w:w="871"/>
        <w:gridCol w:w="109"/>
        <w:gridCol w:w="109"/>
        <w:gridCol w:w="109"/>
        <w:gridCol w:w="109"/>
        <w:gridCol w:w="278"/>
        <w:gridCol w:w="278"/>
        <w:gridCol w:w="471"/>
      </w:tblGrid>
      <w:tr>
        <w:trPr/>
        <w:tc>
          <w:tcPr>
            <w:tcW w:w="10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(expense) of $548, $242, $1,331 and ($213),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June 30, 2025 Compared to Three Months Ended June 30, 2024</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consolidated comparative results of operations from Option Care Health’s unaudited condensed consolidated financial statements for the three months ended June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6965"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33"/>
        <w:gridCol w:w="233"/>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net revenue was primarily driven by organic growth in the Company’s portfolio of therapies, consisting of balanced growth in the mid-teens relative to prior year for both the acute and chronic revenue portfolios.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certain higher cost therapies included within chronic growth (including rare and orphan therapies). Gross profit was also impacted by the previously disclosed reduction in the procurement spread, which the Company expects to continue for the remainder of the year.</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053" w:type="dxa"/>
        <w:jc w:val="center"/>
        <w:tblInd w:w="0" w:type="dxa"/>
        <w:tblLayout w:type="fixed"/>
        <w:tblCellMar>
          <w:top w:w="28" w:type="dxa"/>
          <w:left w:w="28" w:type="dxa"/>
          <w:bottom w:w="28" w:type="dxa"/>
          <w:right w:w="28" w:type="dxa"/>
        </w:tblCellMar>
      </w:tblPr>
      <w:tblGrid>
        <w:gridCol w:w="1172"/>
        <w:gridCol w:w="1032"/>
        <w:gridCol w:w="1035"/>
        <w:gridCol w:w="199"/>
        <w:gridCol w:w="747"/>
        <w:gridCol w:w="110"/>
        <w:gridCol w:w="110"/>
        <w:gridCol w:w="110"/>
        <w:gridCol w:w="110"/>
        <w:gridCol w:w="199"/>
        <w:gridCol w:w="747"/>
        <w:gridCol w:w="110"/>
        <w:gridCol w:w="109"/>
        <w:gridCol w:w="109"/>
        <w:gridCol w:w="109"/>
        <w:gridCol w:w="196"/>
        <w:gridCol w:w="646"/>
        <w:gridCol w:w="109"/>
        <w:gridCol w:w="109"/>
        <w:gridCol w:w="109"/>
        <w:gridCol w:w="109"/>
        <w:gridCol w:w="233"/>
        <w:gridCol w:w="233"/>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186,333 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selling, general and administrative expenses during the three months ended June 30, 2025 was primarily due to an increase in salaries, benefits, and general costs to support the business. These expenses have declined as a percentage of revenue to 12.0% for the three months ended June 30, 2025 compared to 12.5% for the three months ended June 30, 2024, due to the Company’s focus on leveraging existing infrastructure to control spending. The increase in depreciation and amortization expense was primarily due to the Intramed Plus acquisition. See Note 3, </w:t>
      </w:r>
      <w:r>
        <w:rPr>
          <w:rFonts w:ascii="Times New Roman;serif" w:hAnsi="Times New Roman;serif"/>
          <w:b w:val="false"/>
          <w:i/>
          <w:color w:val="000000"/>
          <w:sz w:val="20"/>
        </w:rPr>
        <w:t>Business Combinations</w:t>
      </w:r>
      <w:r>
        <w:rPr>
          <w:rFonts w:ascii="Times New Roman;serif" w:hAnsi="Times New Roman;serif"/>
          <w:b w:val="false"/>
          <w:color w:val="000000"/>
          <w:sz w:val="20"/>
        </w:rPr>
        <w:t>, of the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tbl>
      <w:tblPr>
        <w:tblW w:w="7410" w:type="dxa"/>
        <w:jc w:val="center"/>
        <w:tblInd w:w="0" w:type="dxa"/>
        <w:tblLayout w:type="fixed"/>
        <w:tblCellMar>
          <w:top w:w="28" w:type="dxa"/>
          <w:left w:w="28" w:type="dxa"/>
          <w:bottom w:w="28" w:type="dxa"/>
          <w:right w:w="28" w:type="dxa"/>
        </w:tblCellMar>
      </w:tblPr>
      <w:tblGrid>
        <w:gridCol w:w="943"/>
        <w:gridCol w:w="830"/>
        <w:gridCol w:w="836"/>
        <w:gridCol w:w="201"/>
        <w:gridCol w:w="741"/>
        <w:gridCol w:w="112"/>
        <w:gridCol w:w="112"/>
        <w:gridCol w:w="112"/>
        <w:gridCol w:w="112"/>
        <w:gridCol w:w="201"/>
        <w:gridCol w:w="741"/>
        <w:gridCol w:w="112"/>
        <w:gridCol w:w="109"/>
        <w:gridCol w:w="109"/>
        <w:gridCol w:w="109"/>
        <w:gridCol w:w="196"/>
        <w:gridCol w:w="631"/>
        <w:gridCol w:w="109"/>
        <w:gridCol w:w="109"/>
        <w:gridCol w:w="109"/>
        <w:gridCol w:w="109"/>
        <w:gridCol w:w="233"/>
        <w:gridCol w:w="233"/>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interest expense, net during the three months ended June 30, 2025 was primarily attributable to less interest income generated from our cash and cash equivalents, partially offset by a decrease in the interest rate on the Company’s First Lien Term Loan, compared to the three months ended June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xml:space="preserve">, of the unaudited consolidated financial statements for further information. The change in other, net period over period was primarily attributable to income from other investing activities in the three months ended June 30, 2024. </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Income Tax Expense</w:t>
      </w:r>
    </w:p>
    <w:tbl>
      <w:tblPr>
        <w:tblW w:w="6161" w:type="dxa"/>
        <w:jc w:val="center"/>
        <w:tblInd w:w="0" w:type="dxa"/>
        <w:tblLayout w:type="fixed"/>
        <w:tblCellMar>
          <w:top w:w="28" w:type="dxa"/>
          <w:left w:w="28" w:type="dxa"/>
          <w:bottom w:w="28" w:type="dxa"/>
          <w:right w:w="28" w:type="dxa"/>
        </w:tblCellMar>
      </w:tblPr>
      <w:tblGrid>
        <w:gridCol w:w="548"/>
        <w:gridCol w:w="482"/>
        <w:gridCol w:w="484"/>
        <w:gridCol w:w="215"/>
        <w:gridCol w:w="708"/>
        <w:gridCol w:w="119"/>
        <w:gridCol w:w="119"/>
        <w:gridCol w:w="119"/>
        <w:gridCol w:w="119"/>
        <w:gridCol w:w="215"/>
        <w:gridCol w:w="708"/>
        <w:gridCol w:w="119"/>
        <w:gridCol w:w="109"/>
        <w:gridCol w:w="109"/>
        <w:gridCol w:w="109"/>
        <w:gridCol w:w="196"/>
        <w:gridCol w:w="496"/>
        <w:gridCol w:w="109"/>
        <w:gridCol w:w="109"/>
        <w:gridCol w:w="109"/>
        <w:gridCol w:w="109"/>
        <w:gridCol w:w="224"/>
        <w:gridCol w:w="226"/>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$18.3 million and $19.0 million for the three months ended June 30, 2025 and 2024, respectively, which represents an effective tax rate of 26.6% and 26.4%, respectively. The variance in the Company’s effective tax rate of 26.6% for the three months ended June 30, 2025, compared to the federal statutory rate of 21.0%, was primarily attributable to the difference between federal and state tax rates and various non-deductible expenses. The variance in the Company’s effective tax rate of 26.4% for the three months ended June 30, 2024, compared to the federal statutory rate of 21.0%, was primarily attributable to the difference between federal and state tax rates, various non-deductible expenses, and a change in state valuation allowance.</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Net Income and Other Comprehensive Income (Loss)</w:t>
      </w:r>
    </w:p>
    <w:tbl>
      <w:tblPr>
        <w:tblW w:w="10205" w:type="dxa"/>
        <w:jc w:val="center"/>
        <w:tblInd w:w="0" w:type="dxa"/>
        <w:tblLayout w:type="fixed"/>
        <w:tblCellMar>
          <w:top w:w="28" w:type="dxa"/>
          <w:left w:w="28" w:type="dxa"/>
          <w:bottom w:w="28" w:type="dxa"/>
          <w:right w:w="28" w:type="dxa"/>
        </w:tblCellMar>
      </w:tblPr>
      <w:tblGrid>
        <w:gridCol w:w="1952"/>
        <w:gridCol w:w="1719"/>
        <w:gridCol w:w="1737"/>
        <w:gridCol w:w="214"/>
        <w:gridCol w:w="707"/>
        <w:gridCol w:w="118"/>
        <w:gridCol w:w="118"/>
        <w:gridCol w:w="118"/>
        <w:gridCol w:w="118"/>
        <w:gridCol w:w="214"/>
        <w:gridCol w:w="707"/>
        <w:gridCol w:w="118"/>
        <w:gridCol w:w="109"/>
        <w:gridCol w:w="109"/>
        <w:gridCol w:w="109"/>
        <w:gridCol w:w="196"/>
        <w:gridCol w:w="630"/>
        <w:gridCol w:w="109"/>
        <w:gridCol w:w="109"/>
        <w:gridCol w:w="109"/>
        <w:gridCol w:w="109"/>
        <w:gridCol w:w="232"/>
        <w:gridCol w:w="234"/>
        <w:gridCol w:w="310"/>
      </w:tblGrid>
      <w:tr>
        <w:trPr/>
        <w:tc>
          <w:tcPr>
            <w:tcW w:w="195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income, net of tax: </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unrealized (loss) gain on cash flow hedges, net of income taxes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comprehensive income decreased to $48.8 million for the three months ended June 30, 2025, compared to net comprehensive income of $52.1 million for the three months ended June 30, 2024, primarily as a result of the factors described in the above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Six Months Ended June 30, 2025 Compared to Six Months Ended June 30, 2024</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consolidated comparative results of operations from Option Care Health’s unaudited condensed consolidated financial statements for the six months ended June 30, 2025 and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6965"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33"/>
        <w:gridCol w:w="233"/>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2,216,962 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net revenue was primarily driven by organic growth in the Company’s portfolio of therapies, consisting of balanced growth in the mid-teens relative to the prior year for both the acute and chronic revenue portfolios.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certain higher cost therapies included within chronic growth (including rare and orphan therapies). Gross profit was also impacted by the previously disclosed reduction in procurement spread, partially offset by temporary mitigation efforts executed in the first quarter.</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930" w:type="dxa"/>
        <w:jc w:val="center"/>
        <w:tblInd w:w="0" w:type="dxa"/>
        <w:tblLayout w:type="fixed"/>
        <w:tblCellMar>
          <w:top w:w="28" w:type="dxa"/>
          <w:left w:w="28" w:type="dxa"/>
          <w:bottom w:w="28" w:type="dxa"/>
          <w:right w:w="28" w:type="dxa"/>
        </w:tblCellMar>
      </w:tblPr>
      <w:tblGrid>
        <w:gridCol w:w="1172"/>
        <w:gridCol w:w="1032"/>
        <w:gridCol w:w="103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88"/>
        <w:gridCol w:w="188"/>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selling, general and administrative expenses during the six months ended June 30, 2025 was primarily due to an increase in salaries, benefits, and general costs to support the business. These expenses have declined as a percentage of revenue to 12.3% for the six months ended June 30, 2025 compared to 13.0% for the six months ended June 30, 2024, due to the Company’s focus on leveraging existing infrastructure to control spending. The increase in depreciation and amortization expense was primarily due to the Intramed Plus acquisition. See Note 3, </w:t>
      </w:r>
      <w:r>
        <w:rPr>
          <w:rFonts w:ascii="Times New Roman;serif" w:hAnsi="Times New Roman;serif"/>
          <w:b w:val="false"/>
          <w:i/>
          <w:color w:val="000000"/>
          <w:sz w:val="20"/>
        </w:rPr>
        <w:t>Business Combinations</w:t>
      </w:r>
      <w:r>
        <w:rPr>
          <w:rFonts w:ascii="Times New Roman;serif" w:hAnsi="Times New Roman;serif"/>
          <w:b w:val="false"/>
          <w:color w:val="000000"/>
          <w:sz w:val="20"/>
        </w:rPr>
        <w:t>, of the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tbl>
      <w:tblPr>
        <w:tblW w:w="7345" w:type="dxa"/>
        <w:jc w:val="center"/>
        <w:tblInd w:w="0" w:type="dxa"/>
        <w:tblLayout w:type="fixed"/>
        <w:tblCellMar>
          <w:top w:w="28" w:type="dxa"/>
          <w:left w:w="28" w:type="dxa"/>
          <w:bottom w:w="28" w:type="dxa"/>
          <w:right w:w="28" w:type="dxa"/>
        </w:tblCellMar>
      </w:tblPr>
      <w:tblGrid>
        <w:gridCol w:w="943"/>
        <w:gridCol w:w="830"/>
        <w:gridCol w:w="836"/>
        <w:gridCol w:w="196"/>
        <w:gridCol w:w="721"/>
        <w:gridCol w:w="109"/>
        <w:gridCol w:w="109"/>
        <w:gridCol w:w="109"/>
        <w:gridCol w:w="109"/>
        <w:gridCol w:w="196"/>
        <w:gridCol w:w="721"/>
        <w:gridCol w:w="109"/>
        <w:gridCol w:w="109"/>
        <w:gridCol w:w="109"/>
        <w:gridCol w:w="109"/>
        <w:gridCol w:w="196"/>
        <w:gridCol w:w="631"/>
        <w:gridCol w:w="109"/>
        <w:gridCol w:w="109"/>
        <w:gridCol w:w="109"/>
        <w:gridCol w:w="109"/>
        <w:gridCol w:w="233"/>
        <w:gridCol w:w="233"/>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200" w:after="400"/>
        <w:ind w:left="0" w:right="0" w:firstLine="360"/>
        <w:jc w:val="left"/>
        <w:rPr/>
      </w:pPr>
      <w:r>
        <w:rPr>
          <w:rFonts w:ascii="Times New Roman;serif" w:hAnsi="Times New Roman;serif"/>
          <w:b w:val="false"/>
          <w:color w:val="000000"/>
          <w:sz w:val="20"/>
        </w:rPr>
        <w:t xml:space="preserve">The increase in interest expense, net during the six months ended June 30, 2025 was primarily attributable to less interest income generated from our cash and cash equivalents, partially offset by a decrease in the interest rate on the Company’s First Lien Term Loan, compared to the six months ended June 30, 2024. See Note 10, </w:t>
      </w:r>
      <w:r>
        <w:rPr>
          <w:rFonts w:ascii="Times New Roman;serif" w:hAnsi="Times New Roman;serif"/>
          <w:b w:val="false"/>
          <w:i/>
          <w:color w:val="000000"/>
          <w:sz w:val="20"/>
        </w:rPr>
        <w:t>Indebtedness</w:t>
      </w:r>
      <w:r>
        <w:rPr>
          <w:rFonts w:ascii="Times New Roman;serif" w:hAnsi="Times New Roman;serif"/>
          <w:b w:val="false"/>
          <w:color w:val="000000"/>
          <w:sz w:val="20"/>
        </w:rPr>
        <w:t>, of the unaudited consolidated financial statements for further information. The change in other, net during the six months ended June 30, 2025 was primarily attributable to accruals related to an abandoned or unclaimed property voluntary disclosure agreement program which was related to the pre-merger operations of BioScrip, Inc. (“BioScrip”), which was entered into by BioScrip prior to its merger with the Company in 2019. As of June 30, 2025, the matters related to this program are ongoing.</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Income Tax Expense</w:t>
      </w:r>
    </w:p>
    <w:tbl>
      <w:tblPr>
        <w:tblW w:w="6029" w:type="dxa"/>
        <w:jc w:val="center"/>
        <w:tblInd w:w="0" w:type="dxa"/>
        <w:tblLayout w:type="fixed"/>
        <w:tblCellMar>
          <w:top w:w="28" w:type="dxa"/>
          <w:left w:w="28" w:type="dxa"/>
          <w:bottom w:w="28" w:type="dxa"/>
          <w:right w:w="28" w:type="dxa"/>
        </w:tblCellMar>
      </w:tblPr>
      <w:tblGrid>
        <w:gridCol w:w="548"/>
        <w:gridCol w:w="482"/>
        <w:gridCol w:w="484"/>
        <w:gridCol w:w="196"/>
        <w:gridCol w:w="648"/>
        <w:gridCol w:w="109"/>
        <w:gridCol w:w="109"/>
        <w:gridCol w:w="109"/>
        <w:gridCol w:w="109"/>
        <w:gridCol w:w="196"/>
        <w:gridCol w:w="648"/>
        <w:gridCol w:w="109"/>
        <w:gridCol w:w="109"/>
        <w:gridCol w:w="109"/>
        <w:gridCol w:w="109"/>
        <w:gridCol w:w="196"/>
        <w:gridCol w:w="556"/>
        <w:gridCol w:w="109"/>
        <w:gridCol w:w="109"/>
        <w:gridCol w:w="109"/>
        <w:gridCol w:w="109"/>
        <w:gridCol w:w="233"/>
        <w:gridCol w:w="233"/>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$35.2 million and $31.2 million for the six months ended June 30, 2025 and 2024, respectively, which represents an effective tax rate of 26.5% and 24.2%, respectively. The variance in the Company’s effective tax rate of 26.5% for the six months ended June 30, 2025, compared to the federal statutory rate of 21.0%, was primarily attributable to the difference between federal and state tax rates and various non-deductible expenses. The variance in the Company’s effective tax rate of 24.2% for the six months ended June 30, 2024, compared to the federal statutory rate of 21.0%, was primarily attributable to the difference between federal and state tax rates, various non-deductible expenses, and a change in state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Net Income and Other Comprehensive Income (Loss)</w:t>
      </w:r>
    </w:p>
    <w:tbl>
      <w:tblPr>
        <w:tblW w:w="10004" w:type="dxa"/>
        <w:jc w:val="center"/>
        <w:tblInd w:w="0" w:type="dxa"/>
        <w:tblLayout w:type="fixed"/>
        <w:tblCellMar>
          <w:top w:w="28" w:type="dxa"/>
          <w:left w:w="28" w:type="dxa"/>
          <w:bottom w:w="28" w:type="dxa"/>
          <w:right w:w="28" w:type="dxa"/>
        </w:tblCellMar>
      </w:tblPr>
      <w:tblGrid>
        <w:gridCol w:w="1960"/>
        <w:gridCol w:w="1726"/>
        <w:gridCol w:w="1744"/>
        <w:gridCol w:w="196"/>
        <w:gridCol w:w="648"/>
        <w:gridCol w:w="109"/>
        <w:gridCol w:w="109"/>
        <w:gridCol w:w="109"/>
        <w:gridCol w:w="109"/>
        <w:gridCol w:w="196"/>
        <w:gridCol w:w="648"/>
        <w:gridCol w:w="109"/>
        <w:gridCol w:w="109"/>
        <w:gridCol w:w="109"/>
        <w:gridCol w:w="109"/>
        <w:gridCol w:w="196"/>
        <w:gridCol w:w="631"/>
        <w:gridCol w:w="109"/>
        <w:gridCol w:w="109"/>
        <w:gridCol w:w="109"/>
        <w:gridCol w:w="109"/>
        <w:gridCol w:w="224"/>
        <w:gridCol w:w="226"/>
        <w:gridCol w:w="301"/>
      </w:tblGrid>
      <w:tr>
        <w:trPr/>
        <w:tc>
          <w:tcPr>
            <w:tcW w:w="196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income, net of tax: </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unrealized (loss) gain on cash flow hedges, net of income taxes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comprehensive income decreased to $93.2 million for the six months ended June 30, 2025, compared to net comprehensive income of $98.5 million for the six months ended June 30, 2024, primarily as a result of the changes in the fair market value of the cash flow hedge.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the twelve months ended December 31, 2024, the Company’s primary sources of liquidity were cash and cash equivalents of $198.8 million and $412.6 million, respectively. As of June 30, 2025 and December 31, 2024, the Company had $395.9 million of borrowings available under its credit facilities (net of $4.1 million undrawn letters of credit issued and outstanding). During the six months ended June 30, 2025 and 2024, the Company’s cash flows from operations enabled investments in pharmacy, infusion suites, and information technology infrastructure to support growth and create additional capacity in the future, as well as to pursue acquisitions and share repurchases.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the deployment of capital to pursue acquisitions that complement our existing operations. We continue to evaluate acquisition opportunities and view acquisitions as a key part of our growth strategy. The Company has generally funded its acquisitions with cash and cash equivalents.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Short-Term and Long-Term Liquidity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balance of the First Lien Term Loan is repayable in quarterly installments of $1.6 million plus interest, with a final payment of all remaining outstanding principal due on October 27, 2028. Interest on the First Lien Term Loan is payable monthly on either (i) the Secured Overnight Financing Rate (“SOFR”) (with a floor of 0.50% per annum) plus an applicable margin of 2.25% for Term SOFR Loans; or (ii) a base rate, plus 1.25%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Notes bear interest at a rate of 4.375% per annum and are payable semi-annually in arrears on October 31 and April 30 of each year. The Senior Notes mature on October 31, 2029.</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Revolver Facility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First Lien Credit Agreement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June 30, 2025, the Company had $4.1 million of undrawn letters of credit issued and outstanding, resulting in net borrowing availability under the Revolver Facility of $395.9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payments over the course of long-term debt obligations total an estimated $233.4 million based on final maturity dates of the Company’s credit facilities. Interest payments are calculated based on current rates as of June 30, 2025. Actual payments are based on changes in SOFR and exclude the interest rate cap derivative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Six Months Ended June 30, 2025 Compared to Six Months Ended June 30, 2024</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data from Option Care Health’s unaudited condensed consolidated statements of cash flows:</w:t>
      </w:r>
    </w:p>
    <w:tbl>
      <w:tblPr>
        <w:tblW w:w="7691" w:type="dxa"/>
        <w:jc w:val="center"/>
        <w:tblInd w:w="0" w:type="dxa"/>
        <w:tblLayout w:type="fixed"/>
        <w:tblCellMar>
          <w:top w:w="28" w:type="dxa"/>
          <w:left w:w="28" w:type="dxa"/>
          <w:bottom w:w="28" w:type="dxa"/>
          <w:right w:w="28" w:type="dxa"/>
        </w:tblCellMar>
      </w:tblPr>
      <w:tblGrid>
        <w:gridCol w:w="1375"/>
        <w:gridCol w:w="1204"/>
        <w:gridCol w:w="1215"/>
        <w:gridCol w:w="196"/>
        <w:gridCol w:w="736"/>
        <w:gridCol w:w="109"/>
        <w:gridCol w:w="109"/>
        <w:gridCol w:w="109"/>
        <w:gridCol w:w="109"/>
        <w:gridCol w:w="196"/>
        <w:gridCol w:w="736"/>
        <w:gridCol w:w="109"/>
        <w:gridCol w:w="109"/>
        <w:gridCol w:w="109"/>
        <w:gridCol w:w="109"/>
        <w:gridCol w:w="196"/>
        <w:gridCol w:w="81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(178,054)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provided by operating activities during the six months ended June 30, 2025, as compared to the six months ended June 30, 2024, was primarily due to a reduction in accounts payable, partially offset by increases in accounts receivable, prepaid expenses, and accrued compensation and employee benefits.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investing activities during the six months ended June 30, 2025 was primarily related to the Intramed Plus acquisition activity with no comparable activity during the six months ended June 30, 2024.</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financing activities was primarily related to the Company’s $150.0 million repurchase of common stock during the six months ended June 30, 2025, whereas the activity during the six months ended June 30, 2024 was primarily related to the Company’s $118.1 million repurchase of common stock as well as $50.0 million in proceeds from issuance of debt related to the first lien debt refinance in May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critical accounting policies and estimates as presented in our Form 10-K, which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exposure to market risk from those included in our Form 10-K, which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2025. Based on that evaluation, the Company’s Chief Executive Officer and its Chief Financial Officer concluded that our disclosure controls and procedures were effective as of June 30,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June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a summary of legal proceedings, refer to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the unaudited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a share repurchase program of up to an aggregate $500 million of common stock of the Company. This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with respect to the Company’s repurchases of common stock from April 1, 2025 through June 30, 2025:</w:t>
      </w:r>
    </w:p>
    <w:tbl>
      <w:tblPr>
        <w:tblW w:w="10205" w:type="dxa"/>
        <w:jc w:val="center"/>
        <w:tblInd w:w="0" w:type="dxa"/>
        <w:tblLayout w:type="fixed"/>
        <w:tblCellMar>
          <w:top w:w="28" w:type="dxa"/>
          <w:left w:w="28" w:type="dxa"/>
          <w:bottom w:w="28" w:type="dxa"/>
          <w:right w:w="28" w:type="dxa"/>
        </w:tblCellMar>
      </w:tblPr>
      <w:tblGrid>
        <w:gridCol w:w="357"/>
        <w:gridCol w:w="313"/>
        <w:gridCol w:w="315"/>
        <w:gridCol w:w="109"/>
        <w:gridCol w:w="109"/>
        <w:gridCol w:w="109"/>
        <w:gridCol w:w="649"/>
        <w:gridCol w:w="446"/>
        <w:gridCol w:w="447"/>
        <w:gridCol w:w="109"/>
        <w:gridCol w:w="109"/>
        <w:gridCol w:w="109"/>
        <w:gridCol w:w="270"/>
        <w:gridCol w:w="768"/>
        <w:gridCol w:w="150"/>
        <w:gridCol w:w="109"/>
        <w:gridCol w:w="109"/>
        <w:gridCol w:w="109"/>
        <w:gridCol w:w="911"/>
        <w:gridCol w:w="755"/>
        <w:gridCol w:w="757"/>
        <w:gridCol w:w="109"/>
        <w:gridCol w:w="109"/>
        <w:gridCol w:w="109"/>
        <w:gridCol w:w="385"/>
        <w:gridCol w:w="2065"/>
        <w:gridCol w:w="309"/>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400,000,895 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1,553,871 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1,553,871 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350,000,914 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350,000,914 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1,553,871 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1,553,871 </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350,000,914 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Adoption, Modification and Termination of Rule 10b5-1 Plans and Certain Other Trading Arrangements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director or officer of the Company has adopted, modified or terminated a Rule 10b5-1 plan or non-Rule 10b5-1 trading arrangement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center"/>
        <w:tblInd w:w="0" w:type="dxa"/>
        <w:tblLayout w:type="fixed"/>
        <w:tblCellMar>
          <w:top w:w="28" w:type="dxa"/>
          <w:left w:w="28" w:type="dxa"/>
          <w:bottom w:w="28" w:type="dxa"/>
          <w:right w:w="28" w:type="dxa"/>
        </w:tblCellMar>
      </w:tblPr>
      <w:tblGrid>
        <w:gridCol w:w="408"/>
        <w:gridCol w:w="358"/>
        <w:gridCol w:w="359"/>
        <w:gridCol w:w="2709"/>
        <w:gridCol w:w="2621"/>
        <w:gridCol w:w="3750"/>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 </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12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3.1</w:t>
              </w:r>
            </w:hyperlink>
          </w:p>
        </w:tc>
        <w:tc>
          <w:tcPr>
            <w:tcW w:w="908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Fourth Amended and Restated Certificate of Incorporation of Option Care Health, Inc., effective as of May 15, 2025 (incorporated by reference to Exhibit 3.1 to the Company's Current Report on Form 8-K filed on May 16, 2025).</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3.2</w:t>
              </w:r>
            </w:hyperlink>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Amended and Restated By-Laws of Option Care Health, Inc., effective as of May 14, 2025 (incorporated by reference to Exhibit 3.2 to the Company's Current Report on Form 8-K filed on May 16, 2025).</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q22025.htm">
              <w:r>
                <w:rPr>
                  <w:rStyle w:val="InternetLink"/>
                  <w:rFonts w:ascii="Times New Roman;serif" w:hAnsi="Times New Roman;serif"/>
                  <w:b w:val="false"/>
                  <w:color w:val="0000FF"/>
                  <w:sz w:val="18"/>
                  <w:u w:val="single"/>
                </w:rPr>
                <w:t>Certification of Chief Executive Officer pursuant to 18 U.S.C. Section 1350, as adopted pursuant to Section 302 of the Sarbanes-Oxley Act of 2002.</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5.htm">
              <w:r>
                <w:rPr>
                  <w:rStyle w:val="InternetLink"/>
                  <w:rFonts w:ascii="Times New Roman;serif" w:hAnsi="Times New Roman;serif"/>
                  <w:b w:val="false"/>
                  <w:color w:val="0000FF"/>
                  <w:sz w:val="18"/>
                  <w:u w:val="single"/>
                </w:rPr>
                <w:t>Certification of Chief Financial Officer pursuant to 18 U.S.C. Section 1350, as adopted pursuant to Section 302 of the Sarbanes-Oxley Act of 2002.</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22025.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22025.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Formatted Cover Page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f7a5f9ea7a8e43439296f42e4bfba29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83" w:type="dxa"/>
        <w:jc w:val="center"/>
        <w:tblInd w:w="0" w:type="dxa"/>
        <w:tblLayout w:type="fixed"/>
        <w:tblCellMar>
          <w:top w:w="28" w:type="dxa"/>
          <w:left w:w="28" w:type="dxa"/>
          <w:bottom w:w="28" w:type="dxa"/>
          <w:right w:w="28" w:type="dxa"/>
        </w:tblCellMar>
      </w:tblPr>
      <w:tblGrid>
        <w:gridCol w:w="849"/>
        <w:gridCol w:w="746"/>
        <w:gridCol w:w="746"/>
        <w:gridCol w:w="711"/>
        <w:gridCol w:w="711"/>
        <w:gridCol w:w="1020"/>
      </w:tblGrid>
      <w:tr>
        <w:trPr/>
        <w:tc>
          <w:tcPr>
            <w:tcW w:w="8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OPTION CARE HEALTH, INC.</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2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Michael Shapiro </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Michael Shapiro</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 </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Rademacher,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Shapiro, certify that: </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Shapiro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Shapiro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June 30, 2025, as filed with the Securities and Exchange Commission on the date hereof (the “Report”), I, John Rademacher, Chief Executive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June 30, 2025, as filed with the Securities and Exchange Commission on the date hereof (the “Report”), I, Michael Shapiro, Chief Financial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Shapiro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Shapiro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4739/000101473925000028/ex31-fourthamendedandresta.htm" TargetMode="External"/><Relationship Id="rId4" Type="http://schemas.openxmlformats.org/officeDocument/2006/relationships/hyperlink" Target="https://www.sec.gov/Archives/edgar/data/1014739/000101473925000028/ex31-fourthamendedandresta.htm" TargetMode="External"/><Relationship Id="rId5" Type="http://schemas.openxmlformats.org/officeDocument/2006/relationships/hyperlink" Target="https://www.sec.gov/Archives/edgar/data/1014739/000101473925000028/ex32-amendedandrestatedbyx.htm" TargetMode="External"/><Relationship Id="rId6" Type="http://schemas.openxmlformats.org/officeDocument/2006/relationships/hyperlink" Target="https://www.sec.gov/Archives/edgar/data/1014739/000101473925000028/ex32-amendedandrestatedbyx.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14204</Words>
  <Characters>78952</Characters>
  <CharactersWithSpaces>92066</CharactersWithSpaces>
  <Paragraphs>2298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