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336550</wp:posOffset>
            </wp:positionH>
            <wp:positionV relativeFrom="page">
              <wp:posOffset>586105</wp:posOffset>
            </wp:positionV>
            <wp:extent cx="687514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4318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40" w:right="1920" w:hanging="653"/>
        <w:spacing w:after="0" w:line="281" w:lineRule="auto"/>
        <w:tabs>
          <w:tab w:leader="none" w:pos="11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left="5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40" w:hanging="653"/>
        <w:spacing w:after="0"/>
        <w:tabs>
          <w:tab w:leader="none" w:pos="11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0" w:lineRule="exact"/>
        <w:rPr>
          <w:sz w:val="24"/>
          <w:szCs w:val="24"/>
          <w:color w:val="auto"/>
        </w:rPr>
      </w:pPr>
    </w:p>
    <w:p>
      <w:pPr>
        <w:ind w:left="1140"/>
        <w:spacing w:after="0"/>
        <w:tabs>
          <w:tab w:leader="none" w:pos="34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12065</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22"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080" w:type="dxa"/>
            <w:vAlign w:val="bottom"/>
          </w:tcPr>
          <w:p>
            <w:pPr>
              <w:jc w:val="center"/>
              <w:ind w:left="5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0" w:type="dxa"/>
            <w:vAlign w:val="bottom"/>
          </w:tcPr>
          <w:p>
            <w:pPr>
              <w:jc w:val="right"/>
              <w:ind w:right="2079"/>
              <w:spacing w:after="0"/>
              <w:rPr>
                <w:sz w:val="20"/>
                <w:szCs w:val="20"/>
                <w:color w:val="auto"/>
              </w:rPr>
            </w:pPr>
            <w:r>
              <w:rPr>
                <w:rFonts w:ascii="Arial" w:cs="Arial" w:eastAsia="Arial" w:hAnsi="Arial"/>
                <w:sz w:val="16"/>
                <w:szCs w:val="16"/>
                <w:b w:val="1"/>
                <w:bCs w:val="1"/>
                <w:color w:val="auto"/>
              </w:rPr>
              <w:t>05-0489664</w:t>
            </w:r>
          </w:p>
        </w:tc>
      </w:tr>
      <w:tr>
        <w:trPr>
          <w:trHeight w:val="216"/>
        </w:trPr>
        <w:tc>
          <w:tcPr>
            <w:tcW w:w="5040" w:type="dxa"/>
            <w:vAlign w:val="bottom"/>
            <w:gridSpan w:val="3"/>
          </w:tcPr>
          <w:p>
            <w:pPr>
              <w:jc w:val="center"/>
              <w:ind w:left="1499"/>
              <w:spacing w:after="0"/>
              <w:rPr>
                <w:sz w:val="20"/>
                <w:szCs w:val="20"/>
                <w:color w:val="auto"/>
              </w:rPr>
            </w:pPr>
            <w:r>
              <w:rPr>
                <w:rFonts w:ascii="Arial" w:cs="Arial" w:eastAsia="Arial" w:hAnsi="Arial"/>
                <w:sz w:val="16"/>
                <w:szCs w:val="16"/>
                <w:i w:val="1"/>
                <w:iCs w:val="1"/>
                <w:color w:val="auto"/>
                <w:w w:val="94"/>
              </w:rPr>
              <w:t>(State of incorporation)</w:t>
            </w:r>
          </w:p>
        </w:tc>
        <w:tc>
          <w:tcPr>
            <w:tcW w:w="1260" w:type="dxa"/>
            <w:vAlign w:val="bottom"/>
          </w:tcPr>
          <w:p>
            <w:pPr>
              <w:spacing w:after="0"/>
              <w:rPr>
                <w:sz w:val="18"/>
                <w:szCs w:val="18"/>
                <w:color w:val="auto"/>
              </w:rPr>
            </w:pPr>
          </w:p>
        </w:tc>
        <w:tc>
          <w:tcPr>
            <w:tcW w:w="4920" w:type="dxa"/>
            <w:vAlign w:val="bottom"/>
            <w:gridSpan w:val="2"/>
          </w:tcPr>
          <w:p>
            <w:pPr>
              <w:jc w:val="center"/>
              <w:ind w:right="11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16"/>
        </w:trPr>
        <w:tc>
          <w:tcPr>
            <w:tcW w:w="2700" w:type="dxa"/>
            <w:vAlign w:val="bottom"/>
          </w:tcPr>
          <w:p>
            <w:pPr>
              <w:ind w:left="1340"/>
              <w:spacing w:after="0"/>
              <w:rPr>
                <w:sz w:val="20"/>
                <w:szCs w:val="20"/>
                <w:color w:val="auto"/>
              </w:rPr>
            </w:pPr>
            <w:r>
              <w:rPr>
                <w:rFonts w:ascii="Arial" w:cs="Arial" w:eastAsia="Arial" w:hAnsi="Arial"/>
                <w:sz w:val="16"/>
                <w:szCs w:val="16"/>
                <w:b w:val="1"/>
                <w:bCs w:val="1"/>
                <w:color w:val="auto"/>
                <w:w w:val="99"/>
              </w:rPr>
              <w:t>3000 Lakeside Dr.</w:t>
            </w:r>
          </w:p>
        </w:tc>
        <w:tc>
          <w:tcPr>
            <w:tcW w:w="1080" w:type="dxa"/>
            <w:vAlign w:val="bottom"/>
          </w:tcPr>
          <w:p>
            <w:pPr>
              <w:ind w:left="140"/>
              <w:spacing w:after="0"/>
              <w:rPr>
                <w:sz w:val="20"/>
                <w:szCs w:val="20"/>
                <w:color w:val="auto"/>
              </w:rPr>
            </w:pPr>
            <w:r>
              <w:rPr>
                <w:rFonts w:ascii="Arial" w:cs="Arial" w:eastAsia="Arial" w:hAnsi="Arial"/>
                <w:sz w:val="16"/>
                <w:szCs w:val="16"/>
                <w:b w:val="1"/>
                <w:bCs w:val="1"/>
                <w:color w:val="auto"/>
              </w:rPr>
              <w:t>Suite 300N,</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Bannockburn,</w:t>
            </w:r>
          </w:p>
        </w:tc>
        <w:tc>
          <w:tcPr>
            <w:tcW w:w="1260" w:type="dxa"/>
            <w:vAlign w:val="bottom"/>
          </w:tcPr>
          <w:p>
            <w:pPr>
              <w:jc w:val="right"/>
              <w:ind w:right="859"/>
              <w:spacing w:after="0"/>
              <w:rPr>
                <w:sz w:val="20"/>
                <w:szCs w:val="20"/>
                <w:color w:val="auto"/>
              </w:rPr>
            </w:pPr>
            <w:r>
              <w:rPr>
                <w:rFonts w:ascii="Arial" w:cs="Arial" w:eastAsia="Arial" w:hAnsi="Arial"/>
                <w:sz w:val="16"/>
                <w:szCs w:val="16"/>
                <w:b w:val="1"/>
                <w:bCs w:val="1"/>
                <w:color w:val="auto"/>
              </w:rPr>
              <w:t>IL</w:t>
            </w:r>
          </w:p>
        </w:tc>
        <w:tc>
          <w:tcPr>
            <w:tcW w:w="1520" w:type="dxa"/>
            <w:vAlign w:val="bottom"/>
          </w:tcPr>
          <w:p>
            <w:pPr>
              <w:spacing w:after="0"/>
              <w:rPr>
                <w:sz w:val="18"/>
                <w:szCs w:val="18"/>
                <w:color w:val="auto"/>
              </w:rPr>
            </w:pPr>
          </w:p>
        </w:tc>
        <w:tc>
          <w:tcPr>
            <w:tcW w:w="3400" w:type="dxa"/>
            <w:vAlign w:val="bottom"/>
          </w:tcPr>
          <w:p>
            <w:pPr>
              <w:jc w:val="right"/>
              <w:ind w:right="2279"/>
              <w:spacing w:after="0"/>
              <w:rPr>
                <w:sz w:val="20"/>
                <w:szCs w:val="20"/>
                <w:color w:val="auto"/>
              </w:rPr>
            </w:pPr>
            <w:r>
              <w:rPr>
                <w:rFonts w:ascii="Arial" w:cs="Arial" w:eastAsia="Arial" w:hAnsi="Arial"/>
                <w:sz w:val="16"/>
                <w:szCs w:val="16"/>
                <w:b w:val="1"/>
                <w:bCs w:val="1"/>
                <w:color w:val="auto"/>
              </w:rPr>
              <w:t>60015</w:t>
            </w:r>
          </w:p>
        </w:tc>
      </w:tr>
      <w:tr>
        <w:trPr>
          <w:trHeight w:val="216"/>
        </w:trPr>
        <w:tc>
          <w:tcPr>
            <w:tcW w:w="5040" w:type="dxa"/>
            <w:vAlign w:val="bottom"/>
            <w:gridSpan w:val="3"/>
          </w:tcPr>
          <w:p>
            <w:pPr>
              <w:jc w:val="center"/>
              <w:ind w:left="149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0" w:type="dxa"/>
            <w:vAlign w:val="bottom"/>
          </w:tcPr>
          <w:p>
            <w:pPr>
              <w:jc w:val="center"/>
              <w:ind w:right="1639"/>
              <w:spacing w:after="0"/>
              <w:rPr>
                <w:sz w:val="20"/>
                <w:szCs w:val="20"/>
                <w:color w:val="auto"/>
              </w:rPr>
            </w:pPr>
            <w:r>
              <w:rPr>
                <w:rFonts w:ascii="Arial" w:cs="Arial" w:eastAsia="Arial" w:hAnsi="Arial"/>
                <w:sz w:val="16"/>
                <w:szCs w:val="16"/>
                <w:i w:val="1"/>
                <w:iCs w:val="1"/>
                <w:color w:val="auto"/>
                <w:w w:val="95"/>
              </w:rPr>
              <w:t>(Zip Code)</w:t>
            </w:r>
          </w:p>
        </w:tc>
      </w:tr>
      <w:tr>
        <w:trPr>
          <w:trHeight w:val="276"/>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4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Registrant’s telephone number, including area code:</w:t>
            </w:r>
          </w:p>
        </w:tc>
        <w:tc>
          <w:tcPr>
            <w:tcW w:w="3400" w:type="dxa"/>
            <w:vAlign w:val="bottom"/>
          </w:tcPr>
          <w:p>
            <w:pPr>
              <w:spacing w:after="0"/>
              <w:rPr>
                <w:sz w:val="23"/>
                <w:szCs w:val="23"/>
                <w:color w:val="auto"/>
              </w:rPr>
            </w:pPr>
          </w:p>
        </w:tc>
      </w:tr>
      <w:tr>
        <w:trPr>
          <w:trHeight w:val="210"/>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43"/>
        </w:trPr>
        <w:tc>
          <w:tcPr>
            <w:tcW w:w="2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3400" w:type="dxa"/>
            <w:vAlign w:val="bottom"/>
          </w:tcPr>
          <w:p>
            <w:pPr>
              <w:spacing w:after="0"/>
              <w:rPr>
                <w:sz w:val="21"/>
                <w:szCs w:val="21"/>
                <w:color w:val="auto"/>
              </w:rPr>
            </w:pPr>
          </w:p>
        </w:tc>
      </w:tr>
      <w:tr>
        <w:trPr>
          <w:trHeight w:val="155"/>
        </w:trPr>
        <w:tc>
          <w:tcPr>
            <w:tcW w:w="3780" w:type="dxa"/>
            <w:vAlign w:val="bottom"/>
            <w:tcBorders>
              <w:bottom w:val="single" w:sz="8" w:color="auto"/>
            </w:tcBorders>
            <w:gridSpan w:val="2"/>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r>
      <w:tr>
        <w:trPr>
          <w:trHeight w:val="206"/>
        </w:trPr>
        <w:tc>
          <w:tcPr>
            <w:tcW w:w="3780" w:type="dxa"/>
            <w:vAlign w:val="bottom"/>
            <w:tcBorders>
              <w:left w:val="single" w:sz="8" w:color="auto"/>
              <w:bottom w:val="single" w:sz="8" w:color="auto"/>
            </w:tcBorders>
            <w:gridSpan w:val="2"/>
          </w:tcPr>
          <w:p>
            <w:pPr>
              <w:jc w:val="center"/>
              <w:ind w:left="2419"/>
              <w:spacing w:after="0"/>
              <w:rPr>
                <w:sz w:val="20"/>
                <w:szCs w:val="20"/>
                <w:color w:val="auto"/>
              </w:rPr>
            </w:pPr>
            <w:r>
              <w:rPr>
                <w:rFonts w:ascii="Arial" w:cs="Arial" w:eastAsia="Arial" w:hAnsi="Arial"/>
                <w:sz w:val="16"/>
                <w:szCs w:val="16"/>
                <w:color w:val="auto"/>
                <w:w w:val="91"/>
              </w:rPr>
              <w:t>Title of each Class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5040" w:type="dxa"/>
            <w:vAlign w:val="bottom"/>
            <w:tcBorders>
              <w:left w:val="single" w:sz="8" w:color="auto"/>
              <w:bottom w:val="single" w:sz="8" w:color="auto"/>
            </w:tcBorders>
            <w:gridSpan w:val="3"/>
          </w:tcPr>
          <w:p>
            <w:pPr>
              <w:jc w:val="center"/>
              <w:ind w:left="1159"/>
              <w:spacing w:after="0"/>
              <w:rPr>
                <w:sz w:val="20"/>
                <w:szCs w:val="20"/>
                <w:color w:val="auto"/>
              </w:rPr>
            </w:pPr>
            <w:r>
              <w:rPr>
                <w:rFonts w:ascii="Arial" w:cs="Arial" w:eastAsia="Arial" w:hAnsi="Arial"/>
                <w:sz w:val="16"/>
                <w:szCs w:val="16"/>
                <w:color w:val="auto"/>
                <w:w w:val="90"/>
              </w:rPr>
              <w:t>Common Stock, $0.0001 par value per share</w:t>
            </w:r>
          </w:p>
        </w:tc>
        <w:tc>
          <w:tcPr>
            <w:tcW w:w="126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OPCH</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85" w:lineRule="exact"/>
        <w:rPr>
          <w:sz w:val="24"/>
          <w:szCs w:val="24"/>
          <w:color w:val="auto"/>
        </w:rPr>
      </w:pPr>
    </w:p>
    <w:p>
      <w:pPr>
        <w:jc w:val="both"/>
        <w:ind w:firstLine="162"/>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jc w:val="both"/>
        <w:ind w:firstLine="162"/>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3" w:lineRule="exact"/>
        <w:rPr>
          <w:sz w:val="24"/>
          <w:szCs w:val="24"/>
          <w:color w:val="auto"/>
        </w:rPr>
      </w:pPr>
    </w:p>
    <w:p>
      <w:pPr>
        <w:jc w:val="both"/>
        <w:ind w:firstLine="162"/>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3" w:lineRule="exact"/>
        <w:rPr>
          <w:sz w:val="24"/>
          <w:szCs w:val="24"/>
          <w:color w:val="auto"/>
        </w:rPr>
      </w:pPr>
    </w:p>
    <w:p>
      <w:pPr>
        <w:ind w:left="1160"/>
        <w:spacing w:after="0" w:line="184" w:lineRule="exact"/>
        <w:tabs>
          <w:tab w:leader="none" w:pos="2980" w:val="left"/>
          <w:tab w:leader="none" w:pos="4460" w:val="left"/>
          <w:tab w:leader="none" w:pos="62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02" w:lineRule="exact"/>
        <w:rPr>
          <w:sz w:val="24"/>
          <w:szCs w:val="24"/>
          <w:color w:val="auto"/>
        </w:rPr>
      </w:pPr>
    </w:p>
    <w:p>
      <w:pPr>
        <w:jc w:val="both"/>
        <w:ind w:firstLine="162"/>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ind w:left="180"/>
        <w:spacing w:after="0" w:line="173" w:lineRule="exact"/>
        <w:tabs>
          <w:tab w:leader="none" w:pos="82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0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July 25, 2023, there were 179,876,706 shares of the registrant’s Common Stock outstanding.</w:t>
      </w:r>
    </w:p>
    <w:p>
      <w:pPr>
        <w:sectPr>
          <w:pgSz w:w="11900" w:h="16838" w:orient="portrait"/>
          <w:cols w:equalWidth="0" w:num="1">
            <w:col w:w="11240"/>
          </w:cols>
          <w:pgMar w:left="320" w:top="107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6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80" w:type="dxa"/>
            <w:vAlign w:val="bottom"/>
            <w:gridSpan w:val="5"/>
          </w:tcPr>
          <w:p>
            <w:pPr>
              <w:jc w:val="center"/>
              <w:ind w:left="143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80" w:type="dxa"/>
            <w:vAlign w:val="bottom"/>
            <w:gridSpan w:val="5"/>
          </w:tcPr>
          <w:p>
            <w:pPr>
              <w:jc w:val="center"/>
              <w:ind w:left="1439"/>
              <w:spacing w:after="0"/>
              <w:rPr>
                <w:sz w:val="20"/>
                <w:szCs w:val="20"/>
                <w:color w:val="auto"/>
              </w:rPr>
            </w:pPr>
            <w:r>
              <w:rPr>
                <w:rFonts w:ascii="Arial" w:cs="Arial" w:eastAsia="Arial" w:hAnsi="Arial"/>
                <w:sz w:val="16"/>
                <w:szCs w:val="16"/>
                <w:b w:val="1"/>
                <w:bCs w:val="1"/>
                <w:color w:val="auto"/>
                <w:w w:val="92"/>
              </w:rPr>
              <w:t>Number</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60" w:type="dxa"/>
            <w:vAlign w:val="bottom"/>
            <w:gridSpan w:val="7"/>
          </w:tcPr>
          <w:p>
            <w:pPr>
              <w:jc w:val="center"/>
              <w:ind w:right="1940"/>
              <w:spacing w:after="0"/>
              <w:rPr>
                <w:sz w:val="20"/>
                <w:szCs w:val="20"/>
                <w:color w:val="auto"/>
              </w:rPr>
            </w:pPr>
            <w:r>
              <w:rPr>
                <w:rFonts w:ascii="Arial" w:cs="Arial" w:eastAsia="Arial" w:hAnsi="Arial"/>
                <w:sz w:val="16"/>
                <w:szCs w:val="16"/>
                <w:b w:val="1"/>
                <w:bCs w:val="1"/>
                <w:color w:val="auto"/>
                <w:w w:val="99"/>
              </w:rPr>
              <w:t>PART I</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43"/>
        </w:trPr>
        <w:tc>
          <w:tcPr>
            <w:tcW w:w="160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7300" w:type="dxa"/>
            <w:vAlign w:val="bottom"/>
            <w:gridSpan w:val="13"/>
          </w:tcPr>
          <w:p>
            <w:pPr>
              <w:spacing w:after="0"/>
              <w:rPr>
                <w:sz w:val="20"/>
                <w:szCs w:val="20"/>
                <w:color w:val="auto"/>
              </w:rPr>
            </w:pPr>
            <w:r>
              <w:rPr>
                <w:rFonts w:ascii="Arial" w:cs="Arial" w:eastAsia="Arial" w:hAnsi="Arial"/>
                <w:sz w:val="16"/>
                <w:szCs w:val="16"/>
                <w:color w:val="0000FF"/>
              </w:rPr>
              <w:t>Financial Statements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4</w:t>
            </w:r>
          </w:p>
        </w:tc>
        <w:tc>
          <w:tcPr>
            <w:tcW w:w="20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00" w:type="dxa"/>
            <w:vAlign w:val="bottom"/>
            <w:gridSpan w:val="13"/>
          </w:tcPr>
          <w:p>
            <w:pPr>
              <w:spacing w:after="0"/>
              <w:rPr>
                <w:sz w:val="20"/>
                <w:szCs w:val="20"/>
                <w:color w:val="auto"/>
              </w:rPr>
            </w:pPr>
            <w:r>
              <w:rPr>
                <w:rFonts w:ascii="Arial" w:cs="Arial" w:eastAsia="Arial" w:hAnsi="Arial"/>
                <w:sz w:val="16"/>
                <w:szCs w:val="16"/>
                <w:color w:val="0000FF"/>
              </w:rPr>
              <w:t>Condensed Consolidated Balance Sheets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5</w:t>
            </w:r>
          </w:p>
        </w:tc>
        <w:tc>
          <w:tcPr>
            <w:tcW w:w="2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00" w:type="dxa"/>
            <w:vAlign w:val="bottom"/>
            <w:gridSpan w:val="13"/>
          </w:tcPr>
          <w:p>
            <w:pPr>
              <w:spacing w:after="0"/>
              <w:rPr>
                <w:sz w:val="20"/>
                <w:szCs w:val="20"/>
                <w:color w:val="auto"/>
              </w:rPr>
            </w:pPr>
            <w:r>
              <w:rPr>
                <w:rFonts w:ascii="Arial" w:cs="Arial" w:eastAsia="Arial" w:hAnsi="Arial"/>
                <w:sz w:val="16"/>
                <w:szCs w:val="16"/>
                <w:color w:val="0000FF"/>
              </w:rPr>
              <w:t>Unaudited Condensed Consolidated Statements of Comprehensive Income</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6</w:t>
            </w:r>
          </w:p>
        </w:tc>
        <w:tc>
          <w:tcPr>
            <w:tcW w:w="2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60" w:type="dxa"/>
            <w:vAlign w:val="bottom"/>
            <w:gridSpan w:val="8"/>
          </w:tcPr>
          <w:p>
            <w:pPr>
              <w:spacing w:after="0"/>
              <w:rPr>
                <w:sz w:val="20"/>
                <w:szCs w:val="20"/>
                <w:color w:val="auto"/>
              </w:rPr>
            </w:pPr>
            <w:r>
              <w:rPr>
                <w:rFonts w:ascii="Arial" w:cs="Arial" w:eastAsia="Arial" w:hAnsi="Arial"/>
                <w:sz w:val="16"/>
                <w:szCs w:val="16"/>
                <w:color w:val="0000FF"/>
                <w:w w:val="90"/>
              </w:rPr>
              <w:t>Unaudited Condensed Consolidated Statements of Cash Flows</w:t>
            </w:r>
          </w:p>
        </w:tc>
        <w:tc>
          <w:tcPr>
            <w:tcW w:w="780" w:type="dxa"/>
            <w:vAlign w:val="bottom"/>
            <w:gridSpan w:val="3"/>
          </w:tcPr>
          <w:p>
            <w:pPr>
              <w:spacing w:after="0"/>
              <w:rPr>
                <w:sz w:val="17"/>
                <w:szCs w:val="17"/>
                <w:color w:val="auto"/>
              </w:rPr>
            </w:pPr>
          </w:p>
        </w:tc>
        <w:tc>
          <w:tcPr>
            <w:tcW w:w="2460" w:type="dxa"/>
            <w:vAlign w:val="bottom"/>
            <w:gridSpan w:val="2"/>
          </w:tcPr>
          <w:p>
            <w:pPr>
              <w:spacing w:after="0"/>
              <w:rPr>
                <w:sz w:val="17"/>
                <w:szCs w:val="17"/>
                <w:color w:val="auto"/>
              </w:rPr>
            </w:pPr>
          </w:p>
        </w:tc>
        <w:tc>
          <w:tcPr>
            <w:tcW w:w="1760" w:type="dxa"/>
            <w:vAlign w:val="bottom"/>
            <w:gridSpan w:val="2"/>
          </w:tcPr>
          <w:p>
            <w:pPr>
              <w:spacing w:after="0"/>
              <w:rPr>
                <w:sz w:val="17"/>
                <w:szCs w:val="17"/>
                <w:color w:val="auto"/>
              </w:rPr>
            </w:pPr>
          </w:p>
        </w:tc>
        <w:tc>
          <w:tcPr>
            <w:tcW w:w="12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7</w:t>
            </w:r>
          </w:p>
        </w:tc>
        <w:tc>
          <w:tcPr>
            <w:tcW w:w="2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60" w:type="dxa"/>
            <w:vAlign w:val="bottom"/>
            <w:gridSpan w:val="10"/>
          </w:tcPr>
          <w:p>
            <w:pPr>
              <w:spacing w:after="0"/>
              <w:rPr>
                <w:sz w:val="20"/>
                <w:szCs w:val="20"/>
                <w:color w:val="auto"/>
              </w:rPr>
            </w:pPr>
            <w:r>
              <w:rPr>
                <w:rFonts w:ascii="Arial" w:cs="Arial" w:eastAsia="Arial" w:hAnsi="Arial"/>
                <w:sz w:val="16"/>
                <w:szCs w:val="16"/>
                <w:color w:val="0000FF"/>
                <w:w w:val="91"/>
              </w:rPr>
              <w:t>Unaudited Condensed Consolidated Statements of Stockholders’ Equity</w:t>
            </w:r>
          </w:p>
        </w:tc>
        <w:tc>
          <w:tcPr>
            <w:tcW w:w="2640" w:type="dxa"/>
            <w:vAlign w:val="bottom"/>
            <w:gridSpan w:val="3"/>
          </w:tcPr>
          <w:p>
            <w:pPr>
              <w:spacing w:after="0"/>
              <w:rPr>
                <w:sz w:val="17"/>
                <w:szCs w:val="17"/>
                <w:color w:val="auto"/>
              </w:rPr>
            </w:pPr>
          </w:p>
        </w:tc>
        <w:tc>
          <w:tcPr>
            <w:tcW w:w="1760" w:type="dxa"/>
            <w:vAlign w:val="bottom"/>
            <w:gridSpan w:val="2"/>
          </w:tcPr>
          <w:p>
            <w:pPr>
              <w:spacing w:after="0"/>
              <w:rPr>
                <w:sz w:val="17"/>
                <w:szCs w:val="17"/>
                <w:color w:val="auto"/>
              </w:rPr>
            </w:pPr>
          </w:p>
        </w:tc>
        <w:tc>
          <w:tcPr>
            <w:tcW w:w="12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8</w:t>
            </w:r>
          </w:p>
        </w:tc>
        <w:tc>
          <w:tcPr>
            <w:tcW w:w="2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0000FF"/>
                <w:w w:val="90"/>
              </w:rPr>
              <w:t>Notes to Unaudited Condensed Consolidated Financial Statements</w:t>
            </w:r>
          </w:p>
        </w:tc>
        <w:tc>
          <w:tcPr>
            <w:tcW w:w="340" w:type="dxa"/>
            <w:vAlign w:val="bottom"/>
          </w:tcPr>
          <w:p>
            <w:pPr>
              <w:spacing w:after="0"/>
              <w:rPr>
                <w:sz w:val="17"/>
                <w:szCs w:val="17"/>
                <w:color w:val="auto"/>
              </w:rPr>
            </w:pPr>
          </w:p>
        </w:tc>
        <w:tc>
          <w:tcPr>
            <w:tcW w:w="2640" w:type="dxa"/>
            <w:vAlign w:val="bottom"/>
            <w:gridSpan w:val="3"/>
          </w:tcPr>
          <w:p>
            <w:pPr>
              <w:spacing w:after="0"/>
              <w:rPr>
                <w:sz w:val="17"/>
                <w:szCs w:val="17"/>
                <w:color w:val="auto"/>
              </w:rPr>
            </w:pPr>
          </w:p>
        </w:tc>
        <w:tc>
          <w:tcPr>
            <w:tcW w:w="1760" w:type="dxa"/>
            <w:vAlign w:val="bottom"/>
            <w:gridSpan w:val="2"/>
          </w:tcPr>
          <w:p>
            <w:pPr>
              <w:spacing w:after="0"/>
              <w:rPr>
                <w:sz w:val="17"/>
                <w:szCs w:val="17"/>
                <w:color w:val="auto"/>
              </w:rPr>
            </w:pPr>
          </w:p>
        </w:tc>
        <w:tc>
          <w:tcPr>
            <w:tcW w:w="12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9</w:t>
            </w:r>
          </w:p>
        </w:tc>
        <w:tc>
          <w:tcPr>
            <w:tcW w:w="20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020" w:type="dxa"/>
            <w:vAlign w:val="bottom"/>
            <w:gridSpan w:val="2"/>
          </w:tcPr>
          <w:p>
            <w:pPr>
              <w:spacing w:after="0"/>
              <w:rPr>
                <w:sz w:val="17"/>
                <w:szCs w:val="17"/>
                <w:color w:val="auto"/>
              </w:rPr>
            </w:pPr>
          </w:p>
        </w:tc>
        <w:tc>
          <w:tcPr>
            <w:tcW w:w="7300" w:type="dxa"/>
            <w:vAlign w:val="bottom"/>
            <w:gridSpan w:val="1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22</w:t>
            </w:r>
          </w:p>
        </w:tc>
        <w:tc>
          <w:tcPr>
            <w:tcW w:w="200" w:type="dxa"/>
            <w:vAlign w:val="bottom"/>
          </w:tcPr>
          <w:p>
            <w:pPr>
              <w:spacing w:after="0"/>
              <w:rPr>
                <w:sz w:val="17"/>
                <w:szCs w:val="17"/>
                <w:color w:val="auto"/>
              </w:rPr>
            </w:pPr>
          </w:p>
        </w:tc>
      </w:tr>
      <w:tr>
        <w:trPr>
          <w:trHeight w:val="196"/>
        </w:trPr>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Item 3.</w:t>
            </w:r>
          </w:p>
        </w:tc>
        <w:tc>
          <w:tcPr>
            <w:tcW w:w="1020" w:type="dxa"/>
            <w:vAlign w:val="bottom"/>
            <w:gridSpan w:val="2"/>
          </w:tcPr>
          <w:p>
            <w:pPr>
              <w:spacing w:after="0"/>
              <w:rPr>
                <w:sz w:val="17"/>
                <w:szCs w:val="17"/>
                <w:color w:val="auto"/>
              </w:rPr>
            </w:pPr>
          </w:p>
        </w:tc>
        <w:tc>
          <w:tcPr>
            <w:tcW w:w="580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Borders>
              <w:top w:val="single" w:sz="8" w:color="0000FF"/>
            </w:tcBorders>
            <w:gridSpan w:val="3"/>
          </w:tcPr>
          <w:p>
            <w:pPr>
              <w:jc w:val="center"/>
              <w:spacing w:after="0"/>
              <w:rPr>
                <w:sz w:val="20"/>
                <w:szCs w:val="20"/>
                <w:color w:val="auto"/>
              </w:rPr>
            </w:pPr>
            <w:r>
              <w:rPr>
                <w:rFonts w:ascii="Arial" w:cs="Arial" w:eastAsia="Arial" w:hAnsi="Arial"/>
                <w:sz w:val="16"/>
                <w:szCs w:val="16"/>
                <w:color w:val="0000FF"/>
                <w:w w:val="89"/>
              </w:rPr>
              <w:t>33</w:t>
            </w:r>
          </w:p>
        </w:tc>
        <w:tc>
          <w:tcPr>
            <w:tcW w:w="20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60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7300" w:type="dxa"/>
            <w:vAlign w:val="bottom"/>
            <w:gridSpan w:val="13"/>
          </w:tcPr>
          <w:p>
            <w:pPr>
              <w:spacing w:after="0"/>
              <w:rPr>
                <w:sz w:val="20"/>
                <w:szCs w:val="20"/>
                <w:color w:val="auto"/>
              </w:rPr>
            </w:pPr>
            <w:r>
              <w:rPr>
                <w:rFonts w:ascii="Arial" w:cs="Arial" w:eastAsia="Arial" w:hAnsi="Arial"/>
                <w:sz w:val="16"/>
                <w:szCs w:val="16"/>
                <w:color w:val="0000FF"/>
              </w:rPr>
              <w:t>Controls and Procedures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33</w:t>
            </w:r>
          </w:p>
        </w:tc>
        <w:tc>
          <w:tcPr>
            <w:tcW w:w="20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4660" w:type="dxa"/>
            <w:vAlign w:val="bottom"/>
            <w:gridSpan w:val="7"/>
          </w:tcPr>
          <w:p>
            <w:pPr>
              <w:ind w:left="1040"/>
              <w:spacing w:after="0"/>
              <w:rPr>
                <w:sz w:val="20"/>
                <w:szCs w:val="20"/>
                <w:color w:val="auto"/>
              </w:rPr>
            </w:pPr>
            <w:r>
              <w:rPr>
                <w:rFonts w:ascii="Arial" w:cs="Arial" w:eastAsia="Arial" w:hAnsi="Arial"/>
                <w:sz w:val="16"/>
                <w:szCs w:val="16"/>
                <w:b w:val="1"/>
                <w:bCs w:val="1"/>
                <w:color w:val="auto"/>
              </w:rPr>
              <w:t>PART II</w:t>
            </w:r>
          </w:p>
        </w:tc>
        <w:tc>
          <w:tcPr>
            <w:tcW w:w="1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343"/>
        </w:trPr>
        <w:tc>
          <w:tcPr>
            <w:tcW w:w="58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020" w:type="dxa"/>
            <w:vAlign w:val="bottom"/>
            <w:gridSpan w:val="2"/>
          </w:tcPr>
          <w:p>
            <w:pPr>
              <w:spacing w:after="0"/>
              <w:rPr>
                <w:sz w:val="24"/>
                <w:szCs w:val="24"/>
                <w:color w:val="auto"/>
              </w:rPr>
            </w:pPr>
          </w:p>
        </w:tc>
        <w:tc>
          <w:tcPr>
            <w:tcW w:w="7300" w:type="dxa"/>
            <w:vAlign w:val="bottom"/>
            <w:gridSpan w:val="13"/>
          </w:tcPr>
          <w:p>
            <w:pPr>
              <w:spacing w:after="0"/>
              <w:rPr>
                <w:sz w:val="20"/>
                <w:szCs w:val="20"/>
                <w:color w:val="auto"/>
              </w:rPr>
            </w:pPr>
            <w:r>
              <w:rPr>
                <w:rFonts w:ascii="Arial" w:cs="Arial" w:eastAsia="Arial" w:hAnsi="Arial"/>
                <w:sz w:val="16"/>
                <w:szCs w:val="16"/>
                <w:color w:val="0000FF"/>
              </w:rPr>
              <w:t>Legal Proceedings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34</w:t>
            </w:r>
          </w:p>
        </w:tc>
        <w:tc>
          <w:tcPr>
            <w:tcW w:w="200" w:type="dxa"/>
            <w:vAlign w:val="bottom"/>
          </w:tcPr>
          <w:p>
            <w:pPr>
              <w:spacing w:after="0"/>
              <w:rPr>
                <w:sz w:val="24"/>
                <w:szCs w:val="24"/>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60" w:type="dxa"/>
            <w:vAlign w:val="bottom"/>
            <w:tcBorders>
              <w:left w:val="single" w:sz="8" w:color="0000FF"/>
            </w:tcBorders>
            <w:gridSpan w:val="4"/>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60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7300" w:type="dxa"/>
            <w:vAlign w:val="bottom"/>
            <w:gridSpan w:val="13"/>
          </w:tcPr>
          <w:p>
            <w:pPr>
              <w:spacing w:after="0"/>
              <w:rPr>
                <w:sz w:val="20"/>
                <w:szCs w:val="20"/>
                <w:color w:val="auto"/>
              </w:rPr>
            </w:pPr>
            <w:r>
              <w:rPr>
                <w:rFonts w:ascii="Arial" w:cs="Arial" w:eastAsia="Arial" w:hAnsi="Arial"/>
                <w:sz w:val="16"/>
                <w:szCs w:val="16"/>
                <w:color w:val="0000FF"/>
              </w:rPr>
              <w:t>Risk Factors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34</w:t>
            </w:r>
          </w:p>
        </w:tc>
        <w:tc>
          <w:tcPr>
            <w:tcW w:w="20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2.</w:t>
            </w:r>
          </w:p>
        </w:tc>
        <w:tc>
          <w:tcPr>
            <w:tcW w:w="420" w:type="dxa"/>
            <w:vAlign w:val="bottom"/>
            <w:tcBorders>
              <w:bottom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9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0"/>
              </w:rPr>
              <w:t>Unregistered Sales of Equity Securities and Use of Proceeds</w:t>
            </w:r>
          </w:p>
        </w:tc>
        <w:tc>
          <w:tcPr>
            <w:tcW w:w="3360" w:type="dxa"/>
            <w:vAlign w:val="bottom"/>
            <w:gridSpan w:val="6"/>
          </w:tcPr>
          <w:p>
            <w:pPr>
              <w:spacing w:after="0"/>
              <w:rPr>
                <w:sz w:val="17"/>
                <w:szCs w:val="17"/>
                <w:color w:val="auto"/>
              </w:rPr>
            </w:pP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34</w:t>
            </w:r>
          </w:p>
        </w:tc>
        <w:tc>
          <w:tcPr>
            <w:tcW w:w="200" w:type="dxa"/>
            <w:vAlign w:val="bottom"/>
          </w:tcPr>
          <w:p>
            <w:pPr>
              <w:spacing w:after="0"/>
              <w:rPr>
                <w:sz w:val="17"/>
                <w:szCs w:val="17"/>
                <w:color w:val="auto"/>
              </w:rPr>
            </w:pPr>
          </w:p>
        </w:tc>
      </w:tr>
      <w:tr>
        <w:trPr>
          <w:trHeight w:val="196"/>
        </w:trPr>
        <w:tc>
          <w:tcPr>
            <w:tcW w:w="160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7300" w:type="dxa"/>
            <w:vAlign w:val="bottom"/>
            <w:gridSpan w:val="13"/>
          </w:tcPr>
          <w:p>
            <w:pPr>
              <w:spacing w:after="0"/>
              <w:rPr>
                <w:sz w:val="20"/>
                <w:szCs w:val="20"/>
                <w:color w:val="auto"/>
              </w:rPr>
            </w:pPr>
            <w:r>
              <w:rPr>
                <w:rFonts w:ascii="Arial" w:cs="Arial" w:eastAsia="Arial" w:hAnsi="Arial"/>
                <w:sz w:val="16"/>
                <w:szCs w:val="16"/>
                <w:color w:val="0000FF"/>
              </w:rPr>
              <w:t>Other Information</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34</w:t>
            </w:r>
          </w:p>
        </w:tc>
        <w:tc>
          <w:tcPr>
            <w:tcW w:w="20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60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7300" w:type="dxa"/>
            <w:vAlign w:val="bottom"/>
            <w:gridSpan w:val="13"/>
          </w:tcPr>
          <w:p>
            <w:pPr>
              <w:spacing w:after="0"/>
              <w:rPr>
                <w:sz w:val="20"/>
                <w:szCs w:val="20"/>
                <w:color w:val="auto"/>
              </w:rPr>
            </w:pPr>
            <w:r>
              <w:rPr>
                <w:rFonts w:ascii="Arial" w:cs="Arial" w:eastAsia="Arial" w:hAnsi="Arial"/>
                <w:sz w:val="16"/>
                <w:szCs w:val="16"/>
                <w:color w:val="0000FF"/>
              </w:rPr>
              <w:t>Exhibits</w:t>
            </w:r>
          </w:p>
        </w:tc>
        <w:tc>
          <w:tcPr>
            <w:tcW w:w="1880" w:type="dxa"/>
            <w:vAlign w:val="bottom"/>
            <w:gridSpan w:val="4"/>
          </w:tcPr>
          <w:p>
            <w:pPr>
              <w:jc w:val="center"/>
              <w:ind w:left="1639"/>
              <w:spacing w:after="0"/>
              <w:rPr>
                <w:sz w:val="20"/>
                <w:szCs w:val="20"/>
                <w:color w:val="auto"/>
              </w:rPr>
            </w:pPr>
            <w:r>
              <w:rPr>
                <w:rFonts w:ascii="Arial" w:cs="Arial" w:eastAsia="Arial" w:hAnsi="Arial"/>
                <w:sz w:val="16"/>
                <w:szCs w:val="16"/>
                <w:color w:val="0000FF"/>
                <w:w w:val="89"/>
              </w:rPr>
              <w:t>35</w:t>
            </w:r>
          </w:p>
        </w:tc>
        <w:tc>
          <w:tcPr>
            <w:tcW w:w="20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10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4"/>
              </w:rPr>
              <w:t>SIGNATURES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w w:val="89"/>
              </w:rPr>
              <w:t>35</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188" w:right="579" w:bottom="144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on Form 10-Q (this “Form 10-Q”) to "Option Care Health," the “Company,” “we,” “us” and “our” refer to Option Care Health,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2022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294,186</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396,501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377,542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224,281</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98,330</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1,198,220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994,339</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106,777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108,321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22,371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341,744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1,540,567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1,533,424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40,313</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2,122,678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2,118,597</w:t>
            </w: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3,320,898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3,112,936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378,763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76,906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19,380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668,467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565,351</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1,057,391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1,058,204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81,137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71,441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22,154</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9,683</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1,177,048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1,161,482</w:t>
            </w:r>
          </w:p>
        </w:tc>
        <w:tc>
          <w:tcPr>
            <w:tcW w:w="0" w:type="dxa"/>
            <w:vAlign w:val="bottom"/>
          </w:tcPr>
          <w:p>
            <w:pPr>
              <w:spacing w:after="0"/>
              <w:rPr>
                <w:sz w:val="1"/>
                <w:szCs w:val="1"/>
                <w:color w:val="auto"/>
              </w:rPr>
            </w:pPr>
          </w:p>
        </w:tc>
      </w:tr>
      <w:tr>
        <w:trPr>
          <w:trHeight w:val="210"/>
        </w:trPr>
        <w:tc>
          <w:tcPr>
            <w:tcW w:w="76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1,845,515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1,726,833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Preferred stock; $0.0001 par value; 12,500,000 shares authorized, no shares outstanding as of June 30, 2023 and</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2022</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3"/>
              </w:rPr>
              <w:t>Common stock; $0.0001 par value: 250,000,000 shares authorized, 182,729,537 shares issued and 179,870,650</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Arial" w:cs="Arial" w:eastAsia="Arial" w:hAnsi="Arial"/>
                <w:sz w:val="16"/>
                <w:szCs w:val="16"/>
                <w:color w:val="auto"/>
                <w:w w:val="94"/>
              </w:rPr>
              <w:t>shares outstanding as of June 30, 2023; 182,341,420 shares issued and 181,957,698 shares outstanding as of</w:t>
            </w:r>
          </w:p>
        </w:tc>
        <w:tc>
          <w:tcPr>
            <w:tcW w:w="2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December 31, 2022</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Treasury stock; 2,858,887 and 383,722 shares outstanding, at cost, as of June 30, 2023 and December 31, 2022,</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(78,106)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1,188,430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1,176,906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190,423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21,159</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1,475,383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1,386,103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3,320,898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3,112,936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480"/>
        <w:spacing w:after="0" w:line="260" w:lineRule="auto"/>
        <w:rPr>
          <w:sz w:val="20"/>
          <w:szCs w:val="20"/>
          <w:color w:val="auto"/>
        </w:rPr>
      </w:pPr>
      <w:r>
        <w:rPr>
          <w:rFonts w:ascii="Arial" w:cs="Arial" w:eastAsia="Arial" w:hAnsi="Arial"/>
          <w:sz w:val="18"/>
          <w:szCs w:val="18"/>
          <w:b w:val="1"/>
          <w:bCs w:val="1"/>
          <w:color w:val="auto"/>
        </w:rPr>
        <w:t>UNAUDITED CONDENSED CONSOLIDATED STATEMENTS OF COMPREHENSIVE INCOME (IN THOUSANDS,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1,069,072</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980,820</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2,084,920</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1,896,604</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818,243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763,920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1,605,086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1,478,768</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479,834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417,836</w:t>
            </w: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141,787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301,430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275,756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30,759</w:t>
            </w:r>
          </w:p>
        </w:tc>
        <w:tc>
          <w:tcPr>
            <w:tcW w:w="0" w:type="dxa"/>
            <w:vAlign w:val="bottom"/>
          </w:tcPr>
          <w:p>
            <w:pPr>
              <w:spacing w:after="0"/>
              <w:rPr>
                <w:sz w:val="1"/>
                <w:szCs w:val="1"/>
                <w:color w:val="auto"/>
              </w:rPr>
            </w:pPr>
          </w:p>
        </w:tc>
      </w:tr>
      <w:tr>
        <w:trPr>
          <w:trHeight w:val="207"/>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330,842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306,515</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148,992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111,321</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(25,011)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60,740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(22,415)</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88,906</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24,702</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114,403</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153,611</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140"/>
              <w:spacing w:after="0" w:line="166" w:lineRule="exact"/>
              <w:rPr>
                <w:sz w:val="20"/>
                <w:szCs w:val="20"/>
                <w:color w:val="auto"/>
              </w:rPr>
            </w:pPr>
            <w:r>
              <w:rPr>
                <w:rFonts w:ascii="Arial" w:cs="Arial" w:eastAsia="Arial" w:hAnsi="Arial"/>
                <w:sz w:val="16"/>
                <w:szCs w:val="16"/>
                <w:color w:val="auto"/>
              </w:rPr>
              <w:t>Change in unrealized gain (loss) on cash flow hedges, net of income tax</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3,291</w:t>
            </w:r>
          </w:p>
        </w:tc>
        <w:tc>
          <w:tcPr>
            <w:tcW w:w="42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4,637</w:t>
            </w:r>
          </w:p>
        </w:tc>
        <w:tc>
          <w:tcPr>
            <w:tcW w:w="40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4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15,707</w:t>
            </w: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6"/>
                <w:szCs w:val="16"/>
                <w:color w:val="auto"/>
              </w:rPr>
              <w:t>(expense) benefit of $(1,103), $(756), $49 and $(4,519), respectively</w:t>
            </w:r>
          </w:p>
        </w:tc>
        <w:tc>
          <w:tcPr>
            <w:tcW w:w="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15,707</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NET COMPREHENSIVE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117,694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38,566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153,459</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79,911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per share, 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4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0.63</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0.19</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0.84</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180,531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180,293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181,176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70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c>
          <w:tcPr>
            <w:tcW w:w="660" w:type="dxa"/>
            <w:vAlign w:val="bottom"/>
          </w:tcPr>
          <w:p>
            <w:pPr>
              <w:spacing w:after="0"/>
              <w:rPr>
                <w:sz w:val="18"/>
                <w:szCs w:val="18"/>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153,611</w:t>
            </w:r>
          </w:p>
        </w:tc>
        <w:tc>
          <w:tcPr>
            <w:tcW w:w="122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64,204</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30,801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33,249</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Deferred income taxes - net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24,777</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Capital distribution from equity method investments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adjustments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(38,643)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(48,671)</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88,896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100,924</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employee benefits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(26,384)</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24,805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18,900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(11,032)</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(10,422)</w:t>
            </w:r>
          </w:p>
        </w:tc>
      </w:tr>
      <w:tr>
        <w:trPr>
          <w:trHeight w:val="209"/>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259,288</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136,954</w:t>
            </w:r>
          </w:p>
        </w:tc>
      </w:tr>
      <w:tr>
        <w:trPr>
          <w:trHeight w:val="199"/>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(13,554)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(10,055)</w:t>
            </w: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(59,897)</w:t>
            </w:r>
          </w:p>
        </w:tc>
      </w:tr>
      <w:tr>
        <w:trPr>
          <w:trHeight w:val="210"/>
        </w:trPr>
        <w:tc>
          <w:tcPr>
            <w:tcW w:w="760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(26,409)</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(69,952)</w:t>
            </w:r>
          </w:p>
        </w:tc>
      </w:tr>
      <w:tr>
        <w:trPr>
          <w:trHeight w:val="210"/>
        </w:trPr>
        <w:tc>
          <w:tcPr>
            <w:tcW w:w="7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Proceeds from warrant exercises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20,098</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debt principal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Purchase of company stock</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in) provided by financing activities</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(85,899)</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17,621</w:t>
            </w:r>
          </w:p>
        </w:tc>
      </w:tr>
      <w:tr>
        <w:trPr>
          <w:trHeight w:val="239"/>
        </w:trPr>
        <w:tc>
          <w:tcPr>
            <w:tcW w:w="76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146,980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84,623</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 beginning of the period</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294,186</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441,166</w:t>
            </w:r>
          </w:p>
        </w:tc>
        <w:tc>
          <w:tcPr>
            <w:tcW w:w="122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204,046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w:t>
            </w: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21,793</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21,786</w:t>
            </w:r>
          </w:p>
        </w:tc>
        <w:tc>
          <w:tcPr>
            <w:tcW w:w="122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4,966</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13,231</w:t>
            </w: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12,435</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560"/>
        <w:spacing w:after="0" w:line="260"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Income (Loss)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1,138,855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166"/>
        </w:trPr>
        <w:tc>
          <w:tcPr>
            <w:tcW w:w="2740" w:type="dxa"/>
            <w:vAlign w:val="bottom"/>
          </w:tcPr>
          <w:p>
            <w:pPr>
              <w:ind w:left="140"/>
              <w:spacing w:after="0" w:line="166"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tcPr>
          <w:p>
            <w:pPr>
              <w:spacing w:after="0"/>
              <w:rPr>
                <w:sz w:val="14"/>
                <w:szCs w:val="14"/>
                <w:color w:val="auto"/>
              </w:rPr>
            </w:pPr>
          </w:p>
        </w:tc>
        <w:tc>
          <w:tcPr>
            <w:tcW w:w="86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9"/>
        </w:trPr>
        <w:tc>
          <w:tcPr>
            <w:tcW w:w="274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Stock-based incentive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30,275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rPr>
              <w:t>Balance - March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1,143,388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70,142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10,619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1,221,764</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Exercise of warrants</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20,098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Stock-based incentive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33,929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Balance - June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1,168,052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104,071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15,256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1,284,994</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Balance - December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1,176,906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190,423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21,159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1,386,103</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w w:val="98"/>
              </w:rPr>
              <w:t>Stock-based incentive compensation</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company stock</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(75,735)</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39,208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rPr>
              <w:t>Balance - March 31,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(78,138)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1,180,992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229,631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17,716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1,350,219</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w w:val="98"/>
              </w:rPr>
              <w:t>Stock-based incentive compensation</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7,685</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Purchase of company stock, and related</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effects</w:t>
            </w: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114,403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Balance - June 30,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(78,106)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1,188,430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344,034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21,007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1,475,383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98"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2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Following the close of the transaction, BioScrip was rebranded as Option Care Health. The combined Company’s stock is listed on the Nasdaq Global Select Market as of June 30, 2023. During the three and six months ended June 30, 2023, HC I completed sales of 10,771,926 and 23,771,926 shares of common stock, respectively. All remaining shares held by HC I were sold during the three months ended June 30, 2023. In addition, the Company repurchased 2,475,166 shares from HC I on March 3, 2023 under the Company’s share repurchase program. See Note 15,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 for further discussion of the Company’s share repurchase program. As of June 30, 2023, HC I no longer holds shares of the Company’s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51"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94 full service pharmacies and 76 stand-alone ambulatory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0"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The accompanying unaudited condensed consolidated financial statements have been prepared in conformity with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2022 audited consolidated financial statements, including the notes thereto, as presented in our Form 10-K.</w:t>
      </w:r>
    </w:p>
    <w:p>
      <w:pPr>
        <w:spacing w:after="0" w:line="119"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subsidiaries. All intercompany transactions and balances are eliminated in consolidation.</w:t>
      </w:r>
    </w:p>
    <w:p>
      <w:pPr>
        <w:spacing w:after="0" w:line="1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5"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June 30, 2023, cash equivalents consisted of money market funds.</w:t>
      </w:r>
    </w:p>
    <w:p>
      <w:pPr>
        <w:spacing w:after="0" w:line="13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7"/>
          <w:szCs w:val="17"/>
          <w:b w:val="1"/>
          <w:bCs w:val="1"/>
          <w:color w:val="auto"/>
        </w:rPr>
        <w:t xml:space="preserve">Prepaid Expenses and Other Current Assets </w:t>
      </w:r>
      <w:r>
        <w:rPr>
          <w:rFonts w:ascii="Arial" w:cs="Arial" w:eastAsia="Arial" w:hAnsi="Arial"/>
          <w:sz w:val="17"/>
          <w:szCs w:val="17"/>
          <w:color w:val="auto"/>
        </w:rPr>
        <w:t>— Included in prepaid expenses and other current assets are rebates receivable from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and medical supply manufacturers of $58.2 million and $53.4 million as of June 30, 2023 and December 31, 2022, respectively.</w:t>
      </w:r>
    </w:p>
    <w:p>
      <w:pPr>
        <w:spacing w:after="0" w:line="9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b w:val="1"/>
          <w:bCs w:val="1"/>
          <w:color w:val="auto"/>
        </w:rPr>
        <w:t xml:space="preserve">Equity-Method Investments </w:t>
      </w:r>
      <w:r>
        <w:rPr>
          <w:rFonts w:ascii="Arial" w:cs="Arial" w:eastAsia="Arial" w:hAnsi="Arial"/>
          <w:sz w:val="17"/>
          <w:szCs w:val="17"/>
          <w:color w:val="auto"/>
        </w:rPr>
        <w:t>— The Company’s investments in certain unconsolidated entities are accounted for under the equity method.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balance of these investments is included in other noncurrent assets in the accompanying condensed consolidated balance sheets. As of June 30, 2023 and December 31, 2022, the balance of the investments was $19.7 million and $19.4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$1.4 million and $2.8 million for the three and six months ended June 30, 2023, respectively. The Company’s proportionate share of earnings was $1.3 million and $2.6 million for the three and six months ended June 30, 2022, respectively. Distributions from the investees are treated as cash inflows from operating activities in the unaudited condensed consolidated statements of cash flows. During the three months ended June 30, 2023, the Company did not receive any distributions from the investees. During the six months ended June 30, 2023, the Company received distributions from the investees of $2.5 million. During the three and six months ended June 30, 2022, the Company received a distribution of $1.0 million from the investees. See Note 16, </w:t>
      </w:r>
      <w:r>
        <w:rPr>
          <w:rFonts w:ascii="Arial" w:cs="Arial" w:eastAsia="Arial" w:hAnsi="Arial"/>
          <w:sz w:val="17"/>
          <w:szCs w:val="17"/>
          <w:i w:val="1"/>
          <w:iCs w:val="1"/>
          <w:color w:val="auto"/>
        </w:rPr>
        <w:t>Related-Party Transactions</w:t>
      </w:r>
      <w:r>
        <w:rPr>
          <w:rFonts w:ascii="Arial" w:cs="Arial" w:eastAsia="Arial" w:hAnsi="Arial"/>
          <w:sz w:val="17"/>
          <w:szCs w:val="17"/>
          <w:color w:val="auto"/>
        </w:rPr>
        <w:t>, for discussion of related-party transactions with these investees.</w:t>
      </w:r>
    </w:p>
    <w:p>
      <w:pPr>
        <w:spacing w:after="0" w:line="13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14% for the three and six months ended June 30, 2023. Revenue related to the Company’s largest payer was approximately 15% for the three and six months ended June 30, 2022. There were no other managed care contracts that represent greater than 10% of revenue for the periods presented.</w:t>
      </w:r>
    </w:p>
    <w:p>
      <w:pPr>
        <w:spacing w:after="0" w:line="15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For the three and six months ended June 30, 2023, approximately 12% of the Company’s revenue was reimbursable through direct government healthcare programs, such as Medicare and Medicaid. For the three and six months ended June 30, 2022, approximately 12% of the Company’s revenue was reimbursable through direct government healthcare programs, such as Medicare and Medicaid. As of June 30, 2023 and December 31, 2022, approximately 13%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46"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For the three and six months ended June 30, 2023, approximately 74% and 73%, respectively, of the Company’s pharmaceutical and medical supply purchases were from four vendors. For the three and six months ended June 30, 2022, approximately 72% and 73%,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85"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 xml:space="preserve">Amedisys, Inc. — </w:t>
      </w:r>
      <w:r>
        <w:rPr>
          <w:rFonts w:ascii="Arial" w:cs="Arial" w:eastAsia="Arial" w:hAnsi="Arial"/>
          <w:sz w:val="18"/>
          <w:szCs w:val="18"/>
          <w:color w:val="auto"/>
        </w:rPr>
        <w:t>On May 3, 2023, the Company entered into a definitive merger agreement (the “Merger Agreement”) with Amedisys, Inc.</w:t>
      </w:r>
      <w:r>
        <w:rPr>
          <w:rFonts w:ascii="Arial" w:cs="Arial" w:eastAsia="Arial" w:hAnsi="Arial"/>
          <w:sz w:val="18"/>
          <w:szCs w:val="18"/>
          <w:b w:val="1"/>
          <w:bCs w:val="1"/>
          <w:color w:val="auto"/>
        </w:rPr>
        <w:t xml:space="preserve"> </w:t>
      </w:r>
      <w:r>
        <w:rPr>
          <w:rFonts w:ascii="Arial" w:cs="Arial" w:eastAsia="Arial" w:hAnsi="Arial"/>
          <w:sz w:val="18"/>
          <w:szCs w:val="18"/>
          <w:color w:val="auto"/>
        </w:rPr>
        <w:t>(“Amedisys”), a leading provider of healthcare in home health and hospice settings. Under the terms of the merger agreement, the Company would issue new shares of its common stock to Amedisys’s stockholders, which would result in the Company’s stockholders holding approximately 64.5% of the combined company.</w:t>
      </w:r>
    </w:p>
    <w:p>
      <w:pPr>
        <w:spacing w:after="0" w:line="15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June 26, 2023, the Company entered into an agreement to terminate the Merger Agreement (the “Mutual Termination Agreement”). Under the terms of the Mutual Termination Agreement, the Company received a payment of $106.0 million in cash on behalf of Amedisys (“Termination Fee”). The Termination Fee is included in Other, net in the unaudited condensed consolidated statements of comprehensive income and in Net cash provided by operating activities in the unaudited condensed consolidated statements of cash flows.</w:t>
      </w:r>
    </w:p>
    <w:p>
      <w:pPr>
        <w:spacing w:after="0" w:line="14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During the three months ended June 30, 2023, the Company incurred $21.1 million in merger-related expenses, which are included in Other, net in the unaudited condensed consolidated statements of comprehensive income and in Net cash provided by operating activities in the unaudited condensed consolidated statements of cash flows.</w:t>
      </w:r>
    </w:p>
    <w:p>
      <w:pPr>
        <w:spacing w:after="0" w:line="139"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Revitalized, LLC — </w:t>
      </w:r>
      <w:r>
        <w:rPr>
          <w:rFonts w:ascii="Arial" w:cs="Arial" w:eastAsia="Arial" w:hAnsi="Arial"/>
          <w:sz w:val="18"/>
          <w:szCs w:val="18"/>
          <w:color w:val="auto"/>
        </w:rPr>
        <w:t>In May 2023, pursuant to the equity purchase agreement dated May 1, 2023, the Company completed the acquisition of 100%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membership interests in Revitalized, LLC (“Revitalized”) for a purchase price, net of cash acquired, of $12.9 million primarily consisting of $7.0 million of goodwill and $5.5 million of intangible assets.</w:t>
      </w:r>
    </w:p>
    <w:p>
      <w:pPr>
        <w:spacing w:after="0" w:line="149" w:lineRule="exact"/>
        <w:rPr>
          <w:sz w:val="20"/>
          <w:szCs w:val="20"/>
          <w:color w:val="auto"/>
        </w:rPr>
      </w:pPr>
    </w:p>
    <w:p>
      <w:pPr>
        <w:ind w:right="500" w:firstLine="324"/>
        <w:spacing w:after="0" w:line="347" w:lineRule="auto"/>
        <w:rPr>
          <w:sz w:val="20"/>
          <w:szCs w:val="20"/>
          <w:color w:val="auto"/>
        </w:rPr>
      </w:pPr>
      <w:r>
        <w:rPr>
          <w:rFonts w:ascii="Arial" w:cs="Arial" w:eastAsia="Arial" w:hAnsi="Arial"/>
          <w:sz w:val="16"/>
          <w:szCs w:val="16"/>
          <w:b w:val="1"/>
          <w:bCs w:val="1"/>
          <w:color w:val="auto"/>
        </w:rPr>
        <w:t xml:space="preserve">Rochester Home Infusion, Inc. — </w:t>
      </w:r>
      <w:r>
        <w:rPr>
          <w:rFonts w:ascii="Arial" w:cs="Arial" w:eastAsia="Arial" w:hAnsi="Arial"/>
          <w:sz w:val="16"/>
          <w:szCs w:val="16"/>
          <w:color w:val="auto"/>
        </w:rPr>
        <w:t>In August 2022, pursuant to the stock purchase agreement dated June 10, 2022, the Company completed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100% of the equity interests in Rochester Home Infusion, Inc. (“RHI”) for a purchase price, net of cash acquired, of $27.4 million.</w:t>
      </w:r>
    </w:p>
    <w:p>
      <w:pPr>
        <w:spacing w:after="0" w:line="79"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 xml:space="preserve">The allocation of the purchase price of RHI was accounted for as a business combination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with the total purchase price being allocated to the assets and liabilities acquired based on the relative fair value of each asset and liability. The following is a final allocation of the consideration transferred to acquired identifiable assets and assumed liabilities, net of cash acquired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5,449</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16"/>
        </w:trPr>
        <w:tc>
          <w:tcPr>
            <w:tcW w:w="9020" w:type="dxa"/>
            <w:vAlign w:val="bottom"/>
          </w:tcPr>
          <w:p>
            <w:pPr>
              <w:ind w:left="20"/>
              <w:spacing w:after="0"/>
              <w:rPr>
                <w:sz w:val="20"/>
                <w:szCs w:val="20"/>
                <w:color w:val="auto"/>
              </w:rPr>
            </w:pPr>
            <w:r>
              <w:rPr>
                <w:rFonts w:ascii="Arial" w:cs="Arial" w:eastAsia="Arial" w:hAnsi="Arial"/>
                <w:sz w:val="16"/>
                <w:szCs w:val="16"/>
                <w:color w:val="auto"/>
              </w:rPr>
              <w:t>Accounts payable and other liabilities</w:t>
            </w: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10"/>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identifiable assets and liabilities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Goodwill (1)</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21,323</w:t>
            </w:r>
          </w:p>
        </w:tc>
      </w:tr>
      <w:tr>
        <w:trPr>
          <w:trHeight w:val="219"/>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acquired</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6"/>
        </w:trPr>
        <w:tc>
          <w:tcPr>
            <w:tcW w:w="9020" w:type="dxa"/>
            <w:vAlign w:val="bottom"/>
          </w:tcPr>
          <w:p>
            <w:pPr>
              <w:ind w:left="20"/>
              <w:spacing w:after="0"/>
              <w:rPr>
                <w:sz w:val="20"/>
                <w:szCs w:val="20"/>
                <w:color w:val="auto"/>
              </w:rPr>
            </w:pPr>
            <w:r>
              <w:rPr>
                <w:rFonts w:ascii="Arial" w:cs="Arial" w:eastAsia="Arial" w:hAnsi="Arial"/>
                <w:sz w:val="16"/>
                <w:szCs w:val="16"/>
                <w:color w:val="auto"/>
              </w:rPr>
              <w:t>Purchase price</w:t>
            </w:r>
          </w:p>
        </w:tc>
        <w:tc>
          <w:tcPr>
            <w:tcW w:w="4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27,619</w:t>
            </w:r>
          </w:p>
        </w:tc>
      </w:tr>
      <w:tr>
        <w:trPr>
          <w:trHeight w:val="219"/>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cash acquired</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9020" w:type="dxa"/>
            <w:vAlign w:val="bottom"/>
          </w:tcPr>
          <w:p>
            <w:pPr>
              <w:ind w:left="20"/>
              <w:spacing w:after="0"/>
              <w:rPr>
                <w:sz w:val="20"/>
                <w:szCs w:val="20"/>
                <w:color w:val="auto"/>
              </w:rPr>
            </w:pPr>
            <w:r>
              <w:rPr>
                <w:rFonts w:ascii="Arial" w:cs="Arial" w:eastAsia="Arial" w:hAnsi="Arial"/>
                <w:sz w:val="16"/>
                <w:szCs w:val="16"/>
                <w:color w:val="auto"/>
              </w:rPr>
              <w:t>Purchase price, net of cash acquired</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27,418</w:t>
            </w: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Goodwill is attributable to cost synergies from procurement and operational efficiencies and elimination of duplicative administrative costs.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net revenue earned by category of payer for the three and six months ended June 30,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39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934,001</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851,915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1,807,912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1,638,192</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123,737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119,385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246,526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234,590</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11,334</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23,822</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1,069,072</w:t>
            </w:r>
          </w:p>
        </w:tc>
        <w:tc>
          <w:tcPr>
            <w:tcW w:w="12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6"/>
              </w:rPr>
              <w:t>980,820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2,084,920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1,896,604</w:t>
            </w:r>
          </w:p>
        </w:tc>
      </w:tr>
      <w:tr>
        <w:trPr>
          <w:trHeight w:val="20"/>
        </w:trPr>
        <w:tc>
          <w:tcPr>
            <w:tcW w:w="3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8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During the three and six months ended June 30, 2023, the Company recorded tax expense of $41.1 million and $56.1 million, respectively, which includes $22.1 million of tax expense related to the Termination Fee payment received on behalf of Amedisys, under the terms of the Mutual Termination Agreement, net of merger-related expenses. The tax expense for the three and six months ended June 30, 2023 represents an effective tax rate of 26.4% and 26.8%, respectively. The variance in the Company’s effective tax rate of 26.4% and 26.8% for the three and six months ended June 30, 2023, respectively, compared to the federal statutory rate of 21%, is primarily attributable to the difference between federal and state tax rates, as well as various non-deductible expenses. During the three and six months ended June 30, 2022, the Company recorded tax expense of $13.7 million and $24.7 million, respectively, which represents an effective tax rate of 28.8% and 27.8%, respectively. The variance in the Company’s effective tax rate of 28.8% and 27.8% for the three and six months ended June 30, 2022, compared to the federal statutory rate of 21%, is primarily attributable to current and deferred state taxes as well as various non-deductible expenses.</w:t>
      </w:r>
    </w:p>
    <w:p>
      <w:pPr>
        <w:spacing w:after="0" w:line="14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Company maintains a valuation allowance of $13.1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Company’s tax expense for the three and six months ended June 30, 2023 of $41.1 million and $56.1 million, respectively, consists of quarterly federal and state tax liabilities as well as recognized deferred federal and state tax expense. The Company’s tax expense for the three and six months ended June 30, 2022 of $13.7 million and $24.7 million, respectively, consists of quarterly tax liabilities attributed to specific state taxing authorities as well as recognized deferred federal and state tax expense.</w:t>
      </w:r>
    </w:p>
    <w:p>
      <w:pPr>
        <w:spacing w:after="0" w:line="14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has accumulated federal net operating loss carryovers that are subject to one or more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8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earnings are used as the basis of determining whether the inclusion of common stock equivalents would be anti-dilutive. The computation of diluted shares for the three and six months ended June 30, 2023 and 2022 includes the effect of shares that would be issued in connection with warrants, stock options, restricted stock awards and performance stock unit awards, as these common stock equivalents are dilutive to the earnings per share recorded in those periods.</w:t>
      </w:r>
    </w:p>
    <w:p>
      <w:pPr>
        <w:spacing w:after="0" w:line="14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the Company’s common stock equivalents that were excluded from the calculation of earnings per share as they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40" w:type="dxa"/>
            <w:vAlign w:val="bottom"/>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1,345,914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900,378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1,111,271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836,957</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1380" w:type="dxa"/>
            <w:vAlign w:val="bottom"/>
          </w:tcPr>
          <w:p>
            <w:pPr>
              <w:jc w:val="right"/>
              <w:spacing w:after="0"/>
              <w:rPr>
                <w:sz w:val="20"/>
                <w:szCs w:val="20"/>
                <w:color w:val="auto"/>
              </w:rPr>
            </w:pPr>
            <w:r>
              <w:rPr>
                <w:rFonts w:ascii="Arial" w:cs="Arial" w:eastAsia="Arial" w:hAnsi="Arial"/>
                <w:sz w:val="16"/>
                <w:szCs w:val="16"/>
                <w:color w:val="auto"/>
              </w:rPr>
              <w:t>48,690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136,568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591,176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389,831</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152,189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basic earnings per share and shares outstanding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5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6"/>
                <w:szCs w:val="16"/>
                <w:color w:val="auto"/>
              </w:rPr>
              <w:t>Net income (1)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114,403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33,929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153,611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64,204</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180,531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180,293</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5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Earnings per common share:</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2"/>
        </w:trPr>
        <w:tc>
          <w:tcPr>
            <w:tcW w:w="5440" w:type="dxa"/>
            <w:vAlign w:val="bottom"/>
          </w:tcPr>
          <w:p>
            <w:pPr>
              <w:ind w:left="140"/>
              <w:spacing w:after="0"/>
              <w:rPr>
                <w:sz w:val="20"/>
                <w:szCs w:val="20"/>
                <w:color w:val="auto"/>
              </w:rPr>
            </w:pPr>
            <w:r>
              <w:rPr>
                <w:rFonts w:ascii="Arial" w:cs="Arial" w:eastAsia="Arial" w:hAnsi="Arial"/>
                <w:sz w:val="16"/>
                <w:szCs w:val="16"/>
                <w:color w:val="auto"/>
              </w:rPr>
              <w:t>Earnings per common share, 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0.85</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0"/>
        </w:trPr>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332"/>
        <w:spacing w:after="0" w:line="263"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Net income for the three and six months ended June 30, 2023 includes $62.8 million related to the termination payment received on behalf of Amedisys, under the terms of the Mutual Termination Agreement, net of merger-related expenses and taxes.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diluted earnings per share and shares outstanding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5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6"/>
                <w:szCs w:val="16"/>
                <w:color w:val="auto"/>
              </w:rPr>
              <w:t>Net income (1)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114,403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33,929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153,611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64,204</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179,807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180,621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180,531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180,293</w:t>
            </w:r>
          </w:p>
        </w:tc>
      </w:tr>
      <w:tr>
        <w:trPr>
          <w:trHeight w:val="216"/>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dilutive securities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w:t>
            </w:r>
          </w:p>
        </w:tc>
      </w:tr>
      <w:tr>
        <w:trPr>
          <w:trHeight w:val="212"/>
        </w:trPr>
        <w:tc>
          <w:tcPr>
            <w:tcW w:w="5440" w:type="dxa"/>
            <w:vAlign w:val="bottom"/>
          </w:tcPr>
          <w:p>
            <w:pPr>
              <w:ind w:left="140"/>
              <w:spacing w:after="0"/>
              <w:rPr>
                <w:sz w:val="20"/>
                <w:szCs w:val="20"/>
                <w:color w:val="auto"/>
              </w:rPr>
            </w:pPr>
            <w:r>
              <w:rPr>
                <w:rFonts w:ascii="Arial" w:cs="Arial" w:eastAsia="Arial" w:hAnsi="Arial"/>
                <w:sz w:val="16"/>
                <w:szCs w:val="16"/>
                <w:color w:val="auto"/>
              </w:rPr>
              <w:t>Weighted average number of common shares outstanding, diluted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181,618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181,931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181,176</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54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b w:val="1"/>
                <w:bCs w:val="1"/>
                <w:color w:val="auto"/>
              </w:rPr>
              <w:t>Earnings per common share:</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r>
      <w:tr>
        <w:trPr>
          <w:trHeight w:val="210"/>
        </w:trPr>
        <w:tc>
          <w:tcPr>
            <w:tcW w:w="5440" w:type="dxa"/>
            <w:vAlign w:val="bottom"/>
          </w:tcPr>
          <w:p>
            <w:pPr>
              <w:ind w:left="140"/>
              <w:spacing w:after="0"/>
              <w:rPr>
                <w:sz w:val="20"/>
                <w:szCs w:val="20"/>
                <w:color w:val="auto"/>
              </w:rPr>
            </w:pPr>
            <w:r>
              <w:rPr>
                <w:rFonts w:ascii="Arial" w:cs="Arial" w:eastAsia="Arial" w:hAnsi="Arial"/>
                <w:sz w:val="16"/>
                <w:szCs w:val="16"/>
                <w:color w:val="auto"/>
              </w:rPr>
              <w:t>Earnings per common share, 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0"/>
        </w:trPr>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332"/>
        <w:spacing w:after="0" w:line="263"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income for the three and six months ended June 30, 2023 includes $62.8 million related to the termination payment received on behalf of Amedisys, under the terms of the Mutual Termination Agreement, net of merger-related expenses and taxes.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During the three and six months ended June 30, 2023, the Company incurred operating lease expenses of $7.3 million and $14.5 million, respectively, including short-term lease expenses, which were included as a component of selling, general and administrative expenses in the unaudited condensed consolidated statements of comprehensive income. During the three and six months ended June 30, 2022, the Company incurred operating lease expenses of $7.4 million and $14.8 million, respectively, including short-term lease expenses, which were included as a component of selling, general and administrative expenses in the unaudited condensed consolidated statements of comprehensive income. As of June 30, 2023, the weighted-average remaining lease term was 6.8 years and the weighted-average discount rate was 5.80%.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 Ended December 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3"/>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21,744</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16,562</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r>
      <w:tr>
        <w:trPr>
          <w:trHeight w:val="21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38,205</w:t>
            </w:r>
          </w:p>
        </w:tc>
      </w:tr>
      <w:tr>
        <w:trPr>
          <w:trHeight w:val="213"/>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124,972</w:t>
            </w:r>
          </w:p>
        </w:tc>
      </w:tr>
      <w:tr>
        <w:trPr>
          <w:trHeight w:val="21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(25,085)</w:t>
            </w:r>
          </w:p>
        </w:tc>
      </w:tr>
      <w:tr>
        <w:trPr>
          <w:trHeight w:val="233"/>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99,887</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six months ended June 30, 2023, the Company commenced new leases, extensions and amendments, resulting in non-cash operating activities in the unaudited condensed consolidated statements of cash flow of $16.8 million related to increases in the operating lease right-of-use assets and operating lease liabilities. During the six months ended June 30, 2022, the Company commenced new leases, extensions and amendments, resulting in non-cash operating activities in the unaudited condensed consolidated statements of cash flow of $8.4 million related to increases in the operating lease right-of-use assets and operating lease liabilities. As of June 30, 2023,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June 30, 2023 and December 31, 2022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34,942</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35,919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31,929</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99,085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34,922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29,411</w:t>
            </w:r>
          </w:p>
        </w:tc>
      </w:t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241,088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230,289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(121,968)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106,777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108,321</w:t>
            </w:r>
          </w:p>
        </w:tc>
      </w:tr>
      <w:tr>
        <w:trPr>
          <w:trHeight w:val="21"/>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six months ended June 30, 2023 and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54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6,288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14,559</w:t>
            </w:r>
          </w:p>
        </w:tc>
      </w:tr>
      <w:tr>
        <w:trPr>
          <w:trHeight w:val="23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6,968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carrying amount of goodwill consist of the following activity for the three and six months ended June 30, 2023 (in thousands):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1,533,424</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 accounting adjustments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1,533,569</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6,998</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1,540,567</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 of the following as of June 30, 2023 and December 31,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intangible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514,388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509,646</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38,508</w:t>
            </w:r>
          </w:p>
        </w:tc>
      </w:tr>
      <w:tr>
        <w:trPr>
          <w:trHeight w:val="216"/>
        </w:trPr>
        <w:tc>
          <w:tcPr>
            <w:tcW w:w="7600" w:type="dxa"/>
            <w:vAlign w:val="bottom"/>
          </w:tcPr>
          <w:p>
            <w:pPr>
              <w:ind w:left="140"/>
              <w:spacing w:after="0"/>
              <w:rPr>
                <w:sz w:val="20"/>
                <w:szCs w:val="20"/>
                <w:color w:val="auto"/>
              </w:rPr>
            </w:pPr>
            <w:r>
              <w:rPr>
                <w:rFonts w:ascii="Arial" w:cs="Arial" w:eastAsia="Arial" w:hAnsi="Arial"/>
                <w:sz w:val="16"/>
                <w:szCs w:val="16"/>
                <w:color w:val="auto"/>
              </w:rPr>
              <w:t>Other amortizable intangible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21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gross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554,527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549,066</w:t>
            </w:r>
          </w:p>
        </w:tc>
      </w:tr>
      <w:tr>
        <w:trPr>
          <w:trHeight w:val="250"/>
        </w:trPr>
        <w:tc>
          <w:tcPr>
            <w:tcW w:w="7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(183,440)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(167,902)</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10"/>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(184,951)</w:t>
            </w:r>
          </w:p>
        </w:tc>
      </w:tr>
      <w:tr>
        <w:trPr>
          <w:trHeight w:val="212"/>
        </w:trPr>
        <w:tc>
          <w:tcPr>
            <w:tcW w:w="7600" w:type="dxa"/>
            <w:vAlign w:val="bottom"/>
          </w:tcPr>
          <w:p>
            <w:pPr>
              <w:ind w:left="20"/>
              <w:spacing w:after="0"/>
              <w:rPr>
                <w:sz w:val="20"/>
                <w:szCs w:val="20"/>
                <w:color w:val="auto"/>
              </w:rPr>
            </w:pPr>
            <w:r>
              <w:rPr>
                <w:rFonts w:ascii="Arial" w:cs="Arial" w:eastAsia="Arial" w:hAnsi="Arial"/>
                <w:sz w:val="16"/>
                <w:szCs w:val="16"/>
                <w:color w:val="auto"/>
              </w:rPr>
              <w:t>Total intangible assets,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352,593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364,115</w:t>
            </w: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expense for intangible assets was $8.5 million and $17.0 million for the three and six months ended June 30, 2023,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$8.7 million and $16.2 million for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June 30, 2023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Debt Issuance Costs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Asset-based-lending (“ABL”)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591,000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572,732</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490,659</w:t>
            </w:r>
          </w:p>
        </w:tc>
      </w:tr>
      <w:tr>
        <w:trPr>
          <w:trHeight w:val="213"/>
        </w:trPr>
        <w:tc>
          <w:tcPr>
            <w:tcW w:w="3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1,091,000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(7,650)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(19,959)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1,063,391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1,057,391</w:t>
            </w: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2022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Debt Issuance Costs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594,000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574,164</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490,040</w:t>
            </w:r>
          </w:p>
        </w:tc>
      </w:tr>
      <w:tr>
        <w:trPr>
          <w:trHeight w:val="213"/>
        </w:trPr>
        <w:tc>
          <w:tcPr>
            <w:tcW w:w="3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1,094,000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(8,307)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(21,489)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1,064,204</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1,058,204</w:t>
            </w: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Effective June 30, 2023, the Company entered into an agreement, dated as of June 8, 2023, to amend the First Lien Term Loan (the “First Lien Credit Agreement Amendment”) solely to replace London Interbank Offered Rate (“LIBOR”) and related definitions and provisions with Secured Overnight Financing Rate (“SOFR”) as the new reference rate. The Company elected an optional expedient allowed under ASC Topic 848 such that we will account for the modification as a continuation of the existing contract.</w:t>
      </w:r>
    </w:p>
    <w:p>
      <w:pPr>
        <w:spacing w:after="0" w:line="14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interest rate on the First Lien Term Loan was 7.90% and 6.82% as of June 30, 2023 and December 31, 2022, respectively. The weighted average interest rate incurred on the First Lien Term Loan was 7.76% and 7.52% for the three and six months ended June 30, 2023, respectively. The weighted average interest rate incurred on the First Lien Term Loan was 3.52% and 3.39% for the three and six months ended June 30, 2022, respectively. The interest rate on the Senior Notes was 4.375% as of June 30, 2023 and December 31, 2022. The weighted average interest rate incurred on the Senior Notes was 4.375% for the three and six months ended June 30, 2023, respectively. The weighted average interest rate incurred on the Senior Notes was 4.375% for the three and six months ended June 30, 2022, respectively.</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 Ended December 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3"/>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1,064,000</w:t>
            </w:r>
          </w:p>
        </w:tc>
      </w:tr>
      <w:tr>
        <w:trPr>
          <w:trHeight w:val="232"/>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1,091,000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During the three and six months ended June 30, 2023 and 2022, the Company engaged in hedging activities to limit its exposure to changes in interest rates.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June 30, 2023 (in thousands):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Carrying Value as of</w:t>
            </w:r>
          </w:p>
        </w:tc>
        <w:tc>
          <w:tcPr>
            <w:tcW w:w="10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Markets for Identical Item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b w:val="1"/>
                <w:bCs w:val="1"/>
                <w:color w:val="auto"/>
              </w:rPr>
              <w:t>Significant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 Unobservable</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Observable Inputs (Level 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Inputs (Level 3)</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572,732</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590,261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490,659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debt instruments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1,063,391</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1,027,761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85" w:lineRule="exact"/>
        <w:rPr>
          <w:sz w:val="20"/>
          <w:szCs w:val="20"/>
          <w:color w:val="auto"/>
        </w:rPr>
      </w:pPr>
    </w:p>
    <w:p>
      <w:pPr>
        <w:jc w:val="both"/>
        <w:ind w:right="680" w:firstLine="324"/>
        <w:spacing w:after="0" w:line="342" w:lineRule="auto"/>
        <w:rPr>
          <w:sz w:val="20"/>
          <w:szCs w:val="20"/>
          <w:color w:val="auto"/>
        </w:rPr>
      </w:pPr>
      <w:r>
        <w:rPr>
          <w:rFonts w:ascii="Arial" w:cs="Arial" w:eastAsia="Arial" w:hAnsi="Arial"/>
          <w:sz w:val="16"/>
          <w:szCs w:val="16"/>
          <w:color w:val="auto"/>
        </w:rPr>
        <w:t>Effective January 13, 2023, the Company entered into an agreement to amend the ABL Facility, to among other things, increase the amount of borrowing availability by $50.0 million to $225.0 million total borrowing availability and to replace LIBOR with SOFR as the new reference rate.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8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 As a result of the First Lien Credit Agreement Amendment, the Company elected an optional expedient allowed under ASC Topic 848 such that we will continue the hedging relationship for the interest rate cap hedge.</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Fair Value - Derivatives in Asset Position</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40" w:type="dxa"/>
            <w:vAlign w:val="bottom"/>
          </w:tcPr>
          <w:p>
            <w:pPr>
              <w:spacing w:after="0"/>
              <w:rPr>
                <w:sz w:val="18"/>
                <w:szCs w:val="18"/>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212"/>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4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 assets</w:t>
            </w:r>
          </w:p>
        </w:tc>
        <w:tc>
          <w:tcPr>
            <w:tcW w:w="34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The gain (loss) associated with the change in the fair value of the effective portion of the hedging instrument is recorded in other comprehensive income (loss). The following table presents the pre-tax gain (loss) from derivative instruments recognized in other comprehensive income (loss) in the Company’s unaudited condensed consolidated statements of comprehensive income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4,394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w:t>
            </w:r>
          </w:p>
        </w:tc>
      </w:tr>
    </w:tbl>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recognized in the Company’s unaudited condensed consolidated statements of comprehensive income related to the Company’s derivative instruments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Statement Caption</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0"/>
              </w:rPr>
              <w:t>Interest rate cap designated as cash flow</w:t>
            </w:r>
          </w:p>
        </w:tc>
        <w:tc>
          <w:tcPr>
            <w:tcW w:w="100" w:type="dxa"/>
            <w:vAlign w:val="bottom"/>
            <w:shd w:val="clear" w:color="auto" w:fill="CCEEFF"/>
          </w:tcPr>
          <w:p>
            <w:pPr>
              <w:spacing w:after="0"/>
              <w:rPr>
                <w:sz w:val="14"/>
                <w:szCs w:val="14"/>
                <w:color w:val="auto"/>
              </w:rPr>
            </w:pPr>
          </w:p>
        </w:tc>
        <w:tc>
          <w:tcPr>
            <w:tcW w:w="27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5,071</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100" w:type="dxa"/>
            <w:vAlign w:val="bottom"/>
            <w:shd w:val="clear" w:color="auto" w:fill="CCEEFF"/>
          </w:tcPr>
          <w:p>
            <w:pPr>
              <w:spacing w:after="0"/>
              <w:rPr>
                <w:sz w:val="18"/>
                <w:szCs w:val="18"/>
                <w:color w:val="auto"/>
              </w:rPr>
            </w:pPr>
          </w:p>
        </w:tc>
        <w:tc>
          <w:tcPr>
            <w:tcW w:w="274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89"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jc w:val="both"/>
        <w:ind w:left="660" w:right="1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10,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First Lien Term Loan.</w:t>
      </w:r>
    </w:p>
    <w:p>
      <w:pPr>
        <w:spacing w:after="0" w:line="14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of the Senior Notes is derived from a broker quote (Level 2 inputs). See Note 10,</w:t>
      </w:r>
      <w:r>
        <w:rPr>
          <w:rFonts w:ascii="Arial" w:cs="Arial" w:eastAsia="Arial" w:hAnsi="Arial"/>
          <w:sz w:val="18"/>
          <w:szCs w:val="18"/>
          <w:i w:val="1"/>
          <w:iCs w:val="1"/>
          <w:color w:val="auto"/>
        </w:rPr>
        <w:t xml:space="preserve"> Indebtedness</w:t>
      </w:r>
      <w:r>
        <w:rPr>
          <w:rFonts w:ascii="Arial" w:cs="Arial" w:eastAsia="Arial" w:hAnsi="Arial"/>
          <w:sz w:val="18"/>
          <w:szCs w:val="18"/>
          <w:color w:val="auto"/>
        </w:rPr>
        <w:t>,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and fair value of the Senior Notes.</w:t>
      </w:r>
    </w:p>
    <w:p>
      <w:pPr>
        <w:spacing w:after="0" w:line="13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 xml:space="preserve">Interest Rate Cap: </w:t>
      </w:r>
      <w:r>
        <w:rPr>
          <w:rFonts w:ascii="Arial" w:cs="Arial" w:eastAsia="Arial" w:hAnsi="Arial"/>
          <w:sz w:val="18"/>
          <w:szCs w:val="18"/>
          <w:color w:val="auto"/>
        </w:rPr>
        <w:t>The fair value of the interest rate cap is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the interest rate cap.</w:t>
      </w:r>
    </w:p>
    <w:p>
      <w:pPr>
        <w:spacing w:after="0" w:line="14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fair value of the money market funds is derived from the closing price reported by the fund sponsor and classified as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equivalents on the Company’s condensed consolidated balance sheets (Level 1 inputs).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June 30, 2023 and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6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w:t>
      </w:r>
    </w:p>
    <w:p>
      <w:pPr>
        <w:spacing w:after="0" w:line="14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INCENTIVE COMPENSATION</w:t>
      </w:r>
    </w:p>
    <w:p>
      <w:pPr>
        <w:spacing w:after="0" w:line="1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Under the Company’s 2018 Equity Incentive Plan (the “2018 Plan”), approved at the annual meeting by the BioScrip</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authorized for issuance. The 2018 Plan is administered by the Company’s Compensation Committee, a standing committee of the Company’s Board of Directors. The Company had stock options, restricted stock units and performance stock units outstanding related to the 2018 Plan as of June 30, 2023 and 2022. During the three and six months ended June 30, 2023, total stock-based incentive compensation expense recognized by the Company related to the 2018 Plan was $7.7 million and $13.7 million, respectively. During the three and six months ended June 30, 2022, total stock-based incentive compensation expense recognized by the Company related to the 2018 Plan was $4.4 million and $8.6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85" w:lineRule="exact"/>
        <w:rPr>
          <w:sz w:val="20"/>
          <w:szCs w:val="20"/>
          <w:color w:val="auto"/>
        </w:rPr>
      </w:pPr>
    </w:p>
    <w:p>
      <w:pPr>
        <w:ind w:right="160" w:firstLine="324"/>
        <w:spacing w:after="0" w:line="314" w:lineRule="auto"/>
        <w:rPr>
          <w:sz w:val="20"/>
          <w:szCs w:val="20"/>
          <w:color w:val="auto"/>
        </w:rPr>
      </w:pPr>
      <w:r>
        <w:rPr>
          <w:rFonts w:ascii="Arial" w:cs="Arial" w:eastAsia="Arial" w:hAnsi="Arial"/>
          <w:sz w:val="16"/>
          <w:szCs w:val="16"/>
          <w:b w:val="1"/>
          <w:bCs w:val="1"/>
          <w:color w:val="auto"/>
        </w:rPr>
        <w:t xml:space="preserve">2017 Warrants </w:t>
      </w:r>
      <w:r>
        <w:rPr>
          <w:rFonts w:ascii="Arial" w:cs="Arial" w:eastAsia="Arial" w:hAnsi="Arial"/>
          <w:sz w:val="16"/>
          <w:szCs w:val="16"/>
          <w:color w:val="auto"/>
        </w:rPr>
        <w:t>— During the three and six months ended June 30, 2023, warrant holders did not elect to exercise any warrants to purchase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During the three and six months ended June 30, 2022, warrant holders elected to exercise 1,130,089 warrants to purchase shares of common stock. As of June 30, 2023 and December 31, 2022, the remaining warrant holders are entitled to purchase 240,188 shares of common stock.</w:t>
      </w:r>
    </w:p>
    <w:p>
      <w:pPr>
        <w:spacing w:after="0" w:line="10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and six months ended June 30, 2023, warrant holders exercised an immaterial number of warrants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During the three and six months ended June 30, 2022, warrant holders elected to exercise 868,304 warrants to purchase shares of common stock. As of June 30, 2023 and December 31, 2022, the remaining warrant holders are entitled to purchase 14,044 and 15,231 shares of common stock, respectively.</w:t>
      </w:r>
    </w:p>
    <w:p>
      <w:pPr>
        <w:spacing w:after="0" w:line="153"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b w:val="1"/>
          <w:bCs w:val="1"/>
          <w:color w:val="auto"/>
        </w:rPr>
        <w:t xml:space="preserve">Share Repurchase Program </w:t>
      </w:r>
      <w:r>
        <w:rPr>
          <w:rFonts w:ascii="Arial" w:cs="Arial" w:eastAsia="Arial" w:hAnsi="Arial"/>
          <w:sz w:val="16"/>
          <w:szCs w:val="16"/>
          <w:color w:val="auto"/>
        </w:rPr>
        <w:t>— On February 20, 2023, the Company’s Board of Directors approved a share repurchase program of up to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$250.0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0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On March 3, 2023, the Company purchased 2,475,166 shares of common stock under the share repurchase program for an average share price of $30.30, totaling $75.0 million, which repurchased shares became treasury stock. As of June 30, 2023, the Company is authorized to repurchase up to an aggregate $175.0 million of common stock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98"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b w:val="1"/>
          <w:bCs w:val="1"/>
          <w:color w:val="auto"/>
        </w:rPr>
        <w:t xml:space="preserve">Transactions with Equity-Method Investees </w:t>
      </w:r>
      <w:r>
        <w:rPr>
          <w:rFonts w:ascii="Arial" w:cs="Arial" w:eastAsia="Arial" w:hAnsi="Arial"/>
          <w:sz w:val="16"/>
          <w:szCs w:val="16"/>
          <w:color w:val="auto"/>
        </w:rPr>
        <w:t>— The Company provides management services to its joint ventures such as accounting, invoicing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collections in addition to day-to-day managerial support of the operations of the businesses. The Company recorded management fee income of $1.3 million and $2.6 million for the three and six months ended June 30, 2023, respectively. The Company recorded management fee income of $0.9 million and $1.8 million for the three and six months ended June 30, 2022, respectively. Management fees are recorded in net revenues in the accompanying unaudited condensed consolidated statements of comprehensive income. During the three months ended June 30, 2023, the Company did not receive any distributions from the investees. During the six months ended June 30, 2023, the Company received distributions from the investees of $2.5 million. During the three and six months ended June 30, 2022, the Company received $1.0 million in distributions from the investees.</w:t>
      </w:r>
    </w:p>
    <w:p>
      <w:pPr>
        <w:spacing w:after="0" w:line="1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had an amount due from its joint ventures of $0.2 million as of June 30, 2023. These receivables were included in prepaid expenses and other current assets in the accompanying condensed consolidated balance sheets. The Company also had amounts due to its joint ventures of $1.5 million as of December 31, 2022. These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32"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Share Repurchase Agreement </w:t>
      </w:r>
      <w:r>
        <w:rPr>
          <w:rFonts w:ascii="Arial" w:cs="Arial" w:eastAsia="Arial" w:hAnsi="Arial"/>
          <w:sz w:val="18"/>
          <w:szCs w:val="18"/>
          <w:color w:val="auto"/>
        </w:rPr>
        <w:t>— On February 28, 2023, we entered into a Share Repurchase Agreement (the “Share Repurchase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HC I, pursuant to which we agreed to repurchase, subject to the terms and conditions contained therein, up to $75.0 million of our common stock then held by HC I at the same purchase price per share as the underwriter in a concurrent underwritten public offering of our common stock held by HC I. On March 3, 2023, the transactions contemplated by the Share Repurchase Agreement closed, and we repurchased directly from HC I 2,475,166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2022 (our “Form 10-K”), may cause our actual results, financial position, and cash and cash equivalents generated from operations to differ materially from these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170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April 7, 2015, HC I and HC II collectively acquired Walgreens Infusion Services, Inc. and its subsidiaries from Walgreen Co., and the business was rebranded as Option Care.</w:t>
      </w:r>
    </w:p>
    <w:p>
      <w:pPr>
        <w:spacing w:after="0" w:line="14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March 14, 2019, HC I and HC II entered into the Merger Agreement to merge with and into a wholly-owned subsidiary of BioScrip, a national provider of infusion and home care management solutions, which was completed on August 6, 2019. Following the close of the transaction, BioScrip was rebranded as Option Care Health.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1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May 11, 2023 the Department of Health and Human Services declared the COVID-19 pandemic is no longer a public health emergency. The Company anticipates that new variants could affect its operations for an extended period; however, at this time we cannot confidently forecast the duration or the ultimate financial impact on our operations.</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Item 1A. “Risk Factors” under the caption “The COVID-19 pandemic and other potential pandemic events could adversely impact our business, results of operations, cash flows and financial position” included in our Form 10-K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and six months ended June 30, 2023 and 2022.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5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6"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0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Depreciation within this caption relates to fixed assets and amortization relates to intangibles.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revenue-generating assets, such as infusion pumps, is included in cost of revenue.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4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activity related to non-operating income and expenses.</w:t>
      </w:r>
    </w:p>
    <w:p>
      <w:pPr>
        <w:spacing w:after="0" w:line="18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is subject to taxation in the United States and various states. The Company’s income tax expense is reflective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federal and state tax rates.</w:t>
      </w:r>
    </w:p>
    <w:p>
      <w:pPr>
        <w:spacing w:after="0" w:line="13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Change in Unrealized Gains (Losses) on Cash Flow Hedges, Net of Income Tax (Expense) Benefit</w:t>
      </w:r>
      <w:r>
        <w:rPr>
          <w:rFonts w:ascii="Arial" w:cs="Arial" w:eastAsia="Arial" w:hAnsi="Arial"/>
          <w:sz w:val="18"/>
          <w:szCs w:val="18"/>
          <w:color w:val="auto"/>
        </w:rPr>
        <w:t>. Change in unrealized gains (losses) on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net of income tax expense consists of the gains and losses associated with the changes in the fair value of derivatives designated as hedging instruments related to the interest rate cap hedge, net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and six months ended June 30, 2023 and 2022 (in thousands, except for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4"/>
              </w:rPr>
              <w:t>Three Months Ended 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w w:val="97"/>
              </w:rPr>
              <w:t>Six Months Ended June 30,</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of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980,820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2,084,920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818,243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76.5 %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763,920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1,605,086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77.0 %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1,478,768</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78.0 %</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479,834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OPERATING COSTS AND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140"/>
              <w:spacing w:after="0" w:line="166" w:lineRule="exact"/>
              <w:rPr>
                <w:sz w:val="20"/>
                <w:szCs w:val="20"/>
                <w:color w:val="auto"/>
              </w:rPr>
            </w:pPr>
            <w:r>
              <w:rPr>
                <w:rFonts w:ascii="Arial" w:cs="Arial" w:eastAsia="Arial" w:hAnsi="Arial"/>
                <w:sz w:val="16"/>
                <w:szCs w:val="16"/>
                <w:color w:val="auto"/>
                <w:w w:val="92"/>
              </w:rPr>
              <w:t>Selling, general and administrative</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153,564</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141,787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301,430</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275,756</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09"/>
        </w:trPr>
        <w:tc>
          <w:tcPr>
            <w:tcW w:w="2420" w:type="dxa"/>
            <w:vAlign w:val="bottom"/>
          </w:tcPr>
          <w:p>
            <w:pPr>
              <w:ind w:left="14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30,759</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168,462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330,842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82,367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(13,196)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(12,765)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(27,030)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Equity in earnings of joint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ventures</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84,935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84,936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4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INCOME BEFORE INCOME</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155,503</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209,732</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88,906</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OTHER COMPREHENSIVE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NET OF TAX: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140"/>
              <w:spacing w:after="0" w:line="166" w:lineRule="exact"/>
              <w:rPr>
                <w:sz w:val="20"/>
                <w:szCs w:val="20"/>
                <w:color w:val="auto"/>
              </w:rPr>
            </w:pPr>
            <w:r>
              <w:rPr>
                <w:rFonts w:ascii="Arial" w:cs="Arial" w:eastAsia="Arial" w:hAnsi="Arial"/>
                <w:sz w:val="16"/>
                <w:szCs w:val="16"/>
                <w:color w:val="auto"/>
                <w:w w:val="98"/>
              </w:rPr>
              <w:t>Change in unrealized gain (loss)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Arial" w:cs="Arial" w:eastAsia="Arial" w:hAnsi="Arial"/>
                <w:sz w:val="16"/>
                <w:szCs w:val="16"/>
                <w:color w:val="auto"/>
              </w:rPr>
              <w:t>on cash flow hedges, net of</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Arial" w:cs="Arial" w:eastAsia="Arial" w:hAnsi="Arial"/>
                <w:sz w:val="16"/>
                <w:szCs w:val="16"/>
                <w:color w:val="auto"/>
              </w:rPr>
              <w:t>income tax (expense) benefit of</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Arial" w:cs="Arial" w:eastAsia="Arial" w:hAnsi="Arial"/>
                <w:sz w:val="16"/>
                <w:szCs w:val="16"/>
                <w:color w:val="auto"/>
              </w:rPr>
              <w:t>$(1,103), $(756), $49, and</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3,291</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15,707</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$(4,519), respectively</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OTHER COMPREHENSIVE</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15,707</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line="146" w:lineRule="exact"/>
              <w:rPr>
                <w:sz w:val="20"/>
                <w:szCs w:val="20"/>
                <w:color w:val="auto"/>
              </w:rPr>
            </w:pPr>
            <w:r>
              <w:rPr>
                <w:rFonts w:ascii="Arial" w:cs="Arial" w:eastAsia="Arial" w:hAnsi="Arial"/>
                <w:sz w:val="16"/>
                <w:szCs w:val="16"/>
                <w:color w:val="auto"/>
              </w:rPr>
              <w:t>NET COMPREHENSIVE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117,694</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11.0 %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38,566</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3.9 %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153,459</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7.4 %</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79,911</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months ended June 30, 2023 and 2022.</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1,069,072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980,820</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88,252</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818,243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763,920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54,323</w:t>
            </w:r>
          </w:p>
        </w:tc>
        <w:tc>
          <w:tcPr>
            <w:tcW w:w="7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250,829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216,900</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33,929</w:t>
            </w: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23.5 %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increase in net revenue was primarily driven by organic growth in the Company’s portfolio of therapies, consisting of acute revenue that had mid-single-digit growth relative to the prior year while chronic revenue grew in the low-double-digits. The increase in net revenue was partially offset by the divestiture of respiratory therapy assets as well as therapies related to the treatment of ALS and pre-term labor. The increase in cost of revenue and gross profit was primarily driven by the growth in revenue. Revenue growth outpaced the increase in cost of revenue primarily due to our disciplined procurement strategies, certain favorable therapy pricing dynamics, and efficient utilization of our infusion suite network. Additionally, with inflationary pressures steadily trending downward during the three months ended June 30, 2023, gross profit margins have normalized compared to the three months ended June 30, 2022 when inflationary pressures were aggressively trending on an upward trajectory which resulted in decreased gross profit margins.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50"/>
        </w:trPr>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gridSpan w:val="6"/>
          </w:tcPr>
          <w:p>
            <w:pPr>
              <w:ind w:left="14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1"/>
                <w:szCs w:val="2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153,564</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141,787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11,777</w:t>
            </w: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14,898</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16,037</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4"/>
              </w:rPr>
              <w:t>(1,139)</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168,462</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157,824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10,638</w:t>
            </w: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right="360" w:firstLine="324"/>
        <w:spacing w:after="0" w:line="340" w:lineRule="auto"/>
        <w:rPr>
          <w:sz w:val="20"/>
          <w:szCs w:val="20"/>
          <w:color w:val="auto"/>
        </w:rPr>
      </w:pPr>
      <w:r>
        <w:rPr>
          <w:rFonts w:ascii="Arial" w:cs="Arial" w:eastAsia="Arial" w:hAnsi="Arial"/>
          <w:sz w:val="15"/>
          <w:szCs w:val="15"/>
          <w:color w:val="auto"/>
        </w:rPr>
        <w:t>The increase in selling, general and administrative expenses is primarily due to an increase in salaries and benefits as a result of expansion of team members to adjust to current volumes, but has decreased as a percentage of revenue to 14.4% for the three months ended June 30, 2023 as compared to 14.5% for the three months ended June 30, 2022, because our revenue has grown at a faster pace than our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8"/>
                <w:szCs w:val="18"/>
                <w:color w:val="auto"/>
              </w:rPr>
            </w:pPr>
          </w:p>
        </w:tc>
      </w:tr>
      <w:tr>
        <w:trPr>
          <w:trHeight w:val="263"/>
        </w:trPr>
        <w:tc>
          <w:tcPr>
            <w:tcW w:w="4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80" w:type="dxa"/>
            <w:vAlign w:val="bottom"/>
            <w:gridSpan w:val="6"/>
          </w:tcPr>
          <w:p>
            <w:pPr>
              <w:ind w:left="160"/>
              <w:spacing w:after="0"/>
              <w:rPr>
                <w:sz w:val="20"/>
                <w:szCs w:val="20"/>
                <w:color w:val="auto"/>
              </w:rPr>
            </w:pPr>
            <w:r>
              <w:rPr>
                <w:rFonts w:ascii="Arial" w:cs="Arial" w:eastAsia="Arial" w:hAnsi="Arial"/>
                <w:sz w:val="16"/>
                <w:szCs w:val="16"/>
                <w:b w:val="1"/>
                <w:bCs w:val="1"/>
                <w:color w:val="auto"/>
              </w:rPr>
              <w:t>(in thousands, except for percentages)</w:t>
            </w:r>
          </w:p>
        </w:tc>
        <w:tc>
          <w:tcPr>
            <w:tcW w:w="1000" w:type="dxa"/>
            <w:vAlign w:val="bottom"/>
          </w:tcPr>
          <w:p>
            <w:pPr>
              <w:spacing w:after="0"/>
              <w:rPr>
                <w:sz w:val="22"/>
                <w:szCs w:val="22"/>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(13,196)</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84,935</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84,934</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8,493,400 %</w:t>
            </w: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Total other income (expense)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73,136</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(11,438)</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84,574</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(739.4)%</w:t>
            </w: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The increase in interest expense, net during the three months ended June 30, 2023 was primarily attributable to increases in the First Lien Term Loan’s variable interest rate as compared to three months ended June 30, 2022, partially offset by interest income generated from our cash and cash equivalents. See Note 10, </w:t>
      </w:r>
      <w:r>
        <w:rPr>
          <w:rFonts w:ascii="Arial" w:cs="Arial" w:eastAsia="Arial" w:hAnsi="Arial"/>
          <w:sz w:val="18"/>
          <w:szCs w:val="18"/>
          <w:i w:val="1"/>
          <w:iCs w:val="1"/>
          <w:color w:val="auto"/>
        </w:rPr>
        <w:t>Indebtedness</w:t>
      </w:r>
      <w:r>
        <w:rPr>
          <w:rFonts w:ascii="Arial" w:cs="Arial" w:eastAsia="Arial" w:hAnsi="Arial"/>
          <w:sz w:val="18"/>
          <w:szCs w:val="18"/>
          <w:color w:val="auto"/>
        </w:rPr>
        <w:t>, of the consolidated financial statements for further information.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equity in earnings of joint ventures was primarily attributable to the performance of the joint ventures.</w:t>
      </w:r>
    </w:p>
    <w:p>
      <w:pPr>
        <w:spacing w:after="0" w:line="1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The increase in Other, net during the three months ended June 30, 2023 is due to the $106.0 million payment received on behalf of Amedisys, under the terms of the Mutual Termination Agreement, net of merger-related expenses. There was no comparable activity during the three months ended June 30, 2022.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63"/>
        </w:trPr>
        <w:tc>
          <w:tcPr>
            <w:tcW w:w="4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60" w:type="dxa"/>
            <w:vAlign w:val="bottom"/>
          </w:tcPr>
          <w:p>
            <w:pPr>
              <w:spacing w:after="0"/>
              <w:rPr>
                <w:sz w:val="22"/>
                <w:szCs w:val="22"/>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27,391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199.8 %</w:t>
            </w:r>
          </w:p>
        </w:tc>
      </w:tr>
    </w:tbl>
    <w:p>
      <w:pPr>
        <w:spacing w:after="0" w:line="25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recorded income tax expense of $41.1 million and $13.7 million for the three months ended June 30, 2023 and 2022, respectively. The income tax expense for the three months ended June 30, 2023 includes $22.1 million of tax expense related to the Termination Fee payment received on behalf of Amedisys, under the terms of the Mutual Termination Agreement, net of merger-related expenses. The tax expense for the three months ended June 30, 2023 and 2022 represents an effective tax rate of 26.4% and 28.8%, respectively. The variance in the Company’s effective tax rate of 26.4% for the three months ended June 30, 2023, compared to the federal statutory rate of 21%, is primarily attributable to the difference between federal and state tax rates, as well as various non-deductible expenses. The variance in the Company’s effective tax rate of 28.8% for the three months ended June 30, 2022, compared to the federal statutory rate of 21%, is primarily attributable to current and deferred state taxes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and Other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gridSpan w:val="6"/>
          </w:tcPr>
          <w:p>
            <w:pPr>
              <w:ind w:left="140"/>
              <w:spacing w:after="0"/>
              <w:rPr>
                <w:sz w:val="20"/>
                <w:szCs w:val="20"/>
                <w:color w:val="auto"/>
              </w:rPr>
            </w:pPr>
            <w:r>
              <w:rPr>
                <w:rFonts w:ascii="Arial" w:cs="Arial" w:eastAsia="Arial" w:hAnsi="Arial"/>
                <w:sz w:val="16"/>
                <w:szCs w:val="16"/>
                <w:b w:val="1"/>
                <w:bCs w:val="1"/>
                <w:color w:val="auto"/>
              </w:rPr>
              <w:t>(in thousands, except for percentages)</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114,403</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80,474</w:t>
            </w: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237.2 %</w:t>
            </w: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Changes in unrealized gain on cash flow hedges, net of income</w:t>
            </w:r>
          </w:p>
        </w:tc>
        <w:tc>
          <w:tcPr>
            <w:tcW w:w="1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94"/>
              </w:rPr>
              <w:t>(1,346)</w:t>
            </w:r>
          </w:p>
        </w:tc>
        <w:tc>
          <w:tcPr>
            <w:tcW w:w="7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9"/>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4"/>
              </w:rPr>
              <w:t>(1,346)</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117,694</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79,128</w:t>
            </w: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change in net income was attributable to organic growth from additional revenue related to the factors described in the above sections and the</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$106.0 million payment received on behalf of Amedisys, under the terms of the Mutual Termination Agreement, net of merger-related expenses. There was no comparable activity during the three months ended June 30, 2022.</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the three months ended June 30, 2023 and 2022, the change in unrealized gain on cash flow hedges, net of income taxes was related to the change in fair market value of the $300.0 million interest rate cap hedge executed in October 2021.</w:t>
      </w:r>
    </w:p>
    <w:p>
      <w:pPr>
        <w:spacing w:after="0" w:line="130"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Net comprehensive income increased to $117.7 million for the three months ended June 30, 2023, compared to net comprehensive income of $38.6 million for the three months ended June 30, 2022, primarily as a result of the changes in net income discussed above and partially offset by the impact of the fair value of the interest rate cap hedge.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six months ended June 30, 2023 and 2022.</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72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2,084,920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1,896,604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188,316</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1,605,086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1,478,768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126,318</w:t>
            </w: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479,834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417,836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61,998</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22.0 %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increase in net revenue was primarily driven by organic growth in the Company’s portfolio of therapies, consisting of acute revenue that had mid-single-digit growth relative to the prior year while chronic revenue grew in the low-double-digits. The increase in net revenue was partially offset by the divestiture of respiratory therapy assets as well as therapies related to the treatment of ALS and pre-term labor. The increase in cost of revenue and gross profit was primarily driven by the growth in revenue. Revenue growth outpaced the increase in cost of revenue primarily due to our disciplined procurement strategies, certain favorable therapy pricing dynamics, and efficient utilization of our infusion suite network. Additionally, with inflationary pressures steadily trending downward during the six months ended June 30, 2023, gross profit margins have normalized compared to the six months ended June 30, 2022 when inflationary pressures were aggressively trending on an upward trajectory which resulted in decreased gross profit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63"/>
        </w:trPr>
        <w:tc>
          <w:tcPr>
            <w:tcW w:w="4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40" w:type="dxa"/>
            <w:vAlign w:val="bottom"/>
            <w:gridSpan w:val="6"/>
          </w:tcPr>
          <w:p>
            <w:pPr>
              <w:ind w:left="14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2"/>
                <w:szCs w:val="22"/>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301,430</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275,756</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25,674</w:t>
            </w: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30,759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4"/>
              </w:rPr>
              <w:t>(1,347)</w:t>
            </w:r>
          </w:p>
        </w:tc>
        <w:tc>
          <w:tcPr>
            <w:tcW w:w="7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(4.4)%</w:t>
            </w:r>
          </w:p>
        </w:tc>
      </w:tr>
      <w:tr>
        <w:trPr>
          <w:trHeight w:val="233"/>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330,842</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306,515</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24,327</w:t>
            </w:r>
          </w:p>
        </w:tc>
        <w:tc>
          <w:tcPr>
            <w:tcW w:w="7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increase in selling, general and administrative expenses is primarily due to salaries and benefits as a result of expansion of team members to adjust to current volumes, however, these expenses have remained consistent as a percentage of revenue at 14.5% for the six months ended June 30, 2023 and 2022 due to the Company’s focus on controlling spending leverage.</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8"/>
                <w:szCs w:val="18"/>
                <w:color w:val="auto"/>
              </w:rPr>
            </w:pPr>
          </w:p>
        </w:tc>
      </w:tr>
      <w:tr>
        <w:trPr>
          <w:trHeight w:val="250"/>
        </w:trPr>
        <w:tc>
          <w:tcPr>
            <w:tcW w:w="4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6"/>
          </w:tcPr>
          <w:p>
            <w:pPr>
              <w:ind w:left="160"/>
              <w:spacing w:after="0"/>
              <w:rPr>
                <w:sz w:val="20"/>
                <w:szCs w:val="20"/>
                <w:color w:val="auto"/>
              </w:rPr>
            </w:pPr>
            <w:r>
              <w:rPr>
                <w:rFonts w:ascii="Arial" w:cs="Arial" w:eastAsia="Arial" w:hAnsi="Arial"/>
                <w:sz w:val="16"/>
                <w:szCs w:val="16"/>
                <w:b w:val="1"/>
                <w:bCs w:val="1"/>
                <w:color w:val="auto"/>
              </w:rPr>
              <w:t>(in thousands, except for percentages)</w:t>
            </w:r>
          </w:p>
        </w:tc>
        <w:tc>
          <w:tcPr>
            <w:tcW w:w="1000" w:type="dxa"/>
            <w:vAlign w:val="bottom"/>
          </w:tcPr>
          <w:p>
            <w:pPr>
              <w:spacing w:after="0"/>
              <w:rPr>
                <w:sz w:val="21"/>
                <w:szCs w:val="2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(27,030)</w:t>
            </w:r>
          </w:p>
        </w:tc>
        <w:tc>
          <w:tcPr>
            <w:tcW w:w="118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1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84,936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84,933</w:t>
            </w:r>
          </w:p>
        </w:tc>
        <w:tc>
          <w:tcPr>
            <w:tcW w:w="5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2,831,100 %</w:t>
            </w:r>
          </w:p>
        </w:tc>
      </w:tr>
      <w:tr>
        <w:trPr>
          <w:trHeight w:val="209"/>
        </w:trPr>
        <w:tc>
          <w:tcPr>
            <w:tcW w:w="4600" w:type="dxa"/>
            <w:vAlign w:val="bottom"/>
          </w:tcPr>
          <w:p>
            <w:pPr>
              <w:ind w:left="140"/>
              <w:spacing w:after="0"/>
              <w:rPr>
                <w:sz w:val="20"/>
                <w:szCs w:val="20"/>
                <w:color w:val="auto"/>
              </w:rPr>
            </w:pPr>
            <w:r>
              <w:rPr>
                <w:rFonts w:ascii="Arial" w:cs="Arial" w:eastAsia="Arial" w:hAnsi="Arial"/>
                <w:sz w:val="16"/>
                <w:szCs w:val="16"/>
                <w:color w:val="auto"/>
              </w:rPr>
              <w:t>Total other income (expense)</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60,740</w:t>
            </w:r>
          </w:p>
        </w:tc>
        <w:tc>
          <w:tcPr>
            <w:tcW w:w="118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(22,415)</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83,155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(371.0)%</w:t>
            </w:r>
          </w:p>
        </w:tc>
      </w:tr>
      <w:tr>
        <w:trPr>
          <w:trHeight w:val="21"/>
        </w:trPr>
        <w:tc>
          <w:tcPr>
            <w:tcW w:w="4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The increase in interest expense, net during the six months ended June 30, 2023 was primarily attributable to increases in the First Lien Term Loan’s variable interest rate as compared to the six months ended June 30, 2022, partially offset by interest income generated from our cash and cash equivalents. See Note 10, </w:t>
      </w:r>
      <w:r>
        <w:rPr>
          <w:rFonts w:ascii="Arial" w:cs="Arial" w:eastAsia="Arial" w:hAnsi="Arial"/>
          <w:sz w:val="18"/>
          <w:szCs w:val="18"/>
          <w:i w:val="1"/>
          <w:iCs w:val="1"/>
          <w:color w:val="auto"/>
        </w:rPr>
        <w:t>Indebtedness</w:t>
      </w:r>
      <w:r>
        <w:rPr>
          <w:rFonts w:ascii="Arial" w:cs="Arial" w:eastAsia="Arial" w:hAnsi="Arial"/>
          <w:sz w:val="18"/>
          <w:szCs w:val="18"/>
          <w:color w:val="auto"/>
        </w:rPr>
        <w:t>, of the consolidated financial statements for further information.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equity in earnings of joint ventures was primarily attributable to the performance of the joint ventures.</w:t>
      </w:r>
    </w:p>
    <w:p>
      <w:pPr>
        <w:spacing w:after="0" w:line="18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The increase in Other, net during the six months ended June 30, 2023 is due to the $106.0 million payment received on behalf of Amedisys, under the terms of the Mutual Termination Agreement, net of merger-related expenses. There was no comparable activity during the six months ended June 30, 2022.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50"/>
        </w:trPr>
        <w:tc>
          <w:tcPr>
            <w:tcW w:w="4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60" w:type="dxa"/>
            <w:vAlign w:val="bottom"/>
          </w:tcPr>
          <w:p>
            <w:pPr>
              <w:spacing w:after="0"/>
              <w:rPr>
                <w:sz w:val="21"/>
                <w:szCs w:val="2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24,702</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31,419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127.2 %</w:t>
            </w:r>
          </w:p>
        </w:tc>
      </w:tr>
    </w:tbl>
    <w:p>
      <w:pPr>
        <w:spacing w:after="0" w:line="25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recorded income tax expense of $56.1 million and $24.7 million for the six months ended June 30, 2023 and 2022, respectively. The income tax expense for the six months ended June 30, 2023 includes $22.1 million of tax expense related to the Termination Fee payment received on behalf of Amedisys, under the terms of the Mutual Termination Agreement, net of merger-related expenses. The tax expense for the six months ended June 30, 2023 and 2022 represents an effective tax rate of 26.8% and 27.8%, respectively. The variance in the Company’s effective tax rate of 26.8% for the six months ended June 30, 2023, compared to the federal statutory rate of 21%, is primarily attributable to the difference between federal and state tax rates, as well as various non-deductible expenses. The variance in the Company’s effective tax rate of 27.8% for the six months ended June 30, 2022, compared to the federal statutory rate of 21%, is primarily attributable to current and deferred state taxes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and Other Comprehensive (Loss)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720"/>
              <w:spacing w:after="0"/>
              <w:rPr>
                <w:sz w:val="20"/>
                <w:szCs w:val="20"/>
                <w:color w:val="auto"/>
              </w:rPr>
            </w:pPr>
            <w:r>
              <w:rPr>
                <w:rFonts w:ascii="Arial" w:cs="Arial" w:eastAsia="Arial" w:hAnsi="Arial"/>
                <w:sz w:val="16"/>
                <w:szCs w:val="16"/>
                <w:b w:val="1"/>
                <w:bCs w:val="1"/>
                <w:color w:val="auto"/>
              </w:rPr>
              <w:t>Variance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gridSpan w:val="6"/>
          </w:tcPr>
          <w:p>
            <w:pPr>
              <w:ind w:left="160"/>
              <w:spacing w:after="0"/>
              <w:rPr>
                <w:sz w:val="20"/>
                <w:szCs w:val="20"/>
                <w:color w:val="auto"/>
              </w:rPr>
            </w:pPr>
            <w:r>
              <w:rPr>
                <w:rFonts w:ascii="Arial" w:cs="Arial" w:eastAsia="Arial" w:hAnsi="Arial"/>
                <w:sz w:val="16"/>
                <w:szCs w:val="16"/>
                <w:b w:val="1"/>
                <w:bCs w:val="1"/>
                <w:color w:val="auto"/>
              </w:rPr>
              <w:t>(in thousands, except for percentages)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153,611</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89"/>
              </w:rPr>
              <w:t>89,407</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139.3 %</w:t>
            </w: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Changes in unrealized (loss) gain on cash flow hedges, net of</w:t>
            </w:r>
          </w:p>
        </w:tc>
        <w:tc>
          <w:tcPr>
            <w:tcW w:w="10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15,707</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0"/>
              </w:rPr>
              <w:t>(15,859)</w:t>
            </w:r>
          </w:p>
        </w:tc>
        <w:tc>
          <w:tcPr>
            <w:tcW w:w="6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199"/>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10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15,707</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0"/>
              </w:rPr>
              <w:t>(15,859)</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153,459</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79,911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89"/>
              </w:rPr>
              <w:t>73,548</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The change in net income was attributable to organic growth from additional revenue related to the factors described in the above sections. Additionally, the change in net income was attributable to the $106.0 million payment received on behalf of Amedisys, under the terms of the Mutual Termination Agreement, net of merger-related expenses. There was no comparable activity during the six months ended June 30, 2022.</w:t>
      </w:r>
    </w:p>
    <w:p>
      <w:pPr>
        <w:spacing w:after="0" w:line="12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six months ended June 30, 2023, the change in unrealized (loss) gain on cash flow hedges, net of income taxes was related to the increase in fair market value of the $300.0 million interest rate cap hedge executed in October 2021.</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Net comprehensive income increased to $153.5 million for the six months ended June 30, 2023, compared to net comprehensive income of $79.9 million for the six months ended June 30, 2022, primarily as a result of the changes in net income discussed above and partially offset by the impact of the fair value of the interest rate cap hedge.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For the six months ended June 30, 2023 and the twelve months ended December 31, 2022, the Company’s primary sources of liquidity were cash and cash equivalents of $441.2 million and $294.2 million, respectively. As of June 30, 2023, the Company had $219.5 million of borrowings available under its credit facilities (net of $5.5 million undrawn letters of credit issued and outstanding). As of December 31, 2022, the Company had $168.3 million of borrowings available under its credit facilities (net of $6.7 million undrawn letters of credit issued and outstanding). During the six months ended June 30, 2023 and the twelve months ended December 31, 2022, the Company’s positive cash flows from operations enabled investments in pharmacy and information technology infrastructure to support growth and create additional capacity in the future, as well as to pursue acquisitions and share repurchases.</w:t>
      </w:r>
    </w:p>
    <w:p>
      <w:pPr>
        <w:spacing w:after="0" w:line="12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3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Effective January 13, 2023, the Company entered into an agreement to amend the ABL Facility, to among other things, increase the amount of borrowing availability by $50.0 million to $225.0 million total borrowing availability and to replace LIBOR with SOFR as the new reference rate. The ABL Facility provides for borrowings up to $225.0 million and matures on October 27, 2026. The ABL Facility bears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(or a comparable successor rate, with a floor of 0.00% per annum) plus an applicable margin, which is equal to between 1.25% and 1.75% based on the historical excess availability as a percentage of the Line Cap. The Company had $5.5 million of undrawn letters of credit issued and outstanding, resulting in net borrowing availability under the ABL Facility of $219.5 million as of June 30, 2023.</w:t>
      </w:r>
    </w:p>
    <w:p>
      <w:pPr>
        <w:spacing w:after="0" w:line="13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Effective June 30, 2023, the Company entered into an agreement, dated as of June 8, 2023, to amend the First Lien Term Loan to replace LIBOR and related definitions and provisions with SOFR as the new reference rate. The principal balance of the First Lien Term Loan is repayable in quarterly installments of $1.5 million plus interest, with a final payment of all remaining outstanding principal due on October 27, 2028. The quarterly principal payments commenced in March 2022. Under the First Lien Credit Agreement Amendment, interest on the First Lien Term Loan is payable monthly on either (i) SOFR (with a floor of 0.50% per annum) plus an applicable margin of 2.75% for Term SOFR Loans (as such term is defined in the First Lien Credit Agreement Amendment); and (ii) a base rate determined in accordance with the First Lien Credit Agreement Amendment, plus 1.75% for Base Rate Loans (as such term is defined in the First Lien Credit Agreement Amendment).</w:t>
      </w:r>
    </w:p>
    <w:p>
      <w:pPr>
        <w:spacing w:after="0" w:line="15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Senior Notes bear interest at a rate of 4.375% per annum and are payable semi-annually in arrears on October 31 and April 30 of each year, which began on April 30, 2022. The Senior Notes mature on October 31, 2029.</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Interest payments over the course of long-term debt obligations total an estimated $386.1 million based on final maturity dates of the Company’s credit facilities. Interest payments are calculated based on current rates as of June 30, 2023.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3620" w:type="dxa"/>
            <w:vAlign w:val="bottom"/>
            <w:tcBorders>
              <w:bottom w:val="single" w:sz="8" w:color="auto"/>
            </w:tcBorders>
            <w:gridSpan w:val="5"/>
          </w:tcPr>
          <w:p>
            <w:pPr>
              <w:jc w:val="right"/>
              <w:ind w:right="779"/>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Variance</w:t>
            </w:r>
          </w:p>
        </w:tc>
      </w:tr>
      <w:tr>
        <w:trPr>
          <w:trHeight w:val="250"/>
        </w:trPr>
        <w:tc>
          <w:tcPr>
            <w:tcW w:w="5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(in thousands)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259,288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122,334</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1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auto"/>
                <w:w w:val="93"/>
              </w:rPr>
              <w:t>(26,409)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(69,952)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43,543</w:t>
            </w:r>
          </w:p>
        </w:tc>
      </w:tr>
      <w:tr>
        <w:trPr>
          <w:trHeight w:val="21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(85,899)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(103,520)</w:t>
            </w: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rPr>
              <w:t>146,980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84,623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62,357</w:t>
            </w:r>
          </w:p>
        </w:tc>
      </w:tr>
      <w:tr>
        <w:trPr>
          <w:trHeight w:val="21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294,186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174,763</w:t>
            </w: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60"/>
              <w:spacing w:after="0"/>
              <w:rPr>
                <w:sz w:val="20"/>
                <w:szCs w:val="20"/>
                <w:color w:val="auto"/>
              </w:rPr>
            </w:pPr>
            <w:r>
              <w:rPr>
                <w:rFonts w:ascii="Arial" w:cs="Arial" w:eastAsia="Arial" w:hAnsi="Arial"/>
                <w:sz w:val="16"/>
                <w:szCs w:val="16"/>
                <w:color w:val="auto"/>
              </w:rPr>
              <w:t>441,166</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204,046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237,120</w:t>
            </w:r>
          </w:p>
        </w:tc>
      </w:tr>
      <w:tr>
        <w:trPr>
          <w:trHeight w:val="21"/>
        </w:trPr>
        <w:tc>
          <w:tcPr>
            <w:tcW w:w="5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increase in cash provided by operating activities is primarily due to higher net income, the Termination Fee received on behalf of Amedisys as a result of the Mutual Termination Agreement, net of merger-related expenses and taxes, changes in accrued compensation and employee benefits, changes in inventory, partially offset by prepaid expenses and other current assets, and certain accruals and timing of vendor payments during the six months ended June 30, 2023 as compared to the six months ended June 30, 2022.</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decrease in cash used in investing activities during the six months ended June 30, 2023 is primarily due a decrease in acquisition activity as compared to the six months ended June 30, 2022. During the six months ended June 30, 2023, the Company completed the acquisition of Revitalized in the amount of $12.9 million, as compared to the six months ended June 30, 2022, where the Company acquired SPNN in the amount of $59.9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cash used in financing activities is primarily related to the Company’s repurchase of common stock during the six months ended June 30, 2023, whereas the six months ended June 30, 2022 activity primarily related to the proceeds of warrant exercises.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exposure to market risk from those included in our Form 10-K, which is hereby incorporated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June 30, 2023. Based on that evaluation, the Company’s Chief Executive Officer and its Chief Financial Officer concluded that our disclosure controls and procedures were effective as of June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120" w:firstLine="329"/>
        <w:spacing w:after="0" w:line="277" w:lineRule="auto"/>
        <w:rPr>
          <w:sz w:val="20"/>
          <w:szCs w:val="20"/>
          <w:color w:val="auto"/>
        </w:rPr>
      </w:pPr>
      <w:r>
        <w:rPr>
          <w:rFonts w:ascii="Arial" w:cs="Arial" w:eastAsia="Arial" w:hAnsi="Arial"/>
          <w:sz w:val="18"/>
          <w:szCs w:val="18"/>
          <w:color w:val="auto"/>
        </w:rPr>
        <w:t xml:space="preserve">For a summary of legal proceedings,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18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February 20, 2023, the Company’s Board of Directors approved a share repurchase program of up to an aggregate $250.0 million of common stock of the Company.</w:t>
      </w:r>
    </w:p>
    <w:p>
      <w:pPr>
        <w:spacing w:after="0" w:line="14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provides certain information with respect to the Company’s repurchases of common stock from April 1, 2023 through June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4"/>
                <w:szCs w:val="14"/>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Average Price Paid per</w:t>
            </w:r>
          </w:p>
        </w:tc>
        <w:tc>
          <w:tcPr>
            <w:tcW w:w="1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4"/>
                <w:szCs w:val="14"/>
                <w:color w:val="auto"/>
              </w:rPr>
            </w:pPr>
          </w:p>
        </w:tc>
        <w:tc>
          <w:tcPr>
            <w:tcW w:w="17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162"/>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2023 - April 30, 2023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174,999,995</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May 1, 2023 - May 31, 2023</w:t>
            </w:r>
          </w:p>
        </w:tc>
        <w:tc>
          <w:tcPr>
            <w:tcW w:w="100" w:type="dxa"/>
            <w:vAlign w:val="bottom"/>
          </w:tcPr>
          <w:p>
            <w:pPr>
              <w:spacing w:after="0"/>
              <w:rPr>
                <w:sz w:val="18"/>
                <w:szCs w:val="18"/>
                <w:color w:val="auto"/>
              </w:rPr>
            </w:pPr>
          </w:p>
        </w:tc>
        <w:tc>
          <w:tcPr>
            <w:tcW w:w="1760" w:type="dxa"/>
            <w:vAlign w:val="bottom"/>
          </w:tcPr>
          <w:p>
            <w:pPr>
              <w:ind w:left="1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60" w:type="dxa"/>
            <w:vAlign w:val="bottom"/>
          </w:tcPr>
          <w:p>
            <w:pPr>
              <w:ind w:left="1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174,999,995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2023 - June 30, 2023</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174,999,995</w:t>
            </w:r>
          </w:p>
        </w:tc>
        <w:tc>
          <w:tcPr>
            <w:tcW w:w="0" w:type="dxa"/>
            <w:vAlign w:val="bottom"/>
          </w:tcPr>
          <w:p>
            <w:pPr>
              <w:spacing w:after="0"/>
              <w:rPr>
                <w:sz w:val="1"/>
                <w:szCs w:val="1"/>
                <w:color w:val="auto"/>
              </w:rPr>
            </w:pPr>
          </w:p>
        </w:tc>
      </w:tr>
      <w:tr>
        <w:trPr>
          <w:trHeight w:val="20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ind w:left="15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760" w:type="dxa"/>
            <w:vAlign w:val="bottom"/>
          </w:tcPr>
          <w:p>
            <w:pPr>
              <w:ind w:left="15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174,999,995</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Modification and Termination of Rule 10b5-1 Plans and Certain Other Trading Arrangements</w:t>
      </w:r>
    </w:p>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No director or officer of the Company has adopted, modified or terminated a Rule 10b5-1 plan or non-Rule 10b5-1 trading arrangement during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136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gridSpan w:val="6"/>
          </w:tcPr>
          <w:p>
            <w:pPr>
              <w:ind w:left="3080"/>
              <w:spacing w:after="0"/>
              <w:rPr>
                <w:sz w:val="20"/>
                <w:szCs w:val="20"/>
                <w:color w:val="auto"/>
              </w:rPr>
            </w:pPr>
            <w:r>
              <w:rPr>
                <w:rFonts w:ascii="Arial" w:cs="Arial" w:eastAsia="Arial" w:hAnsi="Arial"/>
                <w:sz w:val="16"/>
                <w:szCs w:val="16"/>
                <w:b w:val="1"/>
                <w:bCs w:val="1"/>
                <w:color w:val="auto"/>
              </w:rPr>
              <w:t>Description</w:t>
            </w:r>
          </w:p>
        </w:tc>
      </w:tr>
      <w:tr>
        <w:trPr>
          <w:trHeight w:val="23"/>
        </w:trPr>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2"/>
        </w:trPr>
        <w:tc>
          <w:tcPr>
            <w:tcW w:w="1500" w:type="dxa"/>
            <w:vAlign w:val="bottom"/>
          </w:tcPr>
          <w:p>
            <w:pPr>
              <w:ind w:left="20"/>
              <w:spacing w:after="0" w:line="183" w:lineRule="exact"/>
              <w:rPr>
                <w:sz w:val="20"/>
                <w:szCs w:val="20"/>
                <w:color w:val="auto"/>
              </w:rPr>
            </w:pPr>
            <w:r>
              <w:rPr>
                <w:rFonts w:ascii="Arial" w:cs="Arial" w:eastAsia="Arial" w:hAnsi="Arial"/>
                <w:sz w:val="16"/>
                <w:szCs w:val="16"/>
                <w:color w:val="auto"/>
              </w:rPr>
              <w:t>10.1</w:t>
            </w:r>
          </w:p>
        </w:tc>
        <w:tc>
          <w:tcPr>
            <w:tcW w:w="9700" w:type="dxa"/>
            <w:vAlign w:val="bottom"/>
            <w:gridSpan w:val="7"/>
          </w:tcPr>
          <w:p>
            <w:pPr>
              <w:spacing w:after="0" w:line="183" w:lineRule="exact"/>
              <w:rPr>
                <w:rFonts w:ascii="Arial" w:cs="Arial" w:eastAsia="Arial" w:hAnsi="Arial"/>
                <w:sz w:val="16"/>
                <w:szCs w:val="16"/>
                <w:color w:val="0000FF"/>
                <w:w w:val="94"/>
              </w:rPr>
            </w:pPr>
            <w:hyperlink r:id="rId44">
              <w:r>
                <w:rPr>
                  <w:rFonts w:ascii="Arial" w:cs="Arial" w:eastAsia="Arial" w:hAnsi="Arial"/>
                  <w:sz w:val="16"/>
                  <w:szCs w:val="16"/>
                  <w:color w:val="0000FF"/>
                  <w:w w:val="94"/>
                </w:rPr>
                <w:t>Mutual Termination Agreement, dated as of June 26, 2023, by and among Option Care Health, Inc., Uintah Merger Sub, Inc., and Amedisys, Inc.</w:t>
              </w:r>
            </w:hyperlink>
          </w:p>
        </w:tc>
      </w:tr>
      <w:tr>
        <w:trPr>
          <w:trHeight w:val="169"/>
        </w:trPr>
        <w:tc>
          <w:tcPr>
            <w:tcW w:w="150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44">
              <w:r>
                <w:rPr>
                  <w:rFonts w:ascii="Arial" w:cs="Arial" w:eastAsia="Arial" w:hAnsi="Arial"/>
                  <w:sz w:val="16"/>
                  <w:szCs w:val="16"/>
                  <w:color w:val="0000FF"/>
                  <w:w w:val="92"/>
                </w:rPr>
                <w:t>(incorporated by reference to Exhibit 2.1 of the Company’s Current Report on Form 8-K filed on June 26, 2023).</w:t>
              </w:r>
            </w:hyperlink>
          </w:p>
        </w:tc>
        <w:tc>
          <w:tcPr>
            <w:tcW w:w="2060" w:type="dxa"/>
            <w:vAlign w:val="bottom"/>
            <w:tcBorders>
              <w:top w:val="single" w:sz="8" w:color="0000FF"/>
            </w:tcBorders>
            <w:gridSpan w:val="2"/>
          </w:tcPr>
          <w:p>
            <w:pPr>
              <w:spacing w:after="0"/>
              <w:rPr>
                <w:sz w:val="14"/>
                <w:szCs w:val="14"/>
                <w:color w:val="auto"/>
              </w:rPr>
            </w:pPr>
          </w:p>
        </w:tc>
        <w:tc>
          <w:tcPr>
            <w:tcW w:w="320" w:type="dxa"/>
            <w:vAlign w:val="bottom"/>
            <w:gridSpan w:val="3"/>
          </w:tcPr>
          <w:p>
            <w:pPr>
              <w:spacing w:after="0"/>
              <w:rPr>
                <w:sz w:val="14"/>
                <w:szCs w:val="14"/>
                <w:color w:val="auto"/>
              </w:rPr>
            </w:pPr>
          </w:p>
        </w:tc>
      </w:tr>
      <w:tr>
        <w:trPr>
          <w:trHeight w:val="223"/>
        </w:trPr>
        <w:tc>
          <w:tcPr>
            <w:tcW w:w="1500" w:type="dxa"/>
            <w:vAlign w:val="bottom"/>
          </w:tcPr>
          <w:p>
            <w:pPr>
              <w:ind w:left="20"/>
              <w:spacing w:after="0"/>
              <w:rPr>
                <w:sz w:val="20"/>
                <w:szCs w:val="20"/>
                <w:color w:val="auto"/>
              </w:rPr>
            </w:pPr>
            <w:r>
              <w:rPr>
                <w:rFonts w:ascii="Arial" w:cs="Arial" w:eastAsia="Arial" w:hAnsi="Arial"/>
                <w:sz w:val="16"/>
                <w:szCs w:val="16"/>
                <w:color w:val="auto"/>
              </w:rPr>
              <w:t>10.2</w:t>
            </w:r>
          </w:p>
        </w:tc>
        <w:tc>
          <w:tcPr>
            <w:tcW w:w="9700" w:type="dxa"/>
            <w:vAlign w:val="bottom"/>
            <w:gridSpan w:val="7"/>
          </w:tcPr>
          <w:p>
            <w:pPr>
              <w:spacing w:after="0"/>
              <w:rPr>
                <w:sz w:val="20"/>
                <w:szCs w:val="20"/>
                <w:color w:val="auto"/>
              </w:rPr>
            </w:pPr>
            <w:r>
              <w:rPr>
                <w:rFonts w:ascii="Arial" w:cs="Arial" w:eastAsia="Arial" w:hAnsi="Arial"/>
                <w:sz w:val="16"/>
                <w:szCs w:val="16"/>
                <w:color w:val="0000FF"/>
                <w:w w:val="95"/>
              </w:rPr>
              <w:t>First Amendment to Amended and Restated First Lien Credit Agreement, dated as of June 8, 2023, is entered into by Bank of America, N.A., as</w:t>
            </w:r>
          </w:p>
        </w:tc>
      </w:tr>
      <w:tr>
        <w:trPr>
          <w:trHeight w:val="183"/>
        </w:trPr>
        <w:tc>
          <w:tcPr>
            <w:tcW w:w="150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3" w:lineRule="exact"/>
              <w:rPr>
                <w:sz w:val="20"/>
                <w:szCs w:val="20"/>
                <w:color w:val="auto"/>
              </w:rPr>
            </w:pPr>
            <w:r>
              <w:rPr>
                <w:rFonts w:ascii="Arial" w:cs="Arial" w:eastAsia="Arial" w:hAnsi="Arial"/>
                <w:sz w:val="16"/>
                <w:szCs w:val="16"/>
                <w:color w:val="0000FF"/>
                <w:w w:val="90"/>
              </w:rPr>
              <w:t>administrative agent.</w:t>
            </w:r>
          </w:p>
        </w:tc>
        <w:tc>
          <w:tcPr>
            <w:tcW w:w="7940" w:type="dxa"/>
            <w:vAlign w:val="bottom"/>
            <w:tcBorders>
              <w:top w:val="single" w:sz="8" w:color="0000FF"/>
            </w:tcBorders>
            <w:gridSpan w:val="2"/>
          </w:tcPr>
          <w:p>
            <w:pPr>
              <w:spacing w:after="0"/>
              <w:rPr>
                <w:sz w:val="15"/>
                <w:szCs w:val="15"/>
                <w:color w:val="auto"/>
              </w:rPr>
            </w:pPr>
          </w:p>
        </w:tc>
        <w:tc>
          <w:tcPr>
            <w:tcW w:w="400" w:type="dxa"/>
            <w:vAlign w:val="bottom"/>
            <w:gridSpan w:val="4"/>
          </w:tcPr>
          <w:p>
            <w:pPr>
              <w:spacing w:after="0"/>
              <w:rPr>
                <w:sz w:val="15"/>
                <w:szCs w:val="15"/>
                <w:color w:val="auto"/>
              </w:rPr>
            </w:pPr>
          </w:p>
        </w:tc>
      </w:tr>
      <w:tr>
        <w:trPr>
          <w:trHeight w:val="223"/>
        </w:trPr>
        <w:tc>
          <w:tcPr>
            <w:tcW w:w="1500" w:type="dxa"/>
            <w:vAlign w:val="bottom"/>
          </w:tcPr>
          <w:p>
            <w:pPr>
              <w:ind w:left="20"/>
              <w:spacing w:after="0"/>
              <w:rPr>
                <w:sz w:val="20"/>
                <w:szCs w:val="20"/>
                <w:color w:val="auto"/>
              </w:rPr>
            </w:pPr>
            <w:r>
              <w:rPr>
                <w:rFonts w:ascii="Arial" w:cs="Arial" w:eastAsia="Arial" w:hAnsi="Arial"/>
                <w:sz w:val="16"/>
                <w:szCs w:val="16"/>
                <w:color w:val="auto"/>
              </w:rPr>
              <w:t>31.1</w:t>
            </w:r>
          </w:p>
        </w:tc>
        <w:tc>
          <w:tcPr>
            <w:tcW w:w="96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2"/>
              </w:rPr>
              <w:t>Certification of Chief Executive Officer pursuant to 18 U.S.C. Section 1350, as adopted pursuant to Section 302 of the Sarbanes-Oxley Act of 2002.</w:t>
            </w:r>
          </w:p>
        </w:tc>
        <w:tc>
          <w:tcPr>
            <w:tcW w:w="100" w:type="dxa"/>
            <w:vAlign w:val="bottom"/>
          </w:tcPr>
          <w:p>
            <w:pPr>
              <w:spacing w:after="0"/>
              <w:rPr>
                <w:sz w:val="19"/>
                <w:szCs w:val="19"/>
                <w:color w:val="auto"/>
              </w:rPr>
            </w:pPr>
          </w:p>
        </w:tc>
      </w:tr>
      <w:tr>
        <w:trPr>
          <w:trHeight w:val="223"/>
        </w:trPr>
        <w:tc>
          <w:tcPr>
            <w:tcW w:w="1500" w:type="dxa"/>
            <w:vAlign w:val="bottom"/>
          </w:tcPr>
          <w:p>
            <w:pPr>
              <w:ind w:left="20"/>
              <w:spacing w:after="0"/>
              <w:rPr>
                <w:sz w:val="20"/>
                <w:szCs w:val="20"/>
                <w:color w:val="auto"/>
              </w:rPr>
            </w:pPr>
            <w:r>
              <w:rPr>
                <w:rFonts w:ascii="Arial" w:cs="Arial" w:eastAsia="Arial" w:hAnsi="Arial"/>
                <w:sz w:val="16"/>
                <w:szCs w:val="16"/>
                <w:color w:val="auto"/>
              </w:rPr>
              <w:t>31.2</w:t>
            </w:r>
          </w:p>
        </w:tc>
        <w:tc>
          <w:tcPr>
            <w:tcW w:w="9700" w:type="dxa"/>
            <w:vAlign w:val="bottom"/>
            <w:gridSpan w:val="7"/>
          </w:tcPr>
          <w:p>
            <w:pPr>
              <w:spacing w:after="0"/>
              <w:rPr>
                <w:sz w:val="20"/>
                <w:szCs w:val="20"/>
                <w:color w:val="auto"/>
              </w:rPr>
            </w:pPr>
            <w:r>
              <w:rPr>
                <w:rFonts w:ascii="Arial" w:cs="Arial" w:eastAsia="Arial" w:hAnsi="Arial"/>
                <w:sz w:val="16"/>
                <w:szCs w:val="16"/>
                <w:color w:val="0000FF"/>
                <w:w w:val="93"/>
              </w:rPr>
              <w:t>Certification of Chief Financial Officer pursuant to 18 U.S.C. Section 1350, as adopted pursuant to Section 302 of the Sarbanes-Oxley Act of 2002.</w:t>
            </w:r>
          </w:p>
        </w:tc>
      </w:tr>
      <w:tr>
        <w:trPr>
          <w:trHeight w:val="20"/>
        </w:trPr>
        <w:tc>
          <w:tcPr>
            <w:tcW w:w="1500" w:type="dxa"/>
            <w:vAlign w:val="bottom"/>
          </w:tcPr>
          <w:p>
            <w:pPr>
              <w:spacing w:after="0" w:line="20" w:lineRule="exact"/>
              <w:rPr>
                <w:sz w:val="1"/>
                <w:szCs w:val="1"/>
                <w:color w:val="auto"/>
              </w:rPr>
            </w:pPr>
          </w:p>
        </w:tc>
        <w:tc>
          <w:tcPr>
            <w:tcW w:w="954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500" w:type="dxa"/>
            <w:vAlign w:val="bottom"/>
          </w:tcPr>
          <w:p>
            <w:pPr>
              <w:ind w:left="20"/>
              <w:spacing w:after="0"/>
              <w:rPr>
                <w:sz w:val="20"/>
                <w:szCs w:val="20"/>
                <w:color w:val="auto"/>
              </w:rPr>
            </w:pPr>
            <w:r>
              <w:rPr>
                <w:rFonts w:ascii="Arial" w:cs="Arial" w:eastAsia="Arial" w:hAnsi="Arial"/>
                <w:sz w:val="16"/>
                <w:szCs w:val="16"/>
                <w:color w:val="auto"/>
              </w:rPr>
              <w:t>32.1</w:t>
            </w:r>
          </w:p>
        </w:tc>
        <w:tc>
          <w:tcPr>
            <w:tcW w:w="96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2"/>
              </w:rPr>
              <w:t>Certification of Chief Executive Officer pursuant to 18 U.S.C. Section 1350, as adopted pursuant to Section 906 of the Sarbanes-Oxley Act of 2002.</w:t>
            </w:r>
          </w:p>
        </w:tc>
        <w:tc>
          <w:tcPr>
            <w:tcW w:w="100" w:type="dxa"/>
            <w:vAlign w:val="bottom"/>
          </w:tcPr>
          <w:p>
            <w:pPr>
              <w:spacing w:after="0"/>
              <w:rPr>
                <w:sz w:val="17"/>
                <w:szCs w:val="17"/>
                <w:color w:val="auto"/>
              </w:rPr>
            </w:pPr>
          </w:p>
        </w:tc>
      </w:tr>
      <w:tr>
        <w:trPr>
          <w:trHeight w:val="196"/>
        </w:trPr>
        <w:tc>
          <w:tcPr>
            <w:tcW w:w="1500" w:type="dxa"/>
            <w:vAlign w:val="bottom"/>
          </w:tcPr>
          <w:p>
            <w:pPr>
              <w:ind w:left="20"/>
              <w:spacing w:after="0"/>
              <w:rPr>
                <w:sz w:val="20"/>
                <w:szCs w:val="20"/>
                <w:color w:val="auto"/>
              </w:rPr>
            </w:pPr>
            <w:r>
              <w:rPr>
                <w:rFonts w:ascii="Arial" w:cs="Arial" w:eastAsia="Arial" w:hAnsi="Arial"/>
                <w:sz w:val="16"/>
                <w:szCs w:val="16"/>
                <w:color w:val="auto"/>
              </w:rPr>
              <w:t>32.2</w:t>
            </w:r>
          </w:p>
        </w:tc>
        <w:tc>
          <w:tcPr>
            <w:tcW w:w="9700" w:type="dxa"/>
            <w:vAlign w:val="bottom"/>
            <w:gridSpan w:val="7"/>
          </w:tcPr>
          <w:p>
            <w:pPr>
              <w:spacing w:after="0"/>
              <w:rPr>
                <w:sz w:val="20"/>
                <w:szCs w:val="20"/>
                <w:color w:val="auto"/>
              </w:rPr>
            </w:pPr>
            <w:r>
              <w:rPr>
                <w:rFonts w:ascii="Arial" w:cs="Arial" w:eastAsia="Arial" w:hAnsi="Arial"/>
                <w:sz w:val="16"/>
                <w:szCs w:val="16"/>
                <w:color w:val="0000FF"/>
                <w:w w:val="93"/>
              </w:rPr>
              <w:t>Certification of Chief Financial Officer pursuant to 18 U.S.C. Section 1350, as adopted pursuant to Section 906 of the Sarbanes-Oxley Act of 2002.</w:t>
            </w:r>
          </w:p>
        </w:tc>
      </w:tr>
      <w:tr>
        <w:trPr>
          <w:trHeight w:val="231"/>
        </w:trPr>
        <w:tc>
          <w:tcPr>
            <w:tcW w:w="1500" w:type="dxa"/>
            <w:vAlign w:val="bottom"/>
          </w:tcPr>
          <w:p>
            <w:pPr>
              <w:ind w:left="20"/>
              <w:spacing w:after="0"/>
              <w:rPr>
                <w:sz w:val="20"/>
                <w:szCs w:val="20"/>
                <w:color w:val="auto"/>
              </w:rPr>
            </w:pPr>
            <w:r>
              <w:rPr>
                <w:rFonts w:ascii="Arial" w:cs="Arial" w:eastAsia="Arial" w:hAnsi="Arial"/>
                <w:sz w:val="16"/>
                <w:szCs w:val="16"/>
                <w:color w:val="auto"/>
              </w:rPr>
              <w:t>101.INS</w:t>
            </w:r>
          </w:p>
        </w:tc>
        <w:tc>
          <w:tcPr>
            <w:tcW w:w="954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XBRL Instance Document</w:t>
            </w:r>
          </w:p>
        </w:tc>
        <w:tc>
          <w:tcPr>
            <w:tcW w:w="160" w:type="dxa"/>
            <w:vAlign w:val="bottom"/>
            <w:gridSpan w:val="2"/>
          </w:tcPr>
          <w:p>
            <w:pPr>
              <w:spacing w:after="0"/>
              <w:rPr>
                <w:sz w:val="20"/>
                <w:szCs w:val="20"/>
                <w:color w:val="auto"/>
              </w:rPr>
            </w:pPr>
          </w:p>
        </w:tc>
      </w:tr>
      <w:tr>
        <w:trPr>
          <w:trHeight w:val="216"/>
        </w:trPr>
        <w:tc>
          <w:tcPr>
            <w:tcW w:w="1500" w:type="dxa"/>
            <w:vAlign w:val="bottom"/>
          </w:tcPr>
          <w:p>
            <w:pPr>
              <w:ind w:left="20"/>
              <w:spacing w:after="0"/>
              <w:rPr>
                <w:sz w:val="20"/>
                <w:szCs w:val="20"/>
                <w:color w:val="auto"/>
              </w:rPr>
            </w:pPr>
            <w:r>
              <w:rPr>
                <w:rFonts w:ascii="Arial" w:cs="Arial" w:eastAsia="Arial" w:hAnsi="Arial"/>
                <w:sz w:val="16"/>
                <w:szCs w:val="16"/>
                <w:color w:val="auto"/>
              </w:rPr>
              <w:t>101.SCH</w:t>
            </w:r>
          </w:p>
        </w:tc>
        <w:tc>
          <w:tcPr>
            <w:tcW w:w="9700" w:type="dxa"/>
            <w:vAlign w:val="bottom"/>
            <w:gridSpan w:val="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500" w:type="dxa"/>
            <w:vAlign w:val="bottom"/>
          </w:tcPr>
          <w:p>
            <w:pPr>
              <w:ind w:left="20"/>
              <w:spacing w:after="0"/>
              <w:rPr>
                <w:sz w:val="20"/>
                <w:szCs w:val="20"/>
                <w:color w:val="auto"/>
              </w:rPr>
            </w:pPr>
            <w:r>
              <w:rPr>
                <w:rFonts w:ascii="Arial" w:cs="Arial" w:eastAsia="Arial" w:hAnsi="Arial"/>
                <w:sz w:val="16"/>
                <w:szCs w:val="16"/>
                <w:color w:val="auto"/>
              </w:rPr>
              <w:t>101.CAL</w:t>
            </w:r>
          </w:p>
        </w:tc>
        <w:tc>
          <w:tcPr>
            <w:tcW w:w="970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500" w:type="dxa"/>
            <w:vAlign w:val="bottom"/>
          </w:tcPr>
          <w:p>
            <w:pPr>
              <w:ind w:left="20"/>
              <w:spacing w:after="0"/>
              <w:rPr>
                <w:sz w:val="20"/>
                <w:szCs w:val="20"/>
                <w:color w:val="auto"/>
              </w:rPr>
            </w:pPr>
            <w:r>
              <w:rPr>
                <w:rFonts w:ascii="Arial" w:cs="Arial" w:eastAsia="Arial" w:hAnsi="Arial"/>
                <w:sz w:val="16"/>
                <w:szCs w:val="16"/>
                <w:color w:val="auto"/>
              </w:rPr>
              <w:t>101.DEF</w:t>
            </w:r>
          </w:p>
        </w:tc>
        <w:tc>
          <w:tcPr>
            <w:tcW w:w="970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500" w:type="dxa"/>
            <w:vAlign w:val="bottom"/>
          </w:tcPr>
          <w:p>
            <w:pPr>
              <w:ind w:left="20"/>
              <w:spacing w:after="0"/>
              <w:rPr>
                <w:sz w:val="20"/>
                <w:szCs w:val="20"/>
                <w:color w:val="auto"/>
              </w:rPr>
            </w:pPr>
            <w:r>
              <w:rPr>
                <w:rFonts w:ascii="Arial" w:cs="Arial" w:eastAsia="Arial" w:hAnsi="Arial"/>
                <w:sz w:val="16"/>
                <w:szCs w:val="16"/>
                <w:color w:val="auto"/>
              </w:rPr>
              <w:t>101.LAB</w:t>
            </w:r>
          </w:p>
        </w:tc>
        <w:tc>
          <w:tcPr>
            <w:tcW w:w="9700" w:type="dxa"/>
            <w:vAlign w:val="bottom"/>
            <w:gridSpan w:val="7"/>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16"/>
        </w:trPr>
        <w:tc>
          <w:tcPr>
            <w:tcW w:w="1500" w:type="dxa"/>
            <w:vAlign w:val="bottom"/>
          </w:tcPr>
          <w:p>
            <w:pPr>
              <w:ind w:left="20"/>
              <w:spacing w:after="0"/>
              <w:rPr>
                <w:sz w:val="20"/>
                <w:szCs w:val="20"/>
                <w:color w:val="auto"/>
              </w:rPr>
            </w:pPr>
            <w:r>
              <w:rPr>
                <w:rFonts w:ascii="Arial" w:cs="Arial" w:eastAsia="Arial" w:hAnsi="Arial"/>
                <w:sz w:val="16"/>
                <w:szCs w:val="16"/>
                <w:color w:val="auto"/>
              </w:rPr>
              <w:t>101.PRE</w:t>
            </w:r>
          </w:p>
        </w:tc>
        <w:tc>
          <w:tcPr>
            <w:tcW w:w="970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1500" w:type="dxa"/>
            <w:vAlign w:val="bottom"/>
          </w:tcPr>
          <w:p>
            <w:pPr>
              <w:ind w:left="20"/>
              <w:spacing w:after="0"/>
              <w:rPr>
                <w:sz w:val="20"/>
                <w:szCs w:val="20"/>
                <w:color w:val="auto"/>
              </w:rPr>
            </w:pPr>
            <w:r>
              <w:rPr>
                <w:rFonts w:ascii="Arial" w:cs="Arial" w:eastAsia="Arial" w:hAnsi="Arial"/>
                <w:sz w:val="16"/>
                <w:szCs w:val="16"/>
                <w:color w:val="auto"/>
              </w:rPr>
              <w:t>104</w:t>
            </w:r>
          </w:p>
        </w:tc>
        <w:tc>
          <w:tcPr>
            <w:tcW w:w="9700" w:type="dxa"/>
            <w:vAlign w:val="bottom"/>
            <w:gridSpan w:val="7"/>
          </w:tcPr>
          <w:p>
            <w:pPr>
              <w:spacing w:after="0"/>
              <w:rPr>
                <w:sz w:val="20"/>
                <w:szCs w:val="20"/>
                <w:color w:val="auto"/>
              </w:rPr>
            </w:pPr>
            <w:r>
              <w:rPr>
                <w:rFonts w:ascii="Arial" w:cs="Arial" w:eastAsia="Arial" w:hAnsi="Arial"/>
                <w:sz w:val="16"/>
                <w:szCs w:val="16"/>
                <w:color w:val="auto"/>
              </w:rPr>
              <w:t>XBRL Formatted Cover Page</w:t>
            </w:r>
          </w:p>
        </w:tc>
      </w:tr>
    </w:tbl>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OPTION CARE HEALTH, INC.</w:t>
      </w:r>
    </w:p>
    <w:p>
      <w:pPr>
        <w:spacing w:after="0" w:line="270" w:lineRule="exact"/>
        <w:rPr>
          <w:sz w:val="20"/>
          <w:szCs w:val="20"/>
          <w:color w:val="auto"/>
        </w:rPr>
      </w:pPr>
    </w:p>
    <w:p>
      <w:pPr>
        <w:ind w:left="20"/>
        <w:spacing w:after="0"/>
        <w:tabs>
          <w:tab w:leader="none" w:pos="980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6"/>
          <w:szCs w:val="16"/>
          <w:color w:val="auto"/>
        </w:rPr>
        <w:t>/s/ Michael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14605</wp:posOffset>
            </wp:positionV>
            <wp:extent cx="2125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Shapiro</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and Senior Vice President (Principal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6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FIRST AMENDMENT TO AMENDED AND RESTATED FIRST LIEN CREDIT AGREEMENT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FIRST AMENDMENT TO AMENDED AND RESTATED FIRST LIEN CREDIT</w:t>
      </w:r>
    </w:p>
    <w:p>
      <w:pPr>
        <w:jc w:val="both"/>
        <w:spacing w:after="0" w:line="222" w:lineRule="auto"/>
        <w:rPr>
          <w:sz w:val="20"/>
          <w:szCs w:val="20"/>
          <w:color w:val="auto"/>
        </w:rPr>
      </w:pPr>
      <w:r>
        <w:rPr>
          <w:rFonts w:ascii="Arial" w:cs="Arial" w:eastAsia="Arial" w:hAnsi="Arial"/>
          <w:sz w:val="20"/>
          <w:szCs w:val="20"/>
          <w:color w:val="auto"/>
        </w:rPr>
        <w:t>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dated as of June 8, 2023, is entered into by BANK OF AMERICA, N.A., as administrative agent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Capitalized terms used herein without definition shall have the same meanings herein as set forth in the Amended Credit Agreement (as defined below).</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Option Care Health, Inc. (f/k/a BioScrip, Inc.) (the “</w:t>
      </w:r>
      <w:r>
        <w:rPr>
          <w:rFonts w:ascii="Arial" w:cs="Arial" w:eastAsia="Arial" w:hAnsi="Arial"/>
          <w:sz w:val="18"/>
          <w:szCs w:val="18"/>
          <w:b w:val="1"/>
          <w:bCs w:val="1"/>
          <w:i w:val="1"/>
          <w:iCs w:val="1"/>
          <w:color w:val="auto"/>
        </w:rPr>
        <w:t>Parent Borrower</w:t>
      </w:r>
      <w:r>
        <w:rPr>
          <w:rFonts w:ascii="Arial" w:cs="Arial" w:eastAsia="Arial" w:hAnsi="Arial"/>
          <w:sz w:val="18"/>
          <w:szCs w:val="18"/>
          <w:color w:val="auto"/>
        </w:rPr>
        <w:t>”), the Guarantors party thereto, Bank of America, N.A., as Administrative Agent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and each Lender party thereto have entered into that certain</w:t>
      </w:r>
    </w:p>
    <w:p>
      <w:pPr>
        <w:jc w:val="both"/>
        <w:spacing w:after="0" w:line="226" w:lineRule="auto"/>
        <w:rPr>
          <w:sz w:val="20"/>
          <w:szCs w:val="20"/>
          <w:color w:val="auto"/>
        </w:rPr>
      </w:pPr>
      <w:r>
        <w:rPr>
          <w:rFonts w:ascii="Arial" w:cs="Arial" w:eastAsia="Arial" w:hAnsi="Arial"/>
          <w:sz w:val="18"/>
          <w:szCs w:val="18"/>
          <w:color w:val="auto"/>
        </w:rPr>
        <w:t>Amended and Restated First Lien Credit Agreement, dated as of October 27, 2021 (as amended, restated, supplemented or otherwise modified from time to time prior to the date hereof, the “</w:t>
      </w:r>
      <w:r>
        <w:rPr>
          <w:rFonts w:ascii="Arial" w:cs="Arial" w:eastAsia="Arial" w:hAnsi="Arial"/>
          <w:sz w:val="18"/>
          <w:szCs w:val="18"/>
          <w:b w:val="1"/>
          <w:bCs w:val="1"/>
          <w:i w:val="1"/>
          <w:iCs w:val="1"/>
          <w:color w:val="auto"/>
        </w:rPr>
        <w:t>Original Credit Agreement</w:t>
      </w:r>
      <w:r>
        <w:rPr>
          <w:rFonts w:ascii="Arial" w:cs="Arial" w:eastAsia="Arial" w:hAnsi="Arial"/>
          <w:sz w:val="18"/>
          <w:szCs w:val="18"/>
          <w:color w:val="auto"/>
        </w:rPr>
        <w:t>”, as amended by this Amendment, the “</w:t>
      </w:r>
      <w:r>
        <w:rPr>
          <w:rFonts w:ascii="Arial" w:cs="Arial" w:eastAsia="Arial" w:hAnsi="Arial"/>
          <w:sz w:val="18"/>
          <w:szCs w:val="18"/>
          <w:b w:val="1"/>
          <w:bCs w:val="1"/>
          <w:i w:val="1"/>
          <w:iCs w:val="1"/>
          <w:color w:val="auto"/>
        </w:rPr>
        <w:t>Amended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w:t>
      </w:r>
    </w:p>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certain loans and/or other extensions of credit (the “</w:t>
      </w:r>
      <w:r>
        <w:rPr>
          <w:rFonts w:ascii="Arial" w:cs="Arial" w:eastAsia="Arial" w:hAnsi="Arial"/>
          <w:sz w:val="18"/>
          <w:szCs w:val="18"/>
          <w:b w:val="1"/>
          <w:bCs w:val="1"/>
          <w:i w:val="1"/>
          <w:iCs w:val="1"/>
          <w:color w:val="auto"/>
        </w:rPr>
        <w:t>Loans</w:t>
      </w:r>
      <w:r>
        <w:rPr>
          <w:rFonts w:ascii="Arial" w:cs="Arial" w:eastAsia="Arial" w:hAnsi="Arial"/>
          <w:sz w:val="18"/>
          <w:szCs w:val="18"/>
          <w:color w:val="auto"/>
        </w:rPr>
        <w:t>”) under the Original Credit Agreement denominated in Dollars incur or are permitted to incur interest, fees, commissions or other amounts based on the London Interbank Offered Rate as administered by the ICE Benchmark Administration (“</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in accordance with the terms of the Original Credit Agreement; and</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LIBOR and related definitions and provisions has been or will be replaced with the Term SOFR (as defined in the Amended Credit Agreement) in accordance with the Original Credit Agreement and, in connection therewith, the Administrative Agent is</w:t>
      </w:r>
    </w:p>
    <w:p>
      <w:pPr>
        <w:jc w:val="both"/>
        <w:spacing w:after="0" w:line="220" w:lineRule="auto"/>
        <w:rPr>
          <w:sz w:val="20"/>
          <w:szCs w:val="20"/>
          <w:color w:val="auto"/>
        </w:rPr>
      </w:pPr>
      <w:r>
        <w:rPr>
          <w:rFonts w:ascii="Arial" w:cs="Arial" w:eastAsia="Arial" w:hAnsi="Arial"/>
          <w:sz w:val="20"/>
          <w:szCs w:val="20"/>
          <w:color w:val="auto"/>
        </w:rPr>
        <w:t>exercising its right to make certain conforming changes in connection with the implementation of the applicable benchmark replacement as set forth herein.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in accordance with the terms of the Original Credit Agreement, this Amendment is entered into by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I. AMENDMENTS TO CREDIT AGREEMENT</w:t>
      </w:r>
    </w:p>
    <w:p>
      <w:pPr>
        <w:spacing w:after="0" w:line="235" w:lineRule="exact"/>
        <w:rPr>
          <w:sz w:val="20"/>
          <w:szCs w:val="20"/>
          <w:color w:val="auto"/>
        </w:rPr>
      </w:pPr>
    </w:p>
    <w:p>
      <w:pPr>
        <w:jc w:val="both"/>
        <w:ind w:firstLine="640"/>
        <w:spacing w:after="0" w:line="252" w:lineRule="auto"/>
        <w:tabs>
          <w:tab w:leader="none" w:pos="115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Effective on and as of the Amendment Effective Date (as defined below), the Original Credit Agreement shall be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ind w:left="1140" w:hanging="500"/>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Exhibit A to the Original Credit Agreement shall be amended and restated in its entirety as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II. CONDITIONS TO EFFECTIVENESS TO AMENDED CREDIT AGREEMENT</w:t>
      </w:r>
    </w:p>
    <w:p>
      <w:pPr>
        <w:spacing w:after="0" w:line="222" w:lineRule="exact"/>
        <w:rPr>
          <w:sz w:val="20"/>
          <w:szCs w:val="20"/>
          <w:color w:val="auto"/>
        </w:rPr>
      </w:pPr>
    </w:p>
    <w:p>
      <w:pPr>
        <w:ind w:right="440" w:firstLine="696"/>
        <w:spacing w:after="0" w:line="236" w:lineRule="auto"/>
        <w:rPr>
          <w:sz w:val="20"/>
          <w:szCs w:val="20"/>
          <w:color w:val="auto"/>
        </w:rPr>
      </w:pPr>
      <w:r>
        <w:rPr>
          <w:rFonts w:ascii="Arial" w:cs="Arial" w:eastAsia="Arial" w:hAnsi="Arial"/>
          <w:sz w:val="20"/>
          <w:szCs w:val="20"/>
          <w:color w:val="auto"/>
        </w:rPr>
        <w:t>This Amendment shall become effective on June 30, 2023 (the “</w:t>
      </w:r>
      <w:r>
        <w:rPr>
          <w:rFonts w:ascii="Arial" w:cs="Arial" w:eastAsia="Arial" w:hAnsi="Arial"/>
          <w:sz w:val="20"/>
          <w:szCs w:val="20"/>
          <w:b w:val="1"/>
          <w:bCs w:val="1"/>
          <w:i w:val="1"/>
          <w:iCs w:val="1"/>
          <w:color w:val="auto"/>
        </w:rPr>
        <w:t>Amendment Effective Date</w:t>
      </w:r>
      <w:r>
        <w:rPr>
          <w:rFonts w:ascii="Arial" w:cs="Arial" w:eastAsia="Arial" w:hAnsi="Arial"/>
          <w:sz w:val="20"/>
          <w:szCs w:val="20"/>
          <w:color w:val="auto"/>
        </w:rPr>
        <w:t>”) upon proper execution by the Administrative Agent of a counterpart of this Amendment.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III. MISCELLANEOUS</w:t>
      </w:r>
    </w:p>
    <w:p>
      <w:pPr>
        <w:spacing w:after="0" w:line="216" w:lineRule="exact"/>
        <w:rPr>
          <w:sz w:val="20"/>
          <w:szCs w:val="20"/>
          <w:color w:val="auto"/>
        </w:rPr>
      </w:pPr>
    </w:p>
    <w:p>
      <w:pPr>
        <w:ind w:left="1280" w:hanging="639"/>
        <w:spacing w:after="0"/>
        <w:tabs>
          <w:tab w:leader="none" w:pos="12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Reference to and Effect on the Other Loan Documents</w:t>
      </w:r>
      <w:r>
        <w:rPr>
          <w:rFonts w:ascii="Arial" w:cs="Arial" w:eastAsia="Arial" w:hAnsi="Arial"/>
          <w:sz w:val="20"/>
          <w:szCs w:val="20"/>
          <w:color w:val="auto"/>
        </w:rPr>
        <w:t>.</w:t>
      </w:r>
    </w:p>
    <w:p>
      <w:pPr>
        <w:sectPr>
          <w:pgSz w:w="11900" w:h="16838" w:orient="portrait"/>
          <w:cols w:equalWidth="0" w:num="1">
            <w:col w:w="10940"/>
          </w:cols>
          <w:pgMar w:left="480" w:top="801" w:right="479" w:bottom="1440" w:gutter="0" w:footer="0" w:header="0"/>
        </w:sectPr>
      </w:pPr>
    </w:p>
    <w:bookmarkStart w:id="36" w:name="page37"/>
    <w:bookmarkEnd w:id="36"/>
    <w:p>
      <w:pPr>
        <w:jc w:val="both"/>
        <w:ind w:firstLine="1288"/>
        <w:spacing w:after="0" w:line="227" w:lineRule="auto"/>
        <w:tabs>
          <w:tab w:leader="none" w:pos="1800" w:val="left"/>
        </w:tabs>
        <w:numPr>
          <w:ilvl w:val="1"/>
          <w:numId w:val="9"/>
        </w:numPr>
        <w:rPr>
          <w:rFonts w:ascii="Arial" w:cs="Arial" w:eastAsia="Arial" w:hAnsi="Arial"/>
          <w:sz w:val="20"/>
          <w:szCs w:val="20"/>
          <w:color w:val="auto"/>
        </w:rPr>
      </w:pPr>
      <w:r>
        <w:rPr>
          <w:rFonts w:ascii="Arial" w:cs="Arial" w:eastAsia="Arial" w:hAnsi="Arial"/>
          <w:sz w:val="20"/>
          <w:szCs w:val="20"/>
          <w:color w:val="auto"/>
        </w:rPr>
        <w:t>On and after the Amendment Effective Date, each reference in the Loan Documents to the “Credit Agreement”, “thereunder”, “thereof” or words of like import referring to the Original Credit Agreement shall mean and be a reference to the Amended Credit Agreement.</w:t>
      </w:r>
    </w:p>
    <w:p>
      <w:pPr>
        <w:spacing w:after="0" w:line="197" w:lineRule="exact"/>
        <w:rPr>
          <w:rFonts w:ascii="Arial" w:cs="Arial" w:eastAsia="Arial" w:hAnsi="Arial"/>
          <w:sz w:val="20"/>
          <w:szCs w:val="20"/>
          <w:color w:val="auto"/>
        </w:rPr>
      </w:pPr>
    </w:p>
    <w:p>
      <w:pPr>
        <w:ind w:firstLine="1288"/>
        <w:spacing w:after="0" w:line="236" w:lineRule="auto"/>
        <w:tabs>
          <w:tab w:leader="none" w:pos="1800" w:val="left"/>
        </w:tabs>
        <w:numPr>
          <w:ilvl w:val="1"/>
          <w:numId w:val="9"/>
        </w:numPr>
        <w:rPr>
          <w:rFonts w:ascii="Arial" w:cs="Arial" w:eastAsia="Arial" w:hAnsi="Arial"/>
          <w:sz w:val="20"/>
          <w:szCs w:val="20"/>
          <w:color w:val="auto"/>
        </w:rPr>
      </w:pPr>
      <w:r>
        <w:rPr>
          <w:rFonts w:ascii="Arial" w:cs="Arial" w:eastAsia="Arial" w:hAnsi="Arial"/>
          <w:sz w:val="20"/>
          <w:szCs w:val="20"/>
          <w:color w:val="auto"/>
        </w:rPr>
        <w:t>Except as specifically amended by this Amendment , the Loan Documents shall remain in full force and effect and are hereby ratified and confirmed, as applicable, and this Amendment shall not be considered a novation.</w:t>
      </w:r>
    </w:p>
    <w:p>
      <w:pPr>
        <w:spacing w:after="0" w:line="195" w:lineRule="exact"/>
        <w:rPr>
          <w:rFonts w:ascii="Arial" w:cs="Arial" w:eastAsia="Arial" w:hAnsi="Arial"/>
          <w:sz w:val="20"/>
          <w:szCs w:val="20"/>
          <w:color w:val="auto"/>
        </w:rPr>
      </w:pPr>
    </w:p>
    <w:p>
      <w:pPr>
        <w:ind w:firstLine="1288"/>
        <w:spacing w:after="0" w:line="285"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Amendment (including all exhibits attached hereto) shall constitute a “Loan Document” for all purposes of the Amended Credit Agreement and shall be administered and construed pursuant to the terms of the Amended Credit Agreement.</w:t>
      </w:r>
    </w:p>
    <w:p>
      <w:pPr>
        <w:spacing w:after="0" w:line="150" w:lineRule="exact"/>
        <w:rPr>
          <w:rFonts w:ascii="Arial" w:cs="Arial" w:eastAsia="Arial" w:hAnsi="Arial"/>
          <w:sz w:val="18"/>
          <w:szCs w:val="18"/>
          <w:color w:val="auto"/>
        </w:rPr>
      </w:pPr>
    </w:p>
    <w:p>
      <w:pPr>
        <w:jc w:val="both"/>
        <w:ind w:firstLine="640"/>
        <w:spacing w:after="0" w:line="216" w:lineRule="auto"/>
        <w:tabs>
          <w:tab w:leader="none" w:pos="1152"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Limitation of Amendment and Waiver. </w:t>
      </w:r>
      <w:r>
        <w:rPr>
          <w:rFonts w:ascii="Arial" w:cs="Arial" w:eastAsia="Arial" w:hAnsi="Arial"/>
          <w:sz w:val="20"/>
          <w:szCs w:val="20"/>
          <w:color w:val="auto"/>
        </w:rPr>
        <w:t>Nothing herein shall be deemed to (i) entitle any Loan Party to a further consent</w:t>
      </w:r>
      <w:r>
        <w:rPr>
          <w:rFonts w:ascii="Arial" w:cs="Arial" w:eastAsia="Arial" w:hAnsi="Arial"/>
          <w:sz w:val="20"/>
          <w:szCs w:val="20"/>
          <w:b w:val="1"/>
          <w:bCs w:val="1"/>
          <w:color w:val="auto"/>
        </w:rPr>
        <w:t xml:space="preserve"> </w:t>
      </w:r>
      <w:r>
        <w:rPr>
          <w:rFonts w:ascii="Arial" w:cs="Arial" w:eastAsia="Arial" w:hAnsi="Arial"/>
          <w:sz w:val="20"/>
          <w:szCs w:val="20"/>
          <w:color w:val="auto"/>
        </w:rPr>
        <w:t>to, or a further waiver, amendment, modification or other change of, any of the terms, conditions, obligations, covenants or agreements contained in the Amended Credit Agreement or any other Loan Document in similar or different circumstances or (ii) constitute a modification, limitation, impairment or waiver of any right, power or remedy available to the Administrative Agent or the Lenders under the Amended Credit Agreement or any other Loan Document.</w:t>
      </w:r>
    </w:p>
    <w:p>
      <w:pPr>
        <w:spacing w:after="0" w:line="207" w:lineRule="exact"/>
        <w:rPr>
          <w:rFonts w:ascii="Arial" w:cs="Arial" w:eastAsia="Arial" w:hAnsi="Arial"/>
          <w:sz w:val="20"/>
          <w:szCs w:val="20"/>
          <w:b w:val="1"/>
          <w:bCs w:val="1"/>
          <w:color w:val="auto"/>
        </w:rPr>
      </w:pPr>
    </w:p>
    <w:p>
      <w:pPr>
        <w:ind w:firstLine="640"/>
        <w:spacing w:after="0" w:line="232" w:lineRule="auto"/>
        <w:tabs>
          <w:tab w:leader="none" w:pos="1152"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Modification and Waiver. </w:t>
      </w:r>
      <w:r>
        <w:rPr>
          <w:rFonts w:ascii="Arial" w:cs="Arial" w:eastAsia="Arial" w:hAnsi="Arial"/>
          <w:sz w:val="20"/>
          <w:szCs w:val="20"/>
          <w:color w:val="auto"/>
        </w:rPr>
        <w:t>This Amendment may not be amended, modified or waived except by an</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 or instruments in writing signed and delivered on behalf of each of the parties hereto.</w:t>
      </w:r>
    </w:p>
    <w:p>
      <w:pPr>
        <w:spacing w:after="0" w:line="203" w:lineRule="exact"/>
        <w:rPr>
          <w:rFonts w:ascii="Arial" w:cs="Arial" w:eastAsia="Arial" w:hAnsi="Arial"/>
          <w:sz w:val="20"/>
          <w:szCs w:val="20"/>
          <w:b w:val="1"/>
          <w:bCs w:val="1"/>
          <w:color w:val="auto"/>
        </w:rPr>
      </w:pPr>
    </w:p>
    <w:p>
      <w:pPr>
        <w:ind w:firstLine="640"/>
        <w:spacing w:after="0" w:line="232" w:lineRule="auto"/>
        <w:tabs>
          <w:tab w:leader="none" w:pos="1152"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Conflict with Loan Documents. </w:t>
      </w:r>
      <w:r>
        <w:rPr>
          <w:rFonts w:ascii="Arial" w:cs="Arial" w:eastAsia="Arial" w:hAnsi="Arial"/>
          <w:sz w:val="20"/>
          <w:szCs w:val="20"/>
          <w:color w:val="auto"/>
        </w:rPr>
        <w:t>In the event of any conflict between the terms of this Amendment and the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Credit Agreement or the other Loan Documents, the terms hereof shall control.</w:t>
      </w:r>
    </w:p>
    <w:p>
      <w:pPr>
        <w:spacing w:after="0" w:line="203" w:lineRule="exact"/>
        <w:rPr>
          <w:rFonts w:ascii="Arial" w:cs="Arial" w:eastAsia="Arial" w:hAnsi="Arial"/>
          <w:sz w:val="20"/>
          <w:szCs w:val="20"/>
          <w:b w:val="1"/>
          <w:bCs w:val="1"/>
          <w:color w:val="auto"/>
        </w:rPr>
      </w:pPr>
    </w:p>
    <w:p>
      <w:pPr>
        <w:jc w:val="both"/>
        <w:ind w:firstLine="640"/>
        <w:spacing w:after="0" w:line="237" w:lineRule="auto"/>
        <w:tabs>
          <w:tab w:leader="none" w:pos="1152"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If any provision of this Amendment is held to be illegal, invalid or unenforceable in any jurisdiction,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legality, validity and enforceability of the remaining provisions or obligations, or of such provision or obligation in any other jurisdiction, of this Amendment and the other Loan Documents shall not be affected or impaired thereby.</w:t>
      </w:r>
    </w:p>
    <w:p>
      <w:pPr>
        <w:spacing w:after="0" w:line="189" w:lineRule="exact"/>
        <w:rPr>
          <w:rFonts w:ascii="Arial" w:cs="Arial" w:eastAsia="Arial" w:hAnsi="Arial"/>
          <w:sz w:val="19"/>
          <w:szCs w:val="19"/>
          <w:b w:val="1"/>
          <w:bCs w:val="1"/>
          <w:color w:val="auto"/>
        </w:rPr>
      </w:pPr>
    </w:p>
    <w:p>
      <w:pPr>
        <w:ind w:firstLine="640"/>
        <w:spacing w:after="0" w:line="239" w:lineRule="auto"/>
        <w:tabs>
          <w:tab w:leader="none" w:pos="1134"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w:t>
      </w:r>
      <w:r>
        <w:rPr>
          <w:rFonts w:ascii="Arial" w:cs="Arial" w:eastAsia="Arial" w:hAnsi="Arial"/>
          <w:sz w:val="20"/>
          <w:szCs w:val="20"/>
          <w:color w:val="auto"/>
        </w:rPr>
        <w:t>Section and Subsection headings in this Amendment are included herein for convenience of reference only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constitute a part of this Amendment for any other purpose or be given any substantive effect.</w:t>
      </w:r>
    </w:p>
    <w:p>
      <w:pPr>
        <w:spacing w:after="0" w:line="203" w:lineRule="exact"/>
        <w:rPr>
          <w:rFonts w:ascii="Arial" w:cs="Arial" w:eastAsia="Arial" w:hAnsi="Arial"/>
          <w:sz w:val="20"/>
          <w:szCs w:val="20"/>
          <w:b w:val="1"/>
          <w:bCs w:val="1"/>
          <w:color w:val="auto"/>
        </w:rPr>
      </w:pPr>
    </w:p>
    <w:p>
      <w:pPr>
        <w:ind w:firstLine="640"/>
        <w:spacing w:after="0" w:line="267" w:lineRule="auto"/>
        <w:tabs>
          <w:tab w:leader="none" w:pos="1152"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Waiver of Jury Trial. </w:t>
      </w:r>
      <w:r>
        <w:rPr>
          <w:rFonts w:ascii="Arial" w:cs="Arial" w:eastAsia="Arial" w:hAnsi="Arial"/>
          <w:sz w:val="20"/>
          <w:szCs w:val="20"/>
          <w:color w:val="auto"/>
        </w:rPr>
        <w:t>Sections 10.15 and 10.16 of the Amended Credit Agreement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90" w:lineRule="exact"/>
        <w:rPr>
          <w:rFonts w:ascii="Arial" w:cs="Arial" w:eastAsia="Arial" w:hAnsi="Arial"/>
          <w:sz w:val="20"/>
          <w:szCs w:val="20"/>
          <w:b w:val="1"/>
          <w:bCs w:val="1"/>
          <w:color w:val="auto"/>
        </w:rPr>
      </w:pPr>
    </w:p>
    <w:p>
      <w:pPr>
        <w:jc w:val="both"/>
        <w:ind w:firstLine="640"/>
        <w:spacing w:after="0" w:line="223" w:lineRule="auto"/>
        <w:tabs>
          <w:tab w:leader="none" w:pos="1152"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Electronic Execution. </w:t>
      </w:r>
      <w:r>
        <w:rPr>
          <w:rFonts w:ascii="Arial" w:cs="Arial" w:eastAsia="Arial" w:hAnsi="Arial"/>
          <w:sz w:val="19"/>
          <w:szCs w:val="19"/>
          <w:color w:val="auto"/>
        </w:rPr>
        <w:t>This Amendment may be executed in any number of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when so executed and delivered shall be deemed an original, and all of which, when taken together, shall constitute but one and the same agreement. This Amendment may be in the form of an Electronic Record (as defined herein) and may be executed using Electronic Signatures (as defined herein)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40"/>
          </w:cols>
          <w:pgMar w:left="480" w:top="1392" w:right="479" w:bottom="1440" w:gutter="0" w:footer="0" w:header="0"/>
        </w:sectPr>
      </w:pPr>
    </w:p>
    <w:bookmarkStart w:id="37" w:name="page38"/>
    <w:bookmarkEnd w:id="37"/>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procedures approved by them; provided, further, without limiting the foregoing, (a) to the extent the Administrative Agent has agreed to accept such Electronic Signature, the Administrative Agent shall be entitled to rely on any such Electronic Signature purportedly given by</w:t>
      </w:r>
    </w:p>
    <w:p>
      <w:pPr>
        <w:spacing w:after="0" w:line="226" w:lineRule="auto"/>
        <w:rPr>
          <w:sz w:val="20"/>
          <w:szCs w:val="20"/>
          <w:color w:val="auto"/>
        </w:rPr>
      </w:pPr>
      <w:r>
        <w:rPr>
          <w:rFonts w:ascii="Arial" w:cs="Arial" w:eastAsia="Arial" w:hAnsi="Arial"/>
          <w:sz w:val="18"/>
          <w:szCs w:val="18"/>
          <w:color w:val="auto"/>
        </w:rPr>
        <w:t>or on behalf of the Borrower or any other Loan Party without further verification and (b) upon the request of the Administrative Agent, any Electronic Signature shall be promptly followed by a manually executed, original counterpart. “Electronic Record” and “Electronic</w:t>
      </w:r>
    </w:p>
    <w:p>
      <w:pPr>
        <w:spacing w:after="0" w:line="2" w:lineRule="exact"/>
        <w:rPr>
          <w:sz w:val="20"/>
          <w:szCs w:val="20"/>
          <w:color w:val="auto"/>
        </w:rPr>
      </w:pPr>
    </w:p>
    <w:p>
      <w:pPr>
        <w:ind w:right="4760"/>
        <w:spacing w:after="0" w:line="234" w:lineRule="auto"/>
        <w:rPr>
          <w:sz w:val="20"/>
          <w:szCs w:val="20"/>
          <w:color w:val="auto"/>
        </w:rPr>
      </w:pPr>
      <w:r>
        <w:rPr>
          <w:rFonts w:ascii="Arial" w:cs="Arial" w:eastAsia="Arial" w:hAnsi="Arial"/>
          <w:sz w:val="20"/>
          <w:szCs w:val="20"/>
          <w:color w:val="auto"/>
        </w:rPr>
        <w:t>Signature” shall have the meanings assigned to them, respectively, by 15 USC §7006, as it may be amended from time to time.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40"/>
          </w:cols>
          <w:pgMar w:left="480" w:top="1440" w:right="479" w:bottom="1440" w:gutter="0" w:footer="0" w:header="0"/>
        </w:sectPr>
      </w:pPr>
    </w:p>
    <w:bookmarkStart w:id="38" w:name="page39"/>
    <w:bookmarkEnd w:id="38"/>
    <w:p>
      <w:pPr>
        <w:ind w:left="640"/>
        <w:spacing w:after="0"/>
        <w:rPr>
          <w:sz w:val="20"/>
          <w:szCs w:val="20"/>
          <w:color w:val="auto"/>
        </w:rPr>
      </w:pPr>
      <w:r>
        <w:rPr>
          <w:rFonts w:ascii="Arial" w:cs="Arial" w:eastAsia="Arial" w:hAnsi="Arial"/>
          <w:sz w:val="16"/>
          <w:szCs w:val="16"/>
          <w:color w:val="auto"/>
        </w:rPr>
        <w:t>The Administrative Agent has caused a counterpart of this Amendment to be duly executed and delivered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BANK OF AMERICA, N.A., as Administrative Agent</w:t>
      </w:r>
    </w:p>
    <w:p>
      <w:pPr>
        <w:spacing w:after="0" w:line="204" w:lineRule="exact"/>
        <w:rPr>
          <w:sz w:val="20"/>
          <w:szCs w:val="20"/>
          <w:color w:val="auto"/>
        </w:rPr>
      </w:pPr>
    </w:p>
    <w:p>
      <w:pPr>
        <w:jc w:val="right"/>
        <w:ind w:right="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Diana Benner</w:t>
      </w:r>
    </w:p>
    <w:p>
      <w:pPr>
        <w:jc w:val="right"/>
        <w:ind w:right="620"/>
        <w:spacing w:after="0" w:line="197" w:lineRule="auto"/>
        <w:rPr>
          <w:sz w:val="20"/>
          <w:szCs w:val="20"/>
          <w:color w:val="auto"/>
        </w:rPr>
      </w:pPr>
      <w:r>
        <w:rPr>
          <w:rFonts w:ascii="Arial" w:cs="Arial" w:eastAsia="Arial" w:hAnsi="Arial"/>
          <w:sz w:val="20"/>
          <w:szCs w:val="20"/>
          <w:color w:val="auto"/>
        </w:rPr>
        <w:t>Name: Dianna Benner</w:t>
      </w:r>
    </w:p>
    <w:p>
      <w:pPr>
        <w:jc w:val="right"/>
        <w:ind w:right="62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10960"/>
          </w:cols>
          <w:pgMar w:left="480" w:top="1392" w:right="4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0"/>
          <w:szCs w:val="20"/>
          <w:b w:val="1"/>
          <w:bCs w:val="1"/>
          <w:u w:val="single" w:color="auto"/>
          <w:color w:val="auto"/>
        </w:rPr>
        <w:t>Annex A</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(Attached)</w:t>
      </w:r>
    </w:p>
    <w:p>
      <w:pPr>
        <w:sectPr>
          <w:pgSz w:w="11900" w:h="16838" w:orient="portrait"/>
          <w:cols w:equalWidth="0" w:num="1">
            <w:col w:w="9019"/>
          </w:cols>
          <w:pgMar w:left="1440" w:top="1399"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AMENDED AND RESTATED FIRST LIEN CREDIT AGREEMENT</w:t>
      </w:r>
    </w:p>
    <w:p>
      <w:pPr>
        <w:spacing w:after="0" w:line="32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Dated as of October 27, 2021 Among</w:t>
      </w:r>
    </w:p>
    <w:p>
      <w:pPr>
        <w:spacing w:after="0" w:line="8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OPTION CARE HEALTH, INC.,</w:t>
      </w:r>
    </w:p>
    <w:p>
      <w:pPr>
        <w:ind w:left="3660"/>
        <w:spacing w:after="0"/>
        <w:rPr>
          <w:sz w:val="20"/>
          <w:szCs w:val="20"/>
          <w:color w:val="auto"/>
        </w:rPr>
      </w:pPr>
      <w:r>
        <w:rPr>
          <w:rFonts w:ascii="Arial" w:cs="Arial" w:eastAsia="Arial" w:hAnsi="Arial"/>
          <w:sz w:val="18"/>
          <w:szCs w:val="18"/>
          <w:color w:val="auto"/>
        </w:rPr>
        <w:t>as the Parent Borrower,</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GUARANTORS PARTY HERETO FROM TIME TO TIME, BANK OF AMERICA, N.A.,</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9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THE LENDERS PARTY HERETO FROM TIME TO TIME,</w:t>
      </w:r>
    </w:p>
    <w:p>
      <w:pPr>
        <w:spacing w:after="0" w:line="19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BOFA SECURITIES, INC.,</w:t>
      </w:r>
    </w:p>
    <w:p>
      <w:pPr>
        <w:jc w:val="center"/>
        <w:ind w:right="980"/>
        <w:spacing w:after="0"/>
        <w:rPr>
          <w:sz w:val="20"/>
          <w:szCs w:val="20"/>
          <w:color w:val="auto"/>
        </w:rPr>
      </w:pPr>
      <w:r>
        <w:rPr>
          <w:rFonts w:ascii="Arial" w:cs="Arial" w:eastAsia="Arial" w:hAnsi="Arial"/>
          <w:sz w:val="18"/>
          <w:szCs w:val="18"/>
          <w:color w:val="auto"/>
        </w:rPr>
        <w:t>as Lead Arranger and Lead Bookrunner,</w:t>
      </w:r>
    </w:p>
    <w:p>
      <w:pPr>
        <w:spacing w:after="0" w:line="19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BOFA SECURITIES, INC.,</w:t>
      </w:r>
    </w:p>
    <w:p>
      <w:pPr>
        <w:jc w:val="center"/>
        <w:ind w:right="980"/>
        <w:spacing w:after="0"/>
        <w:rPr>
          <w:sz w:val="20"/>
          <w:szCs w:val="20"/>
          <w:color w:val="auto"/>
        </w:rPr>
      </w:pPr>
      <w:r>
        <w:rPr>
          <w:rFonts w:ascii="Arial" w:cs="Arial" w:eastAsia="Arial" w:hAnsi="Arial"/>
          <w:sz w:val="18"/>
          <w:szCs w:val="18"/>
          <w:color w:val="auto"/>
        </w:rPr>
        <w:t>as Syndication Agent and Documentation Agent</w:t>
      </w:r>
    </w:p>
    <w:p>
      <w:pPr>
        <w:sectPr>
          <w:pgSz w:w="11900" w:h="16838" w:orient="portrait"/>
          <w:cols w:equalWidth="0" w:num="1">
            <w:col w:w="9980"/>
          </w:cols>
          <w:pgMar w:left="1440" w:top="753" w:right="479" w:bottom="1440" w:gutter="0" w:footer="0" w:header="0"/>
        </w:sectPr>
      </w:pPr>
    </w:p>
    <w:bookmarkStart w:id="41" w:name="page42"/>
    <w:bookmarkEnd w:id="41"/>
    <w:p>
      <w:pPr>
        <w:spacing w:after="0" w:line="21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TABLE OF CONTENTS</w:t>
      </w:r>
    </w:p>
    <w:tbl>
      <w:tblPr>
        <w:tblLayout w:type="fixed"/>
        <w:tblInd w:w="0" w:type="dxa"/>
        <w:tblCellMar>
          <w:top w:w="0" w:type="dxa"/>
          <w:left w:w="0" w:type="dxa"/>
          <w:bottom w:w="0" w:type="dxa"/>
          <w:right w:w="0" w:type="dxa"/>
        </w:tblCellMar>
      </w:tblPr>
      <w:tr>
        <w:trPr>
          <w:trHeight w:val="274"/>
        </w:trPr>
        <w:tc>
          <w:tcPr>
            <w:tcW w:w="1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980" w:type="dxa"/>
            <w:vAlign w:val="bottom"/>
            <w:gridSpan w:val="12"/>
          </w:tcPr>
          <w:p>
            <w:pPr>
              <w:jc w:val="right"/>
              <w:ind w:right="3452"/>
              <w:spacing w:after="0"/>
              <w:rPr>
                <w:sz w:val="20"/>
                <w:szCs w:val="20"/>
                <w:color w:val="auto"/>
              </w:rPr>
            </w:pPr>
            <w:r>
              <w:rPr>
                <w:rFonts w:ascii="Arial" w:cs="Arial" w:eastAsia="Arial" w:hAnsi="Arial"/>
                <w:sz w:val="22"/>
                <w:szCs w:val="22"/>
                <w:color w:val="auto"/>
                <w:w w:val="77"/>
              </w:rPr>
              <w:t>Page</w:t>
            </w:r>
          </w:p>
        </w:tc>
      </w:tr>
      <w:tr>
        <w:trPr>
          <w:trHeight w:val="468"/>
        </w:trPr>
        <w:tc>
          <w:tcPr>
            <w:tcW w:w="5840" w:type="dxa"/>
            <w:vAlign w:val="bottom"/>
            <w:gridSpan w:val="4"/>
          </w:tcPr>
          <w:p>
            <w:pPr>
              <w:spacing w:after="0"/>
              <w:rPr>
                <w:sz w:val="20"/>
                <w:szCs w:val="20"/>
                <w:color w:val="auto"/>
              </w:rPr>
            </w:pPr>
            <w:r>
              <w:rPr>
                <w:rFonts w:ascii="Arial" w:cs="Arial" w:eastAsia="Arial" w:hAnsi="Arial"/>
                <w:sz w:val="22"/>
                <w:szCs w:val="22"/>
                <w:color w:val="010000"/>
                <w:w w:val="87"/>
              </w:rPr>
              <w:t xml:space="preserve">Article I. </w:t>
            </w:r>
            <w:r>
              <w:rPr>
                <w:rFonts w:ascii="Arial" w:cs="Arial" w:eastAsia="Arial" w:hAnsi="Arial"/>
                <w:sz w:val="22"/>
                <w:szCs w:val="22"/>
                <w:color w:val="000000"/>
                <w:w w:val="87"/>
              </w:rPr>
              <w:t>DEFINITIONS AND ACCOUNTING TERMS........................</w:t>
            </w:r>
          </w:p>
        </w:tc>
        <w:tc>
          <w:tcPr>
            <w:tcW w:w="820" w:type="dxa"/>
            <w:vAlign w:val="bottom"/>
            <w:gridSpan w:val="10"/>
          </w:tcPr>
          <w:p>
            <w:pPr>
              <w:jc w:val="right"/>
              <w:ind w:right="156"/>
              <w:spacing w:after="0"/>
              <w:rPr>
                <w:sz w:val="20"/>
                <w:szCs w:val="20"/>
                <w:color w:val="auto"/>
              </w:rPr>
            </w:pPr>
            <w:r>
              <w:rPr>
                <w:rFonts w:ascii="Arial" w:cs="Arial" w:eastAsia="Arial" w:hAnsi="Arial"/>
                <w:sz w:val="22"/>
                <w:szCs w:val="22"/>
                <w:color w:val="auto"/>
              </w:rPr>
              <w:t>1</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22"/>
                <w:szCs w:val="22"/>
                <w:color w:val="010000"/>
                <w:w w:val="89"/>
              </w:rPr>
              <w:t>Section 1.01</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Defined Terms...........................................................</w:t>
            </w:r>
          </w:p>
        </w:tc>
        <w:tc>
          <w:tcPr>
            <w:tcW w:w="820" w:type="dxa"/>
            <w:vAlign w:val="bottom"/>
            <w:gridSpan w:val="10"/>
          </w:tcPr>
          <w:p>
            <w:pPr>
              <w:jc w:val="right"/>
              <w:ind w:right="136"/>
              <w:spacing w:after="0"/>
              <w:rPr>
                <w:sz w:val="20"/>
                <w:szCs w:val="20"/>
                <w:color w:val="auto"/>
              </w:rPr>
            </w:pPr>
            <w:r>
              <w:rPr>
                <w:rFonts w:ascii="Arial" w:cs="Arial" w:eastAsia="Arial" w:hAnsi="Arial"/>
                <w:sz w:val="22"/>
                <w:szCs w:val="22"/>
                <w:color w:val="auto"/>
              </w:rPr>
              <w:t>1</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1.02</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4"/>
              </w:rPr>
              <w:t>Other Interpretive Provisions................................</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6</w:t>
            </w: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5</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4</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1.03</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4"/>
              </w:rPr>
              <w:t>Accounting Terms.................................................</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6</w:t>
            </w: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7</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6</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1.04</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Rounding............................................................... 6</w:t>
            </w:r>
          </w:p>
        </w:tc>
        <w:tc>
          <w:tcPr>
            <w:tcW w:w="360" w:type="dxa"/>
            <w:vAlign w:val="bottom"/>
            <w:gridSpan w:val="3"/>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7</w:t>
            </w:r>
          </w:p>
        </w:tc>
        <w:tc>
          <w:tcPr>
            <w:tcW w:w="340" w:type="dxa"/>
            <w:vAlign w:val="bottom"/>
            <w:gridSpan w:val="2"/>
          </w:tcPr>
          <w:p>
            <w:pPr>
              <w:jc w:val="right"/>
              <w:ind w:right="136"/>
              <w:spacing w:after="0"/>
              <w:rPr>
                <w:sz w:val="20"/>
                <w:szCs w:val="20"/>
                <w:color w:val="auto"/>
              </w:rPr>
            </w:pPr>
            <w:r>
              <w:rPr>
                <w:rFonts w:ascii="Arial" w:cs="Arial" w:eastAsia="Arial" w:hAnsi="Arial"/>
                <w:sz w:val="19"/>
                <w:szCs w:val="19"/>
                <w:color w:val="008080"/>
                <w:w w:val="75"/>
              </w:rPr>
              <w:t>6</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1.05</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References to Agreements, Laws, Etc.....................</w:t>
            </w:r>
          </w:p>
        </w:tc>
        <w:tc>
          <w:tcPr>
            <w:tcW w:w="820" w:type="dxa"/>
            <w:vAlign w:val="bottom"/>
            <w:gridSpan w:val="10"/>
          </w:tcPr>
          <w:p>
            <w:pPr>
              <w:jc w:val="right"/>
              <w:ind w:right="116"/>
              <w:spacing w:after="0"/>
              <w:rPr>
                <w:sz w:val="20"/>
                <w:szCs w:val="20"/>
                <w:color w:val="auto"/>
              </w:rPr>
            </w:pPr>
            <w:r>
              <w:rPr>
                <w:rFonts w:ascii="Arial" w:cs="Arial" w:eastAsia="Arial" w:hAnsi="Arial"/>
                <w:sz w:val="22"/>
                <w:szCs w:val="22"/>
                <w:color w:val="auto"/>
              </w:rPr>
              <w:t>67</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1.06</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Times of Day......................................................... 6</w:t>
            </w:r>
          </w:p>
        </w:tc>
        <w:tc>
          <w:tcPr>
            <w:tcW w:w="360" w:type="dxa"/>
            <w:vAlign w:val="bottom"/>
            <w:gridSpan w:val="3"/>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8</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7</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1.07</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1"/>
              </w:rPr>
              <w:t>Timing of Payment or Performance...................... 6</w:t>
            </w:r>
          </w:p>
        </w:tc>
        <w:tc>
          <w:tcPr>
            <w:tcW w:w="360" w:type="dxa"/>
            <w:vAlign w:val="bottom"/>
            <w:gridSpan w:val="3"/>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8</w:t>
            </w:r>
          </w:p>
        </w:tc>
        <w:tc>
          <w:tcPr>
            <w:tcW w:w="340" w:type="dxa"/>
            <w:vAlign w:val="bottom"/>
            <w:gridSpan w:val="2"/>
          </w:tcPr>
          <w:p>
            <w:pPr>
              <w:jc w:val="right"/>
              <w:ind w:right="136"/>
              <w:spacing w:after="0"/>
              <w:rPr>
                <w:sz w:val="20"/>
                <w:szCs w:val="20"/>
                <w:color w:val="auto"/>
              </w:rPr>
            </w:pPr>
            <w:r>
              <w:rPr>
                <w:rFonts w:ascii="Arial" w:cs="Arial" w:eastAsia="Arial" w:hAnsi="Arial"/>
                <w:sz w:val="19"/>
                <w:szCs w:val="19"/>
                <w:color w:val="008080"/>
                <w:w w:val="75"/>
              </w:rPr>
              <w:t>7</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1.08</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Pro Forma Calculations......................................... 6</w:t>
            </w:r>
          </w:p>
        </w:tc>
        <w:tc>
          <w:tcPr>
            <w:tcW w:w="380" w:type="dxa"/>
            <w:vAlign w:val="bottom"/>
            <w:gridSpan w:val="4"/>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8</w:t>
            </w:r>
          </w:p>
        </w:tc>
        <w:tc>
          <w:tcPr>
            <w:tcW w:w="340" w:type="dxa"/>
            <w:vAlign w:val="bottom"/>
            <w:gridSpan w:val="2"/>
          </w:tcPr>
          <w:p>
            <w:pPr>
              <w:jc w:val="right"/>
              <w:ind w:right="116"/>
              <w:spacing w:after="0"/>
              <w:rPr>
                <w:sz w:val="20"/>
                <w:szCs w:val="20"/>
                <w:color w:val="auto"/>
              </w:rPr>
            </w:pPr>
            <w:r>
              <w:rPr>
                <w:rFonts w:ascii="Arial" w:cs="Arial" w:eastAsia="Arial" w:hAnsi="Arial"/>
                <w:sz w:val="22"/>
                <w:szCs w:val="22"/>
                <w:color w:val="008080"/>
                <w:w w:val="81"/>
              </w:rPr>
              <w:t>7</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1.09</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4"/>
              </w:rPr>
              <w:t>Currency Generally...............................................</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1</w:t>
            </w:r>
          </w:p>
        </w:tc>
        <w:tc>
          <w:tcPr>
            <w:tcW w:w="360" w:type="dxa"/>
            <w:vAlign w:val="bottom"/>
            <w:gridSpan w:val="3"/>
          </w:tcPr>
          <w:p>
            <w:pPr>
              <w:jc w:val="right"/>
              <w:ind w:right="156"/>
              <w:spacing w:after="0"/>
              <w:rPr>
                <w:sz w:val="20"/>
                <w:szCs w:val="20"/>
                <w:color w:val="auto"/>
              </w:rPr>
            </w:pPr>
            <w:r>
              <w:rPr>
                <w:rFonts w:ascii="Arial" w:cs="Arial" w:eastAsia="Arial" w:hAnsi="Arial"/>
                <w:sz w:val="19"/>
                <w:szCs w:val="19"/>
                <w:color w:val="008080"/>
                <w:w w:val="75"/>
              </w:rPr>
              <w:t>0</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0"/>
        </w:trPr>
        <w:tc>
          <w:tcPr>
            <w:tcW w:w="5840" w:type="dxa"/>
            <w:vAlign w:val="bottom"/>
            <w:gridSpan w:val="4"/>
          </w:tcPr>
          <w:p>
            <w:pPr>
              <w:spacing w:after="0"/>
              <w:rPr>
                <w:sz w:val="20"/>
                <w:szCs w:val="20"/>
                <w:color w:val="auto"/>
              </w:rPr>
            </w:pPr>
            <w:r>
              <w:rPr>
                <w:rFonts w:ascii="Arial" w:cs="Arial" w:eastAsia="Arial" w:hAnsi="Arial"/>
                <w:sz w:val="22"/>
                <w:szCs w:val="22"/>
                <w:color w:val="010000"/>
                <w:w w:val="92"/>
              </w:rPr>
              <w:t xml:space="preserve">Article II. </w:t>
            </w:r>
            <w:r>
              <w:rPr>
                <w:rFonts w:ascii="Arial" w:cs="Arial" w:eastAsia="Arial" w:hAnsi="Arial"/>
                <w:sz w:val="22"/>
                <w:szCs w:val="22"/>
                <w:color w:val="000000"/>
                <w:w w:val="92"/>
              </w:rPr>
              <w:t>THE COMMITMENTS AND CREDIT EXTENSIONS.....</w:t>
            </w:r>
          </w:p>
        </w:tc>
        <w:tc>
          <w:tcPr>
            <w:tcW w:w="320" w:type="dxa"/>
            <w:vAlign w:val="bottom"/>
          </w:tcPr>
          <w:p>
            <w:pPr>
              <w:jc w:val="right"/>
              <w:spacing w:after="0"/>
              <w:rPr>
                <w:sz w:val="20"/>
                <w:szCs w:val="20"/>
                <w:color w:val="auto"/>
              </w:rPr>
            </w:pPr>
            <w:r>
              <w:rPr>
                <w:rFonts w:ascii="Arial" w:cs="Arial" w:eastAsia="Arial" w:hAnsi="Arial"/>
                <w:sz w:val="22"/>
                <w:szCs w:val="22"/>
                <w:color w:val="auto"/>
              </w:rPr>
              <w:t>7</w:t>
            </w: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1</w:t>
            </w:r>
          </w:p>
        </w:tc>
        <w:tc>
          <w:tcPr>
            <w:tcW w:w="400" w:type="dxa"/>
            <w:vAlign w:val="bottom"/>
            <w:gridSpan w:val="5"/>
          </w:tcPr>
          <w:p>
            <w:pPr>
              <w:jc w:val="right"/>
              <w:ind w:right="176"/>
              <w:spacing w:after="0"/>
              <w:rPr>
                <w:sz w:val="20"/>
                <w:szCs w:val="20"/>
                <w:color w:val="auto"/>
              </w:rPr>
            </w:pPr>
            <w:r>
              <w:rPr>
                <w:rFonts w:ascii="Arial" w:cs="Arial" w:eastAsia="Arial" w:hAnsi="Arial"/>
                <w:sz w:val="22"/>
                <w:szCs w:val="22"/>
                <w:color w:val="008080"/>
                <w:w w:val="81"/>
              </w:rPr>
              <w:t>0</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22"/>
                <w:szCs w:val="22"/>
                <w:color w:val="010000"/>
                <w:w w:val="89"/>
              </w:rPr>
              <w:t>Section 2.01</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The Loans.............................................................. 7</w:t>
            </w:r>
          </w:p>
        </w:tc>
        <w:tc>
          <w:tcPr>
            <w:tcW w:w="380" w:type="dxa"/>
            <w:vAlign w:val="bottom"/>
            <w:gridSpan w:val="4"/>
          </w:tcPr>
          <w:p>
            <w:pPr>
              <w:spacing w:after="0"/>
              <w:rPr>
                <w:sz w:val="24"/>
                <w:szCs w:val="24"/>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1</w:t>
            </w:r>
          </w:p>
        </w:tc>
        <w:tc>
          <w:tcPr>
            <w:tcW w:w="340" w:type="dxa"/>
            <w:vAlign w:val="bottom"/>
            <w:gridSpan w:val="2"/>
          </w:tcPr>
          <w:p>
            <w:pPr>
              <w:jc w:val="right"/>
              <w:ind w:right="116"/>
              <w:spacing w:after="0"/>
              <w:rPr>
                <w:sz w:val="20"/>
                <w:szCs w:val="20"/>
                <w:color w:val="auto"/>
              </w:rPr>
            </w:pPr>
            <w:r>
              <w:rPr>
                <w:rFonts w:ascii="Arial" w:cs="Arial" w:eastAsia="Arial" w:hAnsi="Arial"/>
                <w:sz w:val="22"/>
                <w:szCs w:val="22"/>
                <w:color w:val="008080"/>
                <w:w w:val="81"/>
              </w:rPr>
              <w:t>0</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2.02</w:t>
            </w:r>
            <w:r>
              <w:rPr>
                <w:rFonts w:ascii="Arial" w:cs="Arial" w:eastAsia="Arial" w:hAnsi="Arial"/>
                <w:sz w:val="22"/>
                <w:szCs w:val="22"/>
                <w:color w:val="000000"/>
                <w:w w:val="89"/>
              </w:rPr>
              <w:t>............</w:t>
            </w:r>
          </w:p>
        </w:tc>
        <w:tc>
          <w:tcPr>
            <w:tcW w:w="8040" w:type="dxa"/>
            <w:vAlign w:val="bottom"/>
            <w:gridSpan w:val="15"/>
          </w:tcPr>
          <w:p>
            <w:pPr>
              <w:ind w:left="20"/>
              <w:spacing w:after="0"/>
              <w:rPr>
                <w:sz w:val="20"/>
                <w:szCs w:val="20"/>
                <w:color w:val="auto"/>
              </w:rPr>
            </w:pPr>
            <w:r>
              <w:rPr>
                <w:rFonts w:ascii="Arial" w:cs="Arial" w:eastAsia="Arial" w:hAnsi="Arial"/>
                <w:sz w:val="22"/>
                <w:szCs w:val="22"/>
                <w:color w:val="auto"/>
              </w:rPr>
              <w:t>Borrowings, Conversions and Continuations of</w:t>
            </w:r>
          </w:p>
        </w:tc>
      </w:tr>
      <w:tr>
        <w:trPr>
          <w:trHeight w:val="235"/>
        </w:trPr>
        <w:tc>
          <w:tcPr>
            <w:tcW w:w="4180" w:type="dxa"/>
            <w:vAlign w:val="bottom"/>
            <w:gridSpan w:val="2"/>
          </w:tcPr>
          <w:p>
            <w:pPr>
              <w:spacing w:after="0"/>
              <w:rPr>
                <w:sz w:val="20"/>
                <w:szCs w:val="20"/>
                <w:color w:val="auto"/>
              </w:rPr>
            </w:pPr>
            <w:r>
              <w:rPr>
                <w:rFonts w:ascii="Arial" w:cs="Arial" w:eastAsia="Arial" w:hAnsi="Arial"/>
                <w:sz w:val="19"/>
                <w:szCs w:val="19"/>
                <w:color w:val="auto"/>
                <w:w w:val="70"/>
              </w:rPr>
              <w:t>Loans......................................................................................................</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20" w:type="dxa"/>
            <w:vAlign w:val="bottom"/>
            <w:gridSpan w:val="10"/>
          </w:tcPr>
          <w:p>
            <w:pPr>
              <w:jc w:val="right"/>
              <w:ind w:right="136"/>
              <w:spacing w:after="0" w:line="236" w:lineRule="exact"/>
              <w:rPr>
                <w:sz w:val="20"/>
                <w:szCs w:val="20"/>
                <w:color w:val="auto"/>
              </w:rPr>
            </w:pPr>
            <w:r>
              <w:rPr>
                <w:rFonts w:ascii="Arial" w:cs="Arial" w:eastAsia="Arial" w:hAnsi="Arial"/>
                <w:sz w:val="22"/>
                <w:szCs w:val="22"/>
                <w:color w:val="auto"/>
              </w:rPr>
              <w:t>7</w:t>
            </w:r>
            <w:r>
              <w:rPr>
                <w:rFonts w:ascii="Arial" w:cs="Arial" w:eastAsia="Arial" w:hAnsi="Arial"/>
                <w:sz w:val="22"/>
                <w:szCs w:val="22"/>
                <w:color w:val="FF0000"/>
              </w:rPr>
              <w:t>1</w:t>
            </w:r>
            <w:r>
              <w:rPr>
                <w:rFonts w:ascii="Arial" w:cs="Arial" w:eastAsia="Arial" w:hAnsi="Arial"/>
                <w:sz w:val="22"/>
                <w:szCs w:val="22"/>
                <w:color w:val="008080"/>
              </w:rPr>
              <w:t>0</w:t>
            </w:r>
          </w:p>
        </w:tc>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2.03</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[Reserved]............................................................. 7</w:t>
            </w:r>
          </w:p>
        </w:tc>
        <w:tc>
          <w:tcPr>
            <w:tcW w:w="360" w:type="dxa"/>
            <w:vAlign w:val="bottom"/>
            <w:gridSpan w:val="3"/>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3</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2</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2.04</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[Reserved]............................................................. 7</w:t>
            </w:r>
          </w:p>
        </w:tc>
        <w:tc>
          <w:tcPr>
            <w:tcW w:w="360" w:type="dxa"/>
            <w:vAlign w:val="bottom"/>
            <w:gridSpan w:val="3"/>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3</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2</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2.05</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Prepayments.......................................................... 7</w:t>
            </w:r>
          </w:p>
        </w:tc>
        <w:tc>
          <w:tcPr>
            <w:tcW w:w="360" w:type="dxa"/>
            <w:vAlign w:val="bottom"/>
            <w:gridSpan w:val="3"/>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3</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2</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2.06</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2"/>
              </w:rPr>
              <w:t>Termination or Reduction of Commitments......... 8</w:t>
            </w:r>
          </w:p>
        </w:tc>
        <w:tc>
          <w:tcPr>
            <w:tcW w:w="320" w:type="dxa"/>
            <w:vAlign w:val="bottom"/>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4</w:t>
            </w:r>
          </w:p>
        </w:tc>
        <w:tc>
          <w:tcPr>
            <w:tcW w:w="380" w:type="dxa"/>
            <w:vAlign w:val="bottom"/>
            <w:gridSpan w:val="4"/>
          </w:tcPr>
          <w:p>
            <w:pPr>
              <w:jc w:val="right"/>
              <w:ind w:right="156"/>
              <w:spacing w:after="0"/>
              <w:rPr>
                <w:sz w:val="20"/>
                <w:szCs w:val="20"/>
                <w:color w:val="auto"/>
              </w:rPr>
            </w:pPr>
            <w:r>
              <w:rPr>
                <w:rFonts w:ascii="Arial" w:cs="Arial" w:eastAsia="Arial" w:hAnsi="Arial"/>
                <w:sz w:val="22"/>
                <w:szCs w:val="22"/>
                <w:color w:val="008080"/>
                <w:w w:val="81"/>
              </w:rPr>
              <w:t>3</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2.07</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Repayment of Loans.............................................. 8</w:t>
            </w:r>
          </w:p>
        </w:tc>
        <w:tc>
          <w:tcPr>
            <w:tcW w:w="380" w:type="dxa"/>
            <w:vAlign w:val="bottom"/>
            <w:gridSpan w:val="4"/>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4</w:t>
            </w:r>
          </w:p>
        </w:tc>
        <w:tc>
          <w:tcPr>
            <w:tcW w:w="320" w:type="dxa"/>
            <w:vAlign w:val="bottom"/>
          </w:tcPr>
          <w:p>
            <w:pPr>
              <w:jc w:val="right"/>
              <w:ind w:right="96"/>
              <w:spacing w:after="0"/>
              <w:rPr>
                <w:sz w:val="20"/>
                <w:szCs w:val="20"/>
                <w:color w:val="auto"/>
              </w:rPr>
            </w:pPr>
            <w:r>
              <w:rPr>
                <w:rFonts w:ascii="Arial" w:cs="Arial" w:eastAsia="Arial" w:hAnsi="Arial"/>
                <w:sz w:val="22"/>
                <w:szCs w:val="22"/>
                <w:color w:val="008080"/>
                <w:w w:val="81"/>
              </w:rPr>
              <w:t>3</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2.08</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Interest................................................................... 8</w:t>
            </w:r>
          </w:p>
        </w:tc>
        <w:tc>
          <w:tcPr>
            <w:tcW w:w="380" w:type="dxa"/>
            <w:vAlign w:val="bottom"/>
            <w:gridSpan w:val="4"/>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5</w:t>
            </w:r>
          </w:p>
        </w:tc>
        <w:tc>
          <w:tcPr>
            <w:tcW w:w="340" w:type="dxa"/>
            <w:vAlign w:val="bottom"/>
            <w:gridSpan w:val="2"/>
          </w:tcPr>
          <w:p>
            <w:pPr>
              <w:jc w:val="right"/>
              <w:ind w:right="116"/>
              <w:spacing w:after="0"/>
              <w:rPr>
                <w:sz w:val="20"/>
                <w:szCs w:val="20"/>
                <w:color w:val="auto"/>
              </w:rPr>
            </w:pPr>
            <w:r>
              <w:rPr>
                <w:rFonts w:ascii="Arial" w:cs="Arial" w:eastAsia="Arial" w:hAnsi="Arial"/>
                <w:sz w:val="22"/>
                <w:szCs w:val="22"/>
                <w:color w:val="008080"/>
                <w:w w:val="81"/>
              </w:rPr>
              <w:t>4</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22"/>
                <w:szCs w:val="22"/>
                <w:color w:val="010000"/>
                <w:w w:val="89"/>
              </w:rPr>
              <w:t>Section 2.09</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Fees........................................................................ 8</w:t>
            </w:r>
          </w:p>
        </w:tc>
        <w:tc>
          <w:tcPr>
            <w:tcW w:w="380" w:type="dxa"/>
            <w:vAlign w:val="bottom"/>
            <w:gridSpan w:val="4"/>
          </w:tcPr>
          <w:p>
            <w:pPr>
              <w:spacing w:after="0"/>
              <w:rPr>
                <w:sz w:val="22"/>
                <w:szCs w:val="22"/>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5</w:t>
            </w:r>
          </w:p>
        </w:tc>
        <w:tc>
          <w:tcPr>
            <w:tcW w:w="320" w:type="dxa"/>
            <w:vAlign w:val="bottom"/>
          </w:tcPr>
          <w:p>
            <w:pPr>
              <w:jc w:val="right"/>
              <w:ind w:right="96"/>
              <w:spacing w:after="0"/>
              <w:rPr>
                <w:sz w:val="20"/>
                <w:szCs w:val="20"/>
                <w:color w:val="auto"/>
              </w:rPr>
            </w:pPr>
            <w:r>
              <w:rPr>
                <w:rFonts w:ascii="Arial" w:cs="Arial" w:eastAsia="Arial" w:hAnsi="Arial"/>
                <w:sz w:val="22"/>
                <w:szCs w:val="22"/>
                <w:color w:val="008080"/>
                <w:w w:val="81"/>
              </w:rPr>
              <w:t>4</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2.10</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Computation of Interest and Fees............................</w:t>
            </w:r>
          </w:p>
        </w:tc>
        <w:tc>
          <w:tcPr>
            <w:tcW w:w="820" w:type="dxa"/>
            <w:vAlign w:val="bottom"/>
            <w:gridSpan w:val="10"/>
          </w:tcPr>
          <w:p>
            <w:pPr>
              <w:jc w:val="right"/>
              <w:ind w:right="96"/>
              <w:spacing w:after="0"/>
              <w:rPr>
                <w:sz w:val="20"/>
                <w:szCs w:val="20"/>
                <w:color w:val="auto"/>
              </w:rPr>
            </w:pPr>
            <w:r>
              <w:rPr>
                <w:rFonts w:ascii="Arial" w:cs="Arial" w:eastAsia="Arial" w:hAnsi="Arial"/>
                <w:sz w:val="22"/>
                <w:szCs w:val="22"/>
                <w:color w:val="auto"/>
              </w:rPr>
              <w:t>85</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2.11</w:t>
            </w:r>
            <w:r>
              <w:rPr>
                <w:rFonts w:ascii="Arial" w:cs="Arial" w:eastAsia="Arial" w:hAnsi="Arial"/>
                <w:sz w:val="22"/>
                <w:szCs w:val="22"/>
                <w:color w:val="000000"/>
                <w:w w:val="89"/>
              </w:rPr>
              <w:t>............</w:t>
            </w:r>
          </w:p>
        </w:tc>
        <w:tc>
          <w:tcPr>
            <w:tcW w:w="4060" w:type="dxa"/>
            <w:vAlign w:val="bottom"/>
            <w:gridSpan w:val="3"/>
          </w:tcPr>
          <w:p>
            <w:pPr>
              <w:spacing w:after="0"/>
              <w:rPr>
                <w:sz w:val="20"/>
                <w:szCs w:val="20"/>
                <w:color w:val="auto"/>
              </w:rPr>
            </w:pPr>
            <w:r>
              <w:rPr>
                <w:rFonts w:ascii="Arial" w:cs="Arial" w:eastAsia="Arial" w:hAnsi="Arial"/>
                <w:sz w:val="22"/>
                <w:szCs w:val="22"/>
                <w:color w:val="auto"/>
                <w:w w:val="80"/>
              </w:rPr>
              <w:t>Evidence of Indebtedness...................................... 8</w:t>
            </w:r>
          </w:p>
        </w:tc>
        <w:tc>
          <w:tcPr>
            <w:tcW w:w="380" w:type="dxa"/>
            <w:vAlign w:val="bottom"/>
            <w:gridSpan w:val="4"/>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6</w:t>
            </w:r>
          </w:p>
        </w:tc>
        <w:tc>
          <w:tcPr>
            <w:tcW w:w="340" w:type="dxa"/>
            <w:vAlign w:val="bottom"/>
            <w:gridSpan w:val="2"/>
          </w:tcPr>
          <w:p>
            <w:pPr>
              <w:jc w:val="right"/>
              <w:ind w:right="116"/>
              <w:spacing w:after="0"/>
              <w:rPr>
                <w:sz w:val="20"/>
                <w:szCs w:val="20"/>
                <w:color w:val="auto"/>
              </w:rPr>
            </w:pPr>
            <w:r>
              <w:rPr>
                <w:rFonts w:ascii="Arial" w:cs="Arial" w:eastAsia="Arial" w:hAnsi="Arial"/>
                <w:sz w:val="22"/>
                <w:szCs w:val="22"/>
                <w:color w:val="008080"/>
                <w:w w:val="81"/>
              </w:rPr>
              <w:t>5</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2.12</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Payments Generally............................................... 8</w:t>
            </w:r>
          </w:p>
        </w:tc>
        <w:tc>
          <w:tcPr>
            <w:tcW w:w="380" w:type="dxa"/>
            <w:vAlign w:val="bottom"/>
            <w:gridSpan w:val="4"/>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6</w:t>
            </w:r>
          </w:p>
        </w:tc>
        <w:tc>
          <w:tcPr>
            <w:tcW w:w="320" w:type="dxa"/>
            <w:vAlign w:val="bottom"/>
          </w:tcPr>
          <w:p>
            <w:pPr>
              <w:jc w:val="right"/>
              <w:ind w:right="116"/>
              <w:spacing w:after="0"/>
              <w:rPr>
                <w:sz w:val="20"/>
                <w:szCs w:val="20"/>
                <w:color w:val="auto"/>
              </w:rPr>
            </w:pPr>
            <w:r>
              <w:rPr>
                <w:rFonts w:ascii="Arial" w:cs="Arial" w:eastAsia="Arial" w:hAnsi="Arial"/>
                <w:sz w:val="19"/>
                <w:szCs w:val="19"/>
                <w:color w:val="008080"/>
                <w:w w:val="75"/>
              </w:rPr>
              <w:t>5</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2.13</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Sharing of Payments.............................................. 8</w:t>
            </w:r>
          </w:p>
        </w:tc>
        <w:tc>
          <w:tcPr>
            <w:tcW w:w="380" w:type="dxa"/>
            <w:vAlign w:val="bottom"/>
            <w:gridSpan w:val="4"/>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8</w:t>
            </w:r>
          </w:p>
        </w:tc>
        <w:tc>
          <w:tcPr>
            <w:tcW w:w="320" w:type="dxa"/>
            <w:vAlign w:val="bottom"/>
          </w:tcPr>
          <w:p>
            <w:pPr>
              <w:jc w:val="right"/>
              <w:ind w:right="96"/>
              <w:spacing w:after="0"/>
              <w:rPr>
                <w:sz w:val="20"/>
                <w:szCs w:val="20"/>
                <w:color w:val="auto"/>
              </w:rPr>
            </w:pPr>
            <w:r>
              <w:rPr>
                <w:rFonts w:ascii="Arial" w:cs="Arial" w:eastAsia="Arial" w:hAnsi="Arial"/>
                <w:sz w:val="22"/>
                <w:szCs w:val="22"/>
                <w:color w:val="008080"/>
                <w:w w:val="81"/>
              </w:rPr>
              <w:t>7</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2.14</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1"/>
              </w:rPr>
              <w:t>Incremental Credit Extensions.............................. 8</w:t>
            </w:r>
          </w:p>
        </w:tc>
        <w:tc>
          <w:tcPr>
            <w:tcW w:w="360" w:type="dxa"/>
            <w:vAlign w:val="bottom"/>
            <w:gridSpan w:val="3"/>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9</w:t>
            </w:r>
          </w:p>
        </w:tc>
        <w:tc>
          <w:tcPr>
            <w:tcW w:w="360" w:type="dxa"/>
            <w:vAlign w:val="bottom"/>
            <w:gridSpan w:val="3"/>
          </w:tcPr>
          <w:p>
            <w:pPr>
              <w:jc w:val="right"/>
              <w:ind w:right="136"/>
              <w:spacing w:after="0"/>
              <w:rPr>
                <w:sz w:val="20"/>
                <w:szCs w:val="20"/>
                <w:color w:val="auto"/>
              </w:rPr>
            </w:pPr>
            <w:r>
              <w:rPr>
                <w:rFonts w:ascii="Arial" w:cs="Arial" w:eastAsia="Arial" w:hAnsi="Arial"/>
                <w:sz w:val="22"/>
                <w:szCs w:val="22"/>
                <w:color w:val="008080"/>
                <w:w w:val="81"/>
              </w:rPr>
              <w:t>8</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2.15</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1"/>
              </w:rPr>
              <w:t>Refinancing Amendments.......................................</w:t>
            </w:r>
          </w:p>
        </w:tc>
        <w:tc>
          <w:tcPr>
            <w:tcW w:w="820" w:type="dxa"/>
            <w:vAlign w:val="bottom"/>
            <w:gridSpan w:val="10"/>
          </w:tcPr>
          <w:p>
            <w:pPr>
              <w:jc w:val="right"/>
              <w:ind w:right="136"/>
              <w:spacing w:after="0"/>
              <w:rPr>
                <w:sz w:val="20"/>
                <w:szCs w:val="20"/>
                <w:color w:val="auto"/>
              </w:rPr>
            </w:pPr>
            <w:r>
              <w:rPr>
                <w:rFonts w:ascii="Arial" w:cs="Arial" w:eastAsia="Arial" w:hAnsi="Arial"/>
                <w:sz w:val="22"/>
                <w:szCs w:val="22"/>
                <w:color w:val="auto"/>
              </w:rPr>
              <w:t>94</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2.16</w:t>
            </w:r>
            <w:r>
              <w:rPr>
                <w:rFonts w:ascii="Arial" w:cs="Arial" w:eastAsia="Arial" w:hAnsi="Arial"/>
                <w:sz w:val="22"/>
                <w:szCs w:val="22"/>
                <w:color w:val="000000"/>
                <w:w w:val="89"/>
              </w:rPr>
              <w:t>............</w:t>
            </w:r>
          </w:p>
        </w:tc>
        <w:tc>
          <w:tcPr>
            <w:tcW w:w="8040" w:type="dxa"/>
            <w:vAlign w:val="bottom"/>
            <w:gridSpan w:val="15"/>
          </w:tcPr>
          <w:p>
            <w:pPr>
              <w:ind w:left="20"/>
              <w:spacing w:after="0"/>
              <w:rPr>
                <w:sz w:val="20"/>
                <w:szCs w:val="20"/>
                <w:color w:val="auto"/>
              </w:rPr>
            </w:pPr>
            <w:r>
              <w:rPr>
                <w:rFonts w:ascii="Arial" w:cs="Arial" w:eastAsia="Arial" w:hAnsi="Arial"/>
                <w:sz w:val="22"/>
                <w:szCs w:val="22"/>
                <w:color w:val="auto"/>
              </w:rPr>
              <w:t>Extension of Term Loans; Extension of Revolving Credit</w:t>
            </w:r>
          </w:p>
        </w:tc>
      </w:tr>
      <w:tr>
        <w:trPr>
          <w:trHeight w:val="235"/>
        </w:trPr>
        <w:tc>
          <w:tcPr>
            <w:tcW w:w="4180" w:type="dxa"/>
            <w:vAlign w:val="bottom"/>
            <w:gridSpan w:val="2"/>
          </w:tcPr>
          <w:p>
            <w:pPr>
              <w:spacing w:after="0"/>
              <w:rPr>
                <w:sz w:val="20"/>
                <w:szCs w:val="20"/>
                <w:color w:val="auto"/>
              </w:rPr>
            </w:pPr>
            <w:r>
              <w:rPr>
                <w:rFonts w:ascii="Arial" w:cs="Arial" w:eastAsia="Arial" w:hAnsi="Arial"/>
                <w:sz w:val="19"/>
                <w:szCs w:val="19"/>
                <w:color w:val="auto"/>
                <w:w w:val="71"/>
              </w:rPr>
              <w:t>Loans....................................................................................................</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gridSpan w:val="8"/>
          </w:tcPr>
          <w:p>
            <w:pPr>
              <w:jc w:val="right"/>
              <w:spacing w:after="0" w:line="236" w:lineRule="exact"/>
              <w:rPr>
                <w:sz w:val="20"/>
                <w:szCs w:val="20"/>
                <w:color w:val="auto"/>
              </w:rPr>
            </w:pPr>
            <w:r>
              <w:rPr>
                <w:rFonts w:ascii="Arial" w:cs="Arial" w:eastAsia="Arial" w:hAnsi="Arial"/>
                <w:sz w:val="22"/>
                <w:szCs w:val="22"/>
                <w:color w:val="auto"/>
              </w:rPr>
              <w:t>100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2.17</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Defaulting Lenders.............................................. 10</w:t>
            </w:r>
          </w:p>
        </w:tc>
        <w:tc>
          <w:tcPr>
            <w:tcW w:w="380" w:type="dxa"/>
            <w:vAlign w:val="bottom"/>
            <w:gridSpan w:val="4"/>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4</w:t>
            </w:r>
          </w:p>
        </w:tc>
        <w:tc>
          <w:tcPr>
            <w:tcW w:w="340" w:type="dxa"/>
            <w:vAlign w:val="bottom"/>
            <w:gridSpan w:val="2"/>
          </w:tcPr>
          <w:p>
            <w:pPr>
              <w:jc w:val="right"/>
              <w:ind w:right="116"/>
              <w:spacing w:after="0"/>
              <w:rPr>
                <w:sz w:val="20"/>
                <w:szCs w:val="20"/>
                <w:color w:val="auto"/>
              </w:rPr>
            </w:pPr>
            <w:r>
              <w:rPr>
                <w:rFonts w:ascii="Arial" w:cs="Arial" w:eastAsia="Arial" w:hAnsi="Arial"/>
                <w:sz w:val="22"/>
                <w:szCs w:val="22"/>
                <w:color w:val="008080"/>
                <w:w w:val="81"/>
              </w:rPr>
              <w:t>3</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2.18</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Co-Borrowers...................................................... 10</w:t>
            </w:r>
          </w:p>
        </w:tc>
        <w:tc>
          <w:tcPr>
            <w:tcW w:w="360" w:type="dxa"/>
            <w:vAlign w:val="bottom"/>
            <w:gridSpan w:val="3"/>
          </w:tcPr>
          <w:p>
            <w:pPr>
              <w:spacing w:after="0"/>
              <w:rPr>
                <w:sz w:val="24"/>
                <w:szCs w:val="24"/>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5</w:t>
            </w:r>
          </w:p>
        </w:tc>
        <w:tc>
          <w:tcPr>
            <w:tcW w:w="340" w:type="dxa"/>
            <w:vAlign w:val="bottom"/>
            <w:gridSpan w:val="2"/>
          </w:tcPr>
          <w:p>
            <w:pPr>
              <w:jc w:val="right"/>
              <w:ind w:right="136"/>
              <w:spacing w:after="0"/>
              <w:rPr>
                <w:sz w:val="20"/>
                <w:szCs w:val="20"/>
                <w:color w:val="auto"/>
              </w:rPr>
            </w:pPr>
            <w:r>
              <w:rPr>
                <w:rFonts w:ascii="Arial" w:cs="Arial" w:eastAsia="Arial" w:hAnsi="Arial"/>
                <w:sz w:val="19"/>
                <w:szCs w:val="19"/>
                <w:color w:val="008080"/>
                <w:w w:val="75"/>
              </w:rPr>
              <w:t>4</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68"/>
        </w:trPr>
        <w:tc>
          <w:tcPr>
            <w:tcW w:w="5840" w:type="dxa"/>
            <w:vAlign w:val="bottom"/>
            <w:gridSpan w:val="4"/>
          </w:tcPr>
          <w:p>
            <w:pPr>
              <w:spacing w:after="0"/>
              <w:rPr>
                <w:sz w:val="20"/>
                <w:szCs w:val="20"/>
                <w:color w:val="auto"/>
              </w:rPr>
            </w:pPr>
            <w:r>
              <w:rPr>
                <w:rFonts w:ascii="Arial" w:cs="Arial" w:eastAsia="Arial" w:hAnsi="Arial"/>
                <w:sz w:val="22"/>
                <w:szCs w:val="22"/>
                <w:color w:val="010000"/>
                <w:w w:val="97"/>
              </w:rPr>
              <w:t xml:space="preserve">Article III. </w:t>
            </w:r>
            <w:r>
              <w:rPr>
                <w:rFonts w:ascii="Arial" w:cs="Arial" w:eastAsia="Arial" w:hAnsi="Arial"/>
                <w:sz w:val="22"/>
                <w:szCs w:val="22"/>
                <w:color w:val="000000"/>
                <w:w w:val="97"/>
              </w:rPr>
              <w:t>TAXES, INCREASED COSTS PROTECTION AND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8"/>
                <w:szCs w:val="8"/>
                <w:color w:val="auto"/>
                <w:w w:val="74"/>
              </w:rPr>
              <w:t>ILLEGALITY......................................................................................</w:t>
            </w: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10</w:t>
            </w: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6</w:t>
            </w:r>
          </w:p>
        </w:tc>
        <w:tc>
          <w:tcPr>
            <w:tcW w:w="380" w:type="dxa"/>
            <w:vAlign w:val="bottom"/>
            <w:gridSpan w:val="4"/>
          </w:tcPr>
          <w:p>
            <w:pPr>
              <w:jc w:val="right"/>
              <w:ind w:right="176"/>
              <w:spacing w:after="0"/>
              <w:rPr>
                <w:sz w:val="20"/>
                <w:szCs w:val="20"/>
                <w:color w:val="auto"/>
              </w:rPr>
            </w:pPr>
            <w:r>
              <w:rPr>
                <w:rFonts w:ascii="Arial" w:cs="Arial" w:eastAsia="Arial" w:hAnsi="Arial"/>
                <w:sz w:val="19"/>
                <w:szCs w:val="19"/>
                <w:color w:val="008080"/>
                <w:w w:val="75"/>
              </w:rPr>
              <w:t>5</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22"/>
                <w:szCs w:val="22"/>
                <w:color w:val="010000"/>
                <w:w w:val="89"/>
              </w:rPr>
              <w:t>Section 3.01</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0"/>
              </w:rPr>
              <w:t>Taxes................................................................... 10</w:t>
            </w:r>
          </w:p>
        </w:tc>
        <w:tc>
          <w:tcPr>
            <w:tcW w:w="320" w:type="dxa"/>
            <w:vAlign w:val="bottom"/>
          </w:tcPr>
          <w:p>
            <w:pPr>
              <w:spacing w:after="0"/>
              <w:rPr>
                <w:sz w:val="24"/>
                <w:szCs w:val="24"/>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6</w:t>
            </w:r>
          </w:p>
        </w:tc>
        <w:tc>
          <w:tcPr>
            <w:tcW w:w="380" w:type="dxa"/>
            <w:vAlign w:val="bottom"/>
            <w:gridSpan w:val="4"/>
          </w:tcPr>
          <w:p>
            <w:pPr>
              <w:jc w:val="right"/>
              <w:ind w:right="156"/>
              <w:spacing w:after="0"/>
              <w:rPr>
                <w:sz w:val="20"/>
                <w:szCs w:val="20"/>
                <w:color w:val="auto"/>
              </w:rPr>
            </w:pPr>
            <w:r>
              <w:rPr>
                <w:rFonts w:ascii="Arial" w:cs="Arial" w:eastAsia="Arial" w:hAnsi="Arial"/>
                <w:sz w:val="22"/>
                <w:szCs w:val="22"/>
                <w:color w:val="008080"/>
                <w:w w:val="81"/>
              </w:rPr>
              <w:t>5</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3.02</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2"/>
              </w:rPr>
              <w:t>Illegality...............................................................10</w:t>
            </w:r>
          </w:p>
        </w:tc>
        <w:tc>
          <w:tcPr>
            <w:tcW w:w="320" w:type="dxa"/>
            <w:vAlign w:val="bottom"/>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9</w:t>
            </w:r>
          </w:p>
        </w:tc>
        <w:tc>
          <w:tcPr>
            <w:tcW w:w="380" w:type="dxa"/>
            <w:vAlign w:val="bottom"/>
            <w:gridSpan w:val="4"/>
          </w:tcPr>
          <w:p>
            <w:pPr>
              <w:jc w:val="right"/>
              <w:ind w:right="156"/>
              <w:spacing w:after="0"/>
              <w:rPr>
                <w:sz w:val="20"/>
                <w:szCs w:val="20"/>
                <w:color w:val="auto"/>
              </w:rPr>
            </w:pPr>
            <w:r>
              <w:rPr>
                <w:rFonts w:ascii="Arial" w:cs="Arial" w:eastAsia="Arial" w:hAnsi="Arial"/>
                <w:sz w:val="22"/>
                <w:szCs w:val="22"/>
                <w:color w:val="008080"/>
                <w:w w:val="81"/>
              </w:rPr>
              <w:t>8</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3.03</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85"/>
              </w:rPr>
              <w:t>Inability to Determine Rates.................................</w:t>
            </w:r>
          </w:p>
        </w:tc>
        <w:tc>
          <w:tcPr>
            <w:tcW w:w="820" w:type="dxa"/>
            <w:vAlign w:val="bottom"/>
            <w:gridSpan w:val="10"/>
          </w:tcPr>
          <w:p>
            <w:pPr>
              <w:jc w:val="right"/>
              <w:ind w:right="156"/>
              <w:spacing w:after="0"/>
              <w:rPr>
                <w:sz w:val="20"/>
                <w:szCs w:val="20"/>
                <w:color w:val="auto"/>
              </w:rPr>
            </w:pPr>
            <w:r>
              <w:rPr>
                <w:rFonts w:ascii="Arial" w:cs="Arial" w:eastAsia="Arial" w:hAnsi="Arial"/>
                <w:sz w:val="22"/>
                <w:szCs w:val="22"/>
                <w:color w:val="auto"/>
              </w:rPr>
              <w:t>109</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3.04</w:t>
            </w:r>
            <w:r>
              <w:rPr>
                <w:rFonts w:ascii="Arial" w:cs="Arial" w:eastAsia="Arial" w:hAnsi="Arial"/>
                <w:sz w:val="22"/>
                <w:szCs w:val="22"/>
                <w:color w:val="000000"/>
                <w:w w:val="89"/>
              </w:rPr>
              <w:t>............</w:t>
            </w:r>
          </w:p>
        </w:tc>
        <w:tc>
          <w:tcPr>
            <w:tcW w:w="4880" w:type="dxa"/>
            <w:vAlign w:val="bottom"/>
            <w:gridSpan w:val="13"/>
          </w:tcPr>
          <w:p>
            <w:pPr>
              <w:ind w:left="20"/>
              <w:spacing w:after="0"/>
              <w:rPr>
                <w:sz w:val="20"/>
                <w:szCs w:val="20"/>
                <w:color w:val="auto"/>
              </w:rPr>
            </w:pPr>
            <w:r>
              <w:rPr>
                <w:rFonts w:ascii="Arial" w:cs="Arial" w:eastAsia="Arial" w:hAnsi="Arial"/>
                <w:sz w:val="22"/>
                <w:szCs w:val="22"/>
                <w:color w:val="auto"/>
                <w:w w:val="88"/>
              </w:rPr>
              <w:t>Increased Cost and Reduced Return; Capital Adequacy;</w:t>
            </w:r>
          </w:p>
        </w:tc>
        <w:tc>
          <w:tcPr>
            <w:tcW w:w="1620" w:type="dxa"/>
            <w:vAlign w:val="bottom"/>
          </w:tcPr>
          <w:p>
            <w:pPr>
              <w:spacing w:after="0"/>
              <w:rPr>
                <w:sz w:val="20"/>
                <w:szCs w:val="20"/>
                <w:color w:val="auto"/>
              </w:rPr>
            </w:pPr>
            <w:r>
              <w:rPr>
                <w:rFonts w:ascii="Arial" w:cs="Arial" w:eastAsia="Arial" w:hAnsi="Arial"/>
                <w:sz w:val="22"/>
                <w:szCs w:val="22"/>
                <w:color w:val="FF0000"/>
                <w:strike w:val="1"/>
                <w:w w:val="87"/>
              </w:rPr>
              <w:t>Eurocurrency Rate</w:t>
            </w:r>
          </w:p>
        </w:tc>
        <w:tc>
          <w:tcPr>
            <w:tcW w:w="1540" w:type="dxa"/>
            <w:vAlign w:val="bottom"/>
          </w:tcPr>
          <w:p>
            <w:pPr>
              <w:spacing w:after="0"/>
              <w:rPr>
                <w:sz w:val="20"/>
                <w:szCs w:val="20"/>
                <w:color w:val="auto"/>
              </w:rPr>
            </w:pPr>
            <w:r>
              <w:rPr>
                <w:rFonts w:ascii="Arial" w:cs="Arial" w:eastAsia="Arial" w:hAnsi="Arial"/>
                <w:sz w:val="22"/>
                <w:szCs w:val="22"/>
                <w:color w:val="008080"/>
                <w:w w:val="87"/>
              </w:rPr>
              <w:t xml:space="preserve">Term SOFR </w:t>
            </w:r>
            <w:r>
              <w:rPr>
                <w:rFonts w:ascii="Arial" w:cs="Arial" w:eastAsia="Arial" w:hAnsi="Arial"/>
                <w:sz w:val="22"/>
                <w:szCs w:val="22"/>
                <w:color w:val="000000"/>
                <w:w w:val="87"/>
              </w:rPr>
              <w:t>Loan</w:t>
            </w:r>
          </w:p>
        </w:tc>
      </w:tr>
      <w:tr>
        <w:trPr>
          <w:trHeight w:val="235"/>
        </w:trPr>
        <w:tc>
          <w:tcPr>
            <w:tcW w:w="1780" w:type="dxa"/>
            <w:vAlign w:val="bottom"/>
          </w:tcPr>
          <w:p>
            <w:pPr>
              <w:spacing w:after="0"/>
              <w:rPr>
                <w:sz w:val="20"/>
                <w:szCs w:val="20"/>
                <w:color w:val="auto"/>
              </w:rPr>
            </w:pPr>
            <w:r>
              <w:rPr>
                <w:rFonts w:ascii="Arial" w:cs="Arial" w:eastAsia="Arial" w:hAnsi="Arial"/>
                <w:sz w:val="12"/>
                <w:szCs w:val="12"/>
                <w:color w:val="auto"/>
                <w:w w:val="72"/>
              </w:rPr>
              <w:t>Reserves..........................................................</w:t>
            </w:r>
          </w:p>
        </w:tc>
        <w:tc>
          <w:tcPr>
            <w:tcW w:w="2400" w:type="dxa"/>
            <w:vAlign w:val="bottom"/>
          </w:tcPr>
          <w:p>
            <w:pPr>
              <w:ind w:left="2200"/>
              <w:spacing w:after="0" w:line="236" w:lineRule="exact"/>
              <w:rPr>
                <w:sz w:val="20"/>
                <w:szCs w:val="20"/>
                <w:color w:val="auto"/>
              </w:rPr>
            </w:pPr>
            <w:r>
              <w:rPr>
                <w:rFonts w:ascii="Arial" w:cs="Arial" w:eastAsia="Arial" w:hAnsi="Arial"/>
                <w:sz w:val="22"/>
                <w:szCs w:val="22"/>
                <w:color w:val="auto"/>
                <w:w w:val="73"/>
              </w:rPr>
              <w:t>11</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1</w:t>
            </w:r>
          </w:p>
        </w:tc>
        <w:tc>
          <w:tcPr>
            <w:tcW w:w="1560" w:type="dxa"/>
            <w:vAlign w:val="bottom"/>
          </w:tcPr>
          <w:p>
            <w:pPr>
              <w:jc w:val="right"/>
              <w:ind w:right="1363"/>
              <w:spacing w:after="0"/>
              <w:rPr>
                <w:sz w:val="20"/>
                <w:szCs w:val="20"/>
                <w:color w:val="auto"/>
              </w:rPr>
            </w:pPr>
            <w:r>
              <w:rPr>
                <w:rFonts w:ascii="Arial" w:cs="Arial" w:eastAsia="Arial" w:hAnsi="Arial"/>
                <w:sz w:val="19"/>
                <w:szCs w:val="19"/>
                <w:color w:val="008080"/>
                <w:w w:val="75"/>
              </w:rPr>
              <w:t>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3.05</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w w:val="79"/>
              </w:rPr>
              <w:t>Funding Losses.................................................... 11</w:t>
            </w:r>
          </w:p>
        </w:tc>
        <w:tc>
          <w:tcPr>
            <w:tcW w:w="380" w:type="dxa"/>
            <w:vAlign w:val="bottom"/>
            <w:gridSpan w:val="4"/>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2</w:t>
            </w:r>
          </w:p>
        </w:tc>
        <w:tc>
          <w:tcPr>
            <w:tcW w:w="320" w:type="dxa"/>
            <w:vAlign w:val="bottom"/>
          </w:tcPr>
          <w:p>
            <w:pPr>
              <w:jc w:val="right"/>
              <w:ind w:right="116"/>
              <w:spacing w:after="0"/>
              <w:rPr>
                <w:sz w:val="20"/>
                <w:szCs w:val="20"/>
                <w:color w:val="auto"/>
              </w:rPr>
            </w:pPr>
            <w:r>
              <w:rPr>
                <w:rFonts w:ascii="Arial" w:cs="Arial" w:eastAsia="Arial" w:hAnsi="Arial"/>
                <w:sz w:val="19"/>
                <w:szCs w:val="19"/>
                <w:color w:val="008080"/>
                <w:w w:val="75"/>
              </w:rPr>
              <w:t>1</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3.06</w:t>
            </w:r>
            <w:r>
              <w:rPr>
                <w:rFonts w:ascii="Arial" w:cs="Arial" w:eastAsia="Arial" w:hAnsi="Arial"/>
                <w:sz w:val="22"/>
                <w:szCs w:val="22"/>
                <w:color w:val="000000"/>
                <w:w w:val="89"/>
              </w:rPr>
              <w:t>............</w:t>
            </w:r>
          </w:p>
        </w:tc>
        <w:tc>
          <w:tcPr>
            <w:tcW w:w="4060" w:type="dxa"/>
            <w:vAlign w:val="bottom"/>
            <w:gridSpan w:val="3"/>
          </w:tcPr>
          <w:p>
            <w:pPr>
              <w:ind w:left="20"/>
              <w:spacing w:after="0"/>
              <w:rPr>
                <w:sz w:val="20"/>
                <w:szCs w:val="20"/>
                <w:color w:val="auto"/>
              </w:rPr>
            </w:pPr>
            <w:r>
              <w:rPr>
                <w:rFonts w:ascii="Arial" w:cs="Arial" w:eastAsia="Arial" w:hAnsi="Arial"/>
                <w:sz w:val="22"/>
                <w:szCs w:val="22"/>
                <w:color w:val="auto"/>
              </w:rPr>
              <w:t>Matters Applicable to All Requests for</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8"/>
                <w:szCs w:val="8"/>
                <w:color w:val="auto"/>
                <w:w w:val="71"/>
              </w:rPr>
              <w:t>Compensation........................................................................................</w:t>
            </w: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80" w:type="dxa"/>
            <w:vAlign w:val="bottom"/>
            <w:gridSpan w:val="4"/>
          </w:tcPr>
          <w:p>
            <w:pPr>
              <w:jc w:val="right"/>
              <w:spacing w:after="0"/>
              <w:rPr>
                <w:sz w:val="20"/>
                <w:szCs w:val="20"/>
                <w:color w:val="auto"/>
              </w:rPr>
            </w:pPr>
            <w:r>
              <w:rPr>
                <w:rFonts w:ascii="Arial" w:cs="Arial" w:eastAsia="Arial" w:hAnsi="Arial"/>
                <w:sz w:val="22"/>
                <w:szCs w:val="22"/>
                <w:color w:val="auto"/>
              </w:rPr>
              <w:t>11</w:t>
            </w: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2</w:t>
            </w:r>
          </w:p>
        </w:tc>
        <w:tc>
          <w:tcPr>
            <w:tcW w:w="340" w:type="dxa"/>
            <w:vAlign w:val="bottom"/>
            <w:gridSpan w:val="2"/>
          </w:tcPr>
          <w:p>
            <w:pPr>
              <w:jc w:val="right"/>
              <w:ind w:right="116"/>
              <w:spacing w:after="0"/>
              <w:rPr>
                <w:sz w:val="20"/>
                <w:szCs w:val="20"/>
                <w:color w:val="auto"/>
              </w:rPr>
            </w:pPr>
            <w:r>
              <w:rPr>
                <w:rFonts w:ascii="Arial" w:cs="Arial" w:eastAsia="Arial" w:hAnsi="Arial"/>
                <w:sz w:val="22"/>
                <w:szCs w:val="22"/>
                <w:color w:val="008080"/>
                <w:w w:val="81"/>
              </w:rPr>
              <w:t>1</w:t>
            </w:r>
          </w:p>
        </w:tc>
        <w:tc>
          <w:tcPr>
            <w:tcW w:w="162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139"/>
          </w:cols>
          <w:pgMar w:left="320" w:top="1440" w:right="1440" w:bottom="1440" w:gutter="0" w:footer="0" w:header="0"/>
          <w:type w:val="continuous"/>
        </w:sectPr>
      </w:pPr>
    </w:p>
    <w:bookmarkStart w:id="42" w:name="page43"/>
    <w:bookmarkEnd w:id="42"/>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3.07</w:t>
            </w:r>
            <w:r>
              <w:rPr>
                <w:rFonts w:ascii="Arial" w:cs="Arial" w:eastAsia="Arial" w:hAnsi="Arial"/>
                <w:sz w:val="22"/>
                <w:szCs w:val="22"/>
                <w:color w:val="000000"/>
                <w:w w:val="89"/>
              </w:rPr>
              <w:t>............</w:t>
            </w:r>
          </w:p>
        </w:tc>
        <w:tc>
          <w:tcPr>
            <w:tcW w:w="9320" w:type="dxa"/>
            <w:vAlign w:val="bottom"/>
            <w:gridSpan w:val="18"/>
          </w:tcPr>
          <w:p>
            <w:pPr>
              <w:ind w:left="20"/>
              <w:spacing w:after="0"/>
              <w:rPr>
                <w:sz w:val="20"/>
                <w:szCs w:val="20"/>
                <w:color w:val="auto"/>
              </w:rPr>
            </w:pPr>
            <w:r>
              <w:rPr>
                <w:rFonts w:ascii="Arial" w:cs="Arial" w:eastAsia="Arial" w:hAnsi="Arial"/>
                <w:sz w:val="22"/>
                <w:szCs w:val="22"/>
                <w:color w:val="auto"/>
                <w:w w:val="88"/>
              </w:rPr>
              <w:t>Replacement of Lenders under Certain Circumstances................................................................................…..</w:t>
            </w:r>
          </w:p>
        </w:tc>
      </w:tr>
      <w:tr>
        <w:trPr>
          <w:trHeight w:val="235"/>
        </w:trPr>
        <w:tc>
          <w:tcPr>
            <w:tcW w:w="220" w:type="dxa"/>
            <w:vAlign w:val="bottom"/>
          </w:tcPr>
          <w:p>
            <w:pPr>
              <w:spacing w:after="0" w:line="236" w:lineRule="exact"/>
              <w:rPr>
                <w:sz w:val="20"/>
                <w:szCs w:val="20"/>
                <w:color w:val="auto"/>
              </w:rPr>
            </w:pPr>
            <w:r>
              <w:rPr>
                <w:rFonts w:ascii="Arial" w:cs="Arial" w:eastAsia="Arial" w:hAnsi="Arial"/>
                <w:sz w:val="22"/>
                <w:szCs w:val="22"/>
                <w:color w:val="auto"/>
                <w:w w:val="81"/>
              </w:rPr>
              <w:t>11</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4</w:t>
            </w:r>
          </w:p>
        </w:tc>
        <w:tc>
          <w:tcPr>
            <w:tcW w:w="1460" w:type="dxa"/>
            <w:vAlign w:val="bottom"/>
          </w:tcPr>
          <w:p>
            <w:pPr>
              <w:jc w:val="right"/>
              <w:ind w:right="1232"/>
              <w:spacing w:after="0" w:line="236" w:lineRule="exact"/>
              <w:rPr>
                <w:sz w:val="20"/>
                <w:szCs w:val="20"/>
                <w:color w:val="auto"/>
              </w:rPr>
            </w:pPr>
            <w:r>
              <w:rPr>
                <w:rFonts w:ascii="Arial" w:cs="Arial" w:eastAsia="Arial" w:hAnsi="Arial"/>
                <w:sz w:val="22"/>
                <w:szCs w:val="22"/>
                <w:color w:val="008080"/>
                <w:w w:val="81"/>
              </w:rPr>
              <w:t>2</w:t>
            </w: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82"/>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3.08</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8"/>
              </w:rPr>
              <w:t>Survival...............................................................</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11</w:t>
            </w: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6</w:t>
            </w:r>
          </w:p>
        </w:tc>
        <w:tc>
          <w:tcPr>
            <w:tcW w:w="700" w:type="dxa"/>
            <w:vAlign w:val="bottom"/>
            <w:gridSpan w:val="4"/>
          </w:tcPr>
          <w:p>
            <w:pPr>
              <w:spacing w:after="0"/>
              <w:rPr>
                <w:sz w:val="20"/>
                <w:szCs w:val="20"/>
                <w:color w:val="auto"/>
              </w:rPr>
            </w:pPr>
            <w:r>
              <w:rPr>
                <w:rFonts w:ascii="Arial" w:cs="Arial" w:eastAsia="Arial" w:hAnsi="Arial"/>
                <w:sz w:val="22"/>
                <w:szCs w:val="22"/>
                <w:color w:val="008080"/>
              </w:rPr>
              <w:t>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13"/>
        </w:trPr>
        <w:tc>
          <w:tcPr>
            <w:tcW w:w="7000" w:type="dxa"/>
            <w:vAlign w:val="bottom"/>
            <w:gridSpan w:val="17"/>
          </w:tcPr>
          <w:p>
            <w:pPr>
              <w:spacing w:after="0"/>
              <w:rPr>
                <w:sz w:val="20"/>
                <w:szCs w:val="20"/>
                <w:color w:val="auto"/>
              </w:rPr>
            </w:pPr>
            <w:r>
              <w:rPr>
                <w:rFonts w:ascii="Arial" w:cs="Arial" w:eastAsia="Arial" w:hAnsi="Arial"/>
                <w:sz w:val="22"/>
                <w:szCs w:val="22"/>
                <w:color w:val="010000"/>
                <w:w w:val="93"/>
              </w:rPr>
              <w:t xml:space="preserve">Article IV. </w:t>
            </w:r>
            <w:r>
              <w:rPr>
                <w:rFonts w:ascii="Arial" w:cs="Arial" w:eastAsia="Arial" w:hAnsi="Arial"/>
                <w:sz w:val="22"/>
                <w:szCs w:val="22"/>
                <w:color w:val="000000"/>
                <w:w w:val="93"/>
              </w:rPr>
              <w:t>CONDITIONS PRECEDENT TO CREDIT EXTENSIONS.......… 11</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6</w:t>
            </w:r>
          </w:p>
        </w:tc>
        <w:tc>
          <w:tcPr>
            <w:tcW w:w="4000" w:type="dxa"/>
            <w:vAlign w:val="bottom"/>
            <w:gridSpan w:val="2"/>
          </w:tcPr>
          <w:p>
            <w:pPr>
              <w:jc w:val="right"/>
              <w:ind w:right="3783"/>
              <w:spacing w:after="0"/>
              <w:rPr>
                <w:sz w:val="20"/>
                <w:szCs w:val="20"/>
                <w:color w:val="auto"/>
              </w:rPr>
            </w:pPr>
            <w:r>
              <w:rPr>
                <w:rFonts w:ascii="Arial" w:cs="Arial" w:eastAsia="Arial" w:hAnsi="Arial"/>
                <w:sz w:val="22"/>
                <w:szCs w:val="22"/>
                <w:color w:val="008080"/>
                <w:w w:val="81"/>
              </w:rPr>
              <w:t>5</w:t>
            </w:r>
          </w:p>
        </w:tc>
      </w:tr>
      <w:tr>
        <w:trPr>
          <w:trHeight w:val="474"/>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4.01</w:t>
            </w:r>
            <w:r>
              <w:rPr>
                <w:rFonts w:ascii="Arial" w:cs="Arial" w:eastAsia="Arial" w:hAnsi="Arial"/>
                <w:sz w:val="22"/>
                <w:szCs w:val="22"/>
                <w:color w:val="000000"/>
                <w:w w:val="89"/>
              </w:rPr>
              <w:t>............</w:t>
            </w:r>
          </w:p>
        </w:tc>
        <w:tc>
          <w:tcPr>
            <w:tcW w:w="4500" w:type="dxa"/>
            <w:vAlign w:val="bottom"/>
            <w:gridSpan w:val="9"/>
          </w:tcPr>
          <w:p>
            <w:pPr>
              <w:ind w:left="20"/>
              <w:spacing w:after="0"/>
              <w:rPr>
                <w:sz w:val="20"/>
                <w:szCs w:val="20"/>
                <w:color w:val="auto"/>
              </w:rPr>
            </w:pPr>
            <w:r>
              <w:rPr>
                <w:rFonts w:ascii="Arial" w:cs="Arial" w:eastAsia="Arial" w:hAnsi="Arial"/>
                <w:sz w:val="22"/>
                <w:szCs w:val="22"/>
                <w:color w:val="auto"/>
                <w:w w:val="90"/>
              </w:rPr>
              <w:t>Conditions to Initial Credit Extension..............… 11</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6</w:t>
            </w:r>
          </w:p>
        </w:tc>
        <w:tc>
          <w:tcPr>
            <w:tcW w:w="680" w:type="dxa"/>
            <w:vAlign w:val="bottom"/>
            <w:gridSpan w:val="2"/>
          </w:tcPr>
          <w:p>
            <w:pPr>
              <w:jc w:val="right"/>
              <w:ind w:right="463"/>
              <w:spacing w:after="0"/>
              <w:rPr>
                <w:sz w:val="20"/>
                <w:szCs w:val="20"/>
                <w:color w:val="auto"/>
              </w:rPr>
            </w:pPr>
            <w:r>
              <w:rPr>
                <w:rFonts w:ascii="Arial" w:cs="Arial" w:eastAsia="Arial" w:hAnsi="Arial"/>
                <w:sz w:val="22"/>
                <w:szCs w:val="22"/>
                <w:color w:val="008080"/>
                <w:w w:val="81"/>
              </w:rPr>
              <w:t>5</w:t>
            </w:r>
          </w:p>
        </w:tc>
        <w:tc>
          <w:tcPr>
            <w:tcW w:w="120" w:type="dxa"/>
            <w:vAlign w:val="bottom"/>
            <w:gridSpan w:val="2"/>
          </w:tcPr>
          <w:p>
            <w:pPr>
              <w:spacing w:after="0"/>
              <w:rPr>
                <w:sz w:val="24"/>
                <w:szCs w:val="24"/>
                <w:color w:val="auto"/>
              </w:rPr>
            </w:pPr>
          </w:p>
        </w:tc>
        <w:tc>
          <w:tcPr>
            <w:tcW w:w="3920" w:type="dxa"/>
            <w:vAlign w:val="bottom"/>
          </w:tcPr>
          <w:p>
            <w:pPr>
              <w:spacing w:after="0"/>
              <w:rPr>
                <w:sz w:val="24"/>
                <w:szCs w:val="24"/>
                <w:color w:val="auto"/>
              </w:rPr>
            </w:pPr>
          </w:p>
        </w:tc>
      </w:tr>
      <w:tr>
        <w:trPr>
          <w:trHeight w:val="282"/>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4.02</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3"/>
              </w:rPr>
              <w:t>Conditions to All Credit Extensions.................... 11</w:t>
            </w:r>
          </w:p>
        </w:tc>
        <w:tc>
          <w:tcPr>
            <w:tcW w:w="300" w:type="dxa"/>
            <w:vAlign w:val="bottom"/>
            <w:gridSpan w:val="6"/>
          </w:tcPr>
          <w:p>
            <w:pPr>
              <w:spacing w:after="0"/>
              <w:rPr>
                <w:sz w:val="24"/>
                <w:szCs w:val="24"/>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7</w:t>
            </w:r>
          </w:p>
        </w:tc>
        <w:tc>
          <w:tcPr>
            <w:tcW w:w="680" w:type="dxa"/>
            <w:vAlign w:val="bottom"/>
            <w:gridSpan w:val="3"/>
          </w:tcPr>
          <w:p>
            <w:pPr>
              <w:jc w:val="right"/>
              <w:ind w:right="452"/>
              <w:spacing w:after="0"/>
              <w:rPr>
                <w:sz w:val="20"/>
                <w:szCs w:val="20"/>
                <w:color w:val="auto"/>
              </w:rPr>
            </w:pPr>
            <w:r>
              <w:rPr>
                <w:rFonts w:ascii="Arial" w:cs="Arial" w:eastAsia="Arial" w:hAnsi="Arial"/>
                <w:sz w:val="22"/>
                <w:szCs w:val="22"/>
                <w:color w:val="008080"/>
                <w:w w:val="81"/>
              </w:rPr>
              <w:t>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13"/>
        </w:trPr>
        <w:tc>
          <w:tcPr>
            <w:tcW w:w="6100" w:type="dxa"/>
            <w:vAlign w:val="bottom"/>
            <w:gridSpan w:val="6"/>
          </w:tcPr>
          <w:p>
            <w:pPr>
              <w:spacing w:after="0"/>
              <w:rPr>
                <w:sz w:val="20"/>
                <w:szCs w:val="20"/>
                <w:color w:val="auto"/>
              </w:rPr>
            </w:pPr>
            <w:r>
              <w:rPr>
                <w:rFonts w:ascii="Arial" w:cs="Arial" w:eastAsia="Arial" w:hAnsi="Arial"/>
                <w:sz w:val="22"/>
                <w:szCs w:val="22"/>
                <w:color w:val="010000"/>
                <w:w w:val="92"/>
              </w:rPr>
              <w:t xml:space="preserve">Article V. </w:t>
            </w:r>
            <w:r>
              <w:rPr>
                <w:rFonts w:ascii="Arial" w:cs="Arial" w:eastAsia="Arial" w:hAnsi="Arial"/>
                <w:sz w:val="22"/>
                <w:szCs w:val="22"/>
                <w:color w:val="000000"/>
                <w:w w:val="92"/>
              </w:rPr>
              <w:t>REPRESENTATIONS AND WARRANTIES...............… 11</w:t>
            </w: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8</w:t>
            </w:r>
          </w:p>
        </w:tc>
        <w:tc>
          <w:tcPr>
            <w:tcW w:w="120" w:type="dxa"/>
            <w:vAlign w:val="bottom"/>
            <w:gridSpan w:val="5"/>
          </w:tcPr>
          <w:p>
            <w:pPr>
              <w:spacing w:after="0"/>
              <w:rPr>
                <w:sz w:val="20"/>
                <w:szCs w:val="20"/>
                <w:color w:val="auto"/>
              </w:rPr>
            </w:pPr>
            <w:r>
              <w:rPr>
                <w:rFonts w:ascii="Arial" w:cs="Arial" w:eastAsia="Arial" w:hAnsi="Arial"/>
                <w:sz w:val="22"/>
                <w:szCs w:val="22"/>
                <w:color w:val="008080"/>
                <w:w w:val="81"/>
              </w:rPr>
              <w:t>7</w:t>
            </w:r>
          </w:p>
        </w:tc>
        <w:tc>
          <w:tcPr>
            <w:tcW w:w="2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3920" w:type="dxa"/>
            <w:vAlign w:val="bottom"/>
          </w:tcPr>
          <w:p>
            <w:pPr>
              <w:spacing w:after="0"/>
              <w:rPr>
                <w:sz w:val="24"/>
                <w:szCs w:val="24"/>
                <w:color w:val="auto"/>
              </w:rPr>
            </w:pPr>
          </w:p>
        </w:tc>
      </w:tr>
      <w:tr>
        <w:trPr>
          <w:trHeight w:val="468"/>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5.01</w:t>
            </w:r>
            <w:r>
              <w:rPr>
                <w:rFonts w:ascii="Arial" w:cs="Arial" w:eastAsia="Arial" w:hAnsi="Arial"/>
                <w:sz w:val="22"/>
                <w:szCs w:val="22"/>
                <w:color w:val="000000"/>
                <w:w w:val="89"/>
              </w:rPr>
              <w:t>............</w:t>
            </w:r>
          </w:p>
        </w:tc>
        <w:tc>
          <w:tcPr>
            <w:tcW w:w="9320" w:type="dxa"/>
            <w:vAlign w:val="bottom"/>
            <w:gridSpan w:val="18"/>
          </w:tcPr>
          <w:p>
            <w:pPr>
              <w:ind w:left="20"/>
              <w:spacing w:after="0"/>
              <w:rPr>
                <w:sz w:val="20"/>
                <w:szCs w:val="20"/>
                <w:color w:val="auto"/>
              </w:rPr>
            </w:pPr>
            <w:r>
              <w:rPr>
                <w:rFonts w:ascii="Arial" w:cs="Arial" w:eastAsia="Arial" w:hAnsi="Arial"/>
                <w:sz w:val="22"/>
                <w:szCs w:val="22"/>
                <w:color w:val="auto"/>
              </w:rPr>
              <w:t>Existence, Qualification and Power; Compliance with</w:t>
            </w:r>
          </w:p>
        </w:tc>
      </w:tr>
      <w:tr>
        <w:trPr>
          <w:trHeight w:val="235"/>
        </w:trPr>
        <w:tc>
          <w:tcPr>
            <w:tcW w:w="6200" w:type="dxa"/>
            <w:vAlign w:val="bottom"/>
            <w:gridSpan w:val="9"/>
          </w:tcPr>
          <w:p>
            <w:pPr>
              <w:spacing w:after="0" w:line="236" w:lineRule="exact"/>
              <w:rPr>
                <w:sz w:val="20"/>
                <w:szCs w:val="20"/>
                <w:color w:val="auto"/>
              </w:rPr>
            </w:pPr>
            <w:r>
              <w:rPr>
                <w:rFonts w:ascii="Arial" w:cs="Arial" w:eastAsia="Arial" w:hAnsi="Arial"/>
                <w:sz w:val="22"/>
                <w:szCs w:val="22"/>
                <w:color w:val="auto"/>
                <w:w w:val="88"/>
              </w:rPr>
              <w:t>Laws.........................................................…........................................ 11</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8</w:t>
            </w:r>
          </w:p>
        </w:tc>
        <w:tc>
          <w:tcPr>
            <w:tcW w:w="760" w:type="dxa"/>
            <w:vAlign w:val="bottom"/>
            <w:gridSpan w:val="5"/>
          </w:tcPr>
          <w:p>
            <w:pPr>
              <w:spacing w:after="0" w:line="236" w:lineRule="exact"/>
              <w:rPr>
                <w:sz w:val="20"/>
                <w:szCs w:val="20"/>
                <w:color w:val="auto"/>
              </w:rPr>
            </w:pPr>
            <w:r>
              <w:rPr>
                <w:rFonts w:ascii="Arial" w:cs="Arial" w:eastAsia="Arial" w:hAnsi="Arial"/>
                <w:sz w:val="22"/>
                <w:szCs w:val="22"/>
                <w:color w:val="008080"/>
              </w:rPr>
              <w:t>7</w:t>
            </w:r>
          </w:p>
        </w:tc>
        <w:tc>
          <w:tcPr>
            <w:tcW w:w="120" w:type="dxa"/>
            <w:vAlign w:val="bottom"/>
            <w:gridSpan w:val="2"/>
          </w:tcPr>
          <w:p>
            <w:pPr>
              <w:spacing w:after="0"/>
              <w:rPr>
                <w:sz w:val="20"/>
                <w:szCs w:val="20"/>
                <w:color w:val="auto"/>
              </w:rPr>
            </w:pPr>
          </w:p>
        </w:tc>
        <w:tc>
          <w:tcPr>
            <w:tcW w:w="3920" w:type="dxa"/>
            <w:vAlign w:val="bottom"/>
          </w:tcPr>
          <w:p>
            <w:pPr>
              <w:spacing w:after="0"/>
              <w:rPr>
                <w:sz w:val="20"/>
                <w:szCs w:val="20"/>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5.02</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3"/>
              </w:rPr>
              <w:t>Authorization; No Contravention........................ 11</w:t>
            </w:r>
          </w:p>
        </w:tc>
        <w:tc>
          <w:tcPr>
            <w:tcW w:w="300" w:type="dxa"/>
            <w:vAlign w:val="bottom"/>
            <w:gridSpan w:val="6"/>
          </w:tcPr>
          <w:p>
            <w:pPr>
              <w:spacing w:after="0"/>
              <w:rPr>
                <w:sz w:val="23"/>
                <w:szCs w:val="23"/>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8</w:t>
            </w:r>
          </w:p>
        </w:tc>
        <w:tc>
          <w:tcPr>
            <w:tcW w:w="680" w:type="dxa"/>
            <w:vAlign w:val="bottom"/>
            <w:gridSpan w:val="3"/>
          </w:tcPr>
          <w:p>
            <w:pPr>
              <w:jc w:val="right"/>
              <w:ind w:right="452"/>
              <w:spacing w:after="0"/>
              <w:rPr>
                <w:sz w:val="20"/>
                <w:szCs w:val="20"/>
                <w:color w:val="auto"/>
              </w:rPr>
            </w:pPr>
            <w:r>
              <w:rPr>
                <w:rFonts w:ascii="Arial" w:cs="Arial" w:eastAsia="Arial" w:hAnsi="Arial"/>
                <w:sz w:val="22"/>
                <w:szCs w:val="22"/>
                <w:color w:val="008080"/>
                <w:w w:val="81"/>
              </w:rPr>
              <w:t>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5.03</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Governmental Authorization; Other Consents.... 11</w:t>
            </w:r>
          </w:p>
        </w:tc>
        <w:tc>
          <w:tcPr>
            <w:tcW w:w="280" w:type="dxa"/>
            <w:vAlign w:val="bottom"/>
            <w:gridSpan w:val="5"/>
          </w:tcPr>
          <w:p>
            <w:pPr>
              <w:spacing w:after="0"/>
              <w:rPr>
                <w:sz w:val="23"/>
                <w:szCs w:val="23"/>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9</w:t>
            </w:r>
          </w:p>
        </w:tc>
        <w:tc>
          <w:tcPr>
            <w:tcW w:w="700" w:type="dxa"/>
            <w:vAlign w:val="bottom"/>
            <w:gridSpan w:val="4"/>
          </w:tcPr>
          <w:p>
            <w:pPr>
              <w:spacing w:after="0"/>
              <w:rPr>
                <w:sz w:val="20"/>
                <w:szCs w:val="20"/>
                <w:color w:val="auto"/>
              </w:rPr>
            </w:pPr>
            <w:r>
              <w:rPr>
                <w:rFonts w:ascii="Arial" w:cs="Arial" w:eastAsia="Arial" w:hAnsi="Arial"/>
                <w:sz w:val="22"/>
                <w:szCs w:val="22"/>
                <w:color w:val="008080"/>
              </w:rPr>
              <w:t>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5.04</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3"/>
              </w:rPr>
              <w:t>Binding Effect..................................................... 11</w:t>
            </w:r>
          </w:p>
        </w:tc>
        <w:tc>
          <w:tcPr>
            <w:tcW w:w="260" w:type="dxa"/>
            <w:vAlign w:val="bottom"/>
            <w:gridSpan w:val="4"/>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9</w:t>
            </w:r>
          </w:p>
        </w:tc>
        <w:tc>
          <w:tcPr>
            <w:tcW w:w="700" w:type="dxa"/>
            <w:vAlign w:val="bottom"/>
            <w:gridSpan w:val="4"/>
          </w:tcPr>
          <w:p>
            <w:pPr>
              <w:spacing w:after="0"/>
              <w:rPr>
                <w:sz w:val="20"/>
                <w:szCs w:val="20"/>
                <w:color w:val="auto"/>
              </w:rPr>
            </w:pPr>
            <w:r>
              <w:rPr>
                <w:rFonts w:ascii="Arial" w:cs="Arial" w:eastAsia="Arial" w:hAnsi="Arial"/>
                <w:sz w:val="22"/>
                <w:szCs w:val="22"/>
                <w:color w:val="008080"/>
              </w:rPr>
              <w:t>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8"/>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5.05</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98"/>
              </w:rPr>
              <w:t>Financial Statements; No Material Adverse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5"/>
        </w:trPr>
        <w:tc>
          <w:tcPr>
            <w:tcW w:w="1780" w:type="dxa"/>
            <w:vAlign w:val="bottom"/>
            <w:gridSpan w:val="3"/>
          </w:tcPr>
          <w:p>
            <w:pPr>
              <w:spacing w:after="0"/>
              <w:rPr>
                <w:sz w:val="20"/>
                <w:szCs w:val="20"/>
                <w:color w:val="auto"/>
              </w:rPr>
            </w:pPr>
            <w:r>
              <w:rPr>
                <w:rFonts w:ascii="Arial" w:cs="Arial" w:eastAsia="Arial" w:hAnsi="Arial"/>
                <w:sz w:val="8"/>
                <w:szCs w:val="8"/>
                <w:color w:val="auto"/>
                <w:w w:val="72"/>
              </w:rPr>
              <w:t>Effect....................................................................................................</w:t>
            </w:r>
          </w:p>
        </w:tc>
        <w:tc>
          <w:tcPr>
            <w:tcW w:w="4140" w:type="dxa"/>
            <w:vAlign w:val="bottom"/>
          </w:tcPr>
          <w:p>
            <w:pPr>
              <w:spacing w:after="0"/>
              <w:rPr>
                <w:sz w:val="20"/>
                <w:szCs w:val="20"/>
                <w:color w:val="auto"/>
              </w:rPr>
            </w:pPr>
          </w:p>
        </w:tc>
        <w:tc>
          <w:tcPr>
            <w:tcW w:w="280" w:type="dxa"/>
            <w:vAlign w:val="bottom"/>
            <w:gridSpan w:val="5"/>
          </w:tcPr>
          <w:p>
            <w:pPr>
              <w:jc w:val="right"/>
              <w:spacing w:after="0" w:line="236" w:lineRule="exact"/>
              <w:rPr>
                <w:sz w:val="20"/>
                <w:szCs w:val="20"/>
                <w:color w:val="auto"/>
              </w:rPr>
            </w:pPr>
            <w:r>
              <w:rPr>
                <w:rFonts w:ascii="Arial" w:cs="Arial" w:eastAsia="Arial" w:hAnsi="Arial"/>
                <w:sz w:val="22"/>
                <w:szCs w:val="22"/>
                <w:color w:val="auto"/>
              </w:rPr>
              <w:t>11</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9</w:t>
            </w:r>
          </w:p>
        </w:tc>
        <w:tc>
          <w:tcPr>
            <w:tcW w:w="700" w:type="dxa"/>
            <w:vAlign w:val="bottom"/>
            <w:gridSpan w:val="4"/>
          </w:tcPr>
          <w:p>
            <w:pPr>
              <w:spacing w:after="0" w:line="236" w:lineRule="exact"/>
              <w:rPr>
                <w:sz w:val="20"/>
                <w:szCs w:val="20"/>
                <w:color w:val="auto"/>
              </w:rPr>
            </w:pPr>
            <w:r>
              <w:rPr>
                <w:rFonts w:ascii="Arial" w:cs="Arial" w:eastAsia="Arial" w:hAnsi="Arial"/>
                <w:sz w:val="22"/>
                <w:szCs w:val="22"/>
                <w:color w:val="008080"/>
              </w:rPr>
              <w:t>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5.06</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3"/>
              </w:rPr>
              <w:t>Litigation............................................................. 11</w:t>
            </w:r>
          </w:p>
        </w:tc>
        <w:tc>
          <w:tcPr>
            <w:tcW w:w="280" w:type="dxa"/>
            <w:vAlign w:val="bottom"/>
            <w:gridSpan w:val="5"/>
          </w:tcPr>
          <w:p>
            <w:pPr>
              <w:spacing w:after="0"/>
              <w:rPr>
                <w:sz w:val="23"/>
                <w:szCs w:val="23"/>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9</w:t>
            </w:r>
          </w:p>
        </w:tc>
        <w:tc>
          <w:tcPr>
            <w:tcW w:w="700" w:type="dxa"/>
            <w:vAlign w:val="bottom"/>
            <w:gridSpan w:val="4"/>
          </w:tcPr>
          <w:p>
            <w:pPr>
              <w:spacing w:after="0"/>
              <w:rPr>
                <w:sz w:val="20"/>
                <w:szCs w:val="20"/>
                <w:color w:val="auto"/>
              </w:rPr>
            </w:pPr>
            <w:r>
              <w:rPr>
                <w:rFonts w:ascii="Arial" w:cs="Arial" w:eastAsia="Arial" w:hAnsi="Arial"/>
                <w:sz w:val="22"/>
                <w:szCs w:val="22"/>
                <w:color w:val="008080"/>
              </w:rPr>
              <w:t>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5.07</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3"/>
              </w:rPr>
              <w:t>Ownership of Property; Liens............................. 11</w:t>
            </w:r>
          </w:p>
        </w:tc>
        <w:tc>
          <w:tcPr>
            <w:tcW w:w="280" w:type="dxa"/>
            <w:vAlign w:val="bottom"/>
            <w:gridSpan w:val="5"/>
          </w:tcPr>
          <w:p>
            <w:pPr>
              <w:spacing w:after="0"/>
              <w:rPr>
                <w:sz w:val="23"/>
                <w:szCs w:val="23"/>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9</w:t>
            </w:r>
          </w:p>
        </w:tc>
        <w:tc>
          <w:tcPr>
            <w:tcW w:w="700" w:type="dxa"/>
            <w:vAlign w:val="bottom"/>
            <w:gridSpan w:val="4"/>
          </w:tcPr>
          <w:p>
            <w:pPr>
              <w:spacing w:after="0"/>
              <w:rPr>
                <w:sz w:val="20"/>
                <w:szCs w:val="20"/>
                <w:color w:val="auto"/>
              </w:rPr>
            </w:pPr>
            <w:r>
              <w:rPr>
                <w:rFonts w:ascii="Arial" w:cs="Arial" w:eastAsia="Arial" w:hAnsi="Arial"/>
                <w:sz w:val="22"/>
                <w:szCs w:val="22"/>
                <w:color w:val="008080"/>
              </w:rPr>
              <w:t>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5.08</w:t>
            </w:r>
            <w:r>
              <w:rPr>
                <w:rFonts w:ascii="Arial" w:cs="Arial" w:eastAsia="Arial" w:hAnsi="Arial"/>
                <w:sz w:val="22"/>
                <w:szCs w:val="22"/>
                <w:color w:val="000000"/>
                <w:w w:val="89"/>
              </w:rPr>
              <w:t>............</w:t>
            </w:r>
          </w:p>
        </w:tc>
        <w:tc>
          <w:tcPr>
            <w:tcW w:w="4440" w:type="dxa"/>
            <w:vAlign w:val="bottom"/>
            <w:gridSpan w:val="7"/>
          </w:tcPr>
          <w:p>
            <w:pPr>
              <w:ind w:left="20"/>
              <w:spacing w:after="0"/>
              <w:rPr>
                <w:sz w:val="20"/>
                <w:szCs w:val="20"/>
                <w:color w:val="auto"/>
              </w:rPr>
            </w:pPr>
            <w:r>
              <w:rPr>
                <w:rFonts w:ascii="Arial" w:cs="Arial" w:eastAsia="Arial" w:hAnsi="Arial"/>
                <w:sz w:val="22"/>
                <w:szCs w:val="22"/>
                <w:color w:val="auto"/>
                <w:w w:val="89"/>
              </w:rPr>
              <w:t>Environmental Matters....................................… 11</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9</w:t>
            </w:r>
          </w:p>
        </w:tc>
        <w:tc>
          <w:tcPr>
            <w:tcW w:w="740" w:type="dxa"/>
            <w:vAlign w:val="bottom"/>
            <w:gridSpan w:val="4"/>
          </w:tcPr>
          <w:p>
            <w:pPr>
              <w:jc w:val="right"/>
              <w:ind w:right="543"/>
              <w:spacing w:after="0"/>
              <w:rPr>
                <w:sz w:val="20"/>
                <w:szCs w:val="20"/>
                <w:color w:val="auto"/>
              </w:rPr>
            </w:pPr>
            <w:r>
              <w:rPr>
                <w:rFonts w:ascii="Arial" w:cs="Arial" w:eastAsia="Arial" w:hAnsi="Arial"/>
                <w:sz w:val="19"/>
                <w:szCs w:val="19"/>
                <w:color w:val="008080"/>
                <w:w w:val="75"/>
              </w:rPr>
              <w:t>8</w:t>
            </w:r>
          </w:p>
        </w:tc>
        <w:tc>
          <w:tcPr>
            <w:tcW w:w="120" w:type="dxa"/>
            <w:vAlign w:val="bottom"/>
            <w:gridSpan w:val="2"/>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5.09</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7"/>
              </w:rPr>
              <w:t>Taxes...................................................................</w:t>
            </w:r>
          </w:p>
        </w:tc>
        <w:tc>
          <w:tcPr>
            <w:tcW w:w="160" w:type="dxa"/>
            <w:vAlign w:val="bottom"/>
          </w:tcPr>
          <w:p>
            <w:pPr>
              <w:jc w:val="right"/>
              <w:spacing w:after="0"/>
              <w:rPr>
                <w:sz w:val="20"/>
                <w:szCs w:val="20"/>
                <w:color w:val="auto"/>
              </w:rPr>
            </w:pPr>
            <w:r>
              <w:rPr>
                <w:rFonts w:ascii="Arial" w:cs="Arial" w:eastAsia="Arial" w:hAnsi="Arial"/>
                <w:sz w:val="22"/>
                <w:szCs w:val="22"/>
                <w:color w:val="auto"/>
              </w:rPr>
              <w:t>1</w:t>
            </w:r>
          </w:p>
        </w:tc>
        <w:tc>
          <w:tcPr>
            <w:tcW w:w="200" w:type="dxa"/>
            <w:vAlign w:val="bottom"/>
            <w:gridSpan w:val="7"/>
          </w:tcPr>
          <w:p>
            <w:pPr>
              <w:jc w:val="right"/>
              <w:spacing w:after="0"/>
              <w:rPr>
                <w:sz w:val="20"/>
                <w:szCs w:val="20"/>
                <w:color w:val="auto"/>
              </w:rPr>
            </w:pPr>
            <w:r>
              <w:rPr>
                <w:rFonts w:ascii="Arial" w:cs="Arial" w:eastAsia="Arial" w:hAnsi="Arial"/>
                <w:sz w:val="22"/>
                <w:szCs w:val="22"/>
                <w:color w:val="FF0000"/>
                <w:strike w:val="1"/>
                <w:w w:val="73"/>
              </w:rPr>
              <w:t>20</w:t>
            </w:r>
          </w:p>
        </w:tc>
        <w:tc>
          <w:tcPr>
            <w:tcW w:w="720" w:type="dxa"/>
            <w:vAlign w:val="bottom"/>
            <w:gridSpan w:val="5"/>
          </w:tcPr>
          <w:p>
            <w:pPr>
              <w:spacing w:after="0"/>
              <w:rPr>
                <w:sz w:val="20"/>
                <w:szCs w:val="20"/>
                <w:color w:val="auto"/>
              </w:rPr>
            </w:pPr>
            <w:r>
              <w:rPr>
                <w:rFonts w:ascii="Arial" w:cs="Arial" w:eastAsia="Arial" w:hAnsi="Arial"/>
                <w:sz w:val="22"/>
                <w:szCs w:val="22"/>
                <w:color w:val="008080"/>
              </w:rPr>
              <w:t>19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57"/>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5.10</w:t>
            </w:r>
            <w:r>
              <w:rPr>
                <w:rFonts w:ascii="Arial" w:cs="Arial" w:eastAsia="Arial" w:hAnsi="Arial"/>
                <w:sz w:val="22"/>
                <w:szCs w:val="22"/>
                <w:color w:val="000000"/>
                <w:w w:val="89"/>
              </w:rPr>
              <w:t>............</w:t>
            </w:r>
          </w:p>
        </w:tc>
        <w:tc>
          <w:tcPr>
            <w:tcW w:w="4320" w:type="dxa"/>
            <w:vAlign w:val="bottom"/>
            <w:gridSpan w:val="3"/>
          </w:tcPr>
          <w:p>
            <w:pPr>
              <w:ind w:left="20"/>
              <w:spacing w:after="0"/>
              <w:rPr>
                <w:sz w:val="20"/>
                <w:szCs w:val="20"/>
                <w:color w:val="auto"/>
              </w:rPr>
            </w:pPr>
            <w:r>
              <w:rPr>
                <w:rFonts w:ascii="Arial" w:cs="Arial" w:eastAsia="Arial" w:hAnsi="Arial"/>
                <w:sz w:val="22"/>
                <w:szCs w:val="22"/>
                <w:color w:val="auto"/>
                <w:w w:val="89"/>
              </w:rPr>
              <w:t>ERISA Compliance.......................................… . 1</w:t>
            </w:r>
          </w:p>
        </w:tc>
        <w:tc>
          <w:tcPr>
            <w:tcW w:w="200" w:type="dxa"/>
            <w:vAlign w:val="bottom"/>
            <w:gridSpan w:val="7"/>
          </w:tcPr>
          <w:p>
            <w:pPr>
              <w:jc w:val="right"/>
              <w:spacing w:after="0"/>
              <w:rPr>
                <w:sz w:val="20"/>
                <w:szCs w:val="20"/>
                <w:color w:val="auto"/>
              </w:rPr>
            </w:pPr>
            <w:r>
              <w:rPr>
                <w:rFonts w:ascii="Arial" w:cs="Arial" w:eastAsia="Arial" w:hAnsi="Arial"/>
                <w:sz w:val="22"/>
                <w:szCs w:val="22"/>
                <w:color w:val="FF0000"/>
                <w:strike w:val="1"/>
                <w:w w:val="73"/>
              </w:rPr>
              <w:t>20</w:t>
            </w:r>
          </w:p>
        </w:tc>
        <w:tc>
          <w:tcPr>
            <w:tcW w:w="760" w:type="dxa"/>
            <w:vAlign w:val="bottom"/>
            <w:gridSpan w:val="5"/>
          </w:tcPr>
          <w:p>
            <w:pPr>
              <w:spacing w:after="0"/>
              <w:rPr>
                <w:sz w:val="20"/>
                <w:szCs w:val="20"/>
                <w:color w:val="auto"/>
              </w:rPr>
            </w:pPr>
            <w:r>
              <w:rPr>
                <w:rFonts w:ascii="Arial" w:cs="Arial" w:eastAsia="Arial" w:hAnsi="Arial"/>
                <w:sz w:val="22"/>
                <w:szCs w:val="22"/>
                <w:color w:val="008080"/>
              </w:rPr>
              <w:t>19</w:t>
            </w:r>
          </w:p>
        </w:tc>
        <w:tc>
          <w:tcPr>
            <w:tcW w:w="120" w:type="dxa"/>
            <w:vAlign w:val="bottom"/>
            <w:gridSpan w:val="2"/>
          </w:tcPr>
          <w:p>
            <w:pPr>
              <w:spacing w:after="0"/>
              <w:rPr>
                <w:sz w:val="22"/>
                <w:szCs w:val="22"/>
                <w:color w:val="auto"/>
              </w:rPr>
            </w:pPr>
          </w:p>
        </w:tc>
        <w:tc>
          <w:tcPr>
            <w:tcW w:w="3920" w:type="dxa"/>
            <w:vAlign w:val="bottom"/>
          </w:tcPr>
          <w:p>
            <w:pPr>
              <w:spacing w:after="0"/>
              <w:rPr>
                <w:sz w:val="22"/>
                <w:szCs w:val="22"/>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5.11</w:t>
            </w:r>
            <w:r>
              <w:rPr>
                <w:rFonts w:ascii="Arial" w:cs="Arial" w:eastAsia="Arial" w:hAnsi="Arial"/>
                <w:sz w:val="22"/>
                <w:szCs w:val="22"/>
                <w:color w:val="000000"/>
                <w:w w:val="89"/>
              </w:rPr>
              <w:t>............</w:t>
            </w:r>
          </w:p>
        </w:tc>
        <w:tc>
          <w:tcPr>
            <w:tcW w:w="4140" w:type="dxa"/>
            <w:vAlign w:val="bottom"/>
          </w:tcPr>
          <w:p>
            <w:pPr>
              <w:spacing w:after="0"/>
              <w:rPr>
                <w:sz w:val="20"/>
                <w:szCs w:val="20"/>
                <w:color w:val="auto"/>
              </w:rPr>
            </w:pPr>
            <w:r>
              <w:rPr>
                <w:rFonts w:ascii="Arial" w:cs="Arial" w:eastAsia="Arial" w:hAnsi="Arial"/>
                <w:sz w:val="22"/>
                <w:szCs w:val="22"/>
                <w:color w:val="auto"/>
                <w:w w:val="84"/>
              </w:rPr>
              <w:t>Subsidiaries; Equity Interests.............................. 1</w:t>
            </w:r>
          </w:p>
        </w:tc>
        <w:tc>
          <w:tcPr>
            <w:tcW w:w="180" w:type="dxa"/>
            <w:vAlign w:val="bottom"/>
            <w:gridSpan w:val="2"/>
          </w:tcPr>
          <w:p>
            <w:pPr>
              <w:spacing w:after="0"/>
              <w:rPr>
                <w:sz w:val="23"/>
                <w:szCs w:val="23"/>
                <w:color w:val="auto"/>
              </w:rPr>
            </w:pP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2</w:t>
            </w:r>
          </w:p>
        </w:tc>
        <w:tc>
          <w:tcPr>
            <w:tcW w:w="800" w:type="dxa"/>
            <w:vAlign w:val="bottom"/>
            <w:gridSpan w:val="8"/>
          </w:tcPr>
          <w:p>
            <w:pPr>
              <w:spacing w:after="0"/>
              <w:rPr>
                <w:sz w:val="20"/>
                <w:szCs w:val="20"/>
                <w:color w:val="auto"/>
              </w:rPr>
            </w:pPr>
            <w:r>
              <w:rPr>
                <w:rFonts w:ascii="Arial" w:cs="Arial" w:eastAsia="Arial" w:hAnsi="Arial"/>
                <w:sz w:val="22"/>
                <w:szCs w:val="22"/>
                <w:color w:val="auto"/>
              </w:rPr>
              <w:t>1</w:t>
            </w:r>
            <w:r>
              <w:rPr>
                <w:rFonts w:ascii="Arial" w:cs="Arial" w:eastAsia="Arial" w:hAnsi="Arial"/>
                <w:sz w:val="22"/>
                <w:szCs w:val="22"/>
                <w:color w:val="008080"/>
              </w:rPr>
              <w:t>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5.12</w:t>
            </w:r>
            <w:r>
              <w:rPr>
                <w:rFonts w:ascii="Arial" w:cs="Arial" w:eastAsia="Arial" w:hAnsi="Arial"/>
                <w:sz w:val="22"/>
                <w:szCs w:val="22"/>
                <w:color w:val="000000"/>
                <w:w w:val="89"/>
              </w:rPr>
              <w:t>............</w:t>
            </w:r>
          </w:p>
        </w:tc>
        <w:tc>
          <w:tcPr>
            <w:tcW w:w="4420" w:type="dxa"/>
            <w:vAlign w:val="bottom"/>
            <w:gridSpan w:val="6"/>
          </w:tcPr>
          <w:p>
            <w:pPr>
              <w:ind w:left="20"/>
              <w:spacing w:after="0"/>
              <w:rPr>
                <w:sz w:val="20"/>
                <w:szCs w:val="20"/>
                <w:color w:val="auto"/>
              </w:rPr>
            </w:pPr>
            <w:r>
              <w:rPr>
                <w:rFonts w:ascii="Arial" w:cs="Arial" w:eastAsia="Arial" w:hAnsi="Arial"/>
                <w:sz w:val="22"/>
                <w:szCs w:val="22"/>
                <w:color w:val="auto"/>
                <w:w w:val="89"/>
              </w:rPr>
              <w:t>Margin Regulations; Investment Company Act.. 12</w:t>
            </w: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1</w:t>
            </w:r>
          </w:p>
        </w:tc>
        <w:tc>
          <w:tcPr>
            <w:tcW w:w="740" w:type="dxa"/>
            <w:vAlign w:val="bottom"/>
            <w:gridSpan w:val="4"/>
          </w:tcPr>
          <w:p>
            <w:pPr>
              <w:jc w:val="right"/>
              <w:ind w:right="543"/>
              <w:spacing w:after="0"/>
              <w:rPr>
                <w:sz w:val="20"/>
                <w:szCs w:val="20"/>
                <w:color w:val="auto"/>
              </w:rPr>
            </w:pPr>
            <w:r>
              <w:rPr>
                <w:rFonts w:ascii="Arial" w:cs="Arial" w:eastAsia="Arial" w:hAnsi="Arial"/>
                <w:sz w:val="19"/>
                <w:szCs w:val="19"/>
                <w:color w:val="008080"/>
                <w:w w:val="75"/>
              </w:rPr>
              <w:t>0</w:t>
            </w:r>
          </w:p>
        </w:tc>
        <w:tc>
          <w:tcPr>
            <w:tcW w:w="120" w:type="dxa"/>
            <w:vAlign w:val="bottom"/>
            <w:gridSpan w:val="2"/>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5.13</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1"/>
              </w:rPr>
              <w:t>Disclosure............................................................ 12</w:t>
            </w:r>
          </w:p>
        </w:tc>
        <w:tc>
          <w:tcPr>
            <w:tcW w:w="300" w:type="dxa"/>
            <w:vAlign w:val="bottom"/>
            <w:gridSpan w:val="6"/>
          </w:tcPr>
          <w:p>
            <w:pPr>
              <w:spacing w:after="0"/>
              <w:rPr>
                <w:sz w:val="23"/>
                <w:szCs w:val="23"/>
                <w:color w:val="auto"/>
              </w:rPr>
            </w:pP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1</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5.14</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Labor Matters...................................................... 12</w:t>
            </w:r>
          </w:p>
        </w:tc>
        <w:tc>
          <w:tcPr>
            <w:tcW w:w="280" w:type="dxa"/>
            <w:vAlign w:val="bottom"/>
            <w:gridSpan w:val="5"/>
          </w:tcPr>
          <w:p>
            <w:pPr>
              <w:spacing w:after="0"/>
              <w:rPr>
                <w:sz w:val="23"/>
                <w:szCs w:val="23"/>
                <w:color w:val="auto"/>
              </w:rPr>
            </w:pP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1</w:t>
            </w:r>
          </w:p>
        </w:tc>
        <w:tc>
          <w:tcPr>
            <w:tcW w:w="680" w:type="dxa"/>
            <w:vAlign w:val="bottom"/>
            <w:gridSpan w:val="3"/>
          </w:tcPr>
          <w:p>
            <w:pPr>
              <w:jc w:val="right"/>
              <w:ind w:right="472"/>
              <w:spacing w:after="0"/>
              <w:rPr>
                <w:sz w:val="20"/>
                <w:szCs w:val="20"/>
                <w:color w:val="auto"/>
              </w:rPr>
            </w:pPr>
            <w:r>
              <w:rPr>
                <w:rFonts w:ascii="Arial" w:cs="Arial" w:eastAsia="Arial" w:hAnsi="Arial"/>
                <w:sz w:val="19"/>
                <w:szCs w:val="19"/>
                <w:color w:val="008080"/>
                <w:w w:val="75"/>
              </w:rPr>
              <w:t>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5.15</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Intellectual Property; Licenses, Etc..................... 12</w:t>
            </w:r>
          </w:p>
        </w:tc>
        <w:tc>
          <w:tcPr>
            <w:tcW w:w="300" w:type="dxa"/>
            <w:vAlign w:val="bottom"/>
            <w:gridSpan w:val="6"/>
          </w:tcPr>
          <w:p>
            <w:pPr>
              <w:spacing w:after="0"/>
              <w:rPr>
                <w:sz w:val="23"/>
                <w:szCs w:val="23"/>
                <w:color w:val="auto"/>
              </w:rPr>
            </w:pPr>
          </w:p>
        </w:tc>
        <w:tc>
          <w:tcPr>
            <w:tcW w:w="120" w:type="dxa"/>
            <w:vAlign w:val="bottom"/>
            <w:gridSpan w:val="5"/>
          </w:tcPr>
          <w:p>
            <w:pPr>
              <w:ind w:left="20"/>
              <w:spacing w:after="0"/>
              <w:rPr>
                <w:sz w:val="20"/>
                <w:szCs w:val="20"/>
                <w:color w:val="auto"/>
              </w:rPr>
            </w:pPr>
            <w:r>
              <w:rPr>
                <w:rFonts w:ascii="Arial" w:cs="Arial" w:eastAsia="Arial" w:hAnsi="Arial"/>
                <w:sz w:val="19"/>
                <w:szCs w:val="19"/>
                <w:color w:val="FF0000"/>
                <w:strike w:val="1"/>
                <w:w w:val="75"/>
              </w:rPr>
              <w:t>2</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5.16</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Solvency.............................................................. 12</w:t>
            </w:r>
          </w:p>
        </w:tc>
        <w:tc>
          <w:tcPr>
            <w:tcW w:w="280" w:type="dxa"/>
            <w:vAlign w:val="bottom"/>
            <w:gridSpan w:val="5"/>
          </w:tcPr>
          <w:p>
            <w:pPr>
              <w:spacing w:after="0"/>
              <w:rPr>
                <w:sz w:val="23"/>
                <w:szCs w:val="23"/>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2</w:t>
            </w:r>
          </w:p>
        </w:tc>
        <w:tc>
          <w:tcPr>
            <w:tcW w:w="700" w:type="dxa"/>
            <w:vAlign w:val="bottom"/>
            <w:gridSpan w:val="4"/>
          </w:tcPr>
          <w:p>
            <w:pPr>
              <w:spacing w:after="0"/>
              <w:rPr>
                <w:sz w:val="20"/>
                <w:szCs w:val="20"/>
                <w:color w:val="auto"/>
              </w:rPr>
            </w:pPr>
            <w:r>
              <w:rPr>
                <w:rFonts w:ascii="Arial" w:cs="Arial" w:eastAsia="Arial" w:hAnsi="Arial"/>
                <w:sz w:val="22"/>
                <w:szCs w:val="22"/>
                <w:color w:val="008080"/>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5.17</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7"/>
              </w:rPr>
              <w:t>[Reserved]...........................................................</w:t>
            </w:r>
          </w:p>
        </w:tc>
        <w:tc>
          <w:tcPr>
            <w:tcW w:w="280" w:type="dxa"/>
            <w:vAlign w:val="bottom"/>
            <w:gridSpan w:val="5"/>
          </w:tcPr>
          <w:p>
            <w:pPr>
              <w:jc w:val="right"/>
              <w:spacing w:after="0"/>
              <w:rPr>
                <w:sz w:val="20"/>
                <w:szCs w:val="20"/>
                <w:color w:val="auto"/>
              </w:rPr>
            </w:pPr>
            <w:r>
              <w:rPr>
                <w:rFonts w:ascii="Arial" w:cs="Arial" w:eastAsia="Arial" w:hAnsi="Arial"/>
                <w:sz w:val="22"/>
                <w:szCs w:val="22"/>
                <w:color w:val="auto"/>
              </w:rPr>
              <w:t>12</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2</w:t>
            </w:r>
          </w:p>
        </w:tc>
        <w:tc>
          <w:tcPr>
            <w:tcW w:w="700" w:type="dxa"/>
            <w:vAlign w:val="bottom"/>
            <w:gridSpan w:val="4"/>
          </w:tcPr>
          <w:p>
            <w:pPr>
              <w:spacing w:after="0"/>
              <w:rPr>
                <w:sz w:val="20"/>
                <w:szCs w:val="20"/>
                <w:color w:val="auto"/>
              </w:rPr>
            </w:pPr>
            <w:r>
              <w:rPr>
                <w:rFonts w:ascii="Arial" w:cs="Arial" w:eastAsia="Arial" w:hAnsi="Arial"/>
                <w:sz w:val="22"/>
                <w:szCs w:val="22"/>
                <w:color w:val="008080"/>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5.18</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9"/>
              </w:rPr>
              <w:t>USA Patriot Act, FCPA and OFAC....................</w:t>
            </w:r>
          </w:p>
        </w:tc>
        <w:tc>
          <w:tcPr>
            <w:tcW w:w="220" w:type="dxa"/>
            <w:vAlign w:val="bottom"/>
            <w:gridSpan w:val="3"/>
          </w:tcPr>
          <w:p>
            <w:pPr>
              <w:jc w:val="right"/>
              <w:spacing w:after="0"/>
              <w:rPr>
                <w:sz w:val="20"/>
                <w:szCs w:val="20"/>
                <w:color w:val="auto"/>
              </w:rPr>
            </w:pPr>
            <w:r>
              <w:rPr>
                <w:rFonts w:ascii="Arial" w:cs="Arial" w:eastAsia="Arial" w:hAnsi="Arial"/>
                <w:sz w:val="22"/>
                <w:szCs w:val="22"/>
                <w:color w:val="auto"/>
                <w:w w:val="81"/>
              </w:rPr>
              <w:t>12</w:t>
            </w:r>
          </w:p>
        </w:tc>
        <w:tc>
          <w:tcPr>
            <w:tcW w:w="1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2</w:t>
            </w:r>
          </w:p>
        </w:tc>
        <w:tc>
          <w:tcPr>
            <w:tcW w:w="120" w:type="dxa"/>
            <w:vAlign w:val="bottom"/>
            <w:gridSpan w:val="5"/>
          </w:tcPr>
          <w:p>
            <w:pPr>
              <w:spacing w:after="0"/>
              <w:rPr>
                <w:sz w:val="20"/>
                <w:szCs w:val="20"/>
                <w:color w:val="auto"/>
              </w:rPr>
            </w:pPr>
            <w:r>
              <w:rPr>
                <w:rFonts w:ascii="Arial" w:cs="Arial" w:eastAsia="Arial" w:hAnsi="Arial"/>
                <w:sz w:val="22"/>
                <w:szCs w:val="22"/>
                <w:color w:val="008080"/>
                <w:w w:val="81"/>
              </w:rPr>
              <w:t>1</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5.19</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Collateral Documents.......................................... 12</w:t>
            </w:r>
          </w:p>
        </w:tc>
        <w:tc>
          <w:tcPr>
            <w:tcW w:w="300" w:type="dxa"/>
            <w:vAlign w:val="bottom"/>
            <w:gridSpan w:val="6"/>
          </w:tcPr>
          <w:p>
            <w:pPr>
              <w:spacing w:after="0"/>
              <w:rPr>
                <w:sz w:val="23"/>
                <w:szCs w:val="23"/>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2</w:t>
            </w:r>
          </w:p>
        </w:tc>
        <w:tc>
          <w:tcPr>
            <w:tcW w:w="680" w:type="dxa"/>
            <w:vAlign w:val="bottom"/>
            <w:gridSpan w:val="3"/>
          </w:tcPr>
          <w:p>
            <w:pPr>
              <w:jc w:val="right"/>
              <w:ind w:right="452"/>
              <w:spacing w:after="0"/>
              <w:rPr>
                <w:sz w:val="20"/>
                <w:szCs w:val="20"/>
                <w:color w:val="auto"/>
              </w:rPr>
            </w:pPr>
            <w:r>
              <w:rPr>
                <w:rFonts w:ascii="Arial" w:cs="Arial" w:eastAsia="Arial" w:hAnsi="Arial"/>
                <w:sz w:val="22"/>
                <w:szCs w:val="22"/>
                <w:color w:val="008080"/>
                <w:w w:val="81"/>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8"/>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5.20</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rPr>
              <w:t>Affected Financial Institution and Covered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74"/>
        </w:trPr>
        <w:tc>
          <w:tcPr>
            <w:tcW w:w="1780" w:type="dxa"/>
            <w:vAlign w:val="bottom"/>
            <w:gridSpan w:val="3"/>
          </w:tcPr>
          <w:p>
            <w:pPr>
              <w:spacing w:after="0"/>
              <w:rPr>
                <w:sz w:val="20"/>
                <w:szCs w:val="20"/>
                <w:color w:val="auto"/>
              </w:rPr>
            </w:pPr>
            <w:r>
              <w:rPr>
                <w:rFonts w:ascii="Arial" w:cs="Arial" w:eastAsia="Arial" w:hAnsi="Arial"/>
                <w:sz w:val="8"/>
                <w:szCs w:val="8"/>
                <w:color w:val="auto"/>
                <w:w w:val="72"/>
              </w:rPr>
              <w:t>Party.....................................................................................................</w:t>
            </w:r>
          </w:p>
        </w:tc>
        <w:tc>
          <w:tcPr>
            <w:tcW w:w="4140" w:type="dxa"/>
            <w:vAlign w:val="bottom"/>
          </w:tcPr>
          <w:p>
            <w:pPr>
              <w:spacing w:after="0"/>
              <w:rPr>
                <w:sz w:val="23"/>
                <w:szCs w:val="23"/>
                <w:color w:val="auto"/>
              </w:rPr>
            </w:pP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12</w:t>
            </w: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3</w:t>
            </w:r>
          </w:p>
        </w:tc>
        <w:tc>
          <w:tcPr>
            <w:tcW w:w="720" w:type="dxa"/>
            <w:vAlign w:val="bottom"/>
            <w:gridSpan w:val="5"/>
          </w:tcPr>
          <w:p>
            <w:pPr>
              <w:spacing w:after="0"/>
              <w:rPr>
                <w:sz w:val="20"/>
                <w:szCs w:val="20"/>
                <w:color w:val="auto"/>
              </w:rPr>
            </w:pPr>
            <w:r>
              <w:rPr>
                <w:rFonts w:ascii="Arial" w:cs="Arial" w:eastAsia="Arial" w:hAnsi="Arial"/>
                <w:sz w:val="22"/>
                <w:szCs w:val="22"/>
                <w:color w:val="008080"/>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473"/>
        </w:trPr>
        <w:tc>
          <w:tcPr>
            <w:tcW w:w="5920" w:type="dxa"/>
            <w:vAlign w:val="bottom"/>
            <w:gridSpan w:val="4"/>
          </w:tcPr>
          <w:p>
            <w:pPr>
              <w:spacing w:after="0"/>
              <w:rPr>
                <w:sz w:val="20"/>
                <w:szCs w:val="20"/>
                <w:color w:val="auto"/>
              </w:rPr>
            </w:pPr>
            <w:r>
              <w:rPr>
                <w:rFonts w:ascii="Arial" w:cs="Arial" w:eastAsia="Arial" w:hAnsi="Arial"/>
                <w:sz w:val="22"/>
                <w:szCs w:val="22"/>
                <w:color w:val="010000"/>
                <w:w w:val="77"/>
              </w:rPr>
              <w:t xml:space="preserve">Article VI. </w:t>
            </w:r>
            <w:r>
              <w:rPr>
                <w:rFonts w:ascii="Arial" w:cs="Arial" w:eastAsia="Arial" w:hAnsi="Arial"/>
                <w:sz w:val="22"/>
                <w:szCs w:val="22"/>
                <w:color w:val="000000"/>
                <w:w w:val="77"/>
              </w:rPr>
              <w:t>AFFIRMATIVE COVENANTS........................................................ 12</w:t>
            </w:r>
          </w:p>
        </w:tc>
        <w:tc>
          <w:tcPr>
            <w:tcW w:w="1140" w:type="dxa"/>
            <w:vAlign w:val="bottom"/>
            <w:gridSpan w:val="14"/>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3</w:t>
            </w:r>
          </w:p>
        </w:tc>
        <w:tc>
          <w:tcPr>
            <w:tcW w:w="3920" w:type="dxa"/>
            <w:vAlign w:val="bottom"/>
          </w:tcPr>
          <w:p>
            <w:pPr>
              <w:jc w:val="right"/>
              <w:ind w:right="3723"/>
              <w:spacing w:after="0"/>
              <w:rPr>
                <w:sz w:val="20"/>
                <w:szCs w:val="20"/>
                <w:color w:val="auto"/>
              </w:rPr>
            </w:pPr>
            <w:r>
              <w:rPr>
                <w:rFonts w:ascii="Arial" w:cs="Arial" w:eastAsia="Arial" w:hAnsi="Arial"/>
                <w:sz w:val="19"/>
                <w:szCs w:val="19"/>
                <w:color w:val="008080"/>
                <w:w w:val="75"/>
              </w:rPr>
              <w:t>2</w:t>
            </w:r>
          </w:p>
        </w:tc>
      </w:tr>
      <w:tr>
        <w:trPr>
          <w:trHeight w:val="474"/>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6.01</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7"/>
              </w:rPr>
              <w:t>Financial Statements...........................................</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12</w:t>
            </w:r>
          </w:p>
        </w:tc>
        <w:tc>
          <w:tcPr>
            <w:tcW w:w="1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3</w:t>
            </w:r>
          </w:p>
        </w:tc>
        <w:tc>
          <w:tcPr>
            <w:tcW w:w="700" w:type="dxa"/>
            <w:vAlign w:val="bottom"/>
            <w:gridSpan w:val="4"/>
          </w:tcPr>
          <w:p>
            <w:pPr>
              <w:spacing w:after="0"/>
              <w:rPr>
                <w:sz w:val="20"/>
                <w:szCs w:val="20"/>
                <w:color w:val="auto"/>
              </w:rPr>
            </w:pPr>
            <w:r>
              <w:rPr>
                <w:rFonts w:ascii="Arial" w:cs="Arial" w:eastAsia="Arial" w:hAnsi="Arial"/>
                <w:sz w:val="22"/>
                <w:szCs w:val="22"/>
                <w:color w:val="008080"/>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6.02</w:t>
            </w:r>
            <w:r>
              <w:rPr>
                <w:rFonts w:ascii="Arial" w:cs="Arial" w:eastAsia="Arial" w:hAnsi="Arial"/>
                <w:sz w:val="22"/>
                <w:szCs w:val="22"/>
                <w:color w:val="000000"/>
                <w:w w:val="89"/>
              </w:rPr>
              <w:t>............</w:t>
            </w:r>
          </w:p>
        </w:tc>
        <w:tc>
          <w:tcPr>
            <w:tcW w:w="4420" w:type="dxa"/>
            <w:vAlign w:val="bottom"/>
            <w:gridSpan w:val="6"/>
          </w:tcPr>
          <w:p>
            <w:pPr>
              <w:ind w:left="20"/>
              <w:spacing w:after="0"/>
              <w:rPr>
                <w:sz w:val="20"/>
                <w:szCs w:val="20"/>
                <w:color w:val="auto"/>
              </w:rPr>
            </w:pPr>
            <w:r>
              <w:rPr>
                <w:rFonts w:ascii="Arial" w:cs="Arial" w:eastAsia="Arial" w:hAnsi="Arial"/>
                <w:sz w:val="22"/>
                <w:szCs w:val="22"/>
                <w:color w:val="auto"/>
                <w:w w:val="89"/>
              </w:rPr>
              <w:t>Certificates; Other Information........................…12</w:t>
            </w: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5</w:t>
            </w:r>
          </w:p>
        </w:tc>
        <w:tc>
          <w:tcPr>
            <w:tcW w:w="4780" w:type="dxa"/>
            <w:vAlign w:val="bottom"/>
            <w:gridSpan w:val="7"/>
          </w:tcPr>
          <w:p>
            <w:pPr>
              <w:jc w:val="right"/>
              <w:ind w:right="4583"/>
              <w:spacing w:after="0"/>
              <w:rPr>
                <w:sz w:val="20"/>
                <w:szCs w:val="20"/>
                <w:color w:val="auto"/>
              </w:rPr>
            </w:pPr>
            <w:r>
              <w:rPr>
                <w:rFonts w:ascii="Arial" w:cs="Arial" w:eastAsia="Arial" w:hAnsi="Arial"/>
                <w:sz w:val="19"/>
                <w:szCs w:val="19"/>
                <w:color w:val="008080"/>
                <w:w w:val="75"/>
              </w:rPr>
              <w:t>4</w:t>
            </w: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6.03</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1"/>
              </w:rPr>
              <w:t>Notices................................................................. 12</w:t>
            </w:r>
          </w:p>
        </w:tc>
        <w:tc>
          <w:tcPr>
            <w:tcW w:w="300" w:type="dxa"/>
            <w:vAlign w:val="bottom"/>
            <w:gridSpan w:val="6"/>
          </w:tcPr>
          <w:p>
            <w:pPr>
              <w:spacing w:after="0"/>
              <w:rPr>
                <w:sz w:val="23"/>
                <w:szCs w:val="23"/>
                <w:color w:val="auto"/>
              </w:rPr>
            </w:pPr>
          </w:p>
        </w:tc>
        <w:tc>
          <w:tcPr>
            <w:tcW w:w="120" w:type="dxa"/>
            <w:vAlign w:val="bottom"/>
            <w:gridSpan w:val="5"/>
          </w:tcPr>
          <w:p>
            <w:pPr>
              <w:ind w:left="20"/>
              <w:spacing w:after="0"/>
              <w:rPr>
                <w:sz w:val="20"/>
                <w:szCs w:val="20"/>
                <w:color w:val="auto"/>
              </w:rPr>
            </w:pPr>
            <w:r>
              <w:rPr>
                <w:rFonts w:ascii="Arial" w:cs="Arial" w:eastAsia="Arial" w:hAnsi="Arial"/>
                <w:sz w:val="19"/>
                <w:szCs w:val="19"/>
                <w:color w:val="FF0000"/>
                <w:strike w:val="1"/>
                <w:w w:val="75"/>
              </w:rPr>
              <w:t>6</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6.04</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7"/>
              </w:rPr>
              <w:t>Payment of Taxes................................................</w:t>
            </w:r>
          </w:p>
        </w:tc>
        <w:tc>
          <w:tcPr>
            <w:tcW w:w="280" w:type="dxa"/>
            <w:vAlign w:val="bottom"/>
            <w:gridSpan w:val="5"/>
          </w:tcPr>
          <w:p>
            <w:pPr>
              <w:jc w:val="right"/>
              <w:spacing w:after="0"/>
              <w:rPr>
                <w:sz w:val="20"/>
                <w:szCs w:val="20"/>
                <w:color w:val="auto"/>
              </w:rPr>
            </w:pPr>
            <w:r>
              <w:rPr>
                <w:rFonts w:ascii="Arial" w:cs="Arial" w:eastAsia="Arial" w:hAnsi="Arial"/>
                <w:sz w:val="22"/>
                <w:szCs w:val="22"/>
                <w:color w:val="auto"/>
              </w:rPr>
              <w:t>12</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6</w:t>
            </w:r>
          </w:p>
        </w:tc>
        <w:tc>
          <w:tcPr>
            <w:tcW w:w="700" w:type="dxa"/>
            <w:vAlign w:val="bottom"/>
            <w:gridSpan w:val="4"/>
          </w:tcPr>
          <w:p>
            <w:pPr>
              <w:spacing w:after="0"/>
              <w:rPr>
                <w:sz w:val="20"/>
                <w:szCs w:val="20"/>
                <w:color w:val="auto"/>
              </w:rPr>
            </w:pPr>
            <w:r>
              <w:rPr>
                <w:rFonts w:ascii="Arial" w:cs="Arial" w:eastAsia="Arial" w:hAnsi="Arial"/>
                <w:sz w:val="22"/>
                <w:szCs w:val="22"/>
                <w:color w:val="008080"/>
              </w:rPr>
              <w:t>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6.05</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1"/>
              </w:rPr>
              <w:t>Preservation of Existence, Etc............................. 12</w:t>
            </w:r>
          </w:p>
        </w:tc>
        <w:tc>
          <w:tcPr>
            <w:tcW w:w="300" w:type="dxa"/>
            <w:vAlign w:val="bottom"/>
            <w:gridSpan w:val="6"/>
          </w:tcPr>
          <w:p>
            <w:pPr>
              <w:spacing w:after="0"/>
              <w:rPr>
                <w:sz w:val="23"/>
                <w:szCs w:val="23"/>
                <w:color w:val="auto"/>
              </w:rPr>
            </w:pPr>
          </w:p>
        </w:tc>
        <w:tc>
          <w:tcPr>
            <w:tcW w:w="120" w:type="dxa"/>
            <w:vAlign w:val="bottom"/>
            <w:gridSpan w:val="5"/>
          </w:tcPr>
          <w:p>
            <w:pPr>
              <w:ind w:left="20"/>
              <w:spacing w:after="0"/>
              <w:rPr>
                <w:sz w:val="20"/>
                <w:szCs w:val="20"/>
                <w:color w:val="auto"/>
              </w:rPr>
            </w:pPr>
            <w:r>
              <w:rPr>
                <w:rFonts w:ascii="Arial" w:cs="Arial" w:eastAsia="Arial" w:hAnsi="Arial"/>
                <w:sz w:val="19"/>
                <w:szCs w:val="19"/>
                <w:color w:val="FF0000"/>
                <w:strike w:val="1"/>
                <w:w w:val="75"/>
              </w:rPr>
              <w:t>7</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6.06</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1"/>
              </w:rPr>
              <w:t>Maintenance of Properties................................... 12</w:t>
            </w:r>
          </w:p>
        </w:tc>
        <w:tc>
          <w:tcPr>
            <w:tcW w:w="300" w:type="dxa"/>
            <w:vAlign w:val="bottom"/>
            <w:gridSpan w:val="6"/>
          </w:tcPr>
          <w:p>
            <w:pPr>
              <w:spacing w:after="0"/>
              <w:rPr>
                <w:sz w:val="23"/>
                <w:szCs w:val="23"/>
                <w:color w:val="auto"/>
              </w:rPr>
            </w:pPr>
          </w:p>
        </w:tc>
        <w:tc>
          <w:tcPr>
            <w:tcW w:w="120" w:type="dxa"/>
            <w:vAlign w:val="bottom"/>
            <w:gridSpan w:val="5"/>
          </w:tcPr>
          <w:p>
            <w:pPr>
              <w:ind w:left="20"/>
              <w:spacing w:after="0"/>
              <w:rPr>
                <w:sz w:val="20"/>
                <w:szCs w:val="20"/>
                <w:color w:val="auto"/>
              </w:rPr>
            </w:pPr>
            <w:r>
              <w:rPr>
                <w:rFonts w:ascii="Arial" w:cs="Arial" w:eastAsia="Arial" w:hAnsi="Arial"/>
                <w:sz w:val="19"/>
                <w:szCs w:val="19"/>
                <w:color w:val="FF0000"/>
                <w:strike w:val="1"/>
                <w:w w:val="75"/>
              </w:rPr>
              <w:t>7</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6.07</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7"/>
              </w:rPr>
              <w:t>Maintenance of Insurance...................................</w:t>
            </w:r>
          </w:p>
        </w:tc>
        <w:tc>
          <w:tcPr>
            <w:tcW w:w="280" w:type="dxa"/>
            <w:vAlign w:val="bottom"/>
            <w:gridSpan w:val="5"/>
          </w:tcPr>
          <w:p>
            <w:pPr>
              <w:jc w:val="right"/>
              <w:spacing w:after="0"/>
              <w:rPr>
                <w:sz w:val="20"/>
                <w:szCs w:val="20"/>
                <w:color w:val="auto"/>
              </w:rPr>
            </w:pPr>
            <w:r>
              <w:rPr>
                <w:rFonts w:ascii="Arial" w:cs="Arial" w:eastAsia="Arial" w:hAnsi="Arial"/>
                <w:sz w:val="22"/>
                <w:szCs w:val="22"/>
                <w:color w:val="auto"/>
              </w:rPr>
              <w:t>12</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7</w:t>
            </w:r>
          </w:p>
        </w:tc>
        <w:tc>
          <w:tcPr>
            <w:tcW w:w="700" w:type="dxa"/>
            <w:vAlign w:val="bottom"/>
            <w:gridSpan w:val="4"/>
          </w:tcPr>
          <w:p>
            <w:pPr>
              <w:spacing w:after="0"/>
              <w:rPr>
                <w:sz w:val="20"/>
                <w:szCs w:val="20"/>
                <w:color w:val="auto"/>
              </w:rPr>
            </w:pPr>
            <w:r>
              <w:rPr>
                <w:rFonts w:ascii="Arial" w:cs="Arial" w:eastAsia="Arial" w:hAnsi="Arial"/>
                <w:sz w:val="22"/>
                <w:szCs w:val="22"/>
                <w:color w:val="008080"/>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6.08</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Compliance with Laws........................................ 12</w:t>
            </w:r>
          </w:p>
        </w:tc>
        <w:tc>
          <w:tcPr>
            <w:tcW w:w="300" w:type="dxa"/>
            <w:vAlign w:val="bottom"/>
            <w:gridSpan w:val="6"/>
          </w:tcPr>
          <w:p>
            <w:pPr>
              <w:spacing w:after="0"/>
              <w:rPr>
                <w:sz w:val="23"/>
                <w:szCs w:val="23"/>
                <w:color w:val="auto"/>
              </w:rPr>
            </w:pP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7</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56"/>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6.09</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1"/>
              </w:rPr>
              <w:t>Books and Records.............................................. 12</w:t>
            </w:r>
          </w:p>
        </w:tc>
        <w:tc>
          <w:tcPr>
            <w:tcW w:w="300" w:type="dxa"/>
            <w:vAlign w:val="bottom"/>
            <w:gridSpan w:val="6"/>
          </w:tcPr>
          <w:p>
            <w:pPr>
              <w:spacing w:after="0"/>
              <w:rPr>
                <w:sz w:val="22"/>
                <w:szCs w:val="22"/>
                <w:color w:val="auto"/>
              </w:rPr>
            </w:pP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7</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6.10</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2"/>
              </w:rPr>
              <w:t>Inspection Rights................................................. 12</w:t>
            </w:r>
          </w:p>
        </w:tc>
        <w:tc>
          <w:tcPr>
            <w:tcW w:w="300" w:type="dxa"/>
            <w:vAlign w:val="bottom"/>
            <w:gridSpan w:val="6"/>
          </w:tcPr>
          <w:p>
            <w:pPr>
              <w:spacing w:after="0"/>
              <w:rPr>
                <w:sz w:val="23"/>
                <w:szCs w:val="23"/>
                <w:color w:val="auto"/>
              </w:rPr>
            </w:pPr>
          </w:p>
        </w:tc>
        <w:tc>
          <w:tcPr>
            <w:tcW w:w="120" w:type="dxa"/>
            <w:vAlign w:val="bottom"/>
            <w:gridSpan w:val="5"/>
          </w:tcPr>
          <w:p>
            <w:pPr>
              <w:spacing w:after="0"/>
              <w:rPr>
                <w:sz w:val="20"/>
                <w:szCs w:val="20"/>
                <w:color w:val="auto"/>
              </w:rPr>
            </w:pPr>
            <w:r>
              <w:rPr>
                <w:rFonts w:ascii="Arial" w:cs="Arial" w:eastAsia="Arial" w:hAnsi="Arial"/>
                <w:sz w:val="22"/>
                <w:szCs w:val="22"/>
                <w:color w:val="FF0000"/>
                <w:strike w:val="1"/>
                <w:w w:val="81"/>
              </w:rPr>
              <w:t>8</w:t>
            </w:r>
          </w:p>
        </w:tc>
        <w:tc>
          <w:tcPr>
            <w:tcW w:w="660" w:type="dxa"/>
            <w:vAlign w:val="bottom"/>
            <w:gridSpan w:val="2"/>
          </w:tcPr>
          <w:p>
            <w:pPr>
              <w:jc w:val="right"/>
              <w:ind w:right="452"/>
              <w:spacing w:after="0"/>
              <w:rPr>
                <w:sz w:val="20"/>
                <w:szCs w:val="20"/>
                <w:color w:val="auto"/>
              </w:rPr>
            </w:pPr>
            <w:r>
              <w:rPr>
                <w:rFonts w:ascii="Arial" w:cs="Arial" w:eastAsia="Arial" w:hAnsi="Arial"/>
                <w:sz w:val="19"/>
                <w:szCs w:val="19"/>
                <w:color w:val="008080"/>
                <w:w w:val="75"/>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6.11</w:t>
            </w:r>
            <w:r>
              <w:rPr>
                <w:rFonts w:ascii="Arial" w:cs="Arial" w:eastAsia="Arial" w:hAnsi="Arial"/>
                <w:sz w:val="22"/>
                <w:szCs w:val="22"/>
                <w:color w:val="000000"/>
                <w:w w:val="89"/>
              </w:rPr>
              <w:t>............</w:t>
            </w:r>
          </w:p>
        </w:tc>
        <w:tc>
          <w:tcPr>
            <w:tcW w:w="4140" w:type="dxa"/>
            <w:vAlign w:val="bottom"/>
          </w:tcPr>
          <w:p>
            <w:pPr>
              <w:spacing w:after="0"/>
              <w:rPr>
                <w:sz w:val="20"/>
                <w:szCs w:val="20"/>
                <w:color w:val="auto"/>
              </w:rPr>
            </w:pPr>
            <w:r>
              <w:rPr>
                <w:rFonts w:ascii="Arial" w:cs="Arial" w:eastAsia="Arial" w:hAnsi="Arial"/>
                <w:sz w:val="22"/>
                <w:szCs w:val="22"/>
                <w:color w:val="auto"/>
                <w:w w:val="91"/>
              </w:rPr>
              <w:t>Additional Collateral; Additional Guarantors.....</w:t>
            </w:r>
          </w:p>
        </w:tc>
        <w:tc>
          <w:tcPr>
            <w:tcW w:w="280" w:type="dxa"/>
            <w:vAlign w:val="bottom"/>
            <w:gridSpan w:val="5"/>
          </w:tcPr>
          <w:p>
            <w:pPr>
              <w:jc w:val="right"/>
              <w:spacing w:after="0"/>
              <w:rPr>
                <w:sz w:val="20"/>
                <w:szCs w:val="20"/>
                <w:color w:val="auto"/>
              </w:rPr>
            </w:pPr>
            <w:r>
              <w:rPr>
                <w:rFonts w:ascii="Arial" w:cs="Arial" w:eastAsia="Arial" w:hAnsi="Arial"/>
                <w:sz w:val="22"/>
                <w:szCs w:val="22"/>
                <w:color w:val="auto"/>
              </w:rPr>
              <w:t>12</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8</w:t>
            </w:r>
          </w:p>
        </w:tc>
        <w:tc>
          <w:tcPr>
            <w:tcW w:w="700" w:type="dxa"/>
            <w:vAlign w:val="bottom"/>
            <w:gridSpan w:val="4"/>
          </w:tcPr>
          <w:p>
            <w:pPr>
              <w:spacing w:after="0"/>
              <w:rPr>
                <w:sz w:val="20"/>
                <w:szCs w:val="20"/>
                <w:color w:val="auto"/>
              </w:rPr>
            </w:pPr>
            <w:r>
              <w:rPr>
                <w:rFonts w:ascii="Arial" w:cs="Arial" w:eastAsia="Arial" w:hAnsi="Arial"/>
                <w:sz w:val="22"/>
                <w:szCs w:val="22"/>
                <w:color w:val="008080"/>
              </w:rPr>
              <w:t>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82"/>
        </w:trPr>
        <w:tc>
          <w:tcPr>
            <w:tcW w:w="1780" w:type="dxa"/>
            <w:vAlign w:val="bottom"/>
            <w:gridSpan w:val="3"/>
          </w:tcPr>
          <w:p>
            <w:pPr>
              <w:spacing w:after="0"/>
              <w:rPr>
                <w:sz w:val="20"/>
                <w:szCs w:val="20"/>
                <w:color w:val="auto"/>
              </w:rPr>
            </w:pPr>
            <w:r>
              <w:rPr>
                <w:rFonts w:ascii="Arial" w:cs="Arial" w:eastAsia="Arial" w:hAnsi="Arial"/>
                <w:sz w:val="22"/>
                <w:szCs w:val="22"/>
                <w:color w:val="010000"/>
                <w:w w:val="89"/>
              </w:rPr>
              <w:t>Section 6.12</w:t>
            </w:r>
            <w:r>
              <w:rPr>
                <w:rFonts w:ascii="Arial" w:cs="Arial" w:eastAsia="Arial" w:hAnsi="Arial"/>
                <w:sz w:val="22"/>
                <w:szCs w:val="22"/>
                <w:color w:val="000000"/>
                <w:w w:val="89"/>
              </w:rPr>
              <w:t>............</w:t>
            </w:r>
          </w:p>
        </w:tc>
        <w:tc>
          <w:tcPr>
            <w:tcW w:w="4140" w:type="dxa"/>
            <w:vAlign w:val="bottom"/>
          </w:tcPr>
          <w:p>
            <w:pPr>
              <w:ind w:left="20"/>
              <w:spacing w:after="0"/>
              <w:rPr>
                <w:sz w:val="20"/>
                <w:szCs w:val="20"/>
                <w:color w:val="auto"/>
              </w:rPr>
            </w:pPr>
            <w:r>
              <w:rPr>
                <w:rFonts w:ascii="Arial" w:cs="Arial" w:eastAsia="Arial" w:hAnsi="Arial"/>
                <w:sz w:val="22"/>
                <w:szCs w:val="22"/>
                <w:color w:val="auto"/>
                <w:w w:val="84"/>
              </w:rPr>
              <w:t>Compliance with Environmental Laws............... 12</w:t>
            </w:r>
          </w:p>
        </w:tc>
        <w:tc>
          <w:tcPr>
            <w:tcW w:w="300" w:type="dxa"/>
            <w:vAlign w:val="bottom"/>
            <w:gridSpan w:val="6"/>
          </w:tcPr>
          <w:p>
            <w:pPr>
              <w:spacing w:after="0"/>
              <w:rPr>
                <w:sz w:val="24"/>
                <w:szCs w:val="24"/>
                <w:color w:val="auto"/>
              </w:rPr>
            </w:pP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9</w:t>
            </w:r>
          </w:p>
        </w:tc>
        <w:tc>
          <w:tcPr>
            <w:tcW w:w="680" w:type="dxa"/>
            <w:vAlign w:val="bottom"/>
            <w:gridSpan w:val="3"/>
          </w:tcPr>
          <w:p>
            <w:pPr>
              <w:jc w:val="right"/>
              <w:ind w:right="472"/>
              <w:spacing w:after="0"/>
              <w:rPr>
                <w:sz w:val="20"/>
                <w:szCs w:val="20"/>
                <w:color w:val="auto"/>
              </w:rPr>
            </w:pPr>
            <w:r>
              <w:rPr>
                <w:rFonts w:ascii="Arial" w:cs="Arial" w:eastAsia="Arial" w:hAnsi="Arial"/>
                <w:sz w:val="19"/>
                <w:szCs w:val="19"/>
                <w:color w:val="008080"/>
                <w:w w:val="75"/>
              </w:rPr>
              <w:t>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00"/>
          </w:cols>
          <w:pgMar w:left="320" w:top="1440" w:right="479" w:bottom="1440" w:gutter="0" w:footer="0" w:header="0"/>
        </w:sectPr>
      </w:pP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1440" w:right="4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6"/>
        </w:trPr>
        <w:tc>
          <w:tcPr>
            <w:tcW w:w="1780" w:type="dxa"/>
            <w:vAlign w:val="bottom"/>
            <w:vMerge w:val="restart"/>
          </w:tcPr>
          <w:p>
            <w:pPr>
              <w:spacing w:after="0"/>
              <w:rPr>
                <w:sz w:val="20"/>
                <w:szCs w:val="20"/>
                <w:color w:val="auto"/>
              </w:rPr>
            </w:pPr>
            <w:r>
              <w:rPr>
                <w:rFonts w:ascii="Arial" w:cs="Arial" w:eastAsia="Arial" w:hAnsi="Arial"/>
                <w:sz w:val="22"/>
                <w:szCs w:val="22"/>
                <w:color w:val="010000"/>
                <w:w w:val="89"/>
              </w:rPr>
              <w:t>Section 6.13</w:t>
            </w:r>
            <w:r>
              <w:rPr>
                <w:rFonts w:ascii="Arial" w:cs="Arial" w:eastAsia="Arial" w:hAnsi="Arial"/>
                <w:sz w:val="22"/>
                <w:szCs w:val="22"/>
                <w:color w:val="000000"/>
                <w:w w:val="89"/>
              </w:rPr>
              <w:t>............</w:t>
            </w:r>
          </w:p>
        </w:tc>
        <w:tc>
          <w:tcPr>
            <w:tcW w:w="4160" w:type="dxa"/>
            <w:vAlign w:val="bottom"/>
            <w:vMerge w:val="restart"/>
          </w:tcPr>
          <w:p>
            <w:pPr>
              <w:ind w:left="20"/>
              <w:spacing w:after="0"/>
              <w:rPr>
                <w:sz w:val="20"/>
                <w:szCs w:val="20"/>
                <w:color w:val="auto"/>
              </w:rPr>
            </w:pPr>
            <w:r>
              <w:rPr>
                <w:rFonts w:ascii="Arial" w:cs="Arial" w:eastAsia="Arial" w:hAnsi="Arial"/>
                <w:sz w:val="22"/>
                <w:szCs w:val="22"/>
                <w:color w:val="auto"/>
                <w:w w:val="87"/>
              </w:rPr>
              <w:t>Further Assurances..............................................</w:t>
            </w:r>
          </w:p>
        </w:tc>
        <w:tc>
          <w:tcPr>
            <w:tcW w:w="260" w:type="dxa"/>
            <w:vAlign w:val="bottom"/>
            <w:gridSpan w:val="4"/>
            <w:vMerge w:val="restart"/>
          </w:tcPr>
          <w:p>
            <w:pPr>
              <w:jc w:val="right"/>
              <w:spacing w:after="0"/>
              <w:rPr>
                <w:sz w:val="20"/>
                <w:szCs w:val="20"/>
                <w:color w:val="auto"/>
              </w:rPr>
            </w:pPr>
            <w:r>
              <w:rPr>
                <w:rFonts w:ascii="Arial" w:cs="Arial" w:eastAsia="Arial" w:hAnsi="Arial"/>
                <w:sz w:val="22"/>
                <w:szCs w:val="22"/>
                <w:color w:val="auto"/>
                <w:w w:val="97"/>
              </w:rPr>
              <w:t>12</w:t>
            </w:r>
          </w:p>
        </w:tc>
        <w:tc>
          <w:tcPr>
            <w:tcW w:w="120" w:type="dxa"/>
            <w:vAlign w:val="bottom"/>
            <w:gridSpan w:val="6"/>
            <w:vMerge w:val="restart"/>
          </w:tcPr>
          <w:p>
            <w:pPr>
              <w:spacing w:after="0"/>
              <w:rPr>
                <w:sz w:val="20"/>
                <w:szCs w:val="20"/>
                <w:color w:val="auto"/>
              </w:rPr>
            </w:pPr>
            <w:r>
              <w:rPr>
                <w:rFonts w:ascii="Arial" w:cs="Arial" w:eastAsia="Arial" w:hAnsi="Arial"/>
                <w:sz w:val="22"/>
                <w:szCs w:val="22"/>
                <w:color w:val="FF0000"/>
                <w:strike w:val="1"/>
                <w:w w:val="81"/>
              </w:rPr>
              <w:t>9</w:t>
            </w:r>
          </w:p>
        </w:tc>
        <w:tc>
          <w:tcPr>
            <w:tcW w:w="520" w:type="dxa"/>
            <w:vAlign w:val="bottom"/>
            <w:gridSpan w:val="3"/>
            <w:vMerge w:val="restart"/>
          </w:tcPr>
          <w:p>
            <w:pPr>
              <w:jc w:val="right"/>
              <w:ind w:right="323"/>
              <w:spacing w:after="0"/>
              <w:rPr>
                <w:sz w:val="20"/>
                <w:szCs w:val="20"/>
                <w:color w:val="auto"/>
              </w:rPr>
            </w:pPr>
            <w:r>
              <w:rPr>
                <w:rFonts w:ascii="Arial" w:cs="Arial" w:eastAsia="Arial" w:hAnsi="Arial"/>
                <w:sz w:val="19"/>
                <w:szCs w:val="19"/>
                <w:color w:val="008080"/>
                <w:w w:val="75"/>
              </w:rPr>
              <w:t>8</w:t>
            </w: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24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780" w:type="dxa"/>
            <w:vAlign w:val="bottom"/>
            <w:vMerge w:val="continue"/>
          </w:tcPr>
          <w:p>
            <w:pPr>
              <w:spacing w:after="0"/>
              <w:rPr>
                <w:sz w:val="21"/>
                <w:szCs w:val="21"/>
                <w:color w:val="auto"/>
              </w:rPr>
            </w:pPr>
          </w:p>
        </w:tc>
        <w:tc>
          <w:tcPr>
            <w:tcW w:w="4160" w:type="dxa"/>
            <w:vAlign w:val="bottom"/>
            <w:vMerge w:val="continue"/>
          </w:tcPr>
          <w:p>
            <w:pPr>
              <w:spacing w:after="0"/>
              <w:rPr>
                <w:sz w:val="21"/>
                <w:szCs w:val="21"/>
                <w:color w:val="auto"/>
              </w:rPr>
            </w:pPr>
          </w:p>
        </w:tc>
        <w:tc>
          <w:tcPr>
            <w:tcW w:w="260" w:type="dxa"/>
            <w:vAlign w:val="bottom"/>
            <w:gridSpan w:val="4"/>
            <w:vMerge w:val="continue"/>
          </w:tcPr>
          <w:p>
            <w:pPr>
              <w:spacing w:after="0"/>
              <w:rPr>
                <w:sz w:val="21"/>
                <w:szCs w:val="21"/>
                <w:color w:val="auto"/>
              </w:rPr>
            </w:pPr>
          </w:p>
        </w:tc>
        <w:tc>
          <w:tcPr>
            <w:tcW w:w="120" w:type="dxa"/>
            <w:vAlign w:val="bottom"/>
            <w:gridSpan w:val="6"/>
            <w:vMerge w:val="continue"/>
          </w:tcPr>
          <w:p>
            <w:pPr>
              <w:spacing w:after="0"/>
              <w:rPr>
                <w:sz w:val="21"/>
                <w:szCs w:val="21"/>
                <w:color w:val="auto"/>
              </w:rPr>
            </w:pPr>
          </w:p>
        </w:tc>
        <w:tc>
          <w:tcPr>
            <w:tcW w:w="520" w:type="dxa"/>
            <w:vAlign w:val="bottom"/>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32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6.14</w:t>
            </w:r>
            <w:r>
              <w:rPr>
                <w:rFonts w:ascii="Arial" w:cs="Arial" w:eastAsia="Arial" w:hAnsi="Arial"/>
                <w:sz w:val="22"/>
                <w:szCs w:val="22"/>
                <w:color w:val="000000"/>
                <w:w w:val="89"/>
              </w:rPr>
              <w:t>............</w:t>
            </w:r>
          </w:p>
        </w:tc>
        <w:tc>
          <w:tcPr>
            <w:tcW w:w="4280" w:type="dxa"/>
            <w:vAlign w:val="bottom"/>
            <w:gridSpan w:val="2"/>
          </w:tcPr>
          <w:p>
            <w:pPr>
              <w:ind w:left="20"/>
              <w:spacing w:after="0"/>
              <w:rPr>
                <w:sz w:val="20"/>
                <w:szCs w:val="20"/>
                <w:color w:val="auto"/>
              </w:rPr>
            </w:pPr>
            <w:r>
              <w:rPr>
                <w:rFonts w:ascii="Arial" w:cs="Arial" w:eastAsia="Arial" w:hAnsi="Arial"/>
                <w:sz w:val="22"/>
                <w:szCs w:val="22"/>
                <w:color w:val="auto"/>
                <w:w w:val="88"/>
              </w:rPr>
              <w:t>Designation of Subsidiaries............................… 1</w:t>
            </w:r>
          </w:p>
        </w:tc>
        <w:tc>
          <w:tcPr>
            <w:tcW w:w="220" w:type="dxa"/>
            <w:vAlign w:val="bottom"/>
            <w:gridSpan w:val="7"/>
          </w:tcPr>
          <w:p>
            <w:pPr>
              <w:jc w:val="right"/>
              <w:spacing w:after="0"/>
              <w:rPr>
                <w:sz w:val="20"/>
                <w:szCs w:val="20"/>
                <w:color w:val="auto"/>
              </w:rPr>
            </w:pPr>
            <w:r>
              <w:rPr>
                <w:rFonts w:ascii="Arial" w:cs="Arial" w:eastAsia="Arial" w:hAnsi="Arial"/>
                <w:sz w:val="22"/>
                <w:szCs w:val="22"/>
                <w:color w:val="FF0000"/>
                <w:strike w:val="1"/>
                <w:w w:val="81"/>
              </w:rPr>
              <w:t>30</w:t>
            </w:r>
          </w:p>
        </w:tc>
        <w:tc>
          <w:tcPr>
            <w:tcW w:w="560" w:type="dxa"/>
            <w:vAlign w:val="bottom"/>
            <w:gridSpan w:val="5"/>
          </w:tcPr>
          <w:p>
            <w:pPr>
              <w:spacing w:after="0"/>
              <w:rPr>
                <w:sz w:val="20"/>
                <w:szCs w:val="20"/>
                <w:color w:val="auto"/>
              </w:rPr>
            </w:pPr>
            <w:r>
              <w:rPr>
                <w:rFonts w:ascii="Arial" w:cs="Arial" w:eastAsia="Arial" w:hAnsi="Arial"/>
                <w:sz w:val="22"/>
                <w:szCs w:val="22"/>
                <w:color w:val="008080"/>
              </w:rPr>
              <w:t>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6.15</w:t>
            </w:r>
            <w:r>
              <w:rPr>
                <w:rFonts w:ascii="Arial" w:cs="Arial" w:eastAsia="Arial" w:hAnsi="Arial"/>
                <w:sz w:val="22"/>
                <w:szCs w:val="22"/>
                <w:color w:val="000000"/>
                <w:w w:val="89"/>
              </w:rPr>
              <w:t>............</w:t>
            </w:r>
          </w:p>
        </w:tc>
        <w:tc>
          <w:tcPr>
            <w:tcW w:w="4280" w:type="dxa"/>
            <w:vAlign w:val="bottom"/>
            <w:gridSpan w:val="2"/>
          </w:tcPr>
          <w:p>
            <w:pPr>
              <w:ind w:left="20"/>
              <w:spacing w:after="0"/>
              <w:rPr>
                <w:sz w:val="20"/>
                <w:szCs w:val="20"/>
                <w:color w:val="auto"/>
              </w:rPr>
            </w:pPr>
            <w:r>
              <w:rPr>
                <w:rFonts w:ascii="Arial" w:cs="Arial" w:eastAsia="Arial" w:hAnsi="Arial"/>
                <w:sz w:val="22"/>
                <w:szCs w:val="22"/>
                <w:color w:val="auto"/>
                <w:w w:val="88"/>
              </w:rPr>
              <w:t>Maintenance of Ratings..................................… 1</w:t>
            </w:r>
          </w:p>
        </w:tc>
        <w:tc>
          <w:tcPr>
            <w:tcW w:w="220" w:type="dxa"/>
            <w:vAlign w:val="bottom"/>
            <w:gridSpan w:val="7"/>
          </w:tcPr>
          <w:p>
            <w:pPr>
              <w:jc w:val="right"/>
              <w:spacing w:after="0"/>
              <w:rPr>
                <w:sz w:val="20"/>
                <w:szCs w:val="20"/>
                <w:color w:val="auto"/>
              </w:rPr>
            </w:pPr>
            <w:r>
              <w:rPr>
                <w:rFonts w:ascii="Arial" w:cs="Arial" w:eastAsia="Arial" w:hAnsi="Arial"/>
                <w:sz w:val="22"/>
                <w:szCs w:val="22"/>
                <w:color w:val="FF0000"/>
                <w:strike w:val="1"/>
                <w:w w:val="81"/>
              </w:rPr>
              <w:t>30</w:t>
            </w:r>
          </w:p>
        </w:tc>
        <w:tc>
          <w:tcPr>
            <w:tcW w:w="560" w:type="dxa"/>
            <w:vAlign w:val="bottom"/>
            <w:gridSpan w:val="5"/>
          </w:tcPr>
          <w:p>
            <w:pPr>
              <w:spacing w:after="0"/>
              <w:rPr>
                <w:sz w:val="20"/>
                <w:szCs w:val="20"/>
                <w:color w:val="auto"/>
              </w:rPr>
            </w:pPr>
            <w:r>
              <w:rPr>
                <w:rFonts w:ascii="Arial" w:cs="Arial" w:eastAsia="Arial" w:hAnsi="Arial"/>
                <w:sz w:val="22"/>
                <w:szCs w:val="22"/>
                <w:color w:val="008080"/>
              </w:rPr>
              <w:t>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6.16</w:t>
            </w:r>
            <w:r>
              <w:rPr>
                <w:rFonts w:ascii="Arial" w:cs="Arial" w:eastAsia="Arial" w:hAnsi="Arial"/>
                <w:sz w:val="22"/>
                <w:szCs w:val="22"/>
                <w:color w:val="000000"/>
                <w:w w:val="89"/>
              </w:rPr>
              <w:t>............</w:t>
            </w:r>
          </w:p>
        </w:tc>
        <w:tc>
          <w:tcPr>
            <w:tcW w:w="4280" w:type="dxa"/>
            <w:vAlign w:val="bottom"/>
            <w:gridSpan w:val="2"/>
          </w:tcPr>
          <w:p>
            <w:pPr>
              <w:ind w:left="20"/>
              <w:spacing w:after="0"/>
              <w:rPr>
                <w:sz w:val="20"/>
                <w:szCs w:val="20"/>
                <w:color w:val="auto"/>
              </w:rPr>
            </w:pPr>
            <w:r>
              <w:rPr>
                <w:rFonts w:ascii="Arial" w:cs="Arial" w:eastAsia="Arial" w:hAnsi="Arial"/>
                <w:sz w:val="22"/>
                <w:szCs w:val="22"/>
                <w:color w:val="auto"/>
                <w:w w:val="87"/>
              </w:rPr>
              <w:t>Use of Proceeds..............................................… 1</w:t>
            </w:r>
          </w:p>
        </w:tc>
        <w:tc>
          <w:tcPr>
            <w:tcW w:w="220" w:type="dxa"/>
            <w:vAlign w:val="bottom"/>
            <w:gridSpan w:val="7"/>
          </w:tcPr>
          <w:p>
            <w:pPr>
              <w:jc w:val="right"/>
              <w:spacing w:after="0"/>
              <w:rPr>
                <w:sz w:val="20"/>
                <w:szCs w:val="20"/>
                <w:color w:val="auto"/>
              </w:rPr>
            </w:pPr>
            <w:r>
              <w:rPr>
                <w:rFonts w:ascii="Arial" w:cs="Arial" w:eastAsia="Arial" w:hAnsi="Arial"/>
                <w:sz w:val="22"/>
                <w:szCs w:val="22"/>
                <w:color w:val="FF0000"/>
                <w:strike w:val="1"/>
                <w:w w:val="81"/>
              </w:rPr>
              <w:t>30</w:t>
            </w:r>
          </w:p>
        </w:tc>
        <w:tc>
          <w:tcPr>
            <w:tcW w:w="560" w:type="dxa"/>
            <w:vAlign w:val="bottom"/>
            <w:gridSpan w:val="5"/>
          </w:tcPr>
          <w:p>
            <w:pPr>
              <w:spacing w:after="0"/>
              <w:rPr>
                <w:sz w:val="20"/>
                <w:szCs w:val="20"/>
                <w:color w:val="auto"/>
              </w:rPr>
            </w:pPr>
            <w:r>
              <w:rPr>
                <w:rFonts w:ascii="Arial" w:cs="Arial" w:eastAsia="Arial" w:hAnsi="Arial"/>
                <w:sz w:val="22"/>
                <w:szCs w:val="22"/>
                <w:color w:val="008080"/>
              </w:rPr>
              <w:t>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6.17</w:t>
            </w:r>
            <w:r>
              <w:rPr>
                <w:rFonts w:ascii="Arial" w:cs="Arial" w:eastAsia="Arial" w:hAnsi="Arial"/>
                <w:sz w:val="22"/>
                <w:szCs w:val="22"/>
                <w:color w:val="000000"/>
                <w:w w:val="89"/>
              </w:rPr>
              <w:t>............</w:t>
            </w:r>
          </w:p>
        </w:tc>
        <w:tc>
          <w:tcPr>
            <w:tcW w:w="4280" w:type="dxa"/>
            <w:vAlign w:val="bottom"/>
            <w:gridSpan w:val="2"/>
          </w:tcPr>
          <w:p>
            <w:pPr>
              <w:ind w:left="20"/>
              <w:spacing w:after="0"/>
              <w:rPr>
                <w:sz w:val="20"/>
                <w:szCs w:val="20"/>
                <w:color w:val="auto"/>
              </w:rPr>
            </w:pPr>
            <w:r>
              <w:rPr>
                <w:rFonts w:ascii="Arial" w:cs="Arial" w:eastAsia="Arial" w:hAnsi="Arial"/>
                <w:sz w:val="22"/>
                <w:szCs w:val="22"/>
                <w:color w:val="auto"/>
                <w:w w:val="88"/>
              </w:rPr>
              <w:t>Post-Closing Matters......................................… 1</w:t>
            </w:r>
          </w:p>
        </w:tc>
        <w:tc>
          <w:tcPr>
            <w:tcW w:w="200" w:type="dxa"/>
            <w:vAlign w:val="bottom"/>
            <w:gridSpan w:val="6"/>
          </w:tcPr>
          <w:p>
            <w:pPr>
              <w:jc w:val="right"/>
              <w:spacing w:after="0"/>
              <w:rPr>
                <w:sz w:val="20"/>
                <w:szCs w:val="20"/>
                <w:color w:val="auto"/>
              </w:rPr>
            </w:pPr>
            <w:r>
              <w:rPr>
                <w:rFonts w:ascii="Arial" w:cs="Arial" w:eastAsia="Arial" w:hAnsi="Arial"/>
                <w:sz w:val="22"/>
                <w:szCs w:val="22"/>
                <w:color w:val="FF0000"/>
                <w:strike w:val="1"/>
                <w:w w:val="73"/>
              </w:rPr>
              <w:t>30</w:t>
            </w:r>
          </w:p>
        </w:tc>
        <w:tc>
          <w:tcPr>
            <w:tcW w:w="580" w:type="dxa"/>
            <w:vAlign w:val="bottom"/>
            <w:gridSpan w:val="6"/>
          </w:tcPr>
          <w:p>
            <w:pPr>
              <w:jc w:val="right"/>
              <w:ind w:right="263"/>
              <w:spacing w:after="0"/>
              <w:rPr>
                <w:sz w:val="20"/>
                <w:szCs w:val="20"/>
                <w:color w:val="auto"/>
              </w:rPr>
            </w:pPr>
            <w:r>
              <w:rPr>
                <w:rFonts w:ascii="Arial" w:cs="Arial" w:eastAsia="Arial" w:hAnsi="Arial"/>
                <w:sz w:val="22"/>
                <w:szCs w:val="22"/>
                <w:color w:val="008080"/>
                <w:w w:val="81"/>
              </w:rPr>
              <w:t>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6.18</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8"/>
              </w:rPr>
              <w:t>[Reserved]...........................................................</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13</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1</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6.19</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Fiscal Year...........................................................</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13</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1</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6.20</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2"/>
              </w:rPr>
              <w:t>Quarterly Lender Call.......................................... 13</w:t>
            </w:r>
          </w:p>
        </w:tc>
        <w:tc>
          <w:tcPr>
            <w:tcW w:w="300" w:type="dxa"/>
            <w:vAlign w:val="bottom"/>
            <w:gridSpan w:val="6"/>
          </w:tcPr>
          <w:p>
            <w:pPr>
              <w:spacing w:after="0"/>
              <w:rPr>
                <w:sz w:val="24"/>
                <w:szCs w:val="24"/>
                <w:color w:val="auto"/>
              </w:rPr>
            </w:pP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1</w:t>
            </w:r>
          </w:p>
        </w:tc>
        <w:tc>
          <w:tcPr>
            <w:tcW w:w="500" w:type="dxa"/>
            <w:vAlign w:val="bottom"/>
            <w:gridSpan w:val="2"/>
          </w:tcPr>
          <w:p>
            <w:pPr>
              <w:jc w:val="right"/>
              <w:ind w:right="283"/>
              <w:spacing w:after="0"/>
              <w:rPr>
                <w:sz w:val="20"/>
                <w:szCs w:val="20"/>
                <w:color w:val="auto"/>
              </w:rPr>
            </w:pPr>
            <w:r>
              <w:rPr>
                <w:rFonts w:ascii="Arial" w:cs="Arial" w:eastAsia="Arial" w:hAnsi="Arial"/>
                <w:sz w:val="22"/>
                <w:szCs w:val="22"/>
                <w:color w:val="008080"/>
                <w:w w:val="81"/>
              </w:rPr>
              <w:t>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940" w:type="dxa"/>
            <w:vAlign w:val="bottom"/>
            <w:gridSpan w:val="2"/>
          </w:tcPr>
          <w:p>
            <w:pPr>
              <w:spacing w:after="0"/>
              <w:rPr>
                <w:sz w:val="20"/>
                <w:szCs w:val="20"/>
                <w:color w:val="auto"/>
              </w:rPr>
            </w:pPr>
            <w:r>
              <w:rPr>
                <w:rFonts w:ascii="Arial" w:cs="Arial" w:eastAsia="Arial" w:hAnsi="Arial"/>
                <w:sz w:val="22"/>
                <w:szCs w:val="22"/>
                <w:color w:val="010000"/>
                <w:w w:val="93"/>
              </w:rPr>
              <w:t xml:space="preserve">Article VII. </w:t>
            </w:r>
            <w:r>
              <w:rPr>
                <w:rFonts w:ascii="Arial" w:cs="Arial" w:eastAsia="Arial" w:hAnsi="Arial"/>
                <w:sz w:val="22"/>
                <w:szCs w:val="22"/>
                <w:color w:val="000000"/>
                <w:w w:val="93"/>
              </w:rPr>
              <w:t>NEGATIVE COVENANTS.............................................</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13</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1</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22"/>
                <w:szCs w:val="22"/>
                <w:color w:val="010000"/>
                <w:w w:val="89"/>
              </w:rPr>
              <w:t>Section 7.01</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Liens....................................................................</w:t>
            </w:r>
          </w:p>
        </w:tc>
        <w:tc>
          <w:tcPr>
            <w:tcW w:w="280" w:type="dxa"/>
            <w:vAlign w:val="bottom"/>
            <w:gridSpan w:val="5"/>
          </w:tcPr>
          <w:p>
            <w:pPr>
              <w:jc w:val="right"/>
              <w:spacing w:after="0"/>
              <w:rPr>
                <w:sz w:val="20"/>
                <w:szCs w:val="20"/>
                <w:color w:val="auto"/>
              </w:rPr>
            </w:pPr>
            <w:r>
              <w:rPr>
                <w:rFonts w:ascii="Arial" w:cs="Arial" w:eastAsia="Arial" w:hAnsi="Arial"/>
                <w:sz w:val="22"/>
                <w:szCs w:val="22"/>
                <w:color w:val="auto"/>
              </w:rPr>
              <w:t>13</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1</w:t>
            </w:r>
          </w:p>
        </w:tc>
        <w:tc>
          <w:tcPr>
            <w:tcW w:w="520" w:type="dxa"/>
            <w:vAlign w:val="bottom"/>
            <w:gridSpan w:val="3"/>
          </w:tcPr>
          <w:p>
            <w:pPr>
              <w:jc w:val="right"/>
              <w:ind w:right="323"/>
              <w:spacing w:after="0"/>
              <w:rPr>
                <w:sz w:val="20"/>
                <w:szCs w:val="20"/>
                <w:color w:val="auto"/>
              </w:rPr>
            </w:pPr>
            <w:r>
              <w:rPr>
                <w:rFonts w:ascii="Arial" w:cs="Arial" w:eastAsia="Arial" w:hAnsi="Arial"/>
                <w:sz w:val="19"/>
                <w:szCs w:val="19"/>
                <w:color w:val="008080"/>
                <w:w w:val="75"/>
              </w:rPr>
              <w:t>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7.02</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8"/>
              </w:rPr>
              <w:t>[Reserved]...........................................................</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13</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8</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7.03</w:t>
            </w:r>
            <w:r>
              <w:rPr>
                <w:rFonts w:ascii="Arial" w:cs="Arial" w:eastAsia="Arial" w:hAnsi="Arial"/>
                <w:sz w:val="22"/>
                <w:szCs w:val="22"/>
                <w:color w:val="000000"/>
                <w:w w:val="89"/>
              </w:rPr>
              <w:t>............</w:t>
            </w:r>
          </w:p>
        </w:tc>
        <w:tc>
          <w:tcPr>
            <w:tcW w:w="8440" w:type="dxa"/>
            <w:vAlign w:val="bottom"/>
            <w:gridSpan w:val="17"/>
          </w:tcPr>
          <w:p>
            <w:pPr>
              <w:ind w:left="20"/>
              <w:spacing w:after="0"/>
              <w:rPr>
                <w:sz w:val="20"/>
                <w:szCs w:val="20"/>
                <w:color w:val="auto"/>
              </w:rPr>
            </w:pPr>
            <w:r>
              <w:rPr>
                <w:rFonts w:ascii="Arial" w:cs="Arial" w:eastAsia="Arial" w:hAnsi="Arial"/>
                <w:sz w:val="22"/>
                <w:szCs w:val="22"/>
                <w:color w:val="auto"/>
              </w:rPr>
              <w:t>Indebtedness, Disqualified Equity Interests and Preferred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220" w:type="dxa"/>
            <w:vAlign w:val="bottom"/>
            <w:gridSpan w:val="7"/>
          </w:tcPr>
          <w:p>
            <w:pPr>
              <w:spacing w:after="0" w:line="236" w:lineRule="exact"/>
              <w:rPr>
                <w:sz w:val="20"/>
                <w:szCs w:val="20"/>
                <w:color w:val="auto"/>
              </w:rPr>
            </w:pPr>
            <w:r>
              <w:rPr>
                <w:rFonts w:ascii="Arial" w:cs="Arial" w:eastAsia="Arial" w:hAnsi="Arial"/>
                <w:sz w:val="22"/>
                <w:szCs w:val="22"/>
                <w:color w:val="auto"/>
                <w:w w:val="88"/>
              </w:rPr>
              <w:t>Stock..................................................................................................…13</w:t>
            </w:r>
          </w:p>
        </w:tc>
        <w:tc>
          <w:tcPr>
            <w:tcW w:w="120" w:type="dxa"/>
            <w:vAlign w:val="bottom"/>
            <w:gridSpan w:val="6"/>
          </w:tcPr>
          <w:p>
            <w:pPr>
              <w:spacing w:after="0" w:line="236" w:lineRule="exact"/>
              <w:rPr>
                <w:sz w:val="20"/>
                <w:szCs w:val="20"/>
                <w:color w:val="auto"/>
              </w:rPr>
            </w:pPr>
            <w:r>
              <w:rPr>
                <w:rFonts w:ascii="Arial" w:cs="Arial" w:eastAsia="Arial" w:hAnsi="Arial"/>
                <w:sz w:val="22"/>
                <w:szCs w:val="22"/>
                <w:color w:val="FF0000"/>
                <w:strike w:val="1"/>
                <w:w w:val="81"/>
              </w:rPr>
              <w:t>8</w:t>
            </w:r>
          </w:p>
        </w:tc>
        <w:tc>
          <w:tcPr>
            <w:tcW w:w="500" w:type="dxa"/>
            <w:vAlign w:val="bottom"/>
            <w:gridSpan w:val="2"/>
          </w:tcPr>
          <w:p>
            <w:pPr>
              <w:jc w:val="right"/>
              <w:ind w:right="303"/>
              <w:spacing w:after="0"/>
              <w:rPr>
                <w:sz w:val="20"/>
                <w:szCs w:val="20"/>
                <w:color w:val="auto"/>
              </w:rPr>
            </w:pPr>
            <w:r>
              <w:rPr>
                <w:rFonts w:ascii="Arial" w:cs="Arial" w:eastAsia="Arial" w:hAnsi="Arial"/>
                <w:sz w:val="19"/>
                <w:szCs w:val="19"/>
                <w:color w:val="008080"/>
                <w:w w:val="75"/>
              </w:rPr>
              <w:t>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7.04</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Fundamental Changes.........................................</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14</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3</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7.05</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2"/>
              </w:rPr>
              <w:t>Dispositions......................................................... 14</w:t>
            </w:r>
          </w:p>
        </w:tc>
        <w:tc>
          <w:tcPr>
            <w:tcW w:w="280" w:type="dxa"/>
            <w:vAlign w:val="bottom"/>
            <w:gridSpan w:val="5"/>
          </w:tcPr>
          <w:p>
            <w:pPr>
              <w:spacing w:after="0"/>
              <w:rPr>
                <w:sz w:val="23"/>
                <w:szCs w:val="23"/>
                <w:color w:val="auto"/>
              </w:rPr>
            </w:pP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5</w:t>
            </w:r>
          </w:p>
        </w:tc>
        <w:tc>
          <w:tcPr>
            <w:tcW w:w="520" w:type="dxa"/>
            <w:vAlign w:val="bottom"/>
            <w:gridSpan w:val="3"/>
          </w:tcPr>
          <w:p>
            <w:pPr>
              <w:jc w:val="right"/>
              <w:ind w:right="303"/>
              <w:spacing w:after="0"/>
              <w:rPr>
                <w:sz w:val="20"/>
                <w:szCs w:val="20"/>
                <w:color w:val="auto"/>
              </w:rPr>
            </w:pPr>
            <w:r>
              <w:rPr>
                <w:rFonts w:ascii="Arial" w:cs="Arial" w:eastAsia="Arial" w:hAnsi="Arial"/>
                <w:sz w:val="22"/>
                <w:szCs w:val="22"/>
                <w:color w:val="008080"/>
                <w:w w:val="81"/>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7.06</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Restricted Payments............................................</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14</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8</w:t>
            </w:r>
          </w:p>
        </w:tc>
        <w:tc>
          <w:tcPr>
            <w:tcW w:w="520" w:type="dxa"/>
            <w:vAlign w:val="bottom"/>
            <w:gridSpan w:val="3"/>
          </w:tcPr>
          <w:p>
            <w:pPr>
              <w:jc w:val="right"/>
              <w:ind w:right="323"/>
              <w:spacing w:after="0"/>
              <w:rPr>
                <w:sz w:val="20"/>
                <w:szCs w:val="20"/>
                <w:color w:val="auto"/>
              </w:rPr>
            </w:pPr>
            <w:r>
              <w:rPr>
                <w:rFonts w:ascii="Arial" w:cs="Arial" w:eastAsia="Arial" w:hAnsi="Arial"/>
                <w:sz w:val="19"/>
                <w:szCs w:val="19"/>
                <w:color w:val="008080"/>
                <w:w w:val="75"/>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7.07</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Change in Nature of Business.............................</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15</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5</w:t>
            </w:r>
          </w:p>
        </w:tc>
        <w:tc>
          <w:tcPr>
            <w:tcW w:w="520" w:type="dxa"/>
            <w:vAlign w:val="bottom"/>
            <w:gridSpan w:val="3"/>
          </w:tcPr>
          <w:p>
            <w:pPr>
              <w:jc w:val="right"/>
              <w:ind w:right="323"/>
              <w:spacing w:after="0"/>
              <w:rPr>
                <w:sz w:val="20"/>
                <w:szCs w:val="20"/>
                <w:color w:val="auto"/>
              </w:rPr>
            </w:pPr>
            <w:r>
              <w:rPr>
                <w:rFonts w:ascii="Arial" w:cs="Arial" w:eastAsia="Arial" w:hAnsi="Arial"/>
                <w:sz w:val="19"/>
                <w:szCs w:val="19"/>
                <w:color w:val="008080"/>
                <w:w w:val="75"/>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7.08</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90"/>
              </w:rPr>
              <w:t>Transactions with Affiliates................................</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15</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5</w:t>
            </w:r>
          </w:p>
        </w:tc>
        <w:tc>
          <w:tcPr>
            <w:tcW w:w="560" w:type="dxa"/>
            <w:vAlign w:val="bottom"/>
            <w:gridSpan w:val="5"/>
          </w:tcPr>
          <w:p>
            <w:pPr>
              <w:spacing w:after="0"/>
              <w:rPr>
                <w:sz w:val="20"/>
                <w:szCs w:val="20"/>
                <w:color w:val="auto"/>
              </w:rPr>
            </w:pPr>
            <w:r>
              <w:rPr>
                <w:rFonts w:ascii="Arial" w:cs="Arial" w:eastAsia="Arial" w:hAnsi="Arial"/>
                <w:sz w:val="22"/>
                <w:szCs w:val="22"/>
                <w:color w:val="008080"/>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22"/>
                <w:szCs w:val="22"/>
                <w:color w:val="010000"/>
                <w:w w:val="89"/>
              </w:rPr>
              <w:t>Section 7.09</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Burdensome Agreements....................................</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15</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8</w:t>
            </w:r>
          </w:p>
        </w:tc>
        <w:tc>
          <w:tcPr>
            <w:tcW w:w="540" w:type="dxa"/>
            <w:vAlign w:val="bottom"/>
            <w:gridSpan w:val="4"/>
          </w:tcPr>
          <w:p>
            <w:pPr>
              <w:jc w:val="right"/>
              <w:ind w:right="343"/>
              <w:spacing w:after="0"/>
              <w:rPr>
                <w:sz w:val="20"/>
                <w:szCs w:val="20"/>
                <w:color w:val="auto"/>
              </w:rPr>
            </w:pPr>
            <w:r>
              <w:rPr>
                <w:rFonts w:ascii="Arial" w:cs="Arial" w:eastAsia="Arial" w:hAnsi="Arial"/>
                <w:sz w:val="19"/>
                <w:szCs w:val="19"/>
                <w:color w:val="008080"/>
                <w:w w:val="75"/>
              </w:rPr>
              <w:t>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7.10</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8"/>
              </w:rPr>
              <w:t>[Reserved]...........................................................</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15</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9</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7.11</w:t>
            </w:r>
            <w:r>
              <w:rPr>
                <w:rFonts w:ascii="Arial" w:cs="Arial" w:eastAsia="Arial" w:hAnsi="Arial"/>
                <w:sz w:val="22"/>
                <w:szCs w:val="22"/>
                <w:color w:val="000000"/>
                <w:w w:val="89"/>
              </w:rPr>
              <w:t>............</w:t>
            </w:r>
          </w:p>
        </w:tc>
        <w:tc>
          <w:tcPr>
            <w:tcW w:w="4160" w:type="dxa"/>
            <w:vAlign w:val="bottom"/>
          </w:tcPr>
          <w:p>
            <w:pPr>
              <w:spacing w:after="0"/>
              <w:rPr>
                <w:sz w:val="20"/>
                <w:szCs w:val="20"/>
                <w:color w:val="auto"/>
              </w:rPr>
            </w:pPr>
            <w:r>
              <w:rPr>
                <w:rFonts w:ascii="Arial" w:cs="Arial" w:eastAsia="Arial" w:hAnsi="Arial"/>
                <w:sz w:val="22"/>
                <w:szCs w:val="22"/>
                <w:color w:val="auto"/>
                <w:w w:val="88"/>
              </w:rPr>
              <w:t>[Reserved]...........................................................</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15</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9</w:t>
            </w:r>
          </w:p>
        </w:tc>
        <w:tc>
          <w:tcPr>
            <w:tcW w:w="540" w:type="dxa"/>
            <w:vAlign w:val="bottom"/>
            <w:gridSpan w:val="4"/>
          </w:tcPr>
          <w:p>
            <w:pPr>
              <w:jc w:val="right"/>
              <w:ind w:right="343"/>
              <w:spacing w:after="0"/>
              <w:rPr>
                <w:sz w:val="20"/>
                <w:szCs w:val="20"/>
                <w:color w:val="auto"/>
              </w:rPr>
            </w:pPr>
            <w:r>
              <w:rPr>
                <w:rFonts w:ascii="Arial" w:cs="Arial" w:eastAsia="Arial" w:hAnsi="Arial"/>
                <w:sz w:val="19"/>
                <w:szCs w:val="19"/>
                <w:color w:val="008080"/>
                <w:w w:val="75"/>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7.12</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8"/>
              </w:rPr>
              <w:t>[Reserved]...........................................................</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15</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9</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7.13</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91"/>
              </w:rPr>
              <w:t>Modifications of Terms of Junior Financing......</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w w:val="81"/>
              </w:rPr>
              <w:t>15</w:t>
            </w:r>
          </w:p>
        </w:tc>
        <w:tc>
          <w:tcPr>
            <w:tcW w:w="120" w:type="dxa"/>
            <w:vAlign w:val="bottom"/>
            <w:gridSpan w:val="6"/>
          </w:tcPr>
          <w:p>
            <w:pPr>
              <w:jc w:val="right"/>
              <w:spacing w:after="0"/>
              <w:rPr>
                <w:sz w:val="20"/>
                <w:szCs w:val="20"/>
                <w:color w:val="auto"/>
              </w:rPr>
            </w:pPr>
            <w:r>
              <w:rPr>
                <w:rFonts w:ascii="Arial" w:cs="Arial" w:eastAsia="Arial" w:hAnsi="Arial"/>
                <w:sz w:val="22"/>
                <w:szCs w:val="22"/>
                <w:color w:val="FF0000"/>
                <w:strike w:val="1"/>
                <w:w w:val="81"/>
              </w:rPr>
              <w:t>9</w:t>
            </w:r>
          </w:p>
        </w:tc>
        <w:tc>
          <w:tcPr>
            <w:tcW w:w="560" w:type="dxa"/>
            <w:vAlign w:val="bottom"/>
            <w:gridSpan w:val="5"/>
          </w:tcPr>
          <w:p>
            <w:pPr>
              <w:spacing w:after="0"/>
              <w:rPr>
                <w:sz w:val="20"/>
                <w:szCs w:val="20"/>
                <w:color w:val="auto"/>
              </w:rPr>
            </w:pPr>
            <w:r>
              <w:rPr>
                <w:rFonts w:ascii="Arial" w:cs="Arial" w:eastAsia="Arial" w:hAnsi="Arial"/>
                <w:sz w:val="22"/>
                <w:szCs w:val="22"/>
                <w:color w:val="008080"/>
              </w:rPr>
              <w:t>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940" w:type="dxa"/>
            <w:vAlign w:val="bottom"/>
            <w:gridSpan w:val="2"/>
          </w:tcPr>
          <w:p>
            <w:pPr>
              <w:spacing w:after="0"/>
              <w:rPr>
                <w:sz w:val="20"/>
                <w:szCs w:val="20"/>
                <w:color w:val="auto"/>
              </w:rPr>
            </w:pPr>
            <w:r>
              <w:rPr>
                <w:rFonts w:ascii="Arial" w:cs="Arial" w:eastAsia="Arial" w:hAnsi="Arial"/>
                <w:sz w:val="22"/>
                <w:szCs w:val="22"/>
                <w:color w:val="010000"/>
                <w:w w:val="80"/>
              </w:rPr>
              <w:t xml:space="preserve">Article VIII. </w:t>
            </w:r>
            <w:r>
              <w:rPr>
                <w:rFonts w:ascii="Arial" w:cs="Arial" w:eastAsia="Arial" w:hAnsi="Arial"/>
                <w:sz w:val="22"/>
                <w:szCs w:val="22"/>
                <w:color w:val="000000"/>
                <w:w w:val="80"/>
              </w:rPr>
              <w:t>EVENTS OF DEFAULT AND REMEDIES............................... 15</w:t>
            </w:r>
          </w:p>
        </w:tc>
        <w:tc>
          <w:tcPr>
            <w:tcW w:w="900" w:type="dxa"/>
            <w:vAlign w:val="bottom"/>
            <w:gridSpan w:val="13"/>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2"/>
                <w:szCs w:val="22"/>
                <w:color w:val="FF0000"/>
                <w:strike w:val="1"/>
                <w:w w:val="97"/>
              </w:rPr>
              <w:t>9</w:t>
            </w:r>
          </w:p>
        </w:tc>
        <w:tc>
          <w:tcPr>
            <w:tcW w:w="3240" w:type="dxa"/>
            <w:vAlign w:val="bottom"/>
          </w:tcPr>
          <w:p>
            <w:pPr>
              <w:jc w:val="right"/>
              <w:ind w:right="3012"/>
              <w:spacing w:after="0"/>
              <w:rPr>
                <w:sz w:val="20"/>
                <w:szCs w:val="20"/>
                <w:color w:val="auto"/>
              </w:rPr>
            </w:pPr>
            <w:r>
              <w:rPr>
                <w:rFonts w:ascii="Arial" w:cs="Arial" w:eastAsia="Arial" w:hAnsi="Arial"/>
                <w:sz w:val="22"/>
                <w:szCs w:val="22"/>
                <w:color w:val="008080"/>
                <w:w w:val="81"/>
              </w:rPr>
              <w:t>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22"/>
                <w:szCs w:val="22"/>
                <w:color w:val="010000"/>
                <w:w w:val="89"/>
              </w:rPr>
              <w:t>Section 8.01</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2"/>
              </w:rPr>
              <w:t>Events of Default................................................. 15</w:t>
            </w:r>
          </w:p>
        </w:tc>
        <w:tc>
          <w:tcPr>
            <w:tcW w:w="280" w:type="dxa"/>
            <w:vAlign w:val="bottom"/>
            <w:gridSpan w:val="5"/>
          </w:tcPr>
          <w:p>
            <w:pPr>
              <w:spacing w:after="0"/>
              <w:rPr>
                <w:sz w:val="24"/>
                <w:szCs w:val="24"/>
                <w:color w:val="auto"/>
              </w:rPr>
            </w:pPr>
          </w:p>
        </w:tc>
        <w:tc>
          <w:tcPr>
            <w:tcW w:w="120" w:type="dxa"/>
            <w:vAlign w:val="bottom"/>
            <w:gridSpan w:val="6"/>
          </w:tcPr>
          <w:p>
            <w:pPr>
              <w:ind w:left="20"/>
              <w:spacing w:after="0"/>
              <w:rPr>
                <w:sz w:val="20"/>
                <w:szCs w:val="20"/>
                <w:color w:val="auto"/>
              </w:rPr>
            </w:pPr>
            <w:r>
              <w:rPr>
                <w:rFonts w:ascii="Arial" w:cs="Arial" w:eastAsia="Arial" w:hAnsi="Arial"/>
                <w:sz w:val="19"/>
                <w:szCs w:val="19"/>
                <w:color w:val="FF0000"/>
                <w:strike w:val="1"/>
                <w:w w:val="75"/>
              </w:rPr>
              <w:t>9</w:t>
            </w:r>
          </w:p>
        </w:tc>
        <w:tc>
          <w:tcPr>
            <w:tcW w:w="500" w:type="dxa"/>
            <w:vAlign w:val="bottom"/>
            <w:gridSpan w:val="2"/>
          </w:tcPr>
          <w:p>
            <w:pPr>
              <w:jc w:val="right"/>
              <w:ind w:right="303"/>
              <w:spacing w:after="0"/>
              <w:rPr>
                <w:sz w:val="20"/>
                <w:szCs w:val="20"/>
                <w:color w:val="auto"/>
              </w:rPr>
            </w:pPr>
            <w:r>
              <w:rPr>
                <w:rFonts w:ascii="Arial" w:cs="Arial" w:eastAsia="Arial" w:hAnsi="Arial"/>
                <w:sz w:val="19"/>
                <w:szCs w:val="19"/>
                <w:color w:val="008080"/>
                <w:w w:val="75"/>
              </w:rPr>
              <w:t>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8.02</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2"/>
              </w:rPr>
              <w:t>Remedies Upon Event of Default........................ 16</w:t>
            </w:r>
          </w:p>
        </w:tc>
        <w:tc>
          <w:tcPr>
            <w:tcW w:w="300" w:type="dxa"/>
            <w:vAlign w:val="bottom"/>
            <w:gridSpan w:val="6"/>
          </w:tcPr>
          <w:p>
            <w:pPr>
              <w:spacing w:after="0"/>
              <w:rPr>
                <w:sz w:val="23"/>
                <w:szCs w:val="23"/>
                <w:color w:val="auto"/>
              </w:rPr>
            </w:pP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2</w:t>
            </w:r>
          </w:p>
        </w:tc>
        <w:tc>
          <w:tcPr>
            <w:tcW w:w="500" w:type="dxa"/>
            <w:vAlign w:val="bottom"/>
            <w:gridSpan w:val="2"/>
          </w:tcPr>
          <w:p>
            <w:pPr>
              <w:jc w:val="right"/>
              <w:ind w:right="283"/>
              <w:spacing w:after="0"/>
              <w:rPr>
                <w:sz w:val="20"/>
                <w:szCs w:val="20"/>
                <w:color w:val="auto"/>
              </w:rPr>
            </w:pPr>
            <w:r>
              <w:rPr>
                <w:rFonts w:ascii="Arial" w:cs="Arial" w:eastAsia="Arial" w:hAnsi="Arial"/>
                <w:sz w:val="22"/>
                <w:szCs w:val="22"/>
                <w:color w:val="008080"/>
                <w:w w:val="81"/>
              </w:rPr>
              <w:t>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8.03</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3"/>
              </w:rPr>
              <w:t>Application of Funds........................................... 16</w:t>
            </w:r>
          </w:p>
        </w:tc>
        <w:tc>
          <w:tcPr>
            <w:tcW w:w="280" w:type="dxa"/>
            <w:vAlign w:val="bottom"/>
            <w:gridSpan w:val="5"/>
          </w:tcPr>
          <w:p>
            <w:pPr>
              <w:spacing w:after="0"/>
              <w:rPr>
                <w:sz w:val="24"/>
                <w:szCs w:val="24"/>
                <w:color w:val="auto"/>
              </w:rPr>
            </w:pP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2</w:t>
            </w:r>
          </w:p>
        </w:tc>
        <w:tc>
          <w:tcPr>
            <w:tcW w:w="520" w:type="dxa"/>
            <w:vAlign w:val="bottom"/>
            <w:gridSpan w:val="3"/>
          </w:tcPr>
          <w:p>
            <w:pPr>
              <w:jc w:val="right"/>
              <w:ind w:right="303"/>
              <w:spacing w:after="0"/>
              <w:rPr>
                <w:sz w:val="20"/>
                <w:szCs w:val="20"/>
                <w:color w:val="auto"/>
              </w:rPr>
            </w:pPr>
            <w:r>
              <w:rPr>
                <w:rFonts w:ascii="Arial" w:cs="Arial" w:eastAsia="Arial" w:hAnsi="Arial"/>
                <w:sz w:val="22"/>
                <w:szCs w:val="22"/>
                <w:color w:val="008080"/>
                <w:w w:val="81"/>
              </w:rPr>
              <w:t>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940" w:type="dxa"/>
            <w:vAlign w:val="bottom"/>
            <w:gridSpan w:val="2"/>
          </w:tcPr>
          <w:p>
            <w:pPr>
              <w:spacing w:after="0"/>
              <w:rPr>
                <w:sz w:val="20"/>
                <w:szCs w:val="20"/>
                <w:color w:val="auto"/>
              </w:rPr>
            </w:pPr>
            <w:r>
              <w:rPr>
                <w:rFonts w:ascii="Arial" w:cs="Arial" w:eastAsia="Arial" w:hAnsi="Arial"/>
                <w:sz w:val="22"/>
                <w:szCs w:val="22"/>
                <w:color w:val="010000"/>
                <w:w w:val="82"/>
              </w:rPr>
              <w:t xml:space="preserve">Article IX. </w:t>
            </w:r>
            <w:r>
              <w:rPr>
                <w:rFonts w:ascii="Arial" w:cs="Arial" w:eastAsia="Arial" w:hAnsi="Arial"/>
                <w:sz w:val="22"/>
                <w:szCs w:val="22"/>
                <w:color w:val="000000"/>
                <w:w w:val="82"/>
              </w:rPr>
              <w:t>ADMINISTRATIVE AGENT AND OTHER AGENTS............... 16</w:t>
            </w:r>
          </w:p>
        </w:tc>
        <w:tc>
          <w:tcPr>
            <w:tcW w:w="900" w:type="dxa"/>
            <w:vAlign w:val="bottom"/>
            <w:gridSpan w:val="13"/>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3</w:t>
            </w:r>
          </w:p>
        </w:tc>
        <w:tc>
          <w:tcPr>
            <w:tcW w:w="3280" w:type="dxa"/>
            <w:vAlign w:val="bottom"/>
            <w:gridSpan w:val="2"/>
          </w:tcPr>
          <w:p>
            <w:pPr>
              <w:jc w:val="right"/>
              <w:ind w:right="3052"/>
              <w:spacing w:after="0"/>
              <w:rPr>
                <w:sz w:val="20"/>
                <w:szCs w:val="20"/>
                <w:color w:val="auto"/>
              </w:rPr>
            </w:pPr>
            <w:r>
              <w:rPr>
                <w:rFonts w:ascii="Arial" w:cs="Arial" w:eastAsia="Arial" w:hAnsi="Arial"/>
                <w:sz w:val="22"/>
                <w:szCs w:val="22"/>
                <w:color w:val="008080"/>
                <w:w w:val="81"/>
              </w:rPr>
              <w:t>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22"/>
                <w:szCs w:val="22"/>
                <w:color w:val="010000"/>
                <w:w w:val="89"/>
              </w:rPr>
              <w:t>Section 9.01</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9"/>
              </w:rPr>
              <w:t>Appointment and Authority.................................</w:t>
            </w:r>
          </w:p>
        </w:tc>
        <w:tc>
          <w:tcPr>
            <w:tcW w:w="280" w:type="dxa"/>
            <w:vAlign w:val="bottom"/>
            <w:gridSpan w:val="5"/>
          </w:tcPr>
          <w:p>
            <w:pPr>
              <w:jc w:val="right"/>
              <w:spacing w:after="0"/>
              <w:rPr>
                <w:sz w:val="20"/>
                <w:szCs w:val="20"/>
                <w:color w:val="auto"/>
              </w:rPr>
            </w:pPr>
            <w:r>
              <w:rPr>
                <w:rFonts w:ascii="Arial" w:cs="Arial" w:eastAsia="Arial" w:hAnsi="Arial"/>
                <w:sz w:val="22"/>
                <w:szCs w:val="22"/>
                <w:color w:val="auto"/>
              </w:rPr>
              <w:t>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3</w:t>
            </w:r>
          </w:p>
        </w:tc>
        <w:tc>
          <w:tcPr>
            <w:tcW w:w="520" w:type="dxa"/>
            <w:vAlign w:val="bottom"/>
            <w:gridSpan w:val="3"/>
          </w:tcPr>
          <w:p>
            <w:pPr>
              <w:jc w:val="right"/>
              <w:ind w:right="303"/>
              <w:spacing w:after="0"/>
              <w:rPr>
                <w:sz w:val="20"/>
                <w:szCs w:val="20"/>
                <w:color w:val="auto"/>
              </w:rPr>
            </w:pPr>
            <w:r>
              <w:rPr>
                <w:rFonts w:ascii="Arial" w:cs="Arial" w:eastAsia="Arial" w:hAnsi="Arial"/>
                <w:sz w:val="22"/>
                <w:szCs w:val="22"/>
                <w:color w:val="008080"/>
                <w:w w:val="81"/>
              </w:rPr>
              <w:t>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Arial" w:cs="Arial" w:eastAsia="Arial" w:hAnsi="Arial"/>
                <w:sz w:val="22"/>
                <w:szCs w:val="22"/>
                <w:color w:val="010000"/>
                <w:w w:val="89"/>
              </w:rPr>
              <w:t>Section 9.02</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7"/>
              </w:rPr>
              <w:t>Rights as a Lender...............................................</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4</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9.03</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2"/>
              </w:rPr>
              <w:t>Exculpatory Provisions........................................ 16</w:t>
            </w:r>
          </w:p>
        </w:tc>
        <w:tc>
          <w:tcPr>
            <w:tcW w:w="300" w:type="dxa"/>
            <w:vAlign w:val="bottom"/>
            <w:gridSpan w:val="6"/>
          </w:tcPr>
          <w:p>
            <w:pPr>
              <w:spacing w:after="0"/>
              <w:rPr>
                <w:sz w:val="23"/>
                <w:szCs w:val="23"/>
                <w:color w:val="auto"/>
              </w:rPr>
            </w:pP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4</w:t>
            </w:r>
          </w:p>
        </w:tc>
        <w:tc>
          <w:tcPr>
            <w:tcW w:w="480" w:type="dxa"/>
            <w:vAlign w:val="bottom"/>
          </w:tcPr>
          <w:p>
            <w:pPr>
              <w:jc w:val="right"/>
              <w:ind w:right="283"/>
              <w:spacing w:after="0"/>
              <w:rPr>
                <w:sz w:val="20"/>
                <w:szCs w:val="20"/>
                <w:color w:val="auto"/>
              </w:rPr>
            </w:pPr>
            <w:r>
              <w:rPr>
                <w:rFonts w:ascii="Arial" w:cs="Arial" w:eastAsia="Arial" w:hAnsi="Arial"/>
                <w:sz w:val="19"/>
                <w:szCs w:val="19"/>
                <w:color w:val="008080"/>
                <w:w w:val="75"/>
              </w:rPr>
              <w:t>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9.04</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90"/>
              </w:rPr>
              <w:t>Reliance by Administrative Agent......................</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16</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5</w:t>
            </w:r>
          </w:p>
        </w:tc>
        <w:tc>
          <w:tcPr>
            <w:tcW w:w="540" w:type="dxa"/>
            <w:vAlign w:val="bottom"/>
            <w:gridSpan w:val="4"/>
          </w:tcPr>
          <w:p>
            <w:pPr>
              <w:jc w:val="right"/>
              <w:ind w:right="343"/>
              <w:spacing w:after="0"/>
              <w:rPr>
                <w:sz w:val="20"/>
                <w:szCs w:val="20"/>
                <w:color w:val="auto"/>
              </w:rPr>
            </w:pPr>
            <w:r>
              <w:rPr>
                <w:rFonts w:ascii="Arial" w:cs="Arial" w:eastAsia="Arial" w:hAnsi="Arial"/>
                <w:sz w:val="19"/>
                <w:szCs w:val="19"/>
                <w:color w:val="008080"/>
                <w:w w:val="75"/>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9.05</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2"/>
              </w:rPr>
              <w:t>Delegation of Duties............................................ 16</w:t>
            </w:r>
          </w:p>
        </w:tc>
        <w:tc>
          <w:tcPr>
            <w:tcW w:w="300" w:type="dxa"/>
            <w:vAlign w:val="bottom"/>
            <w:gridSpan w:val="6"/>
          </w:tcPr>
          <w:p>
            <w:pPr>
              <w:spacing w:after="0"/>
              <w:rPr>
                <w:sz w:val="23"/>
                <w:szCs w:val="23"/>
                <w:color w:val="auto"/>
              </w:rPr>
            </w:pP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5</w:t>
            </w:r>
          </w:p>
        </w:tc>
        <w:tc>
          <w:tcPr>
            <w:tcW w:w="500" w:type="dxa"/>
            <w:vAlign w:val="bottom"/>
            <w:gridSpan w:val="2"/>
          </w:tcPr>
          <w:p>
            <w:pPr>
              <w:jc w:val="right"/>
              <w:ind w:right="283"/>
              <w:spacing w:after="0"/>
              <w:rPr>
                <w:sz w:val="20"/>
                <w:szCs w:val="20"/>
                <w:color w:val="auto"/>
              </w:rPr>
            </w:pPr>
            <w:r>
              <w:rPr>
                <w:rFonts w:ascii="Arial" w:cs="Arial" w:eastAsia="Arial" w:hAnsi="Arial"/>
                <w:sz w:val="22"/>
                <w:szCs w:val="22"/>
                <w:color w:val="008080"/>
                <w:w w:val="81"/>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9.06</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9"/>
              </w:rPr>
              <w:t>Resignation of Administrative Agent..................</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16</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6</w:t>
            </w:r>
          </w:p>
        </w:tc>
        <w:tc>
          <w:tcPr>
            <w:tcW w:w="520" w:type="dxa"/>
            <w:vAlign w:val="bottom"/>
            <w:gridSpan w:val="3"/>
          </w:tcPr>
          <w:p>
            <w:pPr>
              <w:jc w:val="right"/>
              <w:ind w:right="323"/>
              <w:spacing w:after="0"/>
              <w:rPr>
                <w:sz w:val="20"/>
                <w:szCs w:val="20"/>
                <w:color w:val="auto"/>
              </w:rPr>
            </w:pPr>
            <w:r>
              <w:rPr>
                <w:rFonts w:ascii="Arial" w:cs="Arial" w:eastAsia="Arial" w:hAnsi="Arial"/>
                <w:sz w:val="19"/>
                <w:szCs w:val="19"/>
                <w:color w:val="008080"/>
                <w:w w:val="75"/>
              </w:rPr>
              <w:t>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9.07</w:t>
            </w:r>
            <w:r>
              <w:rPr>
                <w:rFonts w:ascii="Arial" w:cs="Arial" w:eastAsia="Arial" w:hAnsi="Arial"/>
                <w:sz w:val="22"/>
                <w:szCs w:val="22"/>
                <w:color w:val="000000"/>
                <w:w w:val="89"/>
              </w:rPr>
              <w:t>............</w:t>
            </w:r>
          </w:p>
        </w:tc>
        <w:tc>
          <w:tcPr>
            <w:tcW w:w="8440" w:type="dxa"/>
            <w:vAlign w:val="bottom"/>
            <w:gridSpan w:val="17"/>
          </w:tcPr>
          <w:p>
            <w:pPr>
              <w:ind w:left="20"/>
              <w:spacing w:after="0"/>
              <w:rPr>
                <w:sz w:val="20"/>
                <w:szCs w:val="20"/>
                <w:color w:val="auto"/>
              </w:rPr>
            </w:pPr>
            <w:r>
              <w:rPr>
                <w:rFonts w:ascii="Arial" w:cs="Arial" w:eastAsia="Arial" w:hAnsi="Arial"/>
                <w:sz w:val="22"/>
                <w:szCs w:val="22"/>
                <w:color w:val="auto"/>
              </w:rPr>
              <w:t>Non-Reliance on Administrative Agent and Other</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r>
              <w:rPr>
                <w:rFonts w:ascii="Arial" w:cs="Arial" w:eastAsia="Arial" w:hAnsi="Arial"/>
                <w:sz w:val="8"/>
                <w:szCs w:val="8"/>
                <w:color w:val="auto"/>
                <w:w w:val="71"/>
              </w:rPr>
              <w:t>Lenders.................................................................................................</w:t>
            </w:r>
          </w:p>
        </w:tc>
        <w:tc>
          <w:tcPr>
            <w:tcW w:w="4160" w:type="dxa"/>
            <w:vAlign w:val="bottom"/>
          </w:tcPr>
          <w:p>
            <w:pPr>
              <w:spacing w:after="0"/>
              <w:rPr>
                <w:sz w:val="20"/>
                <w:szCs w:val="20"/>
                <w:color w:val="auto"/>
              </w:rPr>
            </w:pPr>
          </w:p>
        </w:tc>
        <w:tc>
          <w:tcPr>
            <w:tcW w:w="280" w:type="dxa"/>
            <w:vAlign w:val="bottom"/>
            <w:gridSpan w:val="5"/>
          </w:tcPr>
          <w:p>
            <w:pPr>
              <w:jc w:val="right"/>
              <w:spacing w:after="0" w:line="236" w:lineRule="exact"/>
              <w:rPr>
                <w:sz w:val="20"/>
                <w:szCs w:val="20"/>
                <w:color w:val="auto"/>
              </w:rPr>
            </w:pPr>
            <w:r>
              <w:rPr>
                <w:rFonts w:ascii="Arial" w:cs="Arial" w:eastAsia="Arial" w:hAnsi="Arial"/>
                <w:sz w:val="22"/>
                <w:szCs w:val="22"/>
                <w:color w:val="auto"/>
              </w:rPr>
              <w:t>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6</w:t>
            </w:r>
          </w:p>
        </w:tc>
        <w:tc>
          <w:tcPr>
            <w:tcW w:w="520" w:type="dxa"/>
            <w:vAlign w:val="bottom"/>
            <w:gridSpan w:val="3"/>
          </w:tcPr>
          <w:p>
            <w:pPr>
              <w:jc w:val="right"/>
              <w:ind w:right="323"/>
              <w:spacing w:after="0"/>
              <w:rPr>
                <w:sz w:val="20"/>
                <w:szCs w:val="20"/>
                <w:color w:val="auto"/>
              </w:rPr>
            </w:pPr>
            <w:r>
              <w:rPr>
                <w:rFonts w:ascii="Arial" w:cs="Arial" w:eastAsia="Arial" w:hAnsi="Arial"/>
                <w:sz w:val="19"/>
                <w:szCs w:val="19"/>
                <w:color w:val="008080"/>
                <w:w w:val="75"/>
              </w:rPr>
              <w:t>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9.08</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8"/>
              </w:rPr>
              <w:t>No Other Duties, Etc...........................................</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16</w:t>
            </w:r>
          </w:p>
        </w:tc>
        <w:tc>
          <w:tcPr>
            <w:tcW w:w="120" w:type="dxa"/>
            <w:vAlign w:val="bottom"/>
            <w:gridSpan w:val="6"/>
          </w:tcPr>
          <w:p>
            <w:pPr>
              <w:spacing w:after="0"/>
              <w:rPr>
                <w:sz w:val="20"/>
                <w:szCs w:val="20"/>
                <w:color w:val="auto"/>
              </w:rPr>
            </w:pPr>
            <w:r>
              <w:rPr>
                <w:rFonts w:ascii="Arial" w:cs="Arial" w:eastAsia="Arial" w:hAnsi="Arial"/>
                <w:sz w:val="22"/>
                <w:szCs w:val="22"/>
                <w:color w:val="FF0000"/>
                <w:strike w:val="1"/>
                <w:w w:val="81"/>
              </w:rPr>
              <w:t>6</w:t>
            </w:r>
          </w:p>
        </w:tc>
        <w:tc>
          <w:tcPr>
            <w:tcW w:w="520" w:type="dxa"/>
            <w:vAlign w:val="bottom"/>
            <w:gridSpan w:val="3"/>
          </w:tcPr>
          <w:p>
            <w:pPr>
              <w:jc w:val="right"/>
              <w:ind w:right="323"/>
              <w:spacing w:after="0"/>
              <w:rPr>
                <w:sz w:val="20"/>
                <w:szCs w:val="20"/>
                <w:color w:val="auto"/>
              </w:rPr>
            </w:pPr>
            <w:r>
              <w:rPr>
                <w:rFonts w:ascii="Arial" w:cs="Arial" w:eastAsia="Arial" w:hAnsi="Arial"/>
                <w:sz w:val="19"/>
                <w:szCs w:val="19"/>
                <w:color w:val="008080"/>
                <w:w w:val="75"/>
              </w:rPr>
              <w:t>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9.09</w:t>
            </w:r>
            <w:r>
              <w:rPr>
                <w:rFonts w:ascii="Arial" w:cs="Arial" w:eastAsia="Arial" w:hAnsi="Arial"/>
                <w:sz w:val="22"/>
                <w:szCs w:val="22"/>
                <w:color w:val="000000"/>
                <w:w w:val="89"/>
              </w:rPr>
              <w:t>............</w:t>
            </w:r>
          </w:p>
        </w:tc>
        <w:tc>
          <w:tcPr>
            <w:tcW w:w="8440" w:type="dxa"/>
            <w:vAlign w:val="bottom"/>
            <w:gridSpan w:val="17"/>
          </w:tcPr>
          <w:p>
            <w:pPr>
              <w:ind w:left="20"/>
              <w:spacing w:after="0"/>
              <w:rPr>
                <w:sz w:val="20"/>
                <w:szCs w:val="20"/>
                <w:color w:val="auto"/>
              </w:rPr>
            </w:pPr>
            <w:r>
              <w:rPr>
                <w:rFonts w:ascii="Arial" w:cs="Arial" w:eastAsia="Arial" w:hAnsi="Arial"/>
                <w:sz w:val="22"/>
                <w:szCs w:val="22"/>
                <w:color w:val="auto"/>
                <w:w w:val="91"/>
              </w:rPr>
              <w:t>Administrative Agent May File Proofs of Claim; Credit Bidding.....................................................</w:t>
            </w:r>
          </w:p>
        </w:tc>
        <w:tc>
          <w:tcPr>
            <w:tcW w:w="460" w:type="dxa"/>
            <w:vAlign w:val="bottom"/>
          </w:tcPr>
          <w:p>
            <w:pPr>
              <w:jc w:val="right"/>
              <w:spacing w:after="0"/>
              <w:rPr>
                <w:sz w:val="20"/>
                <w:szCs w:val="20"/>
                <w:color w:val="auto"/>
              </w:rPr>
            </w:pPr>
            <w:r>
              <w:rPr>
                <w:rFonts w:ascii="Arial" w:cs="Arial" w:eastAsia="Arial" w:hAnsi="Arial"/>
                <w:sz w:val="22"/>
                <w:szCs w:val="22"/>
                <w:color w:val="auto"/>
                <w:w w:val="89"/>
              </w:rPr>
              <w:t>16</w:t>
            </w:r>
            <w:r>
              <w:rPr>
                <w:rFonts w:ascii="Arial" w:cs="Arial" w:eastAsia="Arial" w:hAnsi="Arial"/>
                <w:sz w:val="22"/>
                <w:szCs w:val="22"/>
                <w:color w:val="FF0000"/>
                <w:w w:val="89"/>
              </w:rPr>
              <w:t>7</w:t>
            </w:r>
            <w:r>
              <w:rPr>
                <w:rFonts w:ascii="Arial" w:cs="Arial" w:eastAsia="Arial" w:hAnsi="Arial"/>
                <w:sz w:val="22"/>
                <w:szCs w:val="22"/>
                <w:color w:val="008080"/>
                <w:w w:val="89"/>
              </w:rPr>
              <w:t>6</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9.10</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88"/>
              </w:rPr>
              <w:t>Collateral and Guaranty Matters.........................</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w w:val="97"/>
              </w:rPr>
              <w:t>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8</w:t>
            </w:r>
          </w:p>
        </w:tc>
        <w:tc>
          <w:tcPr>
            <w:tcW w:w="540" w:type="dxa"/>
            <w:vAlign w:val="bottom"/>
            <w:gridSpan w:val="4"/>
          </w:tcPr>
          <w:p>
            <w:pPr>
              <w:jc w:val="right"/>
              <w:ind w:right="323"/>
              <w:spacing w:after="0"/>
              <w:rPr>
                <w:sz w:val="20"/>
                <w:szCs w:val="20"/>
                <w:color w:val="auto"/>
              </w:rPr>
            </w:pPr>
            <w:r>
              <w:rPr>
                <w:rFonts w:ascii="Arial" w:cs="Arial" w:eastAsia="Arial" w:hAnsi="Arial"/>
                <w:sz w:val="22"/>
                <w:szCs w:val="22"/>
                <w:color w:val="008080"/>
                <w:w w:val="81"/>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22"/>
                <w:szCs w:val="22"/>
                <w:color w:val="010000"/>
                <w:w w:val="89"/>
              </w:rPr>
              <w:t>Section 9.11</w:t>
            </w:r>
            <w:r>
              <w:rPr>
                <w:rFonts w:ascii="Arial" w:cs="Arial" w:eastAsia="Arial" w:hAnsi="Arial"/>
                <w:sz w:val="22"/>
                <w:szCs w:val="22"/>
                <w:color w:val="000000"/>
                <w:w w:val="89"/>
              </w:rPr>
              <w:t>............</w:t>
            </w:r>
          </w:p>
        </w:tc>
        <w:tc>
          <w:tcPr>
            <w:tcW w:w="4160" w:type="dxa"/>
            <w:vAlign w:val="bottom"/>
          </w:tcPr>
          <w:p>
            <w:pPr>
              <w:spacing w:after="0"/>
              <w:rPr>
                <w:sz w:val="20"/>
                <w:szCs w:val="20"/>
                <w:color w:val="auto"/>
              </w:rPr>
            </w:pPr>
            <w:r>
              <w:rPr>
                <w:rFonts w:ascii="Arial" w:cs="Arial" w:eastAsia="Arial" w:hAnsi="Arial"/>
                <w:sz w:val="22"/>
                <w:szCs w:val="22"/>
                <w:color w:val="auto"/>
                <w:w w:val="87"/>
              </w:rPr>
              <w:t>Secured Hedge Agreements................................</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9</w:t>
            </w:r>
          </w:p>
        </w:tc>
        <w:tc>
          <w:tcPr>
            <w:tcW w:w="560" w:type="dxa"/>
            <w:vAlign w:val="bottom"/>
            <w:gridSpan w:val="5"/>
          </w:tcPr>
          <w:p>
            <w:pPr>
              <w:spacing w:after="0"/>
              <w:rPr>
                <w:sz w:val="20"/>
                <w:szCs w:val="20"/>
                <w:color w:val="auto"/>
              </w:rPr>
            </w:pPr>
            <w:r>
              <w:rPr>
                <w:rFonts w:ascii="Arial" w:cs="Arial" w:eastAsia="Arial" w:hAnsi="Arial"/>
                <w:sz w:val="22"/>
                <w:szCs w:val="22"/>
                <w:color w:val="008080"/>
              </w:rPr>
              <w:t>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9.12</w:t>
            </w:r>
            <w:r>
              <w:rPr>
                <w:rFonts w:ascii="Arial" w:cs="Arial" w:eastAsia="Arial" w:hAnsi="Arial"/>
                <w:sz w:val="22"/>
                <w:szCs w:val="22"/>
                <w:color w:val="000000"/>
                <w:w w:val="89"/>
              </w:rPr>
              <w:t>............</w:t>
            </w:r>
          </w:p>
        </w:tc>
        <w:tc>
          <w:tcPr>
            <w:tcW w:w="4160" w:type="dxa"/>
            <w:vAlign w:val="bottom"/>
          </w:tcPr>
          <w:p>
            <w:pPr>
              <w:ind w:left="20"/>
              <w:spacing w:after="0"/>
              <w:rPr>
                <w:sz w:val="20"/>
                <w:szCs w:val="20"/>
                <w:color w:val="auto"/>
              </w:rPr>
            </w:pPr>
            <w:r>
              <w:rPr>
                <w:rFonts w:ascii="Arial" w:cs="Arial" w:eastAsia="Arial" w:hAnsi="Arial"/>
                <w:sz w:val="22"/>
                <w:szCs w:val="22"/>
                <w:color w:val="auto"/>
                <w:w w:val="90"/>
              </w:rPr>
              <w:t>Withholding Tax Indemnity................................</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9</w:t>
            </w:r>
          </w:p>
        </w:tc>
        <w:tc>
          <w:tcPr>
            <w:tcW w:w="560" w:type="dxa"/>
            <w:vAlign w:val="bottom"/>
            <w:gridSpan w:val="5"/>
          </w:tcPr>
          <w:p>
            <w:pPr>
              <w:spacing w:after="0"/>
              <w:rPr>
                <w:sz w:val="20"/>
                <w:szCs w:val="20"/>
                <w:color w:val="auto"/>
              </w:rPr>
            </w:pPr>
            <w:r>
              <w:rPr>
                <w:rFonts w:ascii="Arial" w:cs="Arial" w:eastAsia="Arial" w:hAnsi="Arial"/>
                <w:sz w:val="22"/>
                <w:szCs w:val="22"/>
                <w:color w:val="008080"/>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9.13</w:t>
            </w:r>
            <w:r>
              <w:rPr>
                <w:rFonts w:ascii="Arial" w:cs="Arial" w:eastAsia="Arial" w:hAnsi="Arial"/>
                <w:sz w:val="22"/>
                <w:szCs w:val="22"/>
                <w:color w:val="000000"/>
                <w:w w:val="89"/>
              </w:rPr>
              <w:t>............</w:t>
            </w:r>
          </w:p>
        </w:tc>
        <w:tc>
          <w:tcPr>
            <w:tcW w:w="4460" w:type="dxa"/>
            <w:vAlign w:val="bottom"/>
            <w:gridSpan w:val="7"/>
          </w:tcPr>
          <w:p>
            <w:pPr>
              <w:ind w:left="20"/>
              <w:spacing w:after="0"/>
              <w:rPr>
                <w:sz w:val="20"/>
                <w:szCs w:val="20"/>
                <w:color w:val="auto"/>
              </w:rPr>
            </w:pPr>
            <w:r>
              <w:rPr>
                <w:rFonts w:ascii="Arial" w:cs="Arial" w:eastAsia="Arial" w:hAnsi="Arial"/>
                <w:sz w:val="22"/>
                <w:szCs w:val="22"/>
                <w:color w:val="auto"/>
                <w:w w:val="89"/>
              </w:rPr>
              <w:t>Indemnification by the Lenders........................…16</w:t>
            </w:r>
          </w:p>
        </w:tc>
        <w:tc>
          <w:tcPr>
            <w:tcW w:w="100" w:type="dxa"/>
            <w:vAlign w:val="bottom"/>
            <w:gridSpan w:val="5"/>
          </w:tcPr>
          <w:p>
            <w:pPr>
              <w:spacing w:after="0"/>
              <w:rPr>
                <w:sz w:val="20"/>
                <w:szCs w:val="20"/>
                <w:color w:val="auto"/>
              </w:rPr>
            </w:pPr>
            <w:r>
              <w:rPr>
                <w:rFonts w:ascii="Arial" w:cs="Arial" w:eastAsia="Arial" w:hAnsi="Arial"/>
                <w:sz w:val="19"/>
                <w:szCs w:val="19"/>
                <w:color w:val="FF0000"/>
                <w:strike w:val="1"/>
                <w:w w:val="75"/>
              </w:rPr>
              <w:t>9</w:t>
            </w:r>
          </w:p>
        </w:tc>
        <w:tc>
          <w:tcPr>
            <w:tcW w:w="3880" w:type="dxa"/>
            <w:vAlign w:val="bottom"/>
            <w:gridSpan w:val="5"/>
          </w:tcPr>
          <w:p>
            <w:pPr>
              <w:jc w:val="right"/>
              <w:ind w:right="3652"/>
              <w:spacing w:after="0"/>
              <w:rPr>
                <w:sz w:val="20"/>
                <w:szCs w:val="20"/>
                <w:color w:val="auto"/>
              </w:rPr>
            </w:pPr>
            <w:r>
              <w:rPr>
                <w:rFonts w:ascii="Arial" w:cs="Arial" w:eastAsia="Arial" w:hAnsi="Arial"/>
                <w:sz w:val="22"/>
                <w:szCs w:val="22"/>
                <w:color w:val="008080"/>
                <w:w w:val="81"/>
              </w:rPr>
              <w:t>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20" w:top="1326" w:right="899" w:bottom="1440" w:gutter="0" w:footer="0" w:header="0"/>
        </w:sectPr>
      </w:pPr>
    </w:p>
    <w:p>
      <w:pPr>
        <w:spacing w:after="0" w:line="3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80"/>
          </w:cols>
          <w:pgMar w:left="320" w:top="1326" w:right="89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6"/>
        </w:trPr>
        <w:tc>
          <w:tcPr>
            <w:tcW w:w="1780" w:type="dxa"/>
            <w:vAlign w:val="bottom"/>
            <w:vMerge w:val="restart"/>
          </w:tcPr>
          <w:p>
            <w:pPr>
              <w:spacing w:after="0"/>
              <w:rPr>
                <w:sz w:val="20"/>
                <w:szCs w:val="20"/>
                <w:color w:val="auto"/>
              </w:rPr>
            </w:pPr>
            <w:r>
              <w:rPr>
                <w:rFonts w:ascii="Arial" w:cs="Arial" w:eastAsia="Arial" w:hAnsi="Arial"/>
                <w:sz w:val="22"/>
                <w:szCs w:val="22"/>
                <w:color w:val="010000"/>
                <w:w w:val="89"/>
              </w:rPr>
              <w:t>Section 9.14</w:t>
            </w:r>
            <w:r>
              <w:rPr>
                <w:rFonts w:ascii="Arial" w:cs="Arial" w:eastAsia="Arial" w:hAnsi="Arial"/>
                <w:sz w:val="22"/>
                <w:szCs w:val="22"/>
                <w:color w:val="000000"/>
                <w:w w:val="89"/>
              </w:rPr>
              <w:t>............</w:t>
            </w:r>
          </w:p>
        </w:tc>
        <w:tc>
          <w:tcPr>
            <w:tcW w:w="4120" w:type="dxa"/>
            <w:vAlign w:val="bottom"/>
            <w:vMerge w:val="restart"/>
          </w:tcPr>
          <w:p>
            <w:pPr>
              <w:ind w:left="20"/>
              <w:spacing w:after="0"/>
              <w:rPr>
                <w:sz w:val="20"/>
                <w:szCs w:val="20"/>
                <w:color w:val="auto"/>
              </w:rPr>
            </w:pPr>
            <w:r>
              <w:rPr>
                <w:rFonts w:ascii="Arial" w:cs="Arial" w:eastAsia="Arial" w:hAnsi="Arial"/>
                <w:sz w:val="22"/>
                <w:szCs w:val="22"/>
                <w:color w:val="auto"/>
                <w:w w:val="87"/>
              </w:rPr>
              <w:t>Certain ERISA Matters........................................</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auto"/>
              </w:rPr>
              <w:t>1</w:t>
            </w:r>
          </w:p>
        </w:tc>
        <w:tc>
          <w:tcPr>
            <w:tcW w:w="220" w:type="dxa"/>
            <w:vAlign w:val="bottom"/>
            <w:gridSpan w:val="6"/>
            <w:vMerge w:val="restart"/>
          </w:tcPr>
          <w:p>
            <w:pPr>
              <w:jc w:val="right"/>
              <w:spacing w:after="0"/>
              <w:rPr>
                <w:sz w:val="20"/>
                <w:szCs w:val="20"/>
                <w:color w:val="auto"/>
              </w:rPr>
            </w:pPr>
            <w:r>
              <w:rPr>
                <w:rFonts w:ascii="Arial" w:cs="Arial" w:eastAsia="Arial" w:hAnsi="Arial"/>
                <w:sz w:val="22"/>
                <w:szCs w:val="22"/>
                <w:color w:val="FF0000"/>
                <w:strike w:val="1"/>
                <w:w w:val="81"/>
              </w:rPr>
              <w:t>70</w:t>
            </w:r>
          </w:p>
        </w:tc>
        <w:tc>
          <w:tcPr>
            <w:tcW w:w="460" w:type="dxa"/>
            <w:vAlign w:val="bottom"/>
            <w:vMerge w:val="restart"/>
          </w:tcPr>
          <w:p>
            <w:pPr>
              <w:spacing w:after="0"/>
              <w:rPr>
                <w:sz w:val="20"/>
                <w:szCs w:val="20"/>
                <w:color w:val="auto"/>
              </w:rPr>
            </w:pPr>
            <w:r>
              <w:rPr>
                <w:rFonts w:ascii="Arial" w:cs="Arial" w:eastAsia="Arial" w:hAnsi="Arial"/>
                <w:sz w:val="22"/>
                <w:szCs w:val="22"/>
                <w:color w:val="008080"/>
              </w:rPr>
              <w:t>69</w:t>
            </w: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5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780" w:type="dxa"/>
            <w:vAlign w:val="bottom"/>
            <w:vMerge w:val="continue"/>
          </w:tcPr>
          <w:p>
            <w:pPr>
              <w:spacing w:after="0"/>
              <w:rPr>
                <w:sz w:val="21"/>
                <w:szCs w:val="21"/>
                <w:color w:val="auto"/>
              </w:rPr>
            </w:pPr>
          </w:p>
        </w:tc>
        <w:tc>
          <w:tcPr>
            <w:tcW w:w="412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220" w:type="dxa"/>
            <w:vAlign w:val="bottom"/>
            <w:gridSpan w:val="6"/>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352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9.15</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0"/>
              </w:rPr>
              <w:t>Erroneous Payments............................................ 17</w:t>
            </w:r>
          </w:p>
        </w:tc>
        <w:tc>
          <w:tcPr>
            <w:tcW w:w="280" w:type="dxa"/>
            <w:vAlign w:val="bottom"/>
            <w:gridSpan w:val="3"/>
          </w:tcPr>
          <w:p>
            <w:pPr>
              <w:spacing w:after="0"/>
              <w:rPr>
                <w:sz w:val="24"/>
                <w:szCs w:val="24"/>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1</w:t>
            </w:r>
          </w:p>
        </w:tc>
        <w:tc>
          <w:tcPr>
            <w:tcW w:w="480" w:type="dxa"/>
            <w:vAlign w:val="bottom"/>
            <w:gridSpan w:val="2"/>
          </w:tcPr>
          <w:p>
            <w:pPr>
              <w:spacing w:after="0"/>
              <w:rPr>
                <w:sz w:val="20"/>
                <w:szCs w:val="20"/>
                <w:color w:val="auto"/>
              </w:rPr>
            </w:pPr>
            <w:r>
              <w:rPr>
                <w:rFonts w:ascii="Arial" w:cs="Arial" w:eastAsia="Arial" w:hAnsi="Arial"/>
                <w:sz w:val="22"/>
                <w:szCs w:val="22"/>
                <w:color w:val="008080"/>
              </w:rPr>
              <w:t>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900" w:type="dxa"/>
            <w:vAlign w:val="bottom"/>
            <w:gridSpan w:val="2"/>
          </w:tcPr>
          <w:p>
            <w:pPr>
              <w:spacing w:after="0"/>
              <w:rPr>
                <w:sz w:val="20"/>
                <w:szCs w:val="20"/>
                <w:color w:val="auto"/>
              </w:rPr>
            </w:pPr>
            <w:r>
              <w:rPr>
                <w:rFonts w:ascii="Arial" w:cs="Arial" w:eastAsia="Arial" w:hAnsi="Arial"/>
                <w:sz w:val="22"/>
                <w:szCs w:val="22"/>
                <w:color w:val="010000"/>
                <w:w w:val="78"/>
              </w:rPr>
              <w:t xml:space="preserve">Article X. </w:t>
            </w:r>
            <w:r>
              <w:rPr>
                <w:rFonts w:ascii="Arial" w:cs="Arial" w:eastAsia="Arial" w:hAnsi="Arial"/>
                <w:sz w:val="22"/>
                <w:szCs w:val="22"/>
                <w:color w:val="000000"/>
                <w:w w:val="78"/>
              </w:rPr>
              <w:t>MISCELLANEOUS....................................................................... 17</w:t>
            </w:r>
          </w:p>
        </w:tc>
        <w:tc>
          <w:tcPr>
            <w:tcW w:w="900" w:type="dxa"/>
            <w:vAlign w:val="bottom"/>
            <w:gridSpan w:val="9"/>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2"/>
                <w:szCs w:val="22"/>
                <w:color w:val="FF0000"/>
                <w:strike w:val="1"/>
                <w:w w:val="97"/>
              </w:rPr>
              <w:t>2</w:t>
            </w:r>
          </w:p>
        </w:tc>
        <w:tc>
          <w:tcPr>
            <w:tcW w:w="3520" w:type="dxa"/>
            <w:vAlign w:val="bottom"/>
          </w:tcPr>
          <w:p>
            <w:pPr>
              <w:jc w:val="right"/>
              <w:ind w:right="3323"/>
              <w:spacing w:after="0"/>
              <w:rPr>
                <w:sz w:val="20"/>
                <w:szCs w:val="20"/>
                <w:color w:val="auto"/>
              </w:rPr>
            </w:pPr>
            <w:r>
              <w:rPr>
                <w:rFonts w:ascii="Arial" w:cs="Arial" w:eastAsia="Arial" w:hAnsi="Arial"/>
                <w:sz w:val="19"/>
                <w:szCs w:val="19"/>
                <w:color w:val="008080"/>
                <w:w w:val="75"/>
              </w:rPr>
              <w:t>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10.01</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1"/>
              </w:rPr>
              <w:t>Amendments, Etc................................................ 17</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2</w:t>
            </w:r>
          </w:p>
        </w:tc>
        <w:tc>
          <w:tcPr>
            <w:tcW w:w="500" w:type="dxa"/>
            <w:vAlign w:val="bottom"/>
            <w:gridSpan w:val="3"/>
          </w:tcPr>
          <w:p>
            <w:pPr>
              <w:spacing w:after="0"/>
              <w:rPr>
                <w:sz w:val="20"/>
                <w:szCs w:val="20"/>
                <w:color w:val="auto"/>
              </w:rPr>
            </w:pPr>
            <w:r>
              <w:rPr>
                <w:rFonts w:ascii="Arial" w:cs="Arial" w:eastAsia="Arial" w:hAnsi="Arial"/>
                <w:sz w:val="22"/>
                <w:szCs w:val="22"/>
                <w:color w:val="008080"/>
              </w:rPr>
              <w:t>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10.02</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90"/>
              </w:rPr>
              <w:t>Notices and Other Communications; Facsimile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r>
              <w:rPr>
                <w:rFonts w:ascii="Arial" w:cs="Arial" w:eastAsia="Arial" w:hAnsi="Arial"/>
                <w:sz w:val="8"/>
                <w:szCs w:val="8"/>
                <w:color w:val="auto"/>
                <w:w w:val="72"/>
              </w:rPr>
              <w:t>Copies..................................................................................................</w:t>
            </w:r>
          </w:p>
        </w:tc>
        <w:tc>
          <w:tcPr>
            <w:tcW w:w="4120" w:type="dxa"/>
            <w:vAlign w:val="bottom"/>
          </w:tcPr>
          <w:p>
            <w:pPr>
              <w:spacing w:after="0"/>
              <w:rPr>
                <w:sz w:val="20"/>
                <w:szCs w:val="20"/>
                <w:color w:val="auto"/>
              </w:rPr>
            </w:pPr>
          </w:p>
        </w:tc>
        <w:tc>
          <w:tcPr>
            <w:tcW w:w="280" w:type="dxa"/>
            <w:vAlign w:val="bottom"/>
            <w:gridSpan w:val="3"/>
          </w:tcPr>
          <w:p>
            <w:pPr>
              <w:jc w:val="right"/>
              <w:spacing w:after="0" w:line="236" w:lineRule="exact"/>
              <w:rPr>
                <w:sz w:val="20"/>
                <w:szCs w:val="20"/>
                <w:color w:val="auto"/>
              </w:rPr>
            </w:pPr>
            <w:r>
              <w:rPr>
                <w:rFonts w:ascii="Arial" w:cs="Arial" w:eastAsia="Arial" w:hAnsi="Arial"/>
                <w:sz w:val="22"/>
                <w:szCs w:val="22"/>
                <w:color w:val="auto"/>
              </w:rPr>
              <w:t>17</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6</w:t>
            </w:r>
          </w:p>
        </w:tc>
        <w:tc>
          <w:tcPr>
            <w:tcW w:w="520" w:type="dxa"/>
            <w:vAlign w:val="bottom"/>
            <w:gridSpan w:val="4"/>
          </w:tcPr>
          <w:p>
            <w:pPr>
              <w:jc w:val="right"/>
              <w:ind w:right="312"/>
              <w:spacing w:after="0"/>
              <w:rPr>
                <w:sz w:val="20"/>
                <w:szCs w:val="20"/>
                <w:color w:val="auto"/>
              </w:rPr>
            </w:pPr>
            <w:r>
              <w:rPr>
                <w:rFonts w:ascii="Arial" w:cs="Arial" w:eastAsia="Arial" w:hAnsi="Arial"/>
                <w:sz w:val="19"/>
                <w:szCs w:val="19"/>
                <w:color w:val="008080"/>
                <w:w w:val="75"/>
              </w:rPr>
              <w:t>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10.03</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2"/>
              </w:rPr>
              <w:t>No Waiver; Cumulative Remedies...................... 17</w:t>
            </w:r>
          </w:p>
        </w:tc>
        <w:tc>
          <w:tcPr>
            <w:tcW w:w="280" w:type="dxa"/>
            <w:vAlign w:val="bottom"/>
            <w:gridSpan w:val="3"/>
          </w:tcPr>
          <w:p>
            <w:pPr>
              <w:spacing w:after="0"/>
              <w:rPr>
                <w:sz w:val="23"/>
                <w:szCs w:val="23"/>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7</w:t>
            </w:r>
          </w:p>
        </w:tc>
        <w:tc>
          <w:tcPr>
            <w:tcW w:w="480" w:type="dxa"/>
            <w:vAlign w:val="bottom"/>
            <w:gridSpan w:val="2"/>
          </w:tcPr>
          <w:p>
            <w:pPr>
              <w:spacing w:after="0"/>
              <w:rPr>
                <w:sz w:val="20"/>
                <w:szCs w:val="20"/>
                <w:color w:val="auto"/>
              </w:rPr>
            </w:pPr>
            <w:r>
              <w:rPr>
                <w:rFonts w:ascii="Arial" w:cs="Arial" w:eastAsia="Arial" w:hAnsi="Arial"/>
                <w:sz w:val="22"/>
                <w:szCs w:val="22"/>
                <w:color w:val="008080"/>
              </w:rPr>
              <w:t>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Arial" w:cs="Arial" w:eastAsia="Arial" w:hAnsi="Arial"/>
                <w:sz w:val="22"/>
                <w:szCs w:val="22"/>
                <w:color w:val="010000"/>
                <w:w w:val="89"/>
              </w:rPr>
              <w:t>Section 10.04</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0"/>
              </w:rPr>
              <w:t>Attorney Costs and Expenses.............................. 17</w:t>
            </w:r>
          </w:p>
        </w:tc>
        <w:tc>
          <w:tcPr>
            <w:tcW w:w="280" w:type="dxa"/>
            <w:vAlign w:val="bottom"/>
            <w:gridSpan w:val="3"/>
          </w:tcPr>
          <w:p>
            <w:pPr>
              <w:spacing w:after="0"/>
              <w:rPr>
                <w:sz w:val="22"/>
                <w:szCs w:val="22"/>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8</w:t>
            </w:r>
          </w:p>
        </w:tc>
        <w:tc>
          <w:tcPr>
            <w:tcW w:w="480" w:type="dxa"/>
            <w:vAlign w:val="bottom"/>
            <w:gridSpan w:val="2"/>
          </w:tcPr>
          <w:p>
            <w:pPr>
              <w:spacing w:after="0"/>
              <w:rPr>
                <w:sz w:val="20"/>
                <w:szCs w:val="20"/>
                <w:color w:val="auto"/>
              </w:rPr>
            </w:pPr>
            <w:r>
              <w:rPr>
                <w:rFonts w:ascii="Arial" w:cs="Arial" w:eastAsia="Arial" w:hAnsi="Arial"/>
                <w:sz w:val="22"/>
                <w:szCs w:val="22"/>
                <w:color w:val="008080"/>
              </w:rPr>
              <w:t>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10.05</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2"/>
              </w:rPr>
              <w:t>Indemnification by the Borrowers....................... 17</w:t>
            </w:r>
          </w:p>
        </w:tc>
        <w:tc>
          <w:tcPr>
            <w:tcW w:w="340" w:type="dxa"/>
            <w:vAlign w:val="bottom"/>
            <w:gridSpan w:val="4"/>
          </w:tcPr>
          <w:p>
            <w:pPr>
              <w:spacing w:after="0"/>
              <w:rPr>
                <w:sz w:val="23"/>
                <w:szCs w:val="23"/>
                <w:color w:val="auto"/>
              </w:rPr>
            </w:pP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8</w:t>
            </w:r>
          </w:p>
        </w:tc>
        <w:tc>
          <w:tcPr>
            <w:tcW w:w="460" w:type="dxa"/>
            <w:vAlign w:val="bottom"/>
          </w:tcPr>
          <w:p>
            <w:pPr>
              <w:spacing w:after="0"/>
              <w:rPr>
                <w:sz w:val="20"/>
                <w:szCs w:val="20"/>
                <w:color w:val="auto"/>
              </w:rPr>
            </w:pPr>
            <w:r>
              <w:rPr>
                <w:rFonts w:ascii="Arial" w:cs="Arial" w:eastAsia="Arial" w:hAnsi="Arial"/>
                <w:sz w:val="22"/>
                <w:szCs w:val="22"/>
                <w:color w:val="008080"/>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10.06</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6"/>
              </w:rPr>
              <w:t>Payments Set Aside.............................................</w:t>
            </w:r>
          </w:p>
        </w:tc>
        <w:tc>
          <w:tcPr>
            <w:tcW w:w="200" w:type="dxa"/>
            <w:vAlign w:val="bottom"/>
          </w:tcPr>
          <w:p>
            <w:pPr>
              <w:jc w:val="right"/>
              <w:spacing w:after="0"/>
              <w:rPr>
                <w:sz w:val="20"/>
                <w:szCs w:val="20"/>
                <w:color w:val="auto"/>
              </w:rPr>
            </w:pPr>
            <w:r>
              <w:rPr>
                <w:rFonts w:ascii="Arial" w:cs="Arial" w:eastAsia="Arial" w:hAnsi="Arial"/>
                <w:sz w:val="22"/>
                <w:szCs w:val="22"/>
                <w:color w:val="auto"/>
              </w:rPr>
              <w:t>1</w:t>
            </w:r>
          </w:p>
        </w:tc>
        <w:tc>
          <w:tcPr>
            <w:tcW w:w="220" w:type="dxa"/>
            <w:vAlign w:val="bottom"/>
            <w:gridSpan w:val="6"/>
          </w:tcPr>
          <w:p>
            <w:pPr>
              <w:jc w:val="right"/>
              <w:spacing w:after="0"/>
              <w:rPr>
                <w:sz w:val="20"/>
                <w:szCs w:val="20"/>
                <w:color w:val="auto"/>
              </w:rPr>
            </w:pPr>
            <w:r>
              <w:rPr>
                <w:rFonts w:ascii="Arial" w:cs="Arial" w:eastAsia="Arial" w:hAnsi="Arial"/>
                <w:sz w:val="22"/>
                <w:szCs w:val="22"/>
                <w:color w:val="FF0000"/>
                <w:strike w:val="1"/>
                <w:w w:val="81"/>
              </w:rPr>
              <w:t>80</w:t>
            </w:r>
          </w:p>
        </w:tc>
        <w:tc>
          <w:tcPr>
            <w:tcW w:w="480" w:type="dxa"/>
            <w:vAlign w:val="bottom"/>
            <w:gridSpan w:val="2"/>
          </w:tcPr>
          <w:p>
            <w:pPr>
              <w:spacing w:after="0"/>
              <w:rPr>
                <w:sz w:val="20"/>
                <w:szCs w:val="20"/>
                <w:color w:val="auto"/>
              </w:rPr>
            </w:pPr>
            <w:r>
              <w:rPr>
                <w:rFonts w:ascii="Arial" w:cs="Arial" w:eastAsia="Arial" w:hAnsi="Arial"/>
                <w:sz w:val="22"/>
                <w:szCs w:val="22"/>
                <w:color w:val="008080"/>
              </w:rPr>
              <w:t>79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10.07</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4"/>
              </w:rPr>
              <w:t>Successors and Assigns........................................</w:t>
            </w:r>
          </w:p>
        </w:tc>
        <w:tc>
          <w:tcPr>
            <w:tcW w:w="200" w:type="dxa"/>
            <w:vAlign w:val="bottom"/>
          </w:tcPr>
          <w:p>
            <w:pPr>
              <w:jc w:val="right"/>
              <w:spacing w:after="0"/>
              <w:rPr>
                <w:sz w:val="20"/>
                <w:szCs w:val="20"/>
                <w:color w:val="auto"/>
              </w:rPr>
            </w:pPr>
            <w:r>
              <w:rPr>
                <w:rFonts w:ascii="Arial" w:cs="Arial" w:eastAsia="Arial" w:hAnsi="Arial"/>
                <w:sz w:val="22"/>
                <w:szCs w:val="22"/>
                <w:color w:val="auto"/>
              </w:rPr>
              <w:t>1</w:t>
            </w:r>
          </w:p>
        </w:tc>
        <w:tc>
          <w:tcPr>
            <w:tcW w:w="220" w:type="dxa"/>
            <w:vAlign w:val="bottom"/>
            <w:gridSpan w:val="6"/>
          </w:tcPr>
          <w:p>
            <w:pPr>
              <w:jc w:val="right"/>
              <w:spacing w:after="0"/>
              <w:rPr>
                <w:sz w:val="20"/>
                <w:szCs w:val="20"/>
                <w:color w:val="auto"/>
              </w:rPr>
            </w:pPr>
            <w:r>
              <w:rPr>
                <w:rFonts w:ascii="Arial" w:cs="Arial" w:eastAsia="Arial" w:hAnsi="Arial"/>
                <w:sz w:val="22"/>
                <w:szCs w:val="22"/>
                <w:color w:val="FF0000"/>
                <w:strike w:val="1"/>
                <w:w w:val="81"/>
              </w:rPr>
              <w:t>80</w:t>
            </w:r>
          </w:p>
        </w:tc>
        <w:tc>
          <w:tcPr>
            <w:tcW w:w="480" w:type="dxa"/>
            <w:vAlign w:val="bottom"/>
            <w:gridSpan w:val="2"/>
          </w:tcPr>
          <w:p>
            <w:pPr>
              <w:spacing w:after="0"/>
              <w:rPr>
                <w:sz w:val="20"/>
                <w:szCs w:val="20"/>
                <w:color w:val="auto"/>
              </w:rPr>
            </w:pPr>
            <w:r>
              <w:rPr>
                <w:rFonts w:ascii="Arial" w:cs="Arial" w:eastAsia="Arial" w:hAnsi="Arial"/>
                <w:sz w:val="22"/>
                <w:szCs w:val="22"/>
                <w:color w:val="008080"/>
              </w:rPr>
              <w:t>79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10.08</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2"/>
              </w:rPr>
              <w:t>Confidentiality..................................................... 18</w:t>
            </w:r>
          </w:p>
        </w:tc>
        <w:tc>
          <w:tcPr>
            <w:tcW w:w="280" w:type="dxa"/>
            <w:vAlign w:val="bottom"/>
            <w:gridSpan w:val="3"/>
          </w:tcPr>
          <w:p>
            <w:pPr>
              <w:spacing w:after="0"/>
              <w:rPr>
                <w:sz w:val="23"/>
                <w:szCs w:val="23"/>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5</w:t>
            </w:r>
          </w:p>
        </w:tc>
        <w:tc>
          <w:tcPr>
            <w:tcW w:w="480" w:type="dxa"/>
            <w:vAlign w:val="bottom"/>
            <w:gridSpan w:val="2"/>
          </w:tcPr>
          <w:p>
            <w:pPr>
              <w:spacing w:after="0"/>
              <w:rPr>
                <w:sz w:val="20"/>
                <w:szCs w:val="20"/>
                <w:color w:val="auto"/>
              </w:rPr>
            </w:pPr>
            <w:r>
              <w:rPr>
                <w:rFonts w:ascii="Arial" w:cs="Arial" w:eastAsia="Arial" w:hAnsi="Arial"/>
                <w:sz w:val="22"/>
                <w:szCs w:val="22"/>
                <w:color w:val="008080"/>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10.09</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1"/>
              </w:rPr>
              <w:t>Setoff................................................................... 18</w:t>
            </w:r>
          </w:p>
        </w:tc>
        <w:tc>
          <w:tcPr>
            <w:tcW w:w="280" w:type="dxa"/>
            <w:vAlign w:val="bottom"/>
            <w:gridSpan w:val="3"/>
          </w:tcPr>
          <w:p>
            <w:pPr>
              <w:spacing w:after="0"/>
              <w:rPr>
                <w:sz w:val="23"/>
                <w:szCs w:val="23"/>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6</w:t>
            </w:r>
          </w:p>
        </w:tc>
        <w:tc>
          <w:tcPr>
            <w:tcW w:w="480" w:type="dxa"/>
            <w:vAlign w:val="bottom"/>
            <w:gridSpan w:val="2"/>
          </w:tcPr>
          <w:p>
            <w:pPr>
              <w:spacing w:after="0"/>
              <w:rPr>
                <w:sz w:val="20"/>
                <w:szCs w:val="20"/>
                <w:color w:val="auto"/>
              </w:rPr>
            </w:pPr>
            <w:r>
              <w:rPr>
                <w:rFonts w:ascii="Arial" w:cs="Arial" w:eastAsia="Arial" w:hAnsi="Arial"/>
                <w:sz w:val="22"/>
                <w:szCs w:val="22"/>
                <w:color w:val="008080"/>
              </w:rPr>
              <w:t>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10.10</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2"/>
              </w:rPr>
              <w:t>Interest Rate Limitation....................................... 18</w:t>
            </w:r>
          </w:p>
        </w:tc>
        <w:tc>
          <w:tcPr>
            <w:tcW w:w="280" w:type="dxa"/>
            <w:vAlign w:val="bottom"/>
            <w:gridSpan w:val="3"/>
          </w:tcPr>
          <w:p>
            <w:pPr>
              <w:spacing w:after="0"/>
              <w:rPr>
                <w:sz w:val="23"/>
                <w:szCs w:val="23"/>
                <w:color w:val="auto"/>
              </w:rPr>
            </w:pPr>
          </w:p>
        </w:tc>
        <w:tc>
          <w:tcPr>
            <w:tcW w:w="160" w:type="dxa"/>
            <w:vAlign w:val="bottom"/>
            <w:gridSpan w:val="5"/>
          </w:tcPr>
          <w:p>
            <w:pPr>
              <w:jc w:val="right"/>
              <w:spacing w:after="0"/>
              <w:rPr>
                <w:sz w:val="20"/>
                <w:szCs w:val="20"/>
                <w:color w:val="auto"/>
              </w:rPr>
            </w:pPr>
            <w:r>
              <w:rPr>
                <w:rFonts w:ascii="Arial" w:cs="Arial" w:eastAsia="Arial" w:hAnsi="Arial"/>
                <w:sz w:val="22"/>
                <w:szCs w:val="22"/>
                <w:color w:val="FF0000"/>
                <w:strike w:val="1"/>
              </w:rPr>
              <w:t>7</w:t>
            </w:r>
          </w:p>
        </w:tc>
        <w:tc>
          <w:tcPr>
            <w:tcW w:w="460" w:type="dxa"/>
            <w:vAlign w:val="bottom"/>
          </w:tcPr>
          <w:p>
            <w:pPr>
              <w:spacing w:after="0"/>
              <w:rPr>
                <w:sz w:val="20"/>
                <w:szCs w:val="20"/>
                <w:color w:val="auto"/>
              </w:rPr>
            </w:pPr>
            <w:r>
              <w:rPr>
                <w:rFonts w:ascii="Arial" w:cs="Arial" w:eastAsia="Arial" w:hAnsi="Arial"/>
                <w:sz w:val="22"/>
                <w:szCs w:val="22"/>
                <w:color w:val="008080"/>
              </w:rPr>
              <w:t>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10.11</w:t>
            </w:r>
            <w:r>
              <w:rPr>
                <w:rFonts w:ascii="Arial" w:cs="Arial" w:eastAsia="Arial" w:hAnsi="Arial"/>
                <w:sz w:val="22"/>
                <w:szCs w:val="22"/>
                <w:color w:val="000000"/>
                <w:w w:val="89"/>
              </w:rPr>
              <w:t>..........</w:t>
            </w:r>
          </w:p>
        </w:tc>
        <w:tc>
          <w:tcPr>
            <w:tcW w:w="8680" w:type="dxa"/>
            <w:vAlign w:val="bottom"/>
            <w:gridSpan w:val="13"/>
          </w:tcPr>
          <w:p>
            <w:pPr>
              <w:spacing w:after="0"/>
              <w:rPr>
                <w:sz w:val="20"/>
                <w:szCs w:val="20"/>
                <w:color w:val="auto"/>
              </w:rPr>
            </w:pPr>
            <w:r>
              <w:rPr>
                <w:rFonts w:ascii="Arial" w:cs="Arial" w:eastAsia="Arial" w:hAnsi="Arial"/>
                <w:sz w:val="22"/>
                <w:szCs w:val="22"/>
                <w:color w:val="auto"/>
                <w:w w:val="89"/>
              </w:rPr>
              <w:t>Counterparts; Electronic Execution of Assignments and Certain Other Documents.............................</w:t>
            </w:r>
          </w:p>
        </w:tc>
        <w:tc>
          <w:tcPr>
            <w:tcW w:w="460" w:type="dxa"/>
            <w:vAlign w:val="bottom"/>
          </w:tcPr>
          <w:p>
            <w:pPr>
              <w:jc w:val="right"/>
              <w:spacing w:after="0"/>
              <w:rPr>
                <w:sz w:val="20"/>
                <w:szCs w:val="20"/>
                <w:color w:val="auto"/>
              </w:rPr>
            </w:pPr>
            <w:r>
              <w:rPr>
                <w:rFonts w:ascii="Arial" w:cs="Arial" w:eastAsia="Arial" w:hAnsi="Arial"/>
                <w:sz w:val="22"/>
                <w:szCs w:val="22"/>
                <w:color w:val="auto"/>
                <w:w w:val="89"/>
              </w:rPr>
              <w:t>18</w:t>
            </w:r>
            <w:r>
              <w:rPr>
                <w:rFonts w:ascii="Arial" w:cs="Arial" w:eastAsia="Arial" w:hAnsi="Arial"/>
                <w:sz w:val="22"/>
                <w:szCs w:val="22"/>
                <w:color w:val="FF0000"/>
                <w:w w:val="89"/>
              </w:rPr>
              <w:t>7</w:t>
            </w:r>
            <w:r>
              <w:rPr>
                <w:rFonts w:ascii="Arial" w:cs="Arial" w:eastAsia="Arial" w:hAnsi="Arial"/>
                <w:sz w:val="22"/>
                <w:szCs w:val="22"/>
                <w:color w:val="008080"/>
                <w:w w:val="89"/>
              </w:rPr>
              <w:t>6</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10.12</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2"/>
              </w:rPr>
              <w:t>Integration........................................................... 18</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8</w:t>
            </w:r>
          </w:p>
        </w:tc>
        <w:tc>
          <w:tcPr>
            <w:tcW w:w="500" w:type="dxa"/>
            <w:vAlign w:val="bottom"/>
            <w:gridSpan w:val="3"/>
          </w:tcPr>
          <w:p>
            <w:pPr>
              <w:spacing w:after="0"/>
              <w:rPr>
                <w:sz w:val="20"/>
                <w:szCs w:val="20"/>
                <w:color w:val="auto"/>
              </w:rPr>
            </w:pPr>
            <w:r>
              <w:rPr>
                <w:rFonts w:ascii="Arial" w:cs="Arial" w:eastAsia="Arial" w:hAnsi="Arial"/>
                <w:sz w:val="22"/>
                <w:szCs w:val="22"/>
                <w:color w:val="008080"/>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10.13</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1"/>
              </w:rPr>
              <w:t>Survival of Representations and Warranties....... 18</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8</w:t>
            </w:r>
          </w:p>
        </w:tc>
        <w:tc>
          <w:tcPr>
            <w:tcW w:w="500" w:type="dxa"/>
            <w:vAlign w:val="bottom"/>
            <w:gridSpan w:val="3"/>
          </w:tcPr>
          <w:p>
            <w:pPr>
              <w:spacing w:after="0"/>
              <w:rPr>
                <w:sz w:val="20"/>
                <w:szCs w:val="20"/>
                <w:color w:val="auto"/>
              </w:rPr>
            </w:pPr>
            <w:r>
              <w:rPr>
                <w:rFonts w:ascii="Arial" w:cs="Arial" w:eastAsia="Arial" w:hAnsi="Arial"/>
                <w:sz w:val="22"/>
                <w:szCs w:val="22"/>
                <w:color w:val="008080"/>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10.14</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1"/>
              </w:rPr>
              <w:t>Severability.......................................................... 18</w:t>
            </w:r>
          </w:p>
        </w:tc>
        <w:tc>
          <w:tcPr>
            <w:tcW w:w="280" w:type="dxa"/>
            <w:vAlign w:val="bottom"/>
            <w:gridSpan w:val="3"/>
          </w:tcPr>
          <w:p>
            <w:pPr>
              <w:spacing w:after="0"/>
              <w:rPr>
                <w:sz w:val="23"/>
                <w:szCs w:val="23"/>
                <w:color w:val="auto"/>
              </w:rPr>
            </w:pPr>
          </w:p>
        </w:tc>
        <w:tc>
          <w:tcPr>
            <w:tcW w:w="160" w:type="dxa"/>
            <w:vAlign w:val="bottom"/>
            <w:gridSpan w:val="5"/>
          </w:tcPr>
          <w:p>
            <w:pPr>
              <w:jc w:val="right"/>
              <w:spacing w:after="0"/>
              <w:rPr>
                <w:sz w:val="20"/>
                <w:szCs w:val="20"/>
                <w:color w:val="auto"/>
              </w:rPr>
            </w:pPr>
            <w:r>
              <w:rPr>
                <w:rFonts w:ascii="Arial" w:cs="Arial" w:eastAsia="Arial" w:hAnsi="Arial"/>
                <w:sz w:val="22"/>
                <w:szCs w:val="22"/>
                <w:color w:val="FF0000"/>
                <w:strike w:val="1"/>
              </w:rPr>
              <w:t>8</w:t>
            </w:r>
          </w:p>
        </w:tc>
        <w:tc>
          <w:tcPr>
            <w:tcW w:w="460" w:type="dxa"/>
            <w:vAlign w:val="bottom"/>
          </w:tcPr>
          <w:p>
            <w:pPr>
              <w:spacing w:after="0"/>
              <w:rPr>
                <w:sz w:val="20"/>
                <w:szCs w:val="20"/>
                <w:color w:val="auto"/>
              </w:rPr>
            </w:pPr>
            <w:r>
              <w:rPr>
                <w:rFonts w:ascii="Arial" w:cs="Arial" w:eastAsia="Arial" w:hAnsi="Arial"/>
                <w:sz w:val="22"/>
                <w:szCs w:val="22"/>
                <w:color w:val="008080"/>
              </w:rPr>
              <w:t>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22"/>
                <w:szCs w:val="22"/>
                <w:color w:val="010000"/>
                <w:w w:val="89"/>
              </w:rPr>
              <w:t>Section 10.15</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90"/>
              </w:rPr>
              <w:t>GOVERNING LAW...........................................</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rPr>
              <w:t>18</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8</w:t>
            </w:r>
          </w:p>
        </w:tc>
        <w:tc>
          <w:tcPr>
            <w:tcW w:w="520" w:type="dxa"/>
            <w:vAlign w:val="bottom"/>
            <w:gridSpan w:val="4"/>
          </w:tcPr>
          <w:p>
            <w:pPr>
              <w:jc w:val="right"/>
              <w:ind w:right="292"/>
              <w:spacing w:after="0"/>
              <w:rPr>
                <w:sz w:val="20"/>
                <w:szCs w:val="20"/>
                <w:color w:val="auto"/>
              </w:rPr>
            </w:pPr>
            <w:r>
              <w:rPr>
                <w:rFonts w:ascii="Arial" w:cs="Arial" w:eastAsia="Arial" w:hAnsi="Arial"/>
                <w:sz w:val="22"/>
                <w:szCs w:val="22"/>
                <w:color w:val="008080"/>
                <w:w w:val="81"/>
              </w:rPr>
              <w:t>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10.16</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94"/>
              </w:rPr>
              <w:t>WAIVER OF RIGHT TO TRIAL BY JURY.....</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w w:val="81"/>
              </w:rPr>
              <w:t>18</w:t>
            </w:r>
          </w:p>
        </w:tc>
        <w:tc>
          <w:tcPr>
            <w:tcW w:w="1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w:t>
            </w:r>
          </w:p>
        </w:tc>
        <w:tc>
          <w:tcPr>
            <w:tcW w:w="100" w:type="dxa"/>
            <w:vAlign w:val="bottom"/>
            <w:gridSpan w:val="4"/>
          </w:tcPr>
          <w:p>
            <w:pPr>
              <w:jc w:val="right"/>
              <w:spacing w:after="0"/>
              <w:rPr>
                <w:sz w:val="20"/>
                <w:szCs w:val="20"/>
                <w:color w:val="auto"/>
              </w:rPr>
            </w:pPr>
            <w:r>
              <w:rPr>
                <w:rFonts w:ascii="Arial" w:cs="Arial" w:eastAsia="Arial" w:hAnsi="Arial"/>
                <w:sz w:val="19"/>
                <w:szCs w:val="19"/>
                <w:color w:val="008080"/>
                <w:w w:val="75"/>
              </w:rPr>
              <w:t>8</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10.17</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3"/>
              </w:rPr>
              <w:t>Binding Effect..................................................... 18</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9</w:t>
            </w:r>
          </w:p>
        </w:tc>
        <w:tc>
          <w:tcPr>
            <w:tcW w:w="500" w:type="dxa"/>
            <w:vAlign w:val="bottom"/>
            <w:gridSpan w:val="3"/>
          </w:tcPr>
          <w:p>
            <w:pPr>
              <w:spacing w:after="0"/>
              <w:rPr>
                <w:sz w:val="20"/>
                <w:szCs w:val="20"/>
                <w:color w:val="auto"/>
              </w:rPr>
            </w:pPr>
            <w:r>
              <w:rPr>
                <w:rFonts w:ascii="Arial" w:cs="Arial" w:eastAsia="Arial" w:hAnsi="Arial"/>
                <w:sz w:val="22"/>
                <w:szCs w:val="22"/>
                <w:color w:val="008080"/>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10.18</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8"/>
              </w:rPr>
              <w:t>USA Patriot Act..................................................</w:t>
            </w:r>
          </w:p>
        </w:tc>
        <w:tc>
          <w:tcPr>
            <w:tcW w:w="900" w:type="dxa"/>
            <w:vAlign w:val="bottom"/>
            <w:gridSpan w:val="9"/>
          </w:tcPr>
          <w:p>
            <w:pPr>
              <w:jc w:val="right"/>
              <w:ind w:right="312"/>
              <w:spacing w:after="0"/>
              <w:rPr>
                <w:sz w:val="20"/>
                <w:szCs w:val="20"/>
                <w:color w:val="auto"/>
              </w:rPr>
            </w:pPr>
            <w:r>
              <w:rPr>
                <w:rFonts w:ascii="Arial" w:cs="Arial" w:eastAsia="Arial" w:hAnsi="Arial"/>
                <w:sz w:val="22"/>
                <w:szCs w:val="22"/>
                <w:color w:val="auto"/>
                <w:w w:val="93"/>
              </w:rPr>
              <w:t>18</w:t>
            </w:r>
            <w:r>
              <w:rPr>
                <w:rFonts w:ascii="Arial" w:cs="Arial" w:eastAsia="Arial" w:hAnsi="Arial"/>
                <w:sz w:val="22"/>
                <w:szCs w:val="22"/>
                <w:color w:val="FF0000"/>
                <w:w w:val="93"/>
              </w:rPr>
              <w:t>9</w:t>
            </w:r>
            <w:r>
              <w:rPr>
                <w:rFonts w:ascii="Arial" w:cs="Arial" w:eastAsia="Arial" w:hAnsi="Arial"/>
                <w:sz w:val="22"/>
                <w:szCs w:val="22"/>
                <w:color w:val="008080"/>
                <w:w w:val="93"/>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10.19</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90"/>
              </w:rPr>
              <w:t>No Advisory or Fiduciary Responsibility...........</w:t>
            </w:r>
          </w:p>
        </w:tc>
        <w:tc>
          <w:tcPr>
            <w:tcW w:w="380" w:type="dxa"/>
            <w:vAlign w:val="bottom"/>
            <w:gridSpan w:val="5"/>
          </w:tcPr>
          <w:p>
            <w:pPr>
              <w:jc w:val="right"/>
              <w:spacing w:after="0"/>
              <w:rPr>
                <w:sz w:val="20"/>
                <w:szCs w:val="20"/>
                <w:color w:val="auto"/>
              </w:rPr>
            </w:pPr>
            <w:r>
              <w:rPr>
                <w:rFonts w:ascii="Arial" w:cs="Arial" w:eastAsia="Arial" w:hAnsi="Arial"/>
                <w:sz w:val="22"/>
                <w:szCs w:val="22"/>
                <w:color w:val="auto"/>
                <w:w w:val="97"/>
              </w:rPr>
              <w:t>1</w:t>
            </w:r>
            <w:r>
              <w:rPr>
                <w:rFonts w:ascii="Arial" w:cs="Arial" w:eastAsia="Arial" w:hAnsi="Arial"/>
                <w:sz w:val="22"/>
                <w:szCs w:val="22"/>
                <w:color w:val="008080"/>
                <w:w w:val="97"/>
              </w:rPr>
              <w:t>8</w:t>
            </w:r>
            <w:r>
              <w:rPr>
                <w:rFonts w:ascii="Arial" w:cs="Arial" w:eastAsia="Arial" w:hAnsi="Arial"/>
                <w:sz w:val="22"/>
                <w:szCs w:val="22"/>
                <w:color w:val="auto"/>
                <w:w w:val="97"/>
              </w:rPr>
              <w:t>9</w:t>
            </w:r>
          </w:p>
        </w:tc>
        <w:tc>
          <w:tcPr>
            <w:tcW w:w="520" w:type="dxa"/>
            <w:vAlign w:val="bottom"/>
            <w:gridSpan w:val="4"/>
          </w:tcPr>
          <w:p>
            <w:pPr>
              <w:jc w:val="right"/>
              <w:ind w:right="312"/>
              <w:spacing w:after="0"/>
              <w:rPr>
                <w:sz w:val="20"/>
                <w:szCs w:val="20"/>
                <w:color w:val="auto"/>
              </w:rPr>
            </w:pPr>
            <w:r>
              <w:rPr>
                <w:rFonts w:ascii="Arial" w:cs="Arial" w:eastAsia="Arial" w:hAnsi="Arial"/>
                <w:sz w:val="19"/>
                <w:szCs w:val="19"/>
                <w:color w:val="FF0000"/>
                <w:strike w:val="1"/>
                <w:w w:val="75"/>
              </w:rPr>
              <w:t>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10.20</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80"/>
              </w:rPr>
              <w:t>Intercreditor Agreements.....................................1</w:t>
            </w:r>
            <w:r>
              <w:rPr>
                <w:rFonts w:ascii="Arial" w:cs="Arial" w:eastAsia="Arial" w:hAnsi="Arial"/>
                <w:sz w:val="22"/>
                <w:szCs w:val="22"/>
                <w:color w:val="008080"/>
                <w:w w:val="80"/>
              </w:rPr>
              <w:t>8</w:t>
            </w:r>
            <w:r>
              <w:rPr>
                <w:rFonts w:ascii="Arial" w:cs="Arial" w:eastAsia="Arial" w:hAnsi="Arial"/>
                <w:sz w:val="22"/>
                <w:szCs w:val="22"/>
                <w:color w:val="auto"/>
                <w:w w:val="80"/>
              </w:rPr>
              <w:t>9</w:t>
            </w:r>
          </w:p>
        </w:tc>
        <w:tc>
          <w:tcPr>
            <w:tcW w:w="380" w:type="dxa"/>
            <w:vAlign w:val="bottom"/>
            <w:gridSpan w:val="5"/>
          </w:tcPr>
          <w:p>
            <w:pPr>
              <w:spacing w:after="0"/>
              <w:rPr>
                <w:sz w:val="23"/>
                <w:szCs w:val="23"/>
                <w:color w:val="auto"/>
              </w:rPr>
            </w:pPr>
          </w:p>
        </w:tc>
        <w:tc>
          <w:tcPr>
            <w:tcW w:w="520" w:type="dxa"/>
            <w:vAlign w:val="bottom"/>
            <w:gridSpan w:val="4"/>
          </w:tcPr>
          <w:p>
            <w:pPr>
              <w:jc w:val="right"/>
              <w:ind w:right="312"/>
              <w:spacing w:after="0"/>
              <w:rPr>
                <w:sz w:val="20"/>
                <w:szCs w:val="20"/>
                <w:color w:val="auto"/>
              </w:rPr>
            </w:pPr>
            <w:r>
              <w:rPr>
                <w:rFonts w:ascii="Arial" w:cs="Arial" w:eastAsia="Arial" w:hAnsi="Arial"/>
                <w:sz w:val="19"/>
                <w:szCs w:val="19"/>
                <w:color w:val="FF0000"/>
                <w:strike w:val="1"/>
                <w:w w:val="75"/>
              </w:rPr>
              <w:t>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10.21</w:t>
            </w:r>
            <w:r>
              <w:rPr>
                <w:rFonts w:ascii="Arial" w:cs="Arial" w:eastAsia="Arial" w:hAnsi="Arial"/>
                <w:sz w:val="22"/>
                <w:szCs w:val="22"/>
                <w:color w:val="000000"/>
                <w:w w:val="89"/>
              </w:rPr>
              <w:t>..........</w:t>
            </w:r>
          </w:p>
        </w:tc>
        <w:tc>
          <w:tcPr>
            <w:tcW w:w="8680" w:type="dxa"/>
            <w:vAlign w:val="bottom"/>
            <w:gridSpan w:val="13"/>
          </w:tcPr>
          <w:p>
            <w:pPr>
              <w:ind w:left="20"/>
              <w:spacing w:after="0"/>
              <w:rPr>
                <w:sz w:val="20"/>
                <w:szCs w:val="20"/>
                <w:color w:val="auto"/>
              </w:rPr>
            </w:pPr>
            <w:r>
              <w:rPr>
                <w:rFonts w:ascii="Arial" w:cs="Arial" w:eastAsia="Arial" w:hAnsi="Arial"/>
                <w:sz w:val="22"/>
                <w:szCs w:val="22"/>
                <w:color w:val="auto"/>
              </w:rPr>
              <w:t>Acknowledgment and Consent to Bail-In of EEA Financial</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r>
              <w:rPr>
                <w:rFonts w:ascii="Arial" w:cs="Arial" w:eastAsia="Arial" w:hAnsi="Arial"/>
                <w:sz w:val="8"/>
                <w:szCs w:val="8"/>
                <w:color w:val="auto"/>
                <w:w w:val="73"/>
              </w:rPr>
              <w:t>Institutions...........................................................................................</w:t>
            </w:r>
          </w:p>
        </w:tc>
        <w:tc>
          <w:tcPr>
            <w:tcW w:w="4120" w:type="dxa"/>
            <w:vAlign w:val="bottom"/>
          </w:tcPr>
          <w:p>
            <w:pPr>
              <w:spacing w:after="0"/>
              <w:rPr>
                <w:sz w:val="20"/>
                <w:szCs w:val="20"/>
                <w:color w:val="auto"/>
              </w:rPr>
            </w:pPr>
          </w:p>
        </w:tc>
        <w:tc>
          <w:tcPr>
            <w:tcW w:w="380" w:type="dxa"/>
            <w:vAlign w:val="bottom"/>
            <w:gridSpan w:val="5"/>
          </w:tcPr>
          <w:p>
            <w:pPr>
              <w:jc w:val="right"/>
              <w:spacing w:after="0" w:line="236" w:lineRule="exact"/>
              <w:rPr>
                <w:sz w:val="20"/>
                <w:szCs w:val="20"/>
                <w:color w:val="auto"/>
              </w:rPr>
            </w:pPr>
            <w:r>
              <w:rPr>
                <w:rFonts w:ascii="Arial" w:cs="Arial" w:eastAsia="Arial" w:hAnsi="Arial"/>
                <w:sz w:val="22"/>
                <w:szCs w:val="22"/>
                <w:color w:val="auto"/>
                <w:w w:val="97"/>
              </w:rPr>
              <w:t>1</w:t>
            </w:r>
            <w:r>
              <w:rPr>
                <w:rFonts w:ascii="Arial" w:cs="Arial" w:eastAsia="Arial" w:hAnsi="Arial"/>
                <w:sz w:val="22"/>
                <w:szCs w:val="22"/>
                <w:color w:val="008080"/>
                <w:w w:val="97"/>
              </w:rPr>
              <w:t>8</w:t>
            </w:r>
            <w:r>
              <w:rPr>
                <w:rFonts w:ascii="Arial" w:cs="Arial" w:eastAsia="Arial" w:hAnsi="Arial"/>
                <w:sz w:val="22"/>
                <w:szCs w:val="22"/>
                <w:color w:val="auto"/>
                <w:w w:val="97"/>
              </w:rPr>
              <w:t>9</w:t>
            </w:r>
          </w:p>
        </w:tc>
        <w:tc>
          <w:tcPr>
            <w:tcW w:w="520" w:type="dxa"/>
            <w:vAlign w:val="bottom"/>
            <w:gridSpan w:val="4"/>
          </w:tcPr>
          <w:p>
            <w:pPr>
              <w:jc w:val="right"/>
              <w:ind w:right="312"/>
              <w:spacing w:after="0"/>
              <w:rPr>
                <w:sz w:val="20"/>
                <w:szCs w:val="20"/>
                <w:color w:val="auto"/>
              </w:rPr>
            </w:pPr>
            <w:r>
              <w:rPr>
                <w:rFonts w:ascii="Arial" w:cs="Arial" w:eastAsia="Arial" w:hAnsi="Arial"/>
                <w:sz w:val="19"/>
                <w:szCs w:val="19"/>
                <w:color w:val="FF0000"/>
                <w:strike w:val="1"/>
                <w:w w:val="75"/>
              </w:rPr>
              <w:t>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22"/>
                <w:szCs w:val="22"/>
                <w:color w:val="010000"/>
                <w:w w:val="89"/>
              </w:rPr>
              <w:t>Section 10.22</w:t>
            </w:r>
            <w:r>
              <w:rPr>
                <w:rFonts w:ascii="Arial" w:cs="Arial" w:eastAsia="Arial" w:hAnsi="Arial"/>
                <w:sz w:val="22"/>
                <w:szCs w:val="22"/>
                <w:color w:val="000000"/>
                <w:w w:val="89"/>
              </w:rPr>
              <w:t>..........</w:t>
            </w:r>
          </w:p>
        </w:tc>
        <w:tc>
          <w:tcPr>
            <w:tcW w:w="4120" w:type="dxa"/>
            <w:vAlign w:val="bottom"/>
          </w:tcPr>
          <w:p>
            <w:pPr>
              <w:ind w:left="20"/>
              <w:spacing w:after="0"/>
              <w:rPr>
                <w:sz w:val="20"/>
                <w:szCs w:val="20"/>
                <w:color w:val="auto"/>
              </w:rPr>
            </w:pPr>
            <w:r>
              <w:rPr>
                <w:rFonts w:ascii="Arial" w:cs="Arial" w:eastAsia="Arial" w:hAnsi="Arial"/>
                <w:sz w:val="22"/>
                <w:szCs w:val="22"/>
                <w:color w:val="auto"/>
                <w:w w:val="92"/>
              </w:rPr>
              <w:t>Acknowledgement Regarding Any Supported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8"/>
                <w:szCs w:val="8"/>
                <w:color w:val="auto"/>
                <w:w w:val="72"/>
              </w:rPr>
              <w:t>QFCs....................................................................................................</w:t>
            </w:r>
          </w:p>
        </w:tc>
        <w:tc>
          <w:tcPr>
            <w:tcW w:w="41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22"/>
                <w:szCs w:val="22"/>
                <w:color w:val="auto"/>
              </w:rPr>
              <w:t>19</w:t>
            </w: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1</w:t>
            </w:r>
          </w:p>
        </w:tc>
        <w:tc>
          <w:tcPr>
            <w:tcW w:w="500" w:type="dxa"/>
            <w:vAlign w:val="bottom"/>
            <w:gridSpan w:val="3"/>
          </w:tcPr>
          <w:p>
            <w:pPr>
              <w:spacing w:after="0"/>
              <w:rPr>
                <w:sz w:val="20"/>
                <w:szCs w:val="20"/>
                <w:color w:val="auto"/>
              </w:rPr>
            </w:pPr>
            <w:r>
              <w:rPr>
                <w:rFonts w:ascii="Arial" w:cs="Arial" w:eastAsia="Arial" w:hAnsi="Arial"/>
                <w:sz w:val="22"/>
                <w:szCs w:val="22"/>
                <w:color w:val="008080"/>
              </w:rPr>
              <w:t>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900" w:type="dxa"/>
            <w:vAlign w:val="bottom"/>
            <w:gridSpan w:val="2"/>
          </w:tcPr>
          <w:p>
            <w:pPr>
              <w:spacing w:after="0"/>
              <w:rPr>
                <w:sz w:val="20"/>
                <w:szCs w:val="20"/>
                <w:color w:val="auto"/>
              </w:rPr>
            </w:pPr>
            <w:r>
              <w:rPr>
                <w:rFonts w:ascii="Arial" w:cs="Arial" w:eastAsia="Arial" w:hAnsi="Arial"/>
                <w:sz w:val="22"/>
                <w:szCs w:val="22"/>
                <w:color w:val="010000"/>
                <w:w w:val="78"/>
              </w:rPr>
              <w:t xml:space="preserve">Article XI. </w:t>
            </w:r>
            <w:r>
              <w:rPr>
                <w:rFonts w:ascii="Arial" w:cs="Arial" w:eastAsia="Arial" w:hAnsi="Arial"/>
                <w:sz w:val="22"/>
                <w:szCs w:val="22"/>
                <w:color w:val="000000"/>
                <w:w w:val="78"/>
              </w:rPr>
              <w:t>GUARANTEE.............................................................................. 19</w:t>
            </w:r>
          </w:p>
        </w:tc>
        <w:tc>
          <w:tcPr>
            <w:tcW w:w="900" w:type="dxa"/>
            <w:vAlign w:val="bottom"/>
            <w:gridSpan w:val="9"/>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2</w:t>
            </w:r>
          </w:p>
        </w:tc>
        <w:tc>
          <w:tcPr>
            <w:tcW w:w="3560" w:type="dxa"/>
            <w:vAlign w:val="bottom"/>
            <w:gridSpan w:val="2"/>
          </w:tcPr>
          <w:p>
            <w:pPr>
              <w:jc w:val="right"/>
              <w:ind w:right="3343"/>
              <w:spacing w:after="0"/>
              <w:rPr>
                <w:sz w:val="20"/>
                <w:szCs w:val="20"/>
                <w:color w:val="auto"/>
              </w:rPr>
            </w:pPr>
            <w:r>
              <w:rPr>
                <w:rFonts w:ascii="Arial" w:cs="Arial" w:eastAsia="Arial" w:hAnsi="Arial"/>
                <w:sz w:val="22"/>
                <w:szCs w:val="22"/>
                <w:color w:val="008080"/>
                <w:w w:val="81"/>
              </w:rPr>
              <w:t>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780" w:type="dxa"/>
            <w:vAlign w:val="bottom"/>
          </w:tcPr>
          <w:p>
            <w:pPr>
              <w:spacing w:after="0"/>
              <w:rPr>
                <w:sz w:val="20"/>
                <w:szCs w:val="20"/>
                <w:color w:val="auto"/>
              </w:rPr>
            </w:pPr>
            <w:r>
              <w:rPr>
                <w:rFonts w:ascii="Arial" w:cs="Arial" w:eastAsia="Arial" w:hAnsi="Arial"/>
                <w:sz w:val="22"/>
                <w:szCs w:val="22"/>
                <w:color w:val="010000"/>
                <w:w w:val="89"/>
              </w:rPr>
              <w:t>Section 11.01</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1"/>
              </w:rPr>
              <w:t>The Guarantee..................................................... 19</w:t>
            </w:r>
          </w:p>
        </w:tc>
        <w:tc>
          <w:tcPr>
            <w:tcW w:w="280" w:type="dxa"/>
            <w:vAlign w:val="bottom"/>
            <w:gridSpan w:val="3"/>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2</w:t>
            </w:r>
          </w:p>
        </w:tc>
        <w:tc>
          <w:tcPr>
            <w:tcW w:w="500" w:type="dxa"/>
            <w:vAlign w:val="bottom"/>
            <w:gridSpan w:val="3"/>
          </w:tcPr>
          <w:p>
            <w:pPr>
              <w:spacing w:after="0"/>
              <w:rPr>
                <w:sz w:val="20"/>
                <w:szCs w:val="20"/>
                <w:color w:val="auto"/>
              </w:rPr>
            </w:pPr>
            <w:r>
              <w:rPr>
                <w:rFonts w:ascii="Arial" w:cs="Arial" w:eastAsia="Arial" w:hAnsi="Arial"/>
                <w:sz w:val="22"/>
                <w:szCs w:val="22"/>
                <w:color w:val="008080"/>
              </w:rPr>
              <w:t>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11.02</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4"/>
              </w:rPr>
              <w:t>Obligations Unconditional.................................. 19</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2</w:t>
            </w:r>
          </w:p>
        </w:tc>
        <w:tc>
          <w:tcPr>
            <w:tcW w:w="500" w:type="dxa"/>
            <w:vAlign w:val="bottom"/>
            <w:gridSpan w:val="3"/>
          </w:tcPr>
          <w:p>
            <w:pPr>
              <w:spacing w:after="0"/>
              <w:rPr>
                <w:sz w:val="20"/>
                <w:szCs w:val="20"/>
                <w:color w:val="auto"/>
              </w:rPr>
            </w:pPr>
            <w:r>
              <w:rPr>
                <w:rFonts w:ascii="Arial" w:cs="Arial" w:eastAsia="Arial" w:hAnsi="Arial"/>
                <w:sz w:val="22"/>
                <w:szCs w:val="22"/>
                <w:color w:val="008080"/>
              </w:rPr>
              <w:t>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11.03</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1"/>
              </w:rPr>
              <w:t>Reinstatement...................................................... 19</w:t>
            </w:r>
          </w:p>
        </w:tc>
        <w:tc>
          <w:tcPr>
            <w:tcW w:w="280" w:type="dxa"/>
            <w:vAlign w:val="bottom"/>
            <w:gridSpan w:val="3"/>
          </w:tcPr>
          <w:p>
            <w:pPr>
              <w:spacing w:after="0"/>
              <w:rPr>
                <w:sz w:val="23"/>
                <w:szCs w:val="23"/>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3</w:t>
            </w:r>
          </w:p>
        </w:tc>
        <w:tc>
          <w:tcPr>
            <w:tcW w:w="480" w:type="dxa"/>
            <w:vAlign w:val="bottom"/>
            <w:gridSpan w:val="2"/>
          </w:tcPr>
          <w:p>
            <w:pPr>
              <w:spacing w:after="0"/>
              <w:rPr>
                <w:sz w:val="20"/>
                <w:szCs w:val="20"/>
                <w:color w:val="auto"/>
              </w:rPr>
            </w:pPr>
            <w:r>
              <w:rPr>
                <w:rFonts w:ascii="Arial" w:cs="Arial" w:eastAsia="Arial" w:hAnsi="Arial"/>
                <w:sz w:val="22"/>
                <w:szCs w:val="22"/>
                <w:color w:val="008080"/>
              </w:rPr>
              <w:t>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11.04</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2"/>
              </w:rPr>
              <w:t>Subrogation; Subordination................................. 19</w:t>
            </w:r>
          </w:p>
        </w:tc>
        <w:tc>
          <w:tcPr>
            <w:tcW w:w="280" w:type="dxa"/>
            <w:vAlign w:val="bottom"/>
            <w:gridSpan w:val="3"/>
          </w:tcPr>
          <w:p>
            <w:pPr>
              <w:spacing w:after="0"/>
              <w:rPr>
                <w:sz w:val="23"/>
                <w:szCs w:val="23"/>
                <w:color w:val="auto"/>
              </w:rPr>
            </w:pPr>
          </w:p>
        </w:tc>
        <w:tc>
          <w:tcPr>
            <w:tcW w:w="160" w:type="dxa"/>
            <w:vAlign w:val="bottom"/>
            <w:gridSpan w:val="5"/>
          </w:tcPr>
          <w:p>
            <w:pPr>
              <w:jc w:val="right"/>
              <w:spacing w:after="0"/>
              <w:rPr>
                <w:sz w:val="20"/>
                <w:szCs w:val="20"/>
                <w:color w:val="auto"/>
              </w:rPr>
            </w:pPr>
            <w:r>
              <w:rPr>
                <w:rFonts w:ascii="Arial" w:cs="Arial" w:eastAsia="Arial" w:hAnsi="Arial"/>
                <w:sz w:val="22"/>
                <w:szCs w:val="22"/>
                <w:color w:val="FF0000"/>
                <w:strike w:val="1"/>
              </w:rPr>
              <w:t>3</w:t>
            </w:r>
          </w:p>
        </w:tc>
        <w:tc>
          <w:tcPr>
            <w:tcW w:w="460" w:type="dxa"/>
            <w:vAlign w:val="bottom"/>
          </w:tcPr>
          <w:p>
            <w:pPr>
              <w:spacing w:after="0"/>
              <w:rPr>
                <w:sz w:val="20"/>
                <w:szCs w:val="20"/>
                <w:color w:val="auto"/>
              </w:rPr>
            </w:pPr>
            <w:r>
              <w:rPr>
                <w:rFonts w:ascii="Arial" w:cs="Arial" w:eastAsia="Arial" w:hAnsi="Arial"/>
                <w:sz w:val="22"/>
                <w:szCs w:val="22"/>
                <w:color w:val="008080"/>
              </w:rPr>
              <w:t>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11.05</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1"/>
              </w:rPr>
              <w:t>Remedies............................................................. 19</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3</w:t>
            </w:r>
          </w:p>
        </w:tc>
        <w:tc>
          <w:tcPr>
            <w:tcW w:w="500" w:type="dxa"/>
            <w:vAlign w:val="bottom"/>
            <w:gridSpan w:val="3"/>
          </w:tcPr>
          <w:p>
            <w:pPr>
              <w:spacing w:after="0"/>
              <w:rPr>
                <w:sz w:val="20"/>
                <w:szCs w:val="20"/>
                <w:color w:val="auto"/>
              </w:rPr>
            </w:pPr>
            <w:r>
              <w:rPr>
                <w:rFonts w:ascii="Arial" w:cs="Arial" w:eastAsia="Arial" w:hAnsi="Arial"/>
                <w:sz w:val="22"/>
                <w:szCs w:val="22"/>
                <w:color w:val="008080"/>
              </w:rPr>
              <w:t>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11.06</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9"/>
              </w:rPr>
              <w:t>Instrument for the Payment of Money................</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rPr>
              <w:t>19</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4</w:t>
            </w:r>
          </w:p>
        </w:tc>
        <w:tc>
          <w:tcPr>
            <w:tcW w:w="520" w:type="dxa"/>
            <w:vAlign w:val="bottom"/>
            <w:gridSpan w:val="4"/>
          </w:tcPr>
          <w:p>
            <w:pPr>
              <w:jc w:val="right"/>
              <w:ind w:right="312"/>
              <w:spacing w:after="0"/>
              <w:rPr>
                <w:sz w:val="20"/>
                <w:szCs w:val="20"/>
                <w:color w:val="auto"/>
              </w:rPr>
            </w:pPr>
            <w:r>
              <w:rPr>
                <w:rFonts w:ascii="Arial" w:cs="Arial" w:eastAsia="Arial" w:hAnsi="Arial"/>
                <w:sz w:val="19"/>
                <w:szCs w:val="19"/>
                <w:color w:val="008080"/>
                <w:w w:val="75"/>
              </w:rPr>
              <w:t>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11.07</w:t>
            </w:r>
            <w:r>
              <w:rPr>
                <w:rFonts w:ascii="Arial" w:cs="Arial" w:eastAsia="Arial" w:hAnsi="Arial"/>
                <w:sz w:val="22"/>
                <w:szCs w:val="22"/>
                <w:color w:val="000000"/>
                <w:w w:val="89"/>
              </w:rPr>
              <w:t>..........</w:t>
            </w:r>
          </w:p>
        </w:tc>
        <w:tc>
          <w:tcPr>
            <w:tcW w:w="4400" w:type="dxa"/>
            <w:vAlign w:val="bottom"/>
            <w:gridSpan w:val="4"/>
          </w:tcPr>
          <w:p>
            <w:pPr>
              <w:spacing w:after="0"/>
              <w:rPr>
                <w:sz w:val="20"/>
                <w:szCs w:val="20"/>
                <w:color w:val="auto"/>
              </w:rPr>
            </w:pPr>
            <w:r>
              <w:rPr>
                <w:rFonts w:ascii="Arial" w:cs="Arial" w:eastAsia="Arial" w:hAnsi="Arial"/>
                <w:sz w:val="22"/>
                <w:szCs w:val="22"/>
                <w:color w:val="auto"/>
                <w:w w:val="88"/>
              </w:rPr>
              <w:t>Continuing Guarantee....................................…. 19</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4</w:t>
            </w:r>
          </w:p>
        </w:tc>
        <w:tc>
          <w:tcPr>
            <w:tcW w:w="4180" w:type="dxa"/>
            <w:vAlign w:val="bottom"/>
            <w:gridSpan w:val="7"/>
          </w:tcPr>
          <w:p>
            <w:pPr>
              <w:jc w:val="right"/>
              <w:ind w:right="3963"/>
              <w:spacing w:after="0"/>
              <w:rPr>
                <w:sz w:val="20"/>
                <w:szCs w:val="20"/>
                <w:color w:val="auto"/>
              </w:rPr>
            </w:pPr>
            <w:r>
              <w:rPr>
                <w:rFonts w:ascii="Arial" w:cs="Arial" w:eastAsia="Arial" w:hAnsi="Arial"/>
                <w:sz w:val="22"/>
                <w:szCs w:val="22"/>
                <w:color w:val="008080"/>
                <w:w w:val="81"/>
              </w:rPr>
              <w:t>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11.08</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3"/>
              </w:rPr>
              <w:t>General Limitation on Guarantee Obligations.... 19</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4</w:t>
            </w:r>
          </w:p>
        </w:tc>
        <w:tc>
          <w:tcPr>
            <w:tcW w:w="500" w:type="dxa"/>
            <w:vAlign w:val="bottom"/>
            <w:gridSpan w:val="3"/>
          </w:tcPr>
          <w:p>
            <w:pPr>
              <w:spacing w:after="0"/>
              <w:rPr>
                <w:sz w:val="20"/>
                <w:szCs w:val="20"/>
                <w:color w:val="auto"/>
              </w:rPr>
            </w:pPr>
            <w:r>
              <w:rPr>
                <w:rFonts w:ascii="Arial" w:cs="Arial" w:eastAsia="Arial" w:hAnsi="Arial"/>
                <w:sz w:val="22"/>
                <w:szCs w:val="22"/>
                <w:color w:val="008080"/>
              </w:rPr>
              <w:t>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11.09</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1"/>
              </w:rPr>
              <w:t>Release of Guarantors......................................... 19</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4</w:t>
            </w:r>
          </w:p>
        </w:tc>
        <w:tc>
          <w:tcPr>
            <w:tcW w:w="500" w:type="dxa"/>
            <w:vAlign w:val="bottom"/>
            <w:gridSpan w:val="3"/>
          </w:tcPr>
          <w:p>
            <w:pPr>
              <w:spacing w:after="0"/>
              <w:rPr>
                <w:sz w:val="20"/>
                <w:szCs w:val="20"/>
                <w:color w:val="auto"/>
              </w:rPr>
            </w:pPr>
            <w:r>
              <w:rPr>
                <w:rFonts w:ascii="Arial" w:cs="Arial" w:eastAsia="Arial" w:hAnsi="Arial"/>
                <w:sz w:val="22"/>
                <w:szCs w:val="22"/>
                <w:color w:val="008080"/>
              </w:rPr>
              <w:t>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22"/>
                <w:szCs w:val="22"/>
                <w:color w:val="010000"/>
                <w:w w:val="89"/>
              </w:rPr>
              <w:t>Section 11.10</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4"/>
              </w:rPr>
              <w:t>Right of Contribution.......................................... 19</w:t>
            </w:r>
          </w:p>
        </w:tc>
        <w:tc>
          <w:tcPr>
            <w:tcW w:w="280" w:type="dxa"/>
            <w:vAlign w:val="bottom"/>
            <w:gridSpan w:val="3"/>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5</w:t>
            </w:r>
          </w:p>
        </w:tc>
        <w:tc>
          <w:tcPr>
            <w:tcW w:w="500" w:type="dxa"/>
            <w:vAlign w:val="bottom"/>
            <w:gridSpan w:val="3"/>
          </w:tcPr>
          <w:p>
            <w:pPr>
              <w:spacing w:after="0"/>
              <w:rPr>
                <w:sz w:val="20"/>
                <w:szCs w:val="20"/>
                <w:color w:val="auto"/>
              </w:rPr>
            </w:pPr>
            <w:r>
              <w:rPr>
                <w:rFonts w:ascii="Arial" w:cs="Arial" w:eastAsia="Arial" w:hAnsi="Arial"/>
                <w:sz w:val="22"/>
                <w:szCs w:val="22"/>
                <w:color w:val="008080"/>
              </w:rPr>
              <w:t>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22"/>
                <w:szCs w:val="22"/>
                <w:color w:val="010000"/>
                <w:w w:val="89"/>
              </w:rPr>
              <w:t>Section 11.11</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2"/>
              </w:rPr>
              <w:t>Keepwell.............................................................. 19</w:t>
            </w:r>
          </w:p>
        </w:tc>
        <w:tc>
          <w:tcPr>
            <w:tcW w:w="280" w:type="dxa"/>
            <w:vAlign w:val="bottom"/>
            <w:gridSpan w:val="3"/>
          </w:tcPr>
          <w:p>
            <w:pPr>
              <w:spacing w:after="0"/>
              <w:rPr>
                <w:sz w:val="22"/>
                <w:szCs w:val="22"/>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5</w:t>
            </w:r>
          </w:p>
        </w:tc>
        <w:tc>
          <w:tcPr>
            <w:tcW w:w="480" w:type="dxa"/>
            <w:vAlign w:val="bottom"/>
            <w:gridSpan w:val="2"/>
          </w:tcPr>
          <w:p>
            <w:pPr>
              <w:spacing w:after="0"/>
              <w:rPr>
                <w:sz w:val="20"/>
                <w:szCs w:val="20"/>
                <w:color w:val="auto"/>
              </w:rPr>
            </w:pPr>
            <w:r>
              <w:rPr>
                <w:rFonts w:ascii="Arial" w:cs="Arial" w:eastAsia="Arial" w:hAnsi="Arial"/>
                <w:sz w:val="22"/>
                <w:szCs w:val="22"/>
                <w:color w:val="008080"/>
              </w:rPr>
              <w:t>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22"/>
                <w:szCs w:val="22"/>
                <w:color w:val="010000"/>
                <w:w w:val="89"/>
              </w:rPr>
              <w:t>Section 11.12</w:t>
            </w:r>
            <w:r>
              <w:rPr>
                <w:rFonts w:ascii="Arial" w:cs="Arial" w:eastAsia="Arial" w:hAnsi="Arial"/>
                <w:sz w:val="22"/>
                <w:szCs w:val="22"/>
                <w:color w:val="000000"/>
                <w:w w:val="89"/>
              </w:rPr>
              <w:t>..........</w:t>
            </w:r>
          </w:p>
        </w:tc>
        <w:tc>
          <w:tcPr>
            <w:tcW w:w="4120" w:type="dxa"/>
            <w:vAlign w:val="bottom"/>
          </w:tcPr>
          <w:p>
            <w:pPr>
              <w:spacing w:after="0"/>
              <w:rPr>
                <w:sz w:val="20"/>
                <w:szCs w:val="20"/>
                <w:color w:val="auto"/>
              </w:rPr>
            </w:pPr>
            <w:r>
              <w:rPr>
                <w:rFonts w:ascii="Arial" w:cs="Arial" w:eastAsia="Arial" w:hAnsi="Arial"/>
                <w:sz w:val="22"/>
                <w:szCs w:val="22"/>
                <w:color w:val="auto"/>
                <w:w w:val="82"/>
              </w:rPr>
              <w:t>Independent Obligation....................................... 19</w:t>
            </w:r>
          </w:p>
        </w:tc>
        <w:tc>
          <w:tcPr>
            <w:tcW w:w="280" w:type="dxa"/>
            <w:vAlign w:val="bottom"/>
            <w:gridSpan w:val="3"/>
          </w:tcPr>
          <w:p>
            <w:pPr>
              <w:spacing w:after="0"/>
              <w:rPr>
                <w:sz w:val="24"/>
                <w:szCs w:val="24"/>
                <w:color w:val="auto"/>
              </w:rPr>
            </w:pPr>
          </w:p>
        </w:tc>
        <w:tc>
          <w:tcPr>
            <w:tcW w:w="14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5</w:t>
            </w:r>
          </w:p>
        </w:tc>
        <w:tc>
          <w:tcPr>
            <w:tcW w:w="480" w:type="dxa"/>
            <w:vAlign w:val="bottom"/>
            <w:gridSpan w:val="2"/>
          </w:tcPr>
          <w:p>
            <w:pPr>
              <w:spacing w:after="0"/>
              <w:rPr>
                <w:sz w:val="20"/>
                <w:szCs w:val="20"/>
                <w:color w:val="auto"/>
              </w:rPr>
            </w:pPr>
            <w:r>
              <w:rPr>
                <w:rFonts w:ascii="Arial" w:cs="Arial" w:eastAsia="Arial" w:hAnsi="Arial"/>
                <w:sz w:val="22"/>
                <w:szCs w:val="22"/>
                <w:color w:val="008080"/>
              </w:rPr>
              <w:t>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32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20"/>
          </w:cols>
          <w:pgMar w:left="320" w:top="1326" w:right="6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SCHEDULES</w:t>
      </w:r>
    </w:p>
    <w:p>
      <w:pPr>
        <w:spacing w:after="0" w:line="210" w:lineRule="exact"/>
        <w:rPr>
          <w:sz w:val="20"/>
          <w:szCs w:val="20"/>
          <w:color w:val="auto"/>
        </w:rPr>
      </w:pPr>
    </w:p>
    <w:p>
      <w:pPr>
        <w:ind w:left="400" w:hanging="248"/>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Guarantors</w:t>
      </w:r>
    </w:p>
    <w:tbl>
      <w:tblPr>
        <w:tblLayout w:type="fixed"/>
        <w:tblInd w:w="160" w:type="dxa"/>
        <w:tblCellMar>
          <w:top w:w="0" w:type="dxa"/>
          <w:left w:w="0" w:type="dxa"/>
          <w:bottom w:w="0" w:type="dxa"/>
          <w:right w:w="0" w:type="dxa"/>
        </w:tblCellMar>
      </w:tblPr>
      <w:tr>
        <w:trPr>
          <w:trHeight w:val="160"/>
        </w:trPr>
        <w:tc>
          <w:tcPr>
            <w:tcW w:w="460" w:type="dxa"/>
            <w:vAlign w:val="bottom"/>
          </w:tcPr>
          <w:p>
            <w:pPr>
              <w:spacing w:after="0" w:line="160" w:lineRule="exact"/>
              <w:rPr>
                <w:sz w:val="20"/>
                <w:szCs w:val="20"/>
                <w:color w:val="auto"/>
              </w:rPr>
            </w:pPr>
            <w:r>
              <w:rPr>
                <w:rFonts w:ascii="Arial" w:cs="Arial" w:eastAsia="Arial" w:hAnsi="Arial"/>
                <w:sz w:val="18"/>
                <w:szCs w:val="18"/>
                <w:color w:val="auto"/>
                <w:w w:val="93"/>
              </w:rPr>
              <w:t>1.01A</w:t>
            </w:r>
          </w:p>
        </w:tc>
        <w:tc>
          <w:tcPr>
            <w:tcW w:w="100" w:type="dxa"/>
            <w:vAlign w:val="bottom"/>
          </w:tcPr>
          <w:p>
            <w:pPr>
              <w:spacing w:after="0"/>
              <w:rPr>
                <w:sz w:val="13"/>
                <w:szCs w:val="13"/>
                <w:color w:val="auto"/>
              </w:rPr>
            </w:pPr>
          </w:p>
        </w:tc>
        <w:tc>
          <w:tcPr>
            <w:tcW w:w="3940" w:type="dxa"/>
            <w:vAlign w:val="bottom"/>
          </w:tcPr>
          <w:p>
            <w:pPr>
              <w:ind w:left="60"/>
              <w:spacing w:after="0" w:line="160" w:lineRule="exact"/>
              <w:rPr>
                <w:sz w:val="20"/>
                <w:szCs w:val="20"/>
                <w:color w:val="auto"/>
              </w:rPr>
            </w:pPr>
            <w:r>
              <w:rPr>
                <w:rFonts w:ascii="Arial" w:cs="Arial" w:eastAsia="Arial" w:hAnsi="Arial"/>
                <w:sz w:val="18"/>
                <w:szCs w:val="18"/>
                <w:color w:val="auto"/>
              </w:rPr>
              <w:t>Commitments</w:t>
            </w:r>
          </w:p>
        </w:tc>
      </w:tr>
      <w:tr>
        <w:trPr>
          <w:trHeight w:val="188"/>
        </w:trPr>
        <w:tc>
          <w:tcPr>
            <w:tcW w:w="460" w:type="dxa"/>
            <w:vAlign w:val="bottom"/>
          </w:tcPr>
          <w:p>
            <w:pPr>
              <w:spacing w:after="0" w:line="189" w:lineRule="exact"/>
              <w:rPr>
                <w:sz w:val="20"/>
                <w:szCs w:val="20"/>
                <w:color w:val="auto"/>
              </w:rPr>
            </w:pPr>
            <w:r>
              <w:rPr>
                <w:rFonts w:ascii="Arial" w:cs="Arial" w:eastAsia="Arial" w:hAnsi="Arial"/>
                <w:sz w:val="18"/>
                <w:szCs w:val="18"/>
                <w:color w:val="auto"/>
                <w:w w:val="93"/>
              </w:rPr>
              <w:t>1.01E</w:t>
            </w:r>
          </w:p>
        </w:tc>
        <w:tc>
          <w:tcPr>
            <w:tcW w:w="100" w:type="dxa"/>
            <w:vAlign w:val="bottom"/>
          </w:tcPr>
          <w:p>
            <w:pPr>
              <w:spacing w:after="0"/>
              <w:rPr>
                <w:sz w:val="16"/>
                <w:szCs w:val="16"/>
                <w:color w:val="auto"/>
              </w:rPr>
            </w:pPr>
          </w:p>
        </w:tc>
        <w:tc>
          <w:tcPr>
            <w:tcW w:w="3940" w:type="dxa"/>
            <w:vAlign w:val="bottom"/>
          </w:tcPr>
          <w:p>
            <w:pPr>
              <w:ind w:left="40"/>
              <w:spacing w:after="0" w:line="189" w:lineRule="exact"/>
              <w:rPr>
                <w:sz w:val="20"/>
                <w:szCs w:val="20"/>
                <w:color w:val="auto"/>
              </w:rPr>
            </w:pPr>
            <w:r>
              <w:rPr>
                <w:rFonts w:ascii="Arial" w:cs="Arial" w:eastAsia="Arial" w:hAnsi="Arial"/>
                <w:sz w:val="18"/>
                <w:szCs w:val="18"/>
                <w:color w:val="auto"/>
              </w:rPr>
              <w:t>Existing Investments</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4.01</w:t>
            </w:r>
          </w:p>
        </w:tc>
        <w:tc>
          <w:tcPr>
            <w:tcW w:w="4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Collateral Documents</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5"/>
                <w:szCs w:val="15"/>
                <w:color w:val="auto"/>
              </w:rPr>
            </w:pPr>
          </w:p>
        </w:tc>
        <w:tc>
          <w:tcPr>
            <w:tcW w:w="3940" w:type="dxa"/>
            <w:vAlign w:val="bottom"/>
          </w:tcPr>
          <w:p>
            <w:pPr>
              <w:ind w:left="720"/>
              <w:spacing w:after="0" w:line="176" w:lineRule="exact"/>
              <w:rPr>
                <w:sz w:val="20"/>
                <w:szCs w:val="20"/>
                <w:color w:val="auto"/>
              </w:rPr>
            </w:pPr>
            <w:r>
              <w:rPr>
                <w:rFonts w:ascii="Arial" w:cs="Arial" w:eastAsia="Arial" w:hAnsi="Arial"/>
                <w:sz w:val="18"/>
                <w:szCs w:val="18"/>
                <w:color w:val="auto"/>
              </w:rPr>
              <w:t>Litigation</w:t>
            </w:r>
          </w:p>
        </w:tc>
      </w:tr>
      <w:tr>
        <w:trPr>
          <w:trHeight w:val="188"/>
        </w:trPr>
        <w:tc>
          <w:tcPr>
            <w:tcW w:w="460" w:type="dxa"/>
            <w:vAlign w:val="bottom"/>
          </w:tcPr>
          <w:p>
            <w:pPr>
              <w:spacing w:after="0" w:line="189" w:lineRule="exact"/>
              <w:rPr>
                <w:sz w:val="20"/>
                <w:szCs w:val="20"/>
                <w:color w:val="auto"/>
              </w:rPr>
            </w:pPr>
            <w:r>
              <w:rPr>
                <w:rFonts w:ascii="Arial" w:cs="Arial" w:eastAsia="Arial" w:hAnsi="Arial"/>
                <w:sz w:val="18"/>
                <w:szCs w:val="18"/>
                <w:color w:val="auto"/>
              </w:rPr>
              <w:t>5.07</w:t>
            </w:r>
          </w:p>
        </w:tc>
        <w:tc>
          <w:tcPr>
            <w:tcW w:w="100" w:type="dxa"/>
            <w:vAlign w:val="bottom"/>
          </w:tcPr>
          <w:p>
            <w:pPr>
              <w:spacing w:after="0"/>
              <w:rPr>
                <w:sz w:val="16"/>
                <w:szCs w:val="16"/>
                <w:color w:val="auto"/>
              </w:rPr>
            </w:pPr>
          </w:p>
        </w:tc>
        <w:tc>
          <w:tcPr>
            <w:tcW w:w="3940" w:type="dxa"/>
            <w:vAlign w:val="bottom"/>
          </w:tcPr>
          <w:p>
            <w:pPr>
              <w:ind w:left="720"/>
              <w:spacing w:after="0" w:line="189" w:lineRule="exact"/>
              <w:rPr>
                <w:sz w:val="20"/>
                <w:szCs w:val="20"/>
                <w:color w:val="auto"/>
              </w:rPr>
            </w:pPr>
            <w:r>
              <w:rPr>
                <w:rFonts w:ascii="Arial" w:cs="Arial" w:eastAsia="Arial" w:hAnsi="Arial"/>
                <w:sz w:val="18"/>
                <w:szCs w:val="18"/>
                <w:color w:val="auto"/>
              </w:rPr>
              <w:t>Ownership of Property, Liens</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5.09</w:t>
            </w:r>
          </w:p>
        </w:tc>
        <w:tc>
          <w:tcPr>
            <w:tcW w:w="4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Taxes</w:t>
            </w:r>
          </w:p>
        </w:tc>
      </w:tr>
      <w:tr>
        <w:trPr>
          <w:trHeight w:val="176"/>
        </w:trPr>
        <w:tc>
          <w:tcPr>
            <w:tcW w:w="4500" w:type="dxa"/>
            <w:vAlign w:val="bottom"/>
            <w:gridSpan w:val="3"/>
          </w:tcPr>
          <w:p>
            <w:pPr>
              <w:spacing w:after="0" w:line="176" w:lineRule="exact"/>
              <w:rPr>
                <w:sz w:val="20"/>
                <w:szCs w:val="20"/>
                <w:color w:val="auto"/>
              </w:rPr>
            </w:pPr>
            <w:r>
              <w:rPr>
                <w:rFonts w:ascii="Arial" w:cs="Arial" w:eastAsia="Arial" w:hAnsi="Arial"/>
                <w:sz w:val="18"/>
                <w:szCs w:val="18"/>
                <w:color w:val="auto"/>
              </w:rPr>
              <w:t>5.11  Subsidiaries and Other Equity Investments</w:t>
            </w:r>
          </w:p>
        </w:tc>
      </w:tr>
      <w:tr>
        <w:trPr>
          <w:trHeight w:val="188"/>
        </w:trPr>
        <w:tc>
          <w:tcPr>
            <w:tcW w:w="460" w:type="dxa"/>
            <w:vAlign w:val="bottom"/>
          </w:tcPr>
          <w:p>
            <w:pPr>
              <w:spacing w:after="0" w:line="189"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6"/>
                <w:szCs w:val="16"/>
                <w:color w:val="auto"/>
              </w:rPr>
            </w:pPr>
          </w:p>
        </w:tc>
        <w:tc>
          <w:tcPr>
            <w:tcW w:w="3940" w:type="dxa"/>
            <w:vAlign w:val="bottom"/>
          </w:tcPr>
          <w:p>
            <w:pPr>
              <w:ind w:left="720"/>
              <w:spacing w:after="0" w:line="189" w:lineRule="exact"/>
              <w:rPr>
                <w:sz w:val="20"/>
                <w:szCs w:val="20"/>
                <w:color w:val="auto"/>
              </w:rPr>
            </w:pPr>
            <w:r>
              <w:rPr>
                <w:rFonts w:ascii="Arial" w:cs="Arial" w:eastAsia="Arial" w:hAnsi="Arial"/>
                <w:sz w:val="18"/>
                <w:szCs w:val="18"/>
                <w:color w:val="auto"/>
              </w:rPr>
              <w:t>Post-Closing Matters</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3940" w:type="dxa"/>
            <w:vAlign w:val="bottom"/>
          </w:tcPr>
          <w:p>
            <w:pPr>
              <w:ind w:left="720"/>
              <w:spacing w:after="0" w:line="176" w:lineRule="exact"/>
              <w:rPr>
                <w:sz w:val="20"/>
                <w:szCs w:val="20"/>
                <w:color w:val="auto"/>
              </w:rPr>
            </w:pPr>
            <w:r>
              <w:rPr>
                <w:rFonts w:ascii="Arial" w:cs="Arial" w:eastAsia="Arial" w:hAnsi="Arial"/>
                <w:sz w:val="18"/>
                <w:szCs w:val="18"/>
                <w:color w:val="auto"/>
                <w:w w:val="89"/>
              </w:rPr>
              <w:t>Specified Beta Vendor Financing Statements</w:t>
            </w:r>
          </w:p>
        </w:tc>
      </w:tr>
      <w:tr>
        <w:trPr>
          <w:trHeight w:val="188"/>
        </w:trPr>
        <w:tc>
          <w:tcPr>
            <w:tcW w:w="560" w:type="dxa"/>
            <w:vAlign w:val="bottom"/>
            <w:gridSpan w:val="2"/>
          </w:tcPr>
          <w:p>
            <w:pPr>
              <w:spacing w:after="0" w:line="189" w:lineRule="exact"/>
              <w:rPr>
                <w:sz w:val="20"/>
                <w:szCs w:val="20"/>
                <w:color w:val="auto"/>
              </w:rPr>
            </w:pPr>
            <w:r>
              <w:rPr>
                <w:rFonts w:ascii="Arial" w:cs="Arial" w:eastAsia="Arial" w:hAnsi="Arial"/>
                <w:sz w:val="18"/>
                <w:szCs w:val="18"/>
                <w:color w:val="auto"/>
                <w:w w:val="94"/>
              </w:rPr>
              <w:t>7.01(b)</w:t>
            </w:r>
          </w:p>
        </w:tc>
        <w:tc>
          <w:tcPr>
            <w:tcW w:w="3940" w:type="dxa"/>
            <w:vAlign w:val="bottom"/>
          </w:tcPr>
          <w:p>
            <w:pPr>
              <w:ind w:left="140"/>
              <w:spacing w:after="0" w:line="189" w:lineRule="exact"/>
              <w:rPr>
                <w:sz w:val="20"/>
                <w:szCs w:val="20"/>
                <w:color w:val="auto"/>
              </w:rPr>
            </w:pPr>
            <w:r>
              <w:rPr>
                <w:rFonts w:ascii="Arial" w:cs="Arial" w:eastAsia="Arial" w:hAnsi="Arial"/>
                <w:sz w:val="18"/>
                <w:szCs w:val="18"/>
                <w:color w:val="auto"/>
              </w:rPr>
              <w:t>Existing Liens</w:t>
            </w:r>
          </w:p>
        </w:tc>
      </w:tr>
      <w:tr>
        <w:trPr>
          <w:trHeight w:val="176"/>
        </w:trPr>
        <w:tc>
          <w:tcPr>
            <w:tcW w:w="560" w:type="dxa"/>
            <w:vAlign w:val="bottom"/>
            <w:gridSpan w:val="2"/>
          </w:tcPr>
          <w:p>
            <w:pPr>
              <w:spacing w:after="0" w:line="176" w:lineRule="exact"/>
              <w:rPr>
                <w:sz w:val="20"/>
                <w:szCs w:val="20"/>
                <w:color w:val="auto"/>
              </w:rPr>
            </w:pPr>
            <w:r>
              <w:rPr>
                <w:rFonts w:ascii="Arial" w:cs="Arial" w:eastAsia="Arial" w:hAnsi="Arial"/>
                <w:sz w:val="18"/>
                <w:szCs w:val="18"/>
                <w:color w:val="auto"/>
                <w:w w:val="94"/>
              </w:rPr>
              <w:t>7.03(b)</w:t>
            </w:r>
          </w:p>
        </w:tc>
        <w:tc>
          <w:tcPr>
            <w:tcW w:w="3940" w:type="dxa"/>
            <w:vAlign w:val="bottom"/>
          </w:tcPr>
          <w:p>
            <w:pPr>
              <w:ind w:left="140"/>
              <w:spacing w:after="0" w:line="176" w:lineRule="exact"/>
              <w:rPr>
                <w:sz w:val="20"/>
                <w:szCs w:val="20"/>
                <w:color w:val="auto"/>
              </w:rPr>
            </w:pPr>
            <w:r>
              <w:rPr>
                <w:rFonts w:ascii="Arial" w:cs="Arial" w:eastAsia="Arial" w:hAnsi="Arial"/>
                <w:sz w:val="18"/>
                <w:szCs w:val="18"/>
                <w:color w:val="auto"/>
              </w:rPr>
              <w:t>Existing Indebtedness</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7.05</w:t>
            </w:r>
          </w:p>
        </w:tc>
        <w:tc>
          <w:tcPr>
            <w:tcW w:w="4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Dispositions</w:t>
            </w:r>
          </w:p>
        </w:tc>
      </w:tr>
      <w:tr>
        <w:trPr>
          <w:trHeight w:val="188"/>
        </w:trPr>
        <w:tc>
          <w:tcPr>
            <w:tcW w:w="460" w:type="dxa"/>
            <w:vAlign w:val="bottom"/>
          </w:tcPr>
          <w:p>
            <w:pPr>
              <w:spacing w:after="0" w:line="189" w:lineRule="exact"/>
              <w:rPr>
                <w:sz w:val="20"/>
                <w:szCs w:val="20"/>
                <w:color w:val="auto"/>
              </w:rPr>
            </w:pPr>
            <w:r>
              <w:rPr>
                <w:rFonts w:ascii="Arial" w:cs="Arial" w:eastAsia="Arial" w:hAnsi="Arial"/>
                <w:sz w:val="18"/>
                <w:szCs w:val="18"/>
                <w:color w:val="auto"/>
              </w:rPr>
              <w:t>7.08</w:t>
            </w:r>
          </w:p>
        </w:tc>
        <w:tc>
          <w:tcPr>
            <w:tcW w:w="100" w:type="dxa"/>
            <w:vAlign w:val="bottom"/>
          </w:tcPr>
          <w:p>
            <w:pPr>
              <w:spacing w:after="0"/>
              <w:rPr>
                <w:sz w:val="16"/>
                <w:szCs w:val="16"/>
                <w:color w:val="auto"/>
              </w:rPr>
            </w:pPr>
          </w:p>
        </w:tc>
        <w:tc>
          <w:tcPr>
            <w:tcW w:w="3940" w:type="dxa"/>
            <w:vAlign w:val="bottom"/>
          </w:tcPr>
          <w:p>
            <w:pPr>
              <w:ind w:left="720"/>
              <w:spacing w:after="0" w:line="189" w:lineRule="exact"/>
              <w:rPr>
                <w:sz w:val="20"/>
                <w:szCs w:val="20"/>
                <w:color w:val="auto"/>
              </w:rPr>
            </w:pPr>
            <w:r>
              <w:rPr>
                <w:rFonts w:ascii="Arial" w:cs="Arial" w:eastAsia="Arial" w:hAnsi="Arial"/>
                <w:sz w:val="18"/>
                <w:szCs w:val="18"/>
                <w:color w:val="auto"/>
              </w:rPr>
              <w:t>Existing Agreements</w:t>
            </w:r>
          </w:p>
        </w:tc>
      </w:tr>
      <w:tr>
        <w:trPr>
          <w:trHeight w:val="191"/>
        </w:trPr>
        <w:tc>
          <w:tcPr>
            <w:tcW w:w="460" w:type="dxa"/>
            <w:vAlign w:val="bottom"/>
          </w:tcPr>
          <w:p>
            <w:pPr>
              <w:spacing w:after="0" w:line="192" w:lineRule="exact"/>
              <w:rPr>
                <w:sz w:val="20"/>
                <w:szCs w:val="20"/>
                <w:color w:val="auto"/>
              </w:rPr>
            </w:pPr>
            <w:r>
              <w:rPr>
                <w:rFonts w:ascii="Arial" w:cs="Arial" w:eastAsia="Arial" w:hAnsi="Arial"/>
                <w:sz w:val="18"/>
                <w:szCs w:val="18"/>
                <w:color w:val="auto"/>
              </w:rPr>
              <w:t>7.09</w:t>
            </w:r>
          </w:p>
        </w:tc>
        <w:tc>
          <w:tcPr>
            <w:tcW w:w="100" w:type="dxa"/>
            <w:vAlign w:val="bottom"/>
          </w:tcPr>
          <w:p>
            <w:pPr>
              <w:spacing w:after="0"/>
              <w:rPr>
                <w:sz w:val="16"/>
                <w:szCs w:val="16"/>
                <w:color w:val="auto"/>
              </w:rPr>
            </w:pPr>
          </w:p>
        </w:tc>
        <w:tc>
          <w:tcPr>
            <w:tcW w:w="3940" w:type="dxa"/>
            <w:vAlign w:val="bottom"/>
          </w:tcPr>
          <w:p>
            <w:pPr>
              <w:ind w:left="720"/>
              <w:spacing w:after="0" w:line="192" w:lineRule="exact"/>
              <w:rPr>
                <w:sz w:val="20"/>
                <w:szCs w:val="20"/>
                <w:color w:val="auto"/>
              </w:rPr>
            </w:pPr>
            <w:r>
              <w:rPr>
                <w:rFonts w:ascii="Arial" w:cs="Arial" w:eastAsia="Arial" w:hAnsi="Arial"/>
                <w:sz w:val="18"/>
                <w:szCs w:val="18"/>
                <w:color w:val="auto"/>
              </w:rPr>
              <w:t>Existing Restrictions</w:t>
            </w:r>
          </w:p>
        </w:tc>
      </w:tr>
    </w:tbl>
    <w:p>
      <w:pPr>
        <w:ind w:left="160"/>
        <w:spacing w:after="0"/>
        <w:tabs>
          <w:tab w:leader="none" w:pos="72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color w:val="auto"/>
        </w:rPr>
        <w:t>Administrative Agent’s Office, Certain Addresses for Notices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Form of</w:t>
      </w:r>
    </w:p>
    <w:p>
      <w:pPr>
        <w:spacing w:after="0" w:line="61" w:lineRule="exact"/>
        <w:rPr>
          <w:sz w:val="20"/>
          <w:szCs w:val="20"/>
          <w:color w:val="auto"/>
        </w:rPr>
      </w:pPr>
    </w:p>
    <w:p>
      <w:pPr>
        <w:ind w:left="1440" w:hanging="1288"/>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Committed Loan Notice</w:t>
      </w:r>
    </w:p>
    <w:p>
      <w:pPr>
        <w:ind w:left="1440" w:hanging="1288"/>
        <w:spacing w:after="0" w:line="219"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w:t>
      </w:r>
    </w:p>
    <w:tbl>
      <w:tblPr>
        <w:tblLayout w:type="fixed"/>
        <w:tblInd w:w="160" w:type="dxa"/>
        <w:tblCellMar>
          <w:top w:w="0" w:type="dxa"/>
          <w:left w:w="0" w:type="dxa"/>
          <w:bottom w:w="0" w:type="dxa"/>
          <w:right w:w="0" w:type="dxa"/>
        </w:tblCellMar>
      </w:tblPr>
      <w:tr>
        <w:trPr>
          <w:trHeight w:val="160"/>
        </w:trPr>
        <w:tc>
          <w:tcPr>
            <w:tcW w:w="780" w:type="dxa"/>
            <w:vAlign w:val="bottom"/>
          </w:tcPr>
          <w:p>
            <w:pPr>
              <w:spacing w:after="0" w:line="161" w:lineRule="exact"/>
              <w:rPr>
                <w:sz w:val="20"/>
                <w:szCs w:val="20"/>
                <w:color w:val="auto"/>
              </w:rPr>
            </w:pPr>
            <w:r>
              <w:rPr>
                <w:rFonts w:ascii="Arial" w:cs="Arial" w:eastAsia="Arial" w:hAnsi="Arial"/>
                <w:sz w:val="18"/>
                <w:szCs w:val="18"/>
                <w:color w:val="auto"/>
              </w:rPr>
              <w:t>C-1</w:t>
            </w:r>
          </w:p>
        </w:tc>
        <w:tc>
          <w:tcPr>
            <w:tcW w:w="3520" w:type="dxa"/>
            <w:vAlign w:val="bottom"/>
          </w:tcPr>
          <w:p>
            <w:pPr>
              <w:ind w:left="500"/>
              <w:spacing w:after="0" w:line="161" w:lineRule="exact"/>
              <w:rPr>
                <w:sz w:val="20"/>
                <w:szCs w:val="20"/>
                <w:color w:val="auto"/>
              </w:rPr>
            </w:pPr>
            <w:r>
              <w:rPr>
                <w:rFonts w:ascii="Arial" w:cs="Arial" w:eastAsia="Arial" w:hAnsi="Arial"/>
                <w:sz w:val="18"/>
                <w:szCs w:val="18"/>
                <w:color w:val="auto"/>
              </w:rPr>
              <w:t>Term Note</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D-1</w:t>
            </w:r>
          </w:p>
        </w:tc>
        <w:tc>
          <w:tcPr>
            <w:tcW w:w="3520" w:type="dxa"/>
            <w:vAlign w:val="bottom"/>
          </w:tcPr>
          <w:p>
            <w:pPr>
              <w:ind w:left="500"/>
              <w:spacing w:after="0" w:line="176" w:lineRule="exact"/>
              <w:rPr>
                <w:sz w:val="20"/>
                <w:szCs w:val="20"/>
                <w:color w:val="auto"/>
              </w:rPr>
            </w:pPr>
            <w:r>
              <w:rPr>
                <w:rFonts w:ascii="Arial" w:cs="Arial" w:eastAsia="Arial" w:hAnsi="Arial"/>
                <w:sz w:val="18"/>
                <w:szCs w:val="18"/>
                <w:color w:val="auto"/>
              </w:rPr>
              <w:t>Compliance Certificate</w:t>
            </w:r>
          </w:p>
        </w:tc>
      </w:tr>
      <w:tr>
        <w:trPr>
          <w:trHeight w:val="188"/>
        </w:trPr>
        <w:tc>
          <w:tcPr>
            <w:tcW w:w="780" w:type="dxa"/>
            <w:vAlign w:val="bottom"/>
          </w:tcPr>
          <w:p>
            <w:pPr>
              <w:spacing w:after="0" w:line="189" w:lineRule="exact"/>
              <w:rPr>
                <w:sz w:val="20"/>
                <w:szCs w:val="20"/>
                <w:color w:val="auto"/>
              </w:rPr>
            </w:pPr>
            <w:r>
              <w:rPr>
                <w:rFonts w:ascii="Arial" w:cs="Arial" w:eastAsia="Arial" w:hAnsi="Arial"/>
                <w:sz w:val="18"/>
                <w:szCs w:val="18"/>
                <w:color w:val="auto"/>
              </w:rPr>
              <w:t>D-2</w:t>
            </w:r>
          </w:p>
        </w:tc>
        <w:tc>
          <w:tcPr>
            <w:tcW w:w="3520" w:type="dxa"/>
            <w:vAlign w:val="bottom"/>
          </w:tcPr>
          <w:p>
            <w:pPr>
              <w:ind w:left="500"/>
              <w:spacing w:after="0" w:line="189" w:lineRule="exact"/>
              <w:rPr>
                <w:sz w:val="20"/>
                <w:szCs w:val="20"/>
                <w:color w:val="auto"/>
              </w:rPr>
            </w:pPr>
            <w:r>
              <w:rPr>
                <w:rFonts w:ascii="Arial" w:cs="Arial" w:eastAsia="Arial" w:hAnsi="Arial"/>
                <w:sz w:val="18"/>
                <w:szCs w:val="18"/>
                <w:color w:val="auto"/>
              </w:rPr>
              <w:t>Solvency Certificate</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E-1</w:t>
            </w:r>
          </w:p>
        </w:tc>
        <w:tc>
          <w:tcPr>
            <w:tcW w:w="3520" w:type="dxa"/>
            <w:vAlign w:val="bottom"/>
          </w:tcPr>
          <w:p>
            <w:pPr>
              <w:ind w:left="500"/>
              <w:spacing w:after="0" w:line="176" w:lineRule="exact"/>
              <w:rPr>
                <w:sz w:val="20"/>
                <w:szCs w:val="20"/>
                <w:color w:val="auto"/>
              </w:rPr>
            </w:pPr>
            <w:r>
              <w:rPr>
                <w:rFonts w:ascii="Arial" w:cs="Arial" w:eastAsia="Arial" w:hAnsi="Arial"/>
                <w:sz w:val="18"/>
                <w:szCs w:val="18"/>
                <w:color w:val="auto"/>
              </w:rPr>
              <w:t>Assignment and Assumption</w:t>
            </w:r>
          </w:p>
        </w:tc>
      </w:tr>
      <w:tr>
        <w:trPr>
          <w:trHeight w:val="188"/>
        </w:trPr>
        <w:tc>
          <w:tcPr>
            <w:tcW w:w="780" w:type="dxa"/>
            <w:vAlign w:val="bottom"/>
          </w:tcPr>
          <w:p>
            <w:pPr>
              <w:spacing w:after="0" w:line="189" w:lineRule="exact"/>
              <w:rPr>
                <w:sz w:val="20"/>
                <w:szCs w:val="20"/>
                <w:color w:val="auto"/>
              </w:rPr>
            </w:pPr>
            <w:r>
              <w:rPr>
                <w:rFonts w:ascii="Arial" w:cs="Arial" w:eastAsia="Arial" w:hAnsi="Arial"/>
                <w:sz w:val="18"/>
                <w:szCs w:val="18"/>
                <w:color w:val="auto"/>
              </w:rPr>
              <w:t>E-2</w:t>
            </w:r>
          </w:p>
        </w:tc>
        <w:tc>
          <w:tcPr>
            <w:tcW w:w="3520" w:type="dxa"/>
            <w:vAlign w:val="bottom"/>
          </w:tcPr>
          <w:p>
            <w:pPr>
              <w:ind w:left="500"/>
              <w:spacing w:after="0" w:line="189" w:lineRule="exact"/>
              <w:rPr>
                <w:sz w:val="20"/>
                <w:szCs w:val="20"/>
                <w:color w:val="auto"/>
              </w:rPr>
            </w:pPr>
            <w:r>
              <w:rPr>
                <w:rFonts w:ascii="Arial" w:cs="Arial" w:eastAsia="Arial" w:hAnsi="Arial"/>
                <w:sz w:val="18"/>
                <w:szCs w:val="18"/>
                <w:color w:val="auto"/>
              </w:rPr>
              <w:t>Affiliated Lender Notice</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E-3</w:t>
            </w:r>
          </w:p>
        </w:tc>
        <w:tc>
          <w:tcPr>
            <w:tcW w:w="3520" w:type="dxa"/>
            <w:vAlign w:val="bottom"/>
          </w:tcPr>
          <w:p>
            <w:pPr>
              <w:ind w:left="500"/>
              <w:spacing w:after="0" w:line="176" w:lineRule="exact"/>
              <w:rPr>
                <w:sz w:val="20"/>
                <w:szCs w:val="20"/>
                <w:color w:val="auto"/>
              </w:rPr>
            </w:pPr>
            <w:r>
              <w:rPr>
                <w:rFonts w:ascii="Arial" w:cs="Arial" w:eastAsia="Arial" w:hAnsi="Arial"/>
                <w:sz w:val="18"/>
                <w:szCs w:val="18"/>
                <w:color w:val="auto"/>
              </w:rPr>
              <w:t>Acceptance and Prepayment Notice</w:t>
            </w: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E-4</w:t>
            </w:r>
          </w:p>
        </w:tc>
        <w:tc>
          <w:tcPr>
            <w:tcW w:w="3520" w:type="dxa"/>
            <w:vAlign w:val="bottom"/>
          </w:tcPr>
          <w:p>
            <w:pPr>
              <w:ind w:left="500"/>
              <w:spacing w:after="0" w:line="176" w:lineRule="exact"/>
              <w:rPr>
                <w:sz w:val="20"/>
                <w:szCs w:val="20"/>
                <w:color w:val="auto"/>
              </w:rPr>
            </w:pPr>
            <w:r>
              <w:rPr>
                <w:rFonts w:ascii="Arial" w:cs="Arial" w:eastAsia="Arial" w:hAnsi="Arial"/>
                <w:sz w:val="18"/>
                <w:szCs w:val="18"/>
                <w:color w:val="auto"/>
              </w:rPr>
              <w:t>Discount Range Prepayment Notice</w:t>
            </w:r>
          </w:p>
        </w:tc>
      </w:tr>
      <w:tr>
        <w:trPr>
          <w:trHeight w:val="188"/>
        </w:trPr>
        <w:tc>
          <w:tcPr>
            <w:tcW w:w="780" w:type="dxa"/>
            <w:vAlign w:val="bottom"/>
          </w:tcPr>
          <w:p>
            <w:pPr>
              <w:spacing w:after="0" w:line="189" w:lineRule="exact"/>
              <w:rPr>
                <w:sz w:val="20"/>
                <w:szCs w:val="20"/>
                <w:color w:val="auto"/>
              </w:rPr>
            </w:pPr>
            <w:r>
              <w:rPr>
                <w:rFonts w:ascii="Arial" w:cs="Arial" w:eastAsia="Arial" w:hAnsi="Arial"/>
                <w:sz w:val="18"/>
                <w:szCs w:val="18"/>
                <w:color w:val="auto"/>
              </w:rPr>
              <w:t>E-5</w:t>
            </w:r>
          </w:p>
        </w:tc>
        <w:tc>
          <w:tcPr>
            <w:tcW w:w="3520" w:type="dxa"/>
            <w:vAlign w:val="bottom"/>
          </w:tcPr>
          <w:p>
            <w:pPr>
              <w:ind w:left="500"/>
              <w:spacing w:after="0" w:line="189" w:lineRule="exact"/>
              <w:rPr>
                <w:sz w:val="20"/>
                <w:szCs w:val="20"/>
                <w:color w:val="auto"/>
              </w:rPr>
            </w:pPr>
            <w:r>
              <w:rPr>
                <w:rFonts w:ascii="Arial" w:cs="Arial" w:eastAsia="Arial" w:hAnsi="Arial"/>
                <w:sz w:val="18"/>
                <w:szCs w:val="18"/>
                <w:color w:val="auto"/>
              </w:rPr>
              <w:t>Discount Range Prepayment Offer</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E-6</w:t>
            </w:r>
          </w:p>
        </w:tc>
        <w:tc>
          <w:tcPr>
            <w:tcW w:w="3520" w:type="dxa"/>
            <w:vAlign w:val="bottom"/>
          </w:tcPr>
          <w:p>
            <w:pPr>
              <w:ind w:left="500"/>
              <w:spacing w:after="0" w:line="176" w:lineRule="exact"/>
              <w:rPr>
                <w:sz w:val="20"/>
                <w:szCs w:val="20"/>
                <w:color w:val="auto"/>
              </w:rPr>
            </w:pPr>
            <w:r>
              <w:rPr>
                <w:rFonts w:ascii="Arial" w:cs="Arial" w:eastAsia="Arial" w:hAnsi="Arial"/>
                <w:sz w:val="18"/>
                <w:szCs w:val="18"/>
                <w:color w:val="auto"/>
                <w:w w:val="93"/>
              </w:rPr>
              <w:t>Solicited Discounted Prepayment Notice</w:t>
            </w: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E-7</w:t>
            </w:r>
          </w:p>
        </w:tc>
        <w:tc>
          <w:tcPr>
            <w:tcW w:w="3520" w:type="dxa"/>
            <w:vAlign w:val="bottom"/>
          </w:tcPr>
          <w:p>
            <w:pPr>
              <w:ind w:left="500"/>
              <w:spacing w:after="0" w:line="176" w:lineRule="exact"/>
              <w:rPr>
                <w:sz w:val="20"/>
                <w:szCs w:val="20"/>
                <w:color w:val="auto"/>
              </w:rPr>
            </w:pPr>
            <w:r>
              <w:rPr>
                <w:rFonts w:ascii="Arial" w:cs="Arial" w:eastAsia="Arial" w:hAnsi="Arial"/>
                <w:sz w:val="18"/>
                <w:szCs w:val="18"/>
                <w:color w:val="auto"/>
                <w:w w:val="96"/>
              </w:rPr>
              <w:t>Solicited Discounted Prepayment Offer</w:t>
            </w:r>
          </w:p>
        </w:tc>
      </w:tr>
      <w:tr>
        <w:trPr>
          <w:trHeight w:val="188"/>
        </w:trPr>
        <w:tc>
          <w:tcPr>
            <w:tcW w:w="780" w:type="dxa"/>
            <w:vAlign w:val="bottom"/>
          </w:tcPr>
          <w:p>
            <w:pPr>
              <w:spacing w:after="0" w:line="189" w:lineRule="exact"/>
              <w:rPr>
                <w:sz w:val="20"/>
                <w:szCs w:val="20"/>
                <w:color w:val="auto"/>
              </w:rPr>
            </w:pPr>
            <w:r>
              <w:rPr>
                <w:rFonts w:ascii="Arial" w:cs="Arial" w:eastAsia="Arial" w:hAnsi="Arial"/>
                <w:sz w:val="18"/>
                <w:szCs w:val="18"/>
                <w:color w:val="auto"/>
              </w:rPr>
              <w:t>E-8</w:t>
            </w:r>
          </w:p>
        </w:tc>
        <w:tc>
          <w:tcPr>
            <w:tcW w:w="3520" w:type="dxa"/>
            <w:vAlign w:val="bottom"/>
          </w:tcPr>
          <w:p>
            <w:pPr>
              <w:ind w:left="500"/>
              <w:spacing w:after="0" w:line="189" w:lineRule="exact"/>
              <w:rPr>
                <w:sz w:val="20"/>
                <w:szCs w:val="20"/>
                <w:color w:val="auto"/>
              </w:rPr>
            </w:pPr>
            <w:r>
              <w:rPr>
                <w:rFonts w:ascii="Arial" w:cs="Arial" w:eastAsia="Arial" w:hAnsi="Arial"/>
                <w:sz w:val="18"/>
                <w:szCs w:val="18"/>
                <w:color w:val="auto"/>
                <w:w w:val="97"/>
              </w:rPr>
              <w:t>Specified Discount Prepayment Notice</w:t>
            </w:r>
          </w:p>
        </w:tc>
      </w:tr>
      <w:tr>
        <w:trPr>
          <w:trHeight w:val="191"/>
        </w:trPr>
        <w:tc>
          <w:tcPr>
            <w:tcW w:w="780" w:type="dxa"/>
            <w:vAlign w:val="bottom"/>
          </w:tcPr>
          <w:p>
            <w:pPr>
              <w:spacing w:after="0" w:line="192" w:lineRule="exact"/>
              <w:rPr>
                <w:sz w:val="20"/>
                <w:szCs w:val="20"/>
                <w:color w:val="auto"/>
              </w:rPr>
            </w:pPr>
            <w:r>
              <w:rPr>
                <w:rFonts w:ascii="Arial" w:cs="Arial" w:eastAsia="Arial" w:hAnsi="Arial"/>
                <w:sz w:val="18"/>
                <w:szCs w:val="18"/>
                <w:color w:val="auto"/>
              </w:rPr>
              <w:t>E-9</w:t>
            </w:r>
          </w:p>
        </w:tc>
        <w:tc>
          <w:tcPr>
            <w:tcW w:w="3520" w:type="dxa"/>
            <w:vAlign w:val="bottom"/>
          </w:tcPr>
          <w:p>
            <w:pPr>
              <w:ind w:left="500"/>
              <w:spacing w:after="0" w:line="192" w:lineRule="exact"/>
              <w:rPr>
                <w:sz w:val="20"/>
                <w:szCs w:val="20"/>
                <w:color w:val="auto"/>
              </w:rPr>
            </w:pPr>
            <w:r>
              <w:rPr>
                <w:rFonts w:ascii="Arial" w:cs="Arial" w:eastAsia="Arial" w:hAnsi="Arial"/>
                <w:sz w:val="18"/>
                <w:szCs w:val="18"/>
                <w:color w:val="auto"/>
                <w:w w:val="88"/>
              </w:rPr>
              <w:t>Specified Discount Prepayment Response</w:t>
            </w:r>
          </w:p>
        </w:tc>
      </w:tr>
    </w:tbl>
    <w:p>
      <w:pPr>
        <w:ind w:left="1440" w:hanging="1288"/>
        <w:spacing w:after="0" w:line="203"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Agreement</w:t>
      </w:r>
    </w:p>
    <w:p>
      <w:pPr>
        <w:jc w:val="both"/>
        <w:ind w:left="80" w:right="7279" w:firstLine="72"/>
        <w:spacing w:after="0" w:line="234" w:lineRule="auto"/>
        <w:tabs>
          <w:tab w:leader="none" w:pos="143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Intercompany Note H-1 Guarantor Joinder Agreement H-2 Borrower Joinder Agreement</w:t>
      </w:r>
    </w:p>
    <w:p>
      <w:pPr>
        <w:spacing w:after="0" w:line="1" w:lineRule="exact"/>
        <w:rPr>
          <w:rFonts w:ascii="Arial" w:cs="Arial" w:eastAsia="Arial" w:hAnsi="Arial"/>
          <w:sz w:val="16"/>
          <w:szCs w:val="16"/>
          <w:color w:val="auto"/>
        </w:rPr>
      </w:pPr>
    </w:p>
    <w:p>
      <w:pPr>
        <w:ind w:left="80" w:right="6639"/>
        <w:spacing w:after="0" w:line="211" w:lineRule="auto"/>
        <w:rPr>
          <w:rFonts w:ascii="Arial" w:cs="Arial" w:eastAsia="Arial" w:hAnsi="Arial"/>
          <w:sz w:val="16"/>
          <w:szCs w:val="16"/>
          <w:color w:val="auto"/>
        </w:rPr>
      </w:pPr>
      <w:r>
        <w:rPr>
          <w:rFonts w:ascii="Arial" w:cs="Arial" w:eastAsia="Arial" w:hAnsi="Arial"/>
          <w:sz w:val="18"/>
          <w:szCs w:val="18"/>
          <w:color w:val="auto"/>
        </w:rPr>
        <w:t>I United States Tax Compliance Certificate J First Lien Intercreditor Agreement</w:t>
      </w:r>
    </w:p>
    <w:p>
      <w:pPr>
        <w:ind w:left="80"/>
        <w:spacing w:after="0" w:line="228" w:lineRule="auto"/>
        <w:rPr>
          <w:rFonts w:ascii="Arial" w:cs="Arial" w:eastAsia="Arial" w:hAnsi="Arial"/>
          <w:sz w:val="16"/>
          <w:szCs w:val="16"/>
          <w:color w:val="auto"/>
        </w:rPr>
      </w:pPr>
      <w:r>
        <w:rPr>
          <w:rFonts w:ascii="Arial" w:cs="Arial" w:eastAsia="Arial" w:hAnsi="Arial"/>
          <w:sz w:val="18"/>
          <w:szCs w:val="18"/>
          <w:color w:val="auto"/>
        </w:rPr>
        <w:t>K</w:t>
      </w:r>
      <w:r>
        <w:rPr>
          <w:rFonts w:ascii="Arial" w:cs="Arial" w:eastAsia="Arial" w:hAnsi="Arial"/>
          <w:sz w:val="16"/>
          <w:szCs w:val="16"/>
          <w:color w:val="auto"/>
        </w:rPr>
        <w:t>Second Lien Intercreditor Agreement</w:t>
      </w:r>
    </w:p>
    <w:p>
      <w:pPr>
        <w:ind w:left="100" w:right="6399"/>
        <w:spacing w:after="0" w:line="233" w:lineRule="auto"/>
        <w:rPr>
          <w:rFonts w:ascii="Arial" w:cs="Arial" w:eastAsia="Arial" w:hAnsi="Arial"/>
          <w:sz w:val="16"/>
          <w:szCs w:val="16"/>
          <w:color w:val="auto"/>
        </w:rPr>
      </w:pPr>
      <w:r>
        <w:rPr>
          <w:rFonts w:ascii="Arial" w:cs="Arial" w:eastAsia="Arial" w:hAnsi="Arial"/>
          <w:sz w:val="18"/>
          <w:szCs w:val="18"/>
          <w:color w:val="auto"/>
        </w:rPr>
        <w:t>L Affiliated Lender Assignment and Assumption M ABL Intercreditor Agreement</w:t>
      </w:r>
    </w:p>
    <w:p>
      <w:pPr>
        <w:sectPr>
          <w:pgSz w:w="11900" w:h="16838" w:orient="portrait"/>
          <w:cols w:equalWidth="0" w:num="1">
            <w:col w:w="10139"/>
          </w:cols>
          <w:pgMar w:left="320" w:top="10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139"/>
          </w:cols>
          <w:pgMar w:left="320" w:top="1084" w:right="1440" w:bottom="1440" w:gutter="0" w:footer="0" w:header="0"/>
          <w:type w:val="continuous"/>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u w:val="single" w:color="auto"/>
          <w:color w:val="auto"/>
        </w:rPr>
        <w:t>AMENDED AND RESTATED FIRST LIEN CREDIT AGREEMENT</w:t>
      </w:r>
    </w:p>
    <w:p>
      <w:pPr>
        <w:spacing w:after="0" w:line="29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This AMENDED AND RESTATED FIRST LIEN CREDIT AGREEMENT is entered into as of October 27, 2021, among Option Care Health, Inc. (f/k/a BioScrip,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or the “</w:t>
      </w:r>
      <w:r>
        <w:rPr>
          <w:rFonts w:ascii="Arial" w:cs="Arial" w:eastAsia="Arial" w:hAnsi="Arial"/>
          <w:sz w:val="16"/>
          <w:szCs w:val="16"/>
          <w:b w:val="1"/>
          <w:bCs w:val="1"/>
          <w:color w:val="auto"/>
        </w:rPr>
        <w:t>Parent Borrower</w:t>
      </w:r>
      <w:r>
        <w:rPr>
          <w:rFonts w:ascii="Arial" w:cs="Arial" w:eastAsia="Arial" w:hAnsi="Arial"/>
          <w:sz w:val="16"/>
          <w:szCs w:val="16"/>
          <w:color w:val="auto"/>
        </w:rPr>
        <w:t>”), the other Borrowers party hereto from time to</w:t>
      </w:r>
    </w:p>
    <w:p>
      <w:pPr>
        <w:jc w:val="both"/>
        <w:ind w:right="20"/>
        <w:spacing w:after="0" w:line="226" w:lineRule="auto"/>
        <w:rPr>
          <w:sz w:val="20"/>
          <w:szCs w:val="20"/>
          <w:color w:val="auto"/>
        </w:rPr>
      </w:pPr>
      <w:r>
        <w:rPr>
          <w:rFonts w:ascii="Arial" w:cs="Arial" w:eastAsia="Arial" w:hAnsi="Arial"/>
          <w:sz w:val="18"/>
          <w:szCs w:val="18"/>
          <w:color w:val="auto"/>
        </w:rPr>
        <w:t>time, the Guarantors party hereto from time to time, BANK OF AMERICA, N.A., as Administrative Agent, and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PRELIMINARY STATEMENTS</w:t>
      </w:r>
    </w:p>
    <w:p>
      <w:pPr>
        <w:spacing w:after="0" w:line="3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Reference is made to that certain First Lien Credit Agreement, dated as of August 6, 2019 (as amended, restated, amended and restated, supplemented or otherwise modified from time to time immediately prior to the date hereof, the “</w:t>
      </w:r>
      <w:r>
        <w:rPr>
          <w:rFonts w:ascii="Arial" w:cs="Arial" w:eastAsia="Arial" w:hAnsi="Arial"/>
          <w:sz w:val="16"/>
          <w:szCs w:val="16"/>
          <w:b w:val="1"/>
          <w:bCs w:val="1"/>
          <w:color w:val="auto"/>
        </w:rPr>
        <w:t>Original Credit Agreement</w:t>
      </w:r>
      <w:r>
        <w:rPr>
          <w:rFonts w:ascii="Arial" w:cs="Arial" w:eastAsia="Arial" w:hAnsi="Arial"/>
          <w:sz w:val="16"/>
          <w:szCs w:val="16"/>
          <w:color w:val="auto"/>
        </w:rPr>
        <w:t xml:space="preserve">”), by and among,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alios</w:t>
      </w:r>
      <w:r>
        <w:rPr>
          <w:rFonts w:ascii="Arial" w:cs="Arial" w:eastAsia="Arial" w:hAnsi="Arial"/>
          <w:sz w:val="16"/>
          <w:szCs w:val="16"/>
          <w:color w:val="auto"/>
        </w:rPr>
        <w:t>, the Parent Borrower, the other Borrowers party thereto from time to time, the Guarantors party thereto from time to time, the lenders party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thereto from time to time, and Bank of America, N.A., as administrative agent.</w:t>
      </w:r>
    </w:p>
    <w:p>
      <w:pPr>
        <w:spacing w:after="0" w:line="19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Parent Borrower has requested that the Original Credit Agreement be amended and restated as provided herein to, among other things, provide for Term B Loans on the Closing Date in an initial aggregate principal amount of $600,000,000.</w:t>
      </w:r>
    </w:p>
    <w:p>
      <w:pPr>
        <w:spacing w:after="0" w:line="202"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The Lenders party hereto have agreed pursuant to Sections 2.15 of the Original Credit Agreement to refinance in full the loans outstanding under the Original Credit Agreement with new Term B Loans under this Agreement and to amend and restate the Original Credit Agreement in accordance with the terms hereof.</w:t>
      </w:r>
    </w:p>
    <w:p>
      <w:pPr>
        <w:spacing w:after="0" w:line="203" w:lineRule="exact"/>
        <w:rPr>
          <w:sz w:val="20"/>
          <w:szCs w:val="20"/>
          <w:color w:val="auto"/>
        </w:rPr>
      </w:pPr>
    </w:p>
    <w:p>
      <w:pPr>
        <w:jc w:val="both"/>
        <w:ind w:right="20" w:firstLine="648"/>
        <w:spacing w:after="0" w:line="212" w:lineRule="auto"/>
        <w:rPr>
          <w:sz w:val="20"/>
          <w:szCs w:val="20"/>
          <w:color w:val="auto"/>
        </w:rPr>
      </w:pPr>
      <w:r>
        <w:rPr>
          <w:rFonts w:ascii="Arial" w:cs="Arial" w:eastAsia="Arial" w:hAnsi="Arial"/>
          <w:sz w:val="18"/>
          <w:szCs w:val="18"/>
          <w:color w:val="auto"/>
        </w:rPr>
        <w:t>The proceeds of the Term B Loans, together with (i) a portion of the cash on hand at the Parent Borrower and its Subsidiaries and (ii) the proceeds of the Unsecured Notes in an initial aggregate principal amount of</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$500,000,000 under the Unsecured Notes Indenture, will be used on the Closing Date by the Borrowers (a) to consummate the Closing Date Refinancing, (b) to pay the Transaction Expenses and (c) to finance upfront fees and original issue discount with respect to the Facilities.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Lenders have indicated their willingness to lend on the terms and subject to the conditions set forth</w:t>
      </w:r>
    </w:p>
    <w:p>
      <w:pPr>
        <w:spacing w:after="0"/>
        <w:rPr>
          <w:sz w:val="20"/>
          <w:szCs w:val="20"/>
          <w:color w:val="auto"/>
        </w:rPr>
      </w:pPr>
      <w:r>
        <w:rPr>
          <w:rFonts w:ascii="Arial" w:cs="Arial" w:eastAsia="Arial" w:hAnsi="Arial"/>
          <w:sz w:val="18"/>
          <w:szCs w:val="18"/>
          <w:color w:val="auto"/>
        </w:rPr>
        <w:t>herein.</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10000"/>
        </w:rPr>
        <w:t>ARTICLE I.</w:t>
      </w: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9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1.01</w:t>
      </w:r>
      <w:r>
        <w:rPr>
          <w:sz w:val="20"/>
          <w:szCs w:val="20"/>
          <w:color w:val="auto"/>
        </w:rPr>
        <w:tab/>
      </w:r>
      <w:r>
        <w:rPr>
          <w:rFonts w:ascii="Arial" w:cs="Arial" w:eastAsia="Arial" w:hAnsi="Arial"/>
          <w:sz w:val="16"/>
          <w:szCs w:val="16"/>
          <w:color w:val="auto"/>
        </w:rPr>
        <w:t>Defined Terms.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Agent</w:t>
      </w:r>
      <w:r>
        <w:rPr>
          <w:rFonts w:ascii="Arial" w:cs="Arial" w:eastAsia="Arial" w:hAnsi="Arial"/>
          <w:sz w:val="18"/>
          <w:szCs w:val="18"/>
          <w:color w:val="auto"/>
        </w:rPr>
        <w:t>” means Bank of America, N.A., in its capacity as “Administrative Agent” under the ABL Credit Agreement as of the Closing Date and shall include any successor agent under the ABL Financing Documents.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Credit Agreement</w:t>
      </w:r>
      <w:r>
        <w:rPr>
          <w:rFonts w:ascii="Arial" w:cs="Arial" w:eastAsia="Arial" w:hAnsi="Arial"/>
          <w:sz w:val="18"/>
          <w:szCs w:val="18"/>
          <w:color w:val="auto"/>
        </w:rPr>
        <w:t>” means the “ABL Credit Agreement” as defined in the ABL Intercreditor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Cure Amount</w:t>
      </w:r>
      <w:r>
        <w:rPr>
          <w:rFonts w:ascii="Arial" w:cs="Arial" w:eastAsia="Arial" w:hAnsi="Arial"/>
          <w:sz w:val="18"/>
          <w:szCs w:val="18"/>
          <w:color w:val="auto"/>
        </w:rPr>
        <w:t>” means the “Cure Amount” (or comparable term) under and as defined in the ABL Credit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Financial Covenant</w:t>
      </w:r>
      <w:r>
        <w:rPr>
          <w:rFonts w:ascii="Arial" w:cs="Arial" w:eastAsia="Arial" w:hAnsi="Arial"/>
          <w:sz w:val="18"/>
          <w:szCs w:val="18"/>
          <w:color w:val="auto"/>
        </w:rPr>
        <w:t>” means the “Financial Covenant” as defined in the ABL Credit Agreement.</w:t>
      </w:r>
    </w:p>
    <w:p>
      <w:pPr>
        <w:sectPr>
          <w:pgSz w:w="11900" w:h="16838" w:orient="portrait"/>
          <w:cols w:equalWidth="0" w:num="1">
            <w:col w:w="10900"/>
          </w:cols>
          <w:pgMar w:left="480" w:top="1404" w:right="519" w:bottom="1440" w:gutter="0" w:footer="0" w:header="0"/>
        </w:sectPr>
      </w:pPr>
    </w:p>
    <w:bookmarkStart w:id="47" w:name="page48"/>
    <w:bookmarkEnd w:id="4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Financing Documents</w:t>
      </w:r>
      <w:r>
        <w:rPr>
          <w:rFonts w:ascii="Arial" w:cs="Arial" w:eastAsia="Arial" w:hAnsi="Arial"/>
          <w:sz w:val="18"/>
          <w:szCs w:val="18"/>
          <w:color w:val="auto"/>
        </w:rPr>
        <w:t>” means the “ABL Financing Documents” as defined in the ABL Intercreditor Agreement.</w:t>
      </w:r>
    </w:p>
    <w:p>
      <w:pPr>
        <w:spacing w:after="0" w:line="2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ABL Intercreditor Agreement</w:t>
      </w:r>
      <w:r>
        <w:rPr>
          <w:rFonts w:ascii="Arial" w:cs="Arial" w:eastAsia="Arial" w:hAnsi="Arial"/>
          <w:sz w:val="16"/>
          <w:szCs w:val="16"/>
          <w:color w:val="auto"/>
        </w:rPr>
        <w:t xml:space="preserve">” means either (a) the ABL Intercreditor Agreement, dated as of August 6, 2019, among, </w:t>
      </w:r>
      <w:r>
        <w:rPr>
          <w:rFonts w:ascii="Arial" w:cs="Arial" w:eastAsia="Arial" w:hAnsi="Arial"/>
          <w:sz w:val="16"/>
          <w:szCs w:val="16"/>
          <w:i w:val="1"/>
          <w:iCs w:val="1"/>
          <w:color w:val="auto"/>
        </w:rPr>
        <w:t>inter alios</w:t>
      </w:r>
      <w:r>
        <w:rPr>
          <w:rFonts w:ascii="Arial" w:cs="Arial" w:eastAsia="Arial" w:hAnsi="Arial"/>
          <w:sz w:val="16"/>
          <w:szCs w:val="16"/>
          <w:color w:val="auto"/>
        </w:rPr>
        <w:t xml:space="preserve">, the Administrative Agent, the ABL Agent and acknowledged and agreed by the Loan Parties, substantially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hereto or (b) a customary intercreditor agreement in form and substance reasonably acceptable to the Administrative Agent and the Administrative Borrower, which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agreement shall provide that the Liens on the ABL Priority Collateral securing the ABL Obligations shall rank senior to the Liens on the ABL Priority Collateral securing the Obligations under this Agreement, and the Liens on the Term Loan Priority Collateral securing the ABL Obligations shall rank junior to the Liens on the Term Loan Priority Collateral securing the Obligations under this Agreement, in each case with such modifications to add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additional Indebtedness secured by the ABL Priority Collateral and Term Loan Priority Collateral and such other modifications thereto as provided for therein or as the Administrative Agent and the Administrative Borrower may agree.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Obligations</w:t>
      </w:r>
      <w:r>
        <w:rPr>
          <w:rFonts w:ascii="Arial" w:cs="Arial" w:eastAsia="Arial" w:hAnsi="Arial"/>
          <w:sz w:val="18"/>
          <w:szCs w:val="18"/>
          <w:color w:val="auto"/>
        </w:rPr>
        <w:t>” means the “ABL Obligations” as defined in the ABL Intercreditor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Priority Collateral</w:t>
      </w:r>
      <w:r>
        <w:rPr>
          <w:rFonts w:ascii="Arial" w:cs="Arial" w:eastAsia="Arial" w:hAnsi="Arial"/>
          <w:sz w:val="18"/>
          <w:szCs w:val="18"/>
          <w:color w:val="auto"/>
        </w:rPr>
        <w:t>” means the “ABL Priority Collateral” as defined in the ABL Intercreditor Agreement.</w:t>
      </w:r>
    </w:p>
    <w:p>
      <w:pPr>
        <w:spacing w:after="0" w:line="225"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Revolving Credit Commitments</w:t>
      </w:r>
      <w:r>
        <w:rPr>
          <w:rFonts w:ascii="Arial" w:cs="Arial" w:eastAsia="Arial" w:hAnsi="Arial"/>
          <w:sz w:val="18"/>
          <w:szCs w:val="18"/>
          <w:color w:val="auto"/>
        </w:rPr>
        <w:t>” means the “Revolving Credit Commitments” (or comparable term), as defined in the ABL Credit Agreement.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Revolving Loans</w:t>
      </w:r>
      <w:r>
        <w:rPr>
          <w:rFonts w:ascii="Arial" w:cs="Arial" w:eastAsia="Arial" w:hAnsi="Arial"/>
          <w:sz w:val="18"/>
          <w:szCs w:val="18"/>
          <w:color w:val="auto"/>
        </w:rPr>
        <w:t>” means the “Loans” (or comparable term), as defined in the ABL Credit Agreement.</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ABL Secured Parties</w:t>
      </w:r>
      <w:r>
        <w:rPr>
          <w:rFonts w:ascii="Arial" w:cs="Arial" w:eastAsia="Arial" w:hAnsi="Arial"/>
          <w:sz w:val="17"/>
          <w:szCs w:val="17"/>
          <w:color w:val="auto"/>
        </w:rPr>
        <w:t>” means the “ABL Claimholders” as defined in the ABL Intercreditor Agreement. “</w:t>
      </w:r>
      <w:r>
        <w:rPr>
          <w:rFonts w:ascii="Arial" w:cs="Arial" w:eastAsia="Arial" w:hAnsi="Arial"/>
          <w:sz w:val="17"/>
          <w:szCs w:val="17"/>
          <w:b w:val="1"/>
          <w:bCs w:val="1"/>
          <w:color w:val="auto"/>
        </w:rPr>
        <w:t>Acceptable Discount</w:t>
      </w:r>
      <w:r>
        <w:rPr>
          <w:rFonts w:ascii="Arial" w:cs="Arial" w:eastAsia="Arial" w:hAnsi="Arial"/>
          <w:sz w:val="17"/>
          <w:szCs w:val="17"/>
          <w:color w:val="auto"/>
        </w:rPr>
        <w:t>” has the</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2.05(a)(v)(D)(2).</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Prepayment Amount</w:t>
      </w:r>
      <w:r>
        <w:rPr>
          <w:rFonts w:ascii="Arial" w:cs="Arial" w:eastAsia="Arial" w:hAnsi="Arial"/>
          <w:sz w:val="18"/>
          <w:szCs w:val="18"/>
          <w:color w:val="auto"/>
        </w:rPr>
        <w:t>” has the meaning specified in Section 2.05(a)(v)(D)(3).</w:t>
      </w:r>
    </w:p>
    <w:p>
      <w:pPr>
        <w:spacing w:after="0" w:line="23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and Prepayment Notice</w:t>
      </w:r>
      <w:r>
        <w:rPr>
          <w:rFonts w:ascii="Arial" w:cs="Arial" w:eastAsia="Arial" w:hAnsi="Arial"/>
          <w:sz w:val="18"/>
          <w:szCs w:val="18"/>
          <w:color w:val="auto"/>
        </w:rPr>
        <w:t xml:space="preserve">” means a notice of the Administrative Borrower’s acceptance of the Acceptable Discount in substantially the form of </w:t>
      </w:r>
      <w:r>
        <w:rPr>
          <w:rFonts w:ascii="Arial" w:cs="Arial" w:eastAsia="Arial" w:hAnsi="Arial"/>
          <w:sz w:val="18"/>
          <w:szCs w:val="18"/>
          <w:u w:val="single" w:color="auto"/>
          <w:color w:val="auto"/>
        </w:rPr>
        <w:t>Exhibit E-3</w:t>
      </w:r>
      <w:r>
        <w:rPr>
          <w:rFonts w:ascii="Arial" w:cs="Arial" w:eastAsia="Arial" w:hAnsi="Arial"/>
          <w:sz w:val="18"/>
          <w:szCs w:val="18"/>
          <w:color w:val="auto"/>
        </w:rPr>
        <w:t>.</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Date</w:t>
      </w:r>
      <w:r>
        <w:rPr>
          <w:rFonts w:ascii="Arial" w:cs="Arial" w:eastAsia="Arial" w:hAnsi="Arial"/>
          <w:sz w:val="18"/>
          <w:szCs w:val="18"/>
          <w:color w:val="auto"/>
        </w:rPr>
        <w:t>” has the meaning specified in Section 2.05(a)(v)(D)(2). “</w:t>
      </w:r>
      <w:r>
        <w:rPr>
          <w:rFonts w:ascii="Arial" w:cs="Arial" w:eastAsia="Arial" w:hAnsi="Arial"/>
          <w:sz w:val="18"/>
          <w:szCs w:val="18"/>
          <w:b w:val="1"/>
          <w:bCs w:val="1"/>
          <w:color w:val="auto"/>
        </w:rPr>
        <w:t>Acquired Indebtedness</w:t>
      </w:r>
      <w:r>
        <w:rPr>
          <w:rFonts w:ascii="Arial" w:cs="Arial" w:eastAsia="Arial" w:hAnsi="Arial"/>
          <w:sz w:val="18"/>
          <w:szCs w:val="18"/>
          <w:color w:val="auto"/>
        </w:rPr>
        <w:t>” means, with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respect to any specified Person,</w:t>
      </w:r>
    </w:p>
    <w:p>
      <w:pPr>
        <w:spacing w:after="0" w:line="90" w:lineRule="exact"/>
        <w:rPr>
          <w:sz w:val="20"/>
          <w:szCs w:val="20"/>
          <w:color w:val="auto"/>
        </w:rPr>
      </w:pPr>
    </w:p>
    <w:p>
      <w:pPr>
        <w:jc w:val="both"/>
        <w:ind w:left="640" w:right="40" w:firstLine="647"/>
        <w:spacing w:after="0" w:line="267" w:lineRule="auto"/>
        <w:tabs>
          <w:tab w:leader="none" w:pos="17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amalgamating or consolidating with or into, or becoming a Restricted Subsidiary of, such specified Person, and</w:t>
      </w:r>
    </w:p>
    <w:p>
      <w:pPr>
        <w:spacing w:after="0" w:line="182" w:lineRule="exact"/>
        <w:rPr>
          <w:rFonts w:ascii="Arial" w:cs="Arial" w:eastAsia="Arial" w:hAnsi="Arial"/>
          <w:sz w:val="16"/>
          <w:szCs w:val="16"/>
          <w:color w:val="auto"/>
        </w:rPr>
      </w:pPr>
    </w:p>
    <w:p>
      <w:pPr>
        <w:ind w:left="640" w:right="40" w:firstLine="647"/>
        <w:spacing w:after="0" w:line="235" w:lineRule="auto"/>
        <w:tabs>
          <w:tab w:leader="none" w:pos="17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 which Indebtedness exists at the time such asset is acquired.</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Lender</w:t>
      </w:r>
      <w:r>
        <w:rPr>
          <w:rFonts w:ascii="Arial" w:cs="Arial" w:eastAsia="Arial" w:hAnsi="Arial"/>
          <w:sz w:val="16"/>
          <w:szCs w:val="16"/>
          <w:color w:val="auto"/>
        </w:rPr>
        <w:t>” means any Person (other than a natural Person (or a holding company, investment vehicle or trust for, or owned and</w:t>
      </w:r>
    </w:p>
    <w:p>
      <w:pPr>
        <w:spacing w:after="0" w:line="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operated for the primary benefit of a natural Person)) that is not an existing Lender (including any Affiliated Lender) and has agreed to provide Incremental Commitments pursuant to Section 2.14 or Refinancing Commitments pursuant to Section 2.15.</w:t>
      </w:r>
    </w:p>
    <w:p>
      <w:pPr>
        <w:sectPr>
          <w:pgSz w:w="11900" w:h="16838" w:orient="portrait"/>
          <w:cols w:equalWidth="0" w:num="1">
            <w:col w:w="10920"/>
          </w:cols>
          <w:pgMar w:left="480" w:top="1404" w:right="499" w:bottom="1440" w:gutter="0" w:footer="0" w:header="0"/>
        </w:sectPr>
      </w:pPr>
    </w:p>
    <w:bookmarkStart w:id="48" w:name="page49"/>
    <w:bookmarkEnd w:id="48"/>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Bank of America, N.A., in its capacity as administrative agent and collateral agent under any of the Loan Documents, or any successor administrative agent and collateral agent.</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Agent’s Office</w:t>
      </w:r>
      <w:r>
        <w:rPr>
          <w:rFonts w:ascii="Arial" w:cs="Arial" w:eastAsia="Arial" w:hAnsi="Arial"/>
          <w:sz w:val="17"/>
          <w:szCs w:val="17"/>
          <w:color w:val="auto"/>
        </w:rPr>
        <w:t xml:space="preserve">” means the Administrative Agent’s address and, as appropriate, account as set forth on </w:t>
      </w:r>
      <w:r>
        <w:rPr>
          <w:rFonts w:ascii="Arial" w:cs="Arial" w:eastAsia="Arial" w:hAnsi="Arial"/>
          <w:sz w:val="17"/>
          <w:szCs w:val="17"/>
          <w:u w:val="single" w:color="auto"/>
          <w:color w:val="auto"/>
        </w:rPr>
        <w:t>Schedule 10.02</w:t>
      </w:r>
      <w:r>
        <w:rPr>
          <w:rFonts w:ascii="Arial" w:cs="Arial" w:eastAsia="Arial" w:hAnsi="Arial"/>
          <w:sz w:val="17"/>
          <w:szCs w:val="17"/>
          <w:color w:val="auto"/>
        </w:rPr>
        <w:t>, or such other address or account as the Administrative Agent may from time to time notify the Administrative Borrower and the Lenders.</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Borrower</w:t>
      </w:r>
      <w:r>
        <w:rPr>
          <w:rFonts w:ascii="Arial" w:cs="Arial" w:eastAsia="Arial" w:hAnsi="Arial"/>
          <w:sz w:val="18"/>
          <w:szCs w:val="18"/>
          <w:color w:val="auto"/>
        </w:rPr>
        <w:t>” means (i) initially, the Parent Borrower, and (ii) upon notice to the Administrative Agent from the Borrowers, any other Borrower as selected by the Borrowers from time to time to act as the Administrative Borrower.</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w:t>
      </w:r>
    </w:p>
    <w:p>
      <w:pPr>
        <w:spacing w:after="0" w:line="216" w:lineRule="auto"/>
        <w:rPr>
          <w:sz w:val="20"/>
          <w:szCs w:val="20"/>
          <w:color w:val="auto"/>
        </w:rPr>
      </w:pPr>
      <w:r>
        <w:rPr>
          <w:rFonts w:ascii="Arial" w:cs="Arial" w:eastAsia="Arial" w:hAnsi="Arial"/>
          <w:sz w:val="17"/>
          <w:szCs w:val="17"/>
          <w:color w:val="auto"/>
        </w:rPr>
        <w:t>cause the direction of the management or policies of a Person, whether through the ability to exercise voting power, by contract or otherwise.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thereto.</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has the meaning specified in Section 10.02(b).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Agent-Related Distress Event</w:t>
      </w:r>
      <w:r>
        <w:rPr>
          <w:rFonts w:ascii="Arial" w:cs="Arial" w:eastAsia="Arial" w:hAnsi="Arial"/>
          <w:sz w:val="17"/>
          <w:szCs w:val="17"/>
          <w:color w:val="auto"/>
        </w:rPr>
        <w:t>” means, with respect to the Administrative Agent or any Person that directly or indirectly Controls the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Administrative Agent (each, a “</w:t>
      </w:r>
      <w:r>
        <w:rPr>
          <w:rFonts w:ascii="Arial" w:cs="Arial" w:eastAsia="Arial" w:hAnsi="Arial"/>
          <w:sz w:val="16"/>
          <w:szCs w:val="16"/>
          <w:b w:val="1"/>
          <w:bCs w:val="1"/>
          <w:color w:val="auto"/>
        </w:rPr>
        <w:t>Distressed Agent-Related Person</w:t>
      </w:r>
      <w:r>
        <w:rPr>
          <w:rFonts w:ascii="Arial" w:cs="Arial" w:eastAsia="Arial" w:hAnsi="Arial"/>
          <w:sz w:val="16"/>
          <w:szCs w:val="16"/>
          <w:color w:val="auto"/>
        </w:rPr>
        <w:t>”), a voluntary or involuntary case with respect to such Distressed Agent-Related Person under any Debtor Relief Law, or a custodian, conservator, receiver or similar official is appointed for such Distressed Agent-Related Person or any substantial part of such Distressed Agent-Related Person’s assets, such Distressed Agent-Related Person makes a general assignment for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benefit of creditors or is otherwise adjudicated as, or determined by any Governmental Authority having regulatory authority over such Distressed Agent-Related Person or its assets to be, insolvent or bankrupt or such Distressed Agent-Related Person becomes the subject of a Bail-In Action;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 Agent-Related Distress Event shall not be deemed to have occurred solely by virtue of the ownership or acquisition of any Equity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Interests in the Administrative Agent or any Person that directly or indirectly Controls the Administrative Agent by a Governmental Authority or an instrumentality thereof so long as such ownership interest does not result in or provide the Administrative Agent with immunity from the jurisdiction of courts within the United States or from the enforcement of judgments or writs of attachment on its assets or permit the Administrative Agent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Governmental Authority or instrumentality) to reject, repudiate, disavow or disaffirm any contracts or agreements made with the Administrative Agent.</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Agent-Related Persons</w:t>
      </w:r>
      <w:r>
        <w:rPr>
          <w:rFonts w:ascii="Arial" w:cs="Arial" w:eastAsia="Arial" w:hAnsi="Arial"/>
          <w:sz w:val="18"/>
          <w:szCs w:val="18"/>
          <w:color w:val="auto"/>
        </w:rPr>
        <w:t>” means the Agents and their respective Affiliates and any officers, directors, employees, partners, agents, advisors and other representatives of each of the foregoing.</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Agents</w:t>
      </w:r>
      <w:r>
        <w:rPr>
          <w:rFonts w:ascii="Arial" w:cs="Arial" w:eastAsia="Arial" w:hAnsi="Arial"/>
          <w:sz w:val="16"/>
          <w:szCs w:val="16"/>
          <w:color w:val="auto"/>
        </w:rPr>
        <w:t>” means, collectively, the Administrative Agent, the Syndication Agent, the Documentation Agent, the Arranger and the Bookrunner.</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Amended and Restated Credit Agreement, as the same may be amended, restated, supplemented or otherwise modified from time to time.</w:t>
      </w:r>
    </w:p>
    <w:p>
      <w:pPr>
        <w:sectPr>
          <w:pgSz w:w="11900" w:h="16838" w:orient="portrait"/>
          <w:cols w:equalWidth="0" w:num="1">
            <w:col w:w="10880"/>
          </w:cols>
          <w:pgMar w:left="480" w:top="1440" w:right="539" w:bottom="1440" w:gutter="0" w:footer="0" w:header="0"/>
        </w:sectPr>
      </w:pPr>
    </w:p>
    <w:bookmarkStart w:id="49" w:name="page50"/>
    <w:bookmarkEnd w:id="49"/>
    <w:p>
      <w:pPr>
        <w:spacing w:after="0" w:line="207" w:lineRule="exact"/>
        <w:rPr>
          <w:sz w:val="20"/>
          <w:szCs w:val="20"/>
          <w:color w:val="auto"/>
        </w:rPr>
      </w:pPr>
    </w:p>
    <w:p>
      <w:pPr>
        <w:ind w:left="9" w:right="4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AHYDO Payment</w:t>
      </w:r>
      <w:r>
        <w:rPr>
          <w:rFonts w:ascii="Arial" w:cs="Arial" w:eastAsia="Arial" w:hAnsi="Arial"/>
          <w:sz w:val="16"/>
          <w:szCs w:val="16"/>
          <w:color w:val="auto"/>
        </w:rPr>
        <w:t>” means any mandatory prepayment or redemption pursuant to the terms of any Indebtedness that is intended or designed to cause such Indebtedness not to be treated as an “applicable high yield discount obligation” within the meaning of Section 163(i) of the Code.</w:t>
      </w:r>
    </w:p>
    <w:p>
      <w:pPr>
        <w:spacing w:after="0" w:line="143"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All-In Yield</w:t>
      </w:r>
      <w:r>
        <w:rPr>
          <w:rFonts w:ascii="Arial" w:cs="Arial" w:eastAsia="Arial" w:hAnsi="Arial"/>
          <w:sz w:val="18"/>
          <w:szCs w:val="18"/>
          <w:color w:val="auto"/>
        </w:rPr>
        <w:t>” means, as to any Indebtedness, the yield thereof, whether in the form of interest rate, margin, OID, upfront fees, a</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FF0000"/>
        </w:rPr>
        <w:t xml:space="preserve"> </w:t>
      </w:r>
      <w:r>
        <w:rPr>
          <w:rFonts w:ascii="Arial" w:cs="Arial" w:eastAsia="Arial" w:hAnsi="Arial"/>
          <w:sz w:val="16"/>
          <w:szCs w:val="16"/>
          <w:color w:val="000000"/>
        </w:rPr>
        <w:t>floor or Base Rate floor (with such increased amount being determined in the manner described in the proviso of this</w:t>
      </w:r>
      <w:r>
        <w:rPr>
          <w:rFonts w:ascii="Arial" w:cs="Arial" w:eastAsia="Arial" w:hAnsi="Arial"/>
          <w:sz w:val="16"/>
          <w:szCs w:val="16"/>
          <w:color w:val="FF0000"/>
        </w:rPr>
        <w:t xml:space="preserve"> </w:t>
      </w:r>
      <w:r>
        <w:rPr>
          <w:rFonts w:ascii="Arial" w:cs="Arial" w:eastAsia="Arial" w:hAnsi="Arial"/>
          <w:sz w:val="16"/>
          <w:szCs w:val="16"/>
          <w:color w:val="000000"/>
        </w:rPr>
        <w:t xml:space="preserve">definition), or otherwise, in each case, incurred or payable by the Borrowers ratably to all lenders of such Indebtedness;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OID and upfront fees shall be equated to interest rate assuming a 4-year life to maturity on a straight line basis (or, if less, the stated life to maturity at the time of</w:t>
      </w:r>
    </w:p>
    <w:p>
      <w:pPr>
        <w:spacing w:after="0" w:line="2" w:lineRule="exact"/>
        <w:rPr>
          <w:sz w:val="20"/>
          <w:szCs w:val="20"/>
          <w:color w:val="auto"/>
        </w:rPr>
      </w:pPr>
    </w:p>
    <w:p>
      <w:pPr>
        <w:jc w:val="both"/>
        <w:ind w:left="9"/>
        <w:spacing w:after="0" w:line="221" w:lineRule="auto"/>
        <w:rPr>
          <w:sz w:val="20"/>
          <w:szCs w:val="20"/>
          <w:color w:val="auto"/>
        </w:rPr>
      </w:pPr>
      <w:r>
        <w:rPr>
          <w:rFonts w:ascii="Arial" w:cs="Arial" w:eastAsia="Arial" w:hAnsi="Arial"/>
          <w:sz w:val="17"/>
          <w:szCs w:val="17"/>
          <w:color w:val="auto"/>
        </w:rPr>
        <w:t xml:space="preserve">incurrence of the applicable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(x) the “All-In Yield” shall not include arrangement fees, structuring fees, commitment fees, underwriting fees, success fees, unused line fees, advisory fees, ticking fees, consent or amendment fees and any similar fees (regardless of how such fees are computed and whether shared or paid, in whole or in part, with or to any or all lenders) and any other fees not</w:t>
      </w:r>
    </w:p>
    <w:p>
      <w:pPr>
        <w:jc w:val="both"/>
        <w:ind w:left="9"/>
        <w:spacing w:after="0" w:line="234" w:lineRule="auto"/>
        <w:rPr>
          <w:sz w:val="20"/>
          <w:szCs w:val="20"/>
          <w:color w:val="auto"/>
        </w:rPr>
      </w:pPr>
      <w:r>
        <w:rPr>
          <w:rFonts w:ascii="Arial" w:cs="Arial" w:eastAsia="Arial" w:hAnsi="Arial"/>
          <w:sz w:val="16"/>
          <w:szCs w:val="16"/>
          <w:color w:val="auto"/>
        </w:rPr>
        <w:t xml:space="preserve">generally paid ratably to all lenders of such Indebtedness in the initial syndication thereof, (y) with respect to any Loans of an applicable Class or any other applicable Indebtedness that includes a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floor or Base Rate floor, (1) to the extent that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SOFR</w:t>
      </w:r>
      <w:r>
        <w:rPr>
          <w:rFonts w:ascii="Arial" w:cs="Arial" w:eastAsia="Arial" w:hAnsi="Arial"/>
          <w:sz w:val="16"/>
          <w:szCs w:val="16"/>
          <w:color w:val="0000FF"/>
        </w:rPr>
        <w:t xml:space="preserve"> </w:t>
      </w:r>
      <w:r>
        <w:rPr>
          <w:rFonts w:ascii="Arial" w:cs="Arial" w:eastAsia="Arial" w:hAnsi="Arial"/>
          <w:sz w:val="16"/>
          <w:szCs w:val="16"/>
          <w:color w:val="000000"/>
        </w:rPr>
        <w:t>or Base Rate on the date that the All-In Yield is being calculated is less than such floor, the amount of such difference shall be deemed added to</w:t>
      </w:r>
    </w:p>
    <w:p>
      <w:pPr>
        <w:spacing w:after="0" w:line="2" w:lineRule="exact"/>
        <w:rPr>
          <w:sz w:val="20"/>
          <w:szCs w:val="20"/>
          <w:color w:val="auto"/>
        </w:rPr>
      </w:pPr>
    </w:p>
    <w:p>
      <w:pPr>
        <w:jc w:val="both"/>
        <w:ind w:left="9"/>
        <w:spacing w:after="0" w:line="214" w:lineRule="auto"/>
        <w:rPr>
          <w:sz w:val="20"/>
          <w:szCs w:val="20"/>
          <w:color w:val="auto"/>
        </w:rPr>
      </w:pPr>
      <w:r>
        <w:rPr>
          <w:rFonts w:ascii="Arial" w:cs="Arial" w:eastAsia="Arial" w:hAnsi="Arial"/>
          <w:sz w:val="18"/>
          <w:szCs w:val="18"/>
          <w:color w:val="auto"/>
        </w:rPr>
        <w:t xml:space="preserve">the All-In Yield for such Loans of such Class or such other applicable Indebtedness for the purpose of calculating the All-In Yield and (2) to the extent that the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on the date that the All-In Yield is being calculated is greater than such floor, then the floor shall be disregarded in calculating the All-In Yield and (z) the “All-In Yield” shall not reflect account fluctuations in the underlying reference rate or fluctuations in currency valuations.</w:t>
      </w:r>
    </w:p>
    <w:p>
      <w:pPr>
        <w:spacing w:after="0" w:line="200" w:lineRule="exact"/>
        <w:rPr>
          <w:sz w:val="20"/>
          <w:szCs w:val="20"/>
          <w:color w:val="auto"/>
        </w:rPr>
      </w:pPr>
    </w:p>
    <w:p>
      <w:pPr>
        <w:ind w:left="6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Annual Financial Statements</w:t>
      </w:r>
      <w:r>
        <w:rPr>
          <w:rFonts w:ascii="Arial" w:cs="Arial" w:eastAsia="Arial" w:hAnsi="Arial"/>
          <w:sz w:val="16"/>
          <w:szCs w:val="16"/>
          <w:color w:val="auto"/>
        </w:rPr>
        <w:t>” means the audited consolidated statements of operations, shareholders’ equity and cash flows of the Parent</w:t>
      </w:r>
    </w:p>
    <w:p>
      <w:pPr>
        <w:spacing w:after="0" w:line="25" w:lineRule="exact"/>
        <w:rPr>
          <w:sz w:val="20"/>
          <w:szCs w:val="20"/>
          <w:color w:val="auto"/>
        </w:rPr>
      </w:pPr>
    </w:p>
    <w:p>
      <w:pPr>
        <w:ind w:left="9" w:right="40"/>
        <w:spacing w:after="0" w:line="226" w:lineRule="auto"/>
        <w:rPr>
          <w:sz w:val="20"/>
          <w:szCs w:val="20"/>
          <w:color w:val="auto"/>
        </w:rPr>
      </w:pPr>
      <w:r>
        <w:rPr>
          <w:rFonts w:ascii="Arial" w:cs="Arial" w:eastAsia="Arial" w:hAnsi="Arial"/>
          <w:sz w:val="18"/>
          <w:szCs w:val="18"/>
          <w:color w:val="auto"/>
        </w:rPr>
        <w:t>Borrower for the fiscal years ended December 31, 2019, and December 31, 2020, and the related audited consolidated balance sheets as of the end of such fiscal years.</w:t>
      </w:r>
    </w:p>
    <w:p>
      <w:pPr>
        <w:spacing w:after="0" w:line="184"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Discount</w:t>
      </w:r>
      <w:r>
        <w:rPr>
          <w:rFonts w:ascii="Arial" w:cs="Arial" w:eastAsia="Arial" w:hAnsi="Arial"/>
          <w:sz w:val="18"/>
          <w:szCs w:val="18"/>
          <w:color w:val="auto"/>
        </w:rPr>
        <w:t>” has the meaning specified in Section 2.05(a)(v)(C)(2).</w:t>
      </w:r>
    </w:p>
    <w:p>
      <w:pPr>
        <w:spacing w:after="0" w:line="225" w:lineRule="exact"/>
        <w:rPr>
          <w:sz w:val="20"/>
          <w:szCs w:val="20"/>
          <w:color w:val="auto"/>
        </w:rPr>
      </w:pPr>
    </w:p>
    <w:p>
      <w:pPr>
        <w:ind w:left="9" w:right="40"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ECF Percentage</w:t>
      </w:r>
      <w:r>
        <w:rPr>
          <w:rFonts w:ascii="Arial" w:cs="Arial" w:eastAsia="Arial" w:hAnsi="Arial"/>
          <w:sz w:val="18"/>
          <w:szCs w:val="18"/>
          <w:color w:val="auto"/>
        </w:rPr>
        <w:t>” means, for any fiscal year, (a) 50% if the First Lien Net Leverage Ratio is greater than 3.70 to 1.00 as of the last day of the Test Period most recently ended prior to the ECF Payment Date,</w:t>
      </w:r>
    </w:p>
    <w:p>
      <w:pPr>
        <w:spacing w:after="0" w:line="2" w:lineRule="exact"/>
        <w:rPr>
          <w:sz w:val="20"/>
          <w:szCs w:val="20"/>
          <w:color w:val="auto"/>
        </w:rPr>
      </w:pPr>
    </w:p>
    <w:p>
      <w:pPr>
        <w:jc w:val="both"/>
        <w:ind w:left="9" w:right="40" w:hanging="9"/>
        <w:spacing w:after="0" w:line="215"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 if the First Lien Net Leverage Ratio is less than or equal to 3.70 to 1.00 and greater than 3.20 to 1.00 as of the last day of the Test Period most recently ended prior to the ECF Payment Date and (c) 0% if the First Lien Net Leverage Ratio is less than or equal to 3.20 to 1.00 as of the last day of the Test Period most recently ended prior to the ECF Payment Date. The First Lien Net Leverage Ratios shall be calculated on a Pro Forma Basis, including to give pro forma effect to any paydown or reduction of Loans (including paydowns made after year-end and prior to the ECF Payment Date).</w:t>
      </w:r>
    </w:p>
    <w:p>
      <w:pPr>
        <w:spacing w:after="0" w:line="200" w:lineRule="exact"/>
        <w:rPr>
          <w:sz w:val="20"/>
          <w:szCs w:val="20"/>
          <w:color w:val="auto"/>
        </w:rPr>
      </w:pPr>
    </w:p>
    <w:p>
      <w:pPr>
        <w:jc w:val="both"/>
        <w:ind w:left="9" w:right="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Lien</w:t>
      </w:r>
      <w:r>
        <w:rPr>
          <w:rFonts w:ascii="Arial" w:cs="Arial" w:eastAsia="Arial" w:hAnsi="Arial"/>
          <w:sz w:val="18"/>
          <w:szCs w:val="18"/>
          <w:color w:val="auto"/>
        </w:rPr>
        <w:t xml:space="preserve">” means (x) any Lien on the Collateral created pursuant to any Loan Document, (y) any Lien on the Term Loan Priority Collateral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Lien created pursuant to any Loan Document on the Term Loan Priority Collateral (without regard to control of remedies) and (z) any Lien on the Collateral created pursuant to any ABL Financing Document.</w:t>
      </w:r>
    </w:p>
    <w:p>
      <w:pPr>
        <w:spacing w:after="0" w:line="198" w:lineRule="exact"/>
        <w:rPr>
          <w:sz w:val="20"/>
          <w:szCs w:val="20"/>
          <w:color w:val="auto"/>
        </w:rPr>
      </w:pPr>
    </w:p>
    <w:p>
      <w:pPr>
        <w:jc w:val="both"/>
        <w:ind w:left="9" w:right="40" w:firstLine="7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xml:space="preserve">” means a percentage per annum equal to with respect to Term B Loans, (i) for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2.75% and (ii) for Base Rate Loans, 1.75%.</w:t>
      </w:r>
    </w:p>
    <w:p>
      <w:pPr>
        <w:spacing w:after="0" w:line="270" w:lineRule="exact"/>
        <w:rPr>
          <w:sz w:val="20"/>
          <w:szCs w:val="20"/>
          <w:color w:val="auto"/>
        </w:rPr>
      </w:pPr>
    </w:p>
    <w:p>
      <w:pPr>
        <w:ind w:left="649"/>
        <w:spacing w:after="0"/>
        <w:rPr>
          <w:sz w:val="20"/>
          <w:szCs w:val="20"/>
          <w:color w:val="auto"/>
        </w:rPr>
      </w:pPr>
      <w:r>
        <w:rPr>
          <w:rFonts w:ascii="Arial" w:cs="Arial" w:eastAsia="Arial" w:hAnsi="Arial"/>
          <w:sz w:val="16"/>
          <w:szCs w:val="16"/>
          <w:color w:val="auto"/>
        </w:rPr>
        <w:t>Any increase or decrease in the Applicable Rate resulting from a change in the First Lien Net Leverage Ratio shall become effective as of the</w:t>
      </w:r>
    </w:p>
    <w:p>
      <w:pPr>
        <w:spacing w:after="0" w:line="21" w:lineRule="exact"/>
        <w:rPr>
          <w:sz w:val="20"/>
          <w:szCs w:val="20"/>
          <w:color w:val="auto"/>
        </w:rPr>
      </w:pPr>
    </w:p>
    <w:p>
      <w:pPr>
        <w:jc w:val="both"/>
        <w:ind w:left="9" w:right="40"/>
        <w:spacing w:after="0" w:line="234" w:lineRule="auto"/>
        <w:rPr>
          <w:sz w:val="20"/>
          <w:szCs w:val="20"/>
          <w:color w:val="auto"/>
        </w:rPr>
      </w:pPr>
      <w:r>
        <w:rPr>
          <w:rFonts w:ascii="Arial" w:cs="Arial" w:eastAsia="Arial" w:hAnsi="Arial"/>
          <w:sz w:val="16"/>
          <w:szCs w:val="16"/>
          <w:color w:val="auto"/>
        </w:rPr>
        <w:t xml:space="preserve">first Business Day immediately following the date a Compliance Certificate is delivered pursuant to Section 6.02(a) and any increase or decrease in the Applicable Rate resulting from a change in the applicable ratings of Moody’s and S&amp;P shall become effective as of the date on which it is first announced by the applicable rating agency and notice thereof is provided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notice to the Administrative</w:t>
      </w:r>
    </w:p>
    <w:p>
      <w:pPr>
        <w:spacing w:after="0" w:line="2" w:lineRule="exact"/>
        <w:rPr>
          <w:sz w:val="20"/>
          <w:szCs w:val="20"/>
          <w:color w:val="auto"/>
        </w:rPr>
      </w:pPr>
    </w:p>
    <w:p>
      <w:pPr>
        <w:jc w:val="both"/>
        <w:ind w:left="9" w:right="40"/>
        <w:spacing w:after="0" w:line="218" w:lineRule="auto"/>
        <w:rPr>
          <w:sz w:val="20"/>
          <w:szCs w:val="20"/>
          <w:color w:val="auto"/>
        </w:rPr>
      </w:pPr>
      <w:r>
        <w:rPr>
          <w:rFonts w:ascii="Arial" w:cs="Arial" w:eastAsia="Arial" w:hAnsi="Arial"/>
          <w:sz w:val="18"/>
          <w:szCs w:val="18"/>
          <w:color w:val="auto"/>
        </w:rPr>
        <w:t>Borrower from the Administrative Agent (at the direction of the Required Lenders) (or, in the case of clause (y) below, immediately upon the occurrence of an entry of an order for relief with respect to the Parent Borrower under any Debtor Relief Laws), the Original Pricing Level shall apply (x) as of the first Business</w:t>
      </w:r>
    </w:p>
    <w:p>
      <w:pPr>
        <w:sectPr>
          <w:pgSz w:w="11900" w:h="16838" w:orient="portrait"/>
          <w:cols w:equalWidth="0" w:num="1">
            <w:col w:w="10929"/>
          </w:cols>
          <w:pgMar w:left="471" w:top="1440" w:right="499" w:bottom="1440" w:gutter="0" w:footer="0" w:header="0"/>
        </w:sectPr>
      </w:pPr>
    </w:p>
    <w:bookmarkStart w:id="50" w:name="page51"/>
    <w:bookmarkEnd w:id="50"/>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 and (y) as of the first Business Day after an Event of Default under Section 8.01(a) shall have occurred and be continuing, and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shall continue to so apply to but excluding the date on which such Event of Default is cured or waived (and thereafter the pricing level otherwise determined in accordance with this definition shall apply).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the foregoing, (v) the Applicable Rate in respect of any Class of Extended Revolving Credit Commitments or any Extended</w:t>
      </w:r>
    </w:p>
    <w:p>
      <w:pPr>
        <w:spacing w:after="0" w:line="2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Term Loans or Revolving Credit Loans made pursuant to any Extended Revolving Credit Commitments shall be the applicable percentages per annum set forth in the relevant Extension Amendment, (w) the Applicable Rate in respect of any Class of Incremental Revolving Credit Commitments, any Class of Incremental Term Loans or any Class of Incremental Revolving Loans shall be the applicable percentages per annum set forth in the relevant</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Incremental Amendment, (x) the Applicable Rate in respect of any Class of Replacement Term Loans or any Term Loans subject to a Permitted Repricing Amendment shall be the applicable percentages per annum set forth in the relevant Permitted Repricing Amendment, (y) the Applicable Rate in respect of any Class of Refinancing Revolving Credit Commitments, any Class of Refinancing Revolving Loans or any Class of Refinancing Term</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Loans shall be the applicable percentages per annum set forth in the relevant Refinancing Amendment or other relevant agreement and (z) in the case of the Term B Loans, the Applicable Rate shall be increased as, and to the extent, necessary to comply with the provisions hereof subject to any applicable MFN Adjustment.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Appropriate Lender</w:t>
      </w:r>
      <w:r>
        <w:rPr>
          <w:rFonts w:ascii="Arial" w:cs="Arial" w:eastAsia="Arial" w:hAnsi="Arial"/>
          <w:sz w:val="18"/>
          <w:szCs w:val="18"/>
          <w:color w:val="auto"/>
        </w:rPr>
        <w:t>” means, at any time, with respect to Loans of any Class, the Lenders of such Class of Loans.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Bank</w:t>
      </w:r>
      <w:r>
        <w:rPr>
          <w:rFonts w:ascii="Arial" w:cs="Arial" w:eastAsia="Arial" w:hAnsi="Arial"/>
          <w:sz w:val="16"/>
          <w:szCs w:val="16"/>
          <w:color w:val="auto"/>
        </w:rPr>
        <w:t>” has the meaning specified in clause (c) of the definition of “Cash Equivalents.” “</w:t>
      </w:r>
      <w:r>
        <w:rPr>
          <w:rFonts w:ascii="Arial" w:cs="Arial" w:eastAsia="Arial" w:hAnsi="Arial"/>
          <w:sz w:val="16"/>
          <w:szCs w:val="16"/>
          <w:b w:val="1"/>
          <w:bCs w:val="1"/>
          <w:color w:val="auto"/>
        </w:rPr>
        <w:t>Approved Fund</w:t>
      </w:r>
      <w:r>
        <w:rPr>
          <w:rFonts w:ascii="Arial" w:cs="Arial" w:eastAsia="Arial" w:hAnsi="Arial"/>
          <w:sz w:val="16"/>
          <w:szCs w:val="16"/>
          <w:color w:val="auto"/>
        </w:rPr>
        <w:t>” means any Fund that is</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administered, advised or managed by (a) a Lender, (b) 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Affiliate of a Lender or (c) an entity or an Affiliate of an entity that administers, advises or manages a Lender.</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“Arranger</w:t>
      </w:r>
      <w:r>
        <w:rPr>
          <w:rFonts w:ascii="Arial" w:cs="Arial" w:eastAsia="Arial" w:hAnsi="Arial"/>
          <w:sz w:val="18"/>
          <w:szCs w:val="18"/>
          <w:color w:val="auto"/>
        </w:rPr>
        <w:t>” means BofA Securities, Inc. in its capacity as the lead arranger under this Agreement.</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Sale Prepayment Percentage</w:t>
      </w:r>
      <w:r>
        <w:rPr>
          <w:rFonts w:ascii="Arial" w:cs="Arial" w:eastAsia="Arial" w:hAnsi="Arial"/>
          <w:sz w:val="16"/>
          <w:szCs w:val="16"/>
          <w:color w:val="auto"/>
        </w:rPr>
        <w:t xml:space="preserve">” means, in the case of Net Proceeds from any Disposition or Casualty Event subject to the mandatory prepayment provisions set forth in </w:t>
      </w:r>
      <w:r>
        <w:rPr>
          <w:rFonts w:ascii="Arial" w:cs="Arial" w:eastAsia="Arial" w:hAnsi="Arial"/>
          <w:sz w:val="16"/>
          <w:szCs w:val="16"/>
          <w:u w:val="single" w:color="auto"/>
          <w:color w:val="auto"/>
        </w:rPr>
        <w:t>Section 2.05(b)(ii)</w:t>
      </w:r>
      <w:r>
        <w:rPr>
          <w:rFonts w:ascii="Arial" w:cs="Arial" w:eastAsia="Arial" w:hAnsi="Arial"/>
          <w:sz w:val="16"/>
          <w:szCs w:val="16"/>
          <w:color w:val="auto"/>
        </w:rPr>
        <w:t>, (a) 100%, if the First Lien Net Leverage Ratio is greater than 1.75 to 1.00 as of the last day of</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Test Period most recently ended prior to the receipt of such Net Proceeds, (b) 50%, if the First Lien Net Leverage Ratio is less than or equal to 1.75 to 1.00 and greater than 1.50 to 1.00 as of the last day of the Test Period most recently ended prior to the receipt of such Net Proceeds and (c) 0%, if the First Lien Net Leverage Ratio is less than or equal to 1.50 to 1.00 as of the last day of the Test Period most recently ended prior to the receipt of such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Proceeds. The First Lien Net Leverage Ratios shall be calculated on a Pro Forma Basis, including to give pro forma effect to any paydown or reduction of Loans.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Assignees</w:t>
      </w:r>
      <w:r>
        <w:rPr>
          <w:rFonts w:ascii="Arial" w:cs="Arial" w:eastAsia="Arial" w:hAnsi="Arial"/>
          <w:sz w:val="18"/>
          <w:szCs w:val="18"/>
          <w:color w:val="auto"/>
        </w:rPr>
        <w:t>” has the meaning specified in Section 10.07(b).</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means an Assignment and Assumption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hereto.</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Taxes</w:t>
      </w:r>
      <w:r>
        <w:rPr>
          <w:rFonts w:ascii="Arial" w:cs="Arial" w:eastAsia="Arial" w:hAnsi="Arial"/>
          <w:sz w:val="18"/>
          <w:szCs w:val="18"/>
          <w:color w:val="auto"/>
        </w:rPr>
        <w:t>” has the meaning specified in Section 3.01(b).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Attorney Costs</w:t>
      </w:r>
      <w:r>
        <w:rPr>
          <w:rFonts w:ascii="Arial" w:cs="Arial" w:eastAsia="Arial" w:hAnsi="Arial"/>
          <w:sz w:val="16"/>
          <w:szCs w:val="16"/>
          <w:color w:val="auto"/>
        </w:rPr>
        <w:t>” means all reasonable and documented fees, expenses and disbursements of any law firm or other external legal counsel.</w:t>
      </w:r>
    </w:p>
    <w:p>
      <w:pPr>
        <w:spacing w:after="0" w:line="2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Attributable Indebtedness</w:t>
      </w:r>
      <w:r>
        <w:rPr>
          <w:rFonts w:ascii="Arial" w:cs="Arial" w:eastAsia="Arial" w:hAnsi="Arial"/>
          <w:sz w:val="17"/>
          <w:szCs w:val="17"/>
          <w:color w:val="auto"/>
        </w:rPr>
        <w:t>” means, on any date, in respect of any Capitalized Lease Obligation of any Person, the amount thereof that would appear as a liability on a balance sheet of such Person prepared as of such date in accordance with GAAP (subject to Section 1.03).</w:t>
      </w:r>
    </w:p>
    <w:p>
      <w:pPr>
        <w:sectPr>
          <w:pgSz w:w="11900" w:h="16838" w:orient="portrait"/>
          <w:cols w:equalWidth="0" w:num="1">
            <w:col w:w="10920"/>
          </w:cols>
          <w:pgMar w:left="480" w:top="1440" w:right="499" w:bottom="1440" w:gutter="0" w:footer="0" w:header="0"/>
        </w:sectPr>
      </w:pPr>
    </w:p>
    <w:bookmarkStart w:id="51" w:name="page52"/>
    <w:bookmarkEnd w:id="51"/>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Agent</w:t>
      </w:r>
      <w:r>
        <w:rPr>
          <w:rFonts w:ascii="Arial" w:cs="Arial" w:eastAsia="Arial" w:hAnsi="Arial"/>
          <w:sz w:val="16"/>
          <w:szCs w:val="16"/>
          <w:color w:val="auto"/>
        </w:rPr>
        <w:t xml:space="preserve">” means (a) the Administrative Agent or (b) if the Administrative Agent elects not to act as the Auction Agent, any other financial institution or advisor employed by the Borrowers (whether or not an Affiliate of the Administrative Agent) to act as an arranger in connection with any Discounted Term Loan Prepayment pursuant to Section 2.05(a)(v);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shall not designate the Administrative Agent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as the Auction Agent without the written consent of the Administrative Agent (it being understood that the Administrative Agent shall be under no obligation to agree to act as the Auction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neither the Borrowers nor any of their Affiliates may act as the Auction Agent.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RP Capacity Amount</w:t>
      </w:r>
      <w:r>
        <w:rPr>
          <w:rFonts w:ascii="Arial" w:cs="Arial" w:eastAsia="Arial" w:hAnsi="Arial"/>
          <w:sz w:val="16"/>
          <w:szCs w:val="16"/>
          <w:color w:val="auto"/>
        </w:rPr>
        <w:t>” means, at any time, the aggregate amount of Restricted Payments permitted to be made under Section</w:t>
      </w:r>
    </w:p>
    <w:p>
      <w:pPr>
        <w:spacing w:after="0" w:line="25"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7.06(a)(iii) at such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Indebtedness incurred under Section 7.03(aa)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principal amount of Indebtedness prepaid prior to or substantially concurrently at such time, solely to the extent such Indebtedness was incurred pursuant to Section 7.03(aa) (to the extent not financed with the proceeds of any long-term Indebtedness (other than revolving loans) of the Parent Borrower and its</w:t>
      </w:r>
    </w:p>
    <w:p>
      <w:pPr>
        <w:spacing w:after="0"/>
        <w:rPr>
          <w:sz w:val="20"/>
          <w:szCs w:val="20"/>
          <w:color w:val="auto"/>
        </w:rPr>
      </w:pPr>
      <w:r>
        <w:rPr>
          <w:rFonts w:ascii="Arial" w:cs="Arial" w:eastAsia="Arial" w:hAnsi="Arial"/>
          <w:sz w:val="18"/>
          <w:szCs w:val="18"/>
          <w:color w:val="auto"/>
        </w:rPr>
        <w:t>Restricted Subsidiaries).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Incremental Amount</w:t>
      </w:r>
      <w:r>
        <w:rPr>
          <w:rFonts w:ascii="Arial" w:cs="Arial" w:eastAsia="Arial" w:hAnsi="Arial"/>
          <w:sz w:val="18"/>
          <w:szCs w:val="18"/>
          <w:color w:val="auto"/>
        </w:rPr>
        <w:t>” has the meaning specified in Section 2.14(d)(iv).</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w:t>
      </w:r>
    </w:p>
    <w:p>
      <w:pPr>
        <w:spacing w:after="0"/>
        <w:rPr>
          <w:sz w:val="20"/>
          <w:szCs w:val="20"/>
          <w:color w:val="auto"/>
        </w:rPr>
      </w:pPr>
      <w:r>
        <w:rPr>
          <w:rFonts w:ascii="Arial" w:cs="Arial" w:eastAsia="Arial" w:hAnsi="Arial"/>
          <w:sz w:val="16"/>
          <w:szCs w:val="16"/>
          <w:color w:val="auto"/>
        </w:rPr>
        <w:t>otherwise, any payment period for interest calculated with reference to such Benchmark, as applicable, pursuant to this Agreement as of such date.</w:t>
      </w:r>
    </w:p>
    <w:p>
      <w:pPr>
        <w:spacing w:after="0" w:line="2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Legislation</w:t>
      </w:r>
      <w:r>
        <w:rPr>
          <w:rFonts w:ascii="Arial" w:cs="Arial" w:eastAsia="Arial" w:hAnsi="Arial"/>
          <w:sz w:val="17"/>
          <w:szCs w:val="17"/>
          <w:color w:val="auto"/>
        </w:rPr>
        <w:t>” means, (a) with respect to any EEA Member Country implementing Article 55 of Directive 2014/59/EU of the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for any day a fluctuating rate per annum equal to the highest of (a) the Federal Funds Rate plus 1/2 of 1.00%, (b) the rate</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interest in effect for such day as publicly announced from time to time by the Administrative Agent as its “prime rate”</w:t>
      </w:r>
      <w:r>
        <w:rPr>
          <w:rFonts w:ascii="Arial" w:cs="Arial" w:eastAsia="Arial" w:hAnsi="Arial"/>
          <w:sz w:val="16"/>
          <w:szCs w:val="16"/>
          <w:color w:val="0000FF"/>
        </w:rPr>
        <w:t>,</w:t>
      </w:r>
      <w:r>
        <w:rPr>
          <w:rFonts w:ascii="Arial" w:cs="Arial" w:eastAsia="Arial" w:hAnsi="Arial"/>
          <w:sz w:val="16"/>
          <w:szCs w:val="16"/>
          <w:color w:val="auto"/>
        </w:rPr>
        <w:t xml:space="preserve"> and (c) </w:t>
      </w:r>
      <w:r>
        <w:rPr>
          <w:rFonts w:ascii="Arial" w:cs="Arial" w:eastAsia="Arial" w:hAnsi="Arial"/>
          <w:sz w:val="16"/>
          <w:szCs w:val="16"/>
          <w:color w:val="FF0000"/>
          <w:strike w:val="1"/>
        </w:rPr>
        <w:t>the Eurocurrency</w:t>
      </w:r>
      <w:r>
        <w:rPr>
          <w:rFonts w:ascii="Arial" w:cs="Arial" w:eastAsia="Arial" w:hAnsi="Arial"/>
          <w:sz w:val="16"/>
          <w:szCs w:val="16"/>
          <w:color w:val="auto"/>
        </w:rPr>
        <w:t xml:space="preserve"> </w:t>
      </w:r>
      <w:r>
        <w:rPr>
          <w:rFonts w:ascii="Arial" w:cs="Arial" w:eastAsia="Arial" w:hAnsi="Arial"/>
          <w:sz w:val="16"/>
          <w:szCs w:val="16"/>
          <w:color w:val="FF0000"/>
          <w:strike w:val="1"/>
        </w:rPr>
        <w:t>Rate</w:t>
      </w:r>
      <w:r>
        <w:rPr>
          <w:rFonts w:ascii="Arial" w:cs="Arial" w:eastAsia="Arial" w:hAnsi="Arial"/>
          <w:sz w:val="16"/>
          <w:szCs w:val="16"/>
          <w:u w:val="single" w:color="auto"/>
          <w:color w:val="0000FF"/>
        </w:rPr>
        <w:t>Term SOFR</w:t>
      </w:r>
      <w:r>
        <w:rPr>
          <w:rFonts w:ascii="Arial" w:cs="Arial" w:eastAsia="Arial" w:hAnsi="Arial"/>
          <w:sz w:val="16"/>
          <w:szCs w:val="16"/>
          <w:color w:val="FF0000"/>
        </w:rPr>
        <w:t xml:space="preserve"> </w:t>
      </w:r>
      <w:r>
        <w:rPr>
          <w:rFonts w:ascii="Arial" w:cs="Arial" w:eastAsia="Arial" w:hAnsi="Arial"/>
          <w:sz w:val="16"/>
          <w:szCs w:val="16"/>
          <w:color w:val="000000"/>
        </w:rPr>
        <w:t>plus 1.00%</w:t>
      </w:r>
      <w:r>
        <w:rPr>
          <w:rFonts w:ascii="Arial" w:cs="Arial" w:eastAsia="Arial" w:hAnsi="Arial"/>
          <w:sz w:val="16"/>
          <w:szCs w:val="16"/>
          <w:color w:val="FF0000"/>
        </w:rPr>
        <w:t xml:space="preserve"> (or, if such day is </w:t>
      </w:r>
      <w:r>
        <w:rPr>
          <w:rFonts w:ascii="Arial" w:cs="Arial" w:eastAsia="Arial" w:hAnsi="Arial"/>
          <w:sz w:val="16"/>
          <w:szCs w:val="16"/>
          <w:color w:val="FF0000"/>
          <w:strike w:val="1"/>
        </w:rPr>
        <w:t>not a Business Day, the immediately preceding Business Day)</w:t>
      </w:r>
      <w:r>
        <w:rPr>
          <w:rFonts w:ascii="Arial" w:cs="Arial" w:eastAsia="Arial" w:hAnsi="Arial"/>
          <w:sz w:val="16"/>
          <w:szCs w:val="16"/>
          <w:color w:val="000000"/>
        </w:rPr>
        <w:t>. The “prime rate” is a rate set by the</w:t>
      </w:r>
      <w:r>
        <w:rPr>
          <w:rFonts w:ascii="Arial" w:cs="Arial" w:eastAsia="Arial" w:hAnsi="Arial"/>
          <w:sz w:val="16"/>
          <w:szCs w:val="16"/>
          <w:color w:val="FF0000"/>
        </w:rPr>
        <w:t xml:space="preserve"> </w:t>
      </w:r>
      <w:r>
        <w:rPr>
          <w:rFonts w:ascii="Arial" w:cs="Arial" w:eastAsia="Arial" w:hAnsi="Arial"/>
          <w:sz w:val="16"/>
          <w:szCs w:val="16"/>
          <w:color w:val="000000"/>
        </w:rPr>
        <w:t>Administrative Agent based upon various factors including the Administrative Agent’s costs and desired return, general economic conditions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-170815</wp:posOffset>
            </wp:positionV>
            <wp:extent cx="866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6"/>
          <w:szCs w:val="16"/>
          <w:color w:val="auto"/>
        </w:rPr>
        <w:t>factors, and is used as a reference point for pricing some loans, which may be priced at, above, or below such announced rate. Any change in such rate announced by the Administrative Agent shall take effect at the opening of business on the day specified in the public announcement of such change.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Benchmark</w:t>
      </w:r>
      <w:r>
        <w:rPr>
          <w:rFonts w:ascii="Arial" w:cs="Arial" w:eastAsia="Arial" w:hAnsi="Arial"/>
          <w:sz w:val="17"/>
          <w:szCs w:val="17"/>
          <w:color w:val="FF0000"/>
          <w:strike w:val="1"/>
        </w:rPr>
        <w:t xml:space="preserve">” means, initially, LIBOR;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if a replacement of the Benchmark has occurred pursuant to Section 3.03(c) then </w:t>
      </w:r>
      <w:r>
        <w:rPr>
          <w:rFonts w:ascii="Arial" w:cs="Arial" w:eastAsia="Arial" w:hAnsi="Arial"/>
          <w:sz w:val="17"/>
          <w:szCs w:val="17"/>
          <w:color w:val="000000"/>
          <w:strike w:val="1"/>
        </w:rPr>
        <w:t>“</w:t>
      </w:r>
      <w:r>
        <w:rPr>
          <w:rFonts w:ascii="Arial" w:cs="Arial" w:eastAsia="Arial" w:hAnsi="Arial"/>
          <w:sz w:val="17"/>
          <w:szCs w:val="17"/>
          <w:b w:val="1"/>
          <w:bCs w:val="1"/>
          <w:color w:val="000000"/>
          <w:strike w:val="1"/>
        </w:rPr>
        <w:t>Benchmark</w:t>
      </w:r>
      <w:r>
        <w:rPr>
          <w:rFonts w:ascii="Arial" w:cs="Arial" w:eastAsia="Arial" w:hAnsi="Arial"/>
          <w:sz w:val="17"/>
          <w:szCs w:val="17"/>
          <w:color w:val="000000"/>
          <w:strike w:val="1"/>
        </w:rPr>
        <w:t>” means the applicable Benchmark Replacement to the extent that such Benchmark Replacement has replaced such prior benchmark rate. Any reference to “Benchmark” shall include, as applicable, the published component used in the calculation thereof.</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w:t>
      </w:r>
    </w:p>
    <w:p>
      <w:pPr>
        <w:spacing w:after="0" w:line="229" w:lineRule="exact"/>
        <w:rPr>
          <w:sz w:val="20"/>
          <w:szCs w:val="20"/>
          <w:color w:val="auto"/>
        </w:rPr>
      </w:pPr>
    </w:p>
    <w:p>
      <w:pPr>
        <w:ind w:left="1280" w:hanging="640"/>
        <w:spacing w:after="0"/>
        <w:tabs>
          <w:tab w:leader="none" w:pos="1280" w:val="left"/>
        </w:tabs>
        <w:numPr>
          <w:ilvl w:val="0"/>
          <w:numId w:val="1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ectPr>
          <w:pgSz w:w="11900" w:h="16838" w:orient="portrait"/>
          <w:cols w:equalWidth="0" w:num="1">
            <w:col w:w="10880"/>
          </w:cols>
          <w:pgMar w:left="480" w:top="1440" w:right="539" w:bottom="1440" w:gutter="0" w:footer="0" w:header="0"/>
        </w:sectPr>
      </w:pPr>
    </w:p>
    <w:bookmarkStart w:id="52" w:name="page53"/>
    <w:bookmarkEnd w:id="52"/>
    <w:p>
      <w:pPr>
        <w:spacing w:after="0" w:line="211" w:lineRule="exact"/>
        <w:rPr>
          <w:sz w:val="20"/>
          <w:szCs w:val="20"/>
          <w:color w:val="auto"/>
        </w:rPr>
      </w:pPr>
    </w:p>
    <w:p>
      <w:pPr>
        <w:ind w:left="1140" w:hanging="500"/>
        <w:spacing w:after="0"/>
        <w:tabs>
          <w:tab w:leader="none" w:pos="1140" w:val="left"/>
        </w:tabs>
        <w:numPr>
          <w:ilvl w:val="0"/>
          <w:numId w:val="19"/>
        </w:numPr>
        <w:rPr>
          <w:rFonts w:ascii="Arial" w:cs="Arial" w:eastAsia="Arial" w:hAnsi="Arial"/>
          <w:sz w:val="18"/>
          <w:szCs w:val="18"/>
          <w:color w:val="FF0000"/>
          <w:strike w:val="1"/>
        </w:rPr>
      </w:pPr>
      <w:r>
        <w:rPr>
          <w:rFonts w:ascii="Arial" w:cs="Arial" w:eastAsia="Arial" w:hAnsi="Arial"/>
          <w:sz w:val="18"/>
          <w:szCs w:val="18"/>
          <w:color w:val="FF0000"/>
          <w:strike w:val="1"/>
        </w:rPr>
        <w:t>For purposes of Section 3.03(c)(i), the first alternative set forth below that can be determined by the Administrative Agent:</w:t>
      </w:r>
    </w:p>
    <w:p>
      <w:pPr>
        <w:spacing w:after="0" w:line="293"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FF0000"/>
          <w:strike w:val="1"/>
        </w:rPr>
        <w:t>t</w:t>
      </w:r>
      <w:r>
        <w:rPr>
          <w:rFonts w:ascii="Arial" w:cs="Arial" w:eastAsia="Arial" w:hAnsi="Arial"/>
          <w:sz w:val="16"/>
          <w:szCs w:val="16"/>
          <w:color w:val="EE2724"/>
          <w:strike w:val="1"/>
        </w:rPr>
        <w:t>he sum of: (i) Term SOFR and (ii) 0.11448% (11.448 basis points) for an Available Tenor of one-month’s duration, 0.26161% (26.161 basis</w:t>
      </w:r>
      <w:r>
        <w:rPr>
          <w:rFonts w:ascii="Arial" w:cs="Arial" w:eastAsia="Arial" w:hAnsi="Arial"/>
          <w:sz w:val="16"/>
          <w:szCs w:val="16"/>
          <w:color w:val="FF0000"/>
          <w:strike w:val="1"/>
        </w:rPr>
        <w:t xml:space="preserve"> </w:t>
      </w:r>
      <w:r>
        <w:rPr>
          <w:rFonts w:ascii="Arial" w:cs="Arial" w:eastAsia="Arial" w:hAnsi="Arial"/>
          <w:sz w:val="16"/>
          <w:szCs w:val="16"/>
          <w:color w:val="EE2724"/>
          <w:strike w:val="1"/>
        </w:rPr>
        <w:t>points) for an Available Tenor of three-months’ duration, 0.42826% (42.826 basis points) for an Available Tenor of six-months’ duration, and</w:t>
      </w:r>
    </w:p>
    <w:p>
      <w:pPr>
        <w:spacing w:after="0"/>
        <w:rPr>
          <w:sz w:val="20"/>
          <w:szCs w:val="20"/>
          <w:color w:val="auto"/>
        </w:rPr>
      </w:pPr>
      <w:r>
        <w:rPr>
          <w:rFonts w:ascii="Arial" w:cs="Arial" w:eastAsia="Arial" w:hAnsi="Arial"/>
          <w:sz w:val="18"/>
          <w:szCs w:val="18"/>
          <w:color w:val="EE2724"/>
          <w:strike w:val="1"/>
        </w:rPr>
        <w:t>0.71513% (71.513 basis points) for an Available Tenor of twelve-months’ duration, or</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FF0000"/>
          <w:strike w:val="1"/>
        </w:rPr>
        <w:t>the sum of: (i) Daily Simple SOFR and (ii) 0.26161% (26.161 basis points);</w:t>
      </w:r>
    </w:p>
    <w:p>
      <w:pPr>
        <w:spacing w:after="0" w:line="30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i w:val="1"/>
          <w:iCs w:val="1"/>
          <w:color w:val="FF0000"/>
          <w:strike w:val="1"/>
        </w:rPr>
        <w:t>provided</w:t>
      </w:r>
      <w:r>
        <w:rPr>
          <w:rFonts w:ascii="Arial" w:cs="Arial" w:eastAsia="Arial" w:hAnsi="Arial"/>
          <w:sz w:val="16"/>
          <w:szCs w:val="16"/>
          <w:i w:val="1"/>
          <w:iCs w:val="1"/>
          <w:color w:val="FF0000"/>
        </w:rPr>
        <w:t xml:space="preserve"> </w:t>
      </w:r>
      <w:r>
        <w:rPr>
          <w:rFonts w:ascii="Arial" w:cs="Arial" w:eastAsia="Arial" w:hAnsi="Arial"/>
          <w:sz w:val="16"/>
          <w:szCs w:val="16"/>
          <w:color w:val="FF0000"/>
          <w:strike w:val="1"/>
        </w:rPr>
        <w:t>that, if initially LIBOR is replaced with the rate contained in clause (b) above (Daily Simple</w:t>
      </w:r>
      <w:r>
        <w:rPr>
          <w:rFonts w:ascii="Arial" w:cs="Arial" w:eastAsia="Arial" w:hAnsi="Arial"/>
          <w:sz w:val="16"/>
          <w:szCs w:val="16"/>
          <w:i w:val="1"/>
          <w:iCs w:val="1"/>
          <w:color w:val="FF0000"/>
        </w:rPr>
        <w:t xml:space="preserve"> </w:t>
      </w:r>
      <w:r>
        <w:rPr>
          <w:rFonts w:ascii="Arial" w:cs="Arial" w:eastAsia="Arial" w:hAnsi="Arial"/>
          <w:sz w:val="16"/>
          <w:szCs w:val="16"/>
          <w:color w:val="FF0000"/>
        </w:rPr>
        <w:t>SOFR plus the applicable spread</w:t>
      </w:r>
      <w:r>
        <w:rPr>
          <w:rFonts w:ascii="Arial" w:cs="Arial" w:eastAsia="Arial" w:hAnsi="Arial"/>
          <w:sz w:val="16"/>
          <w:szCs w:val="16"/>
          <w:i w:val="1"/>
          <w:iCs w:val="1"/>
          <w:color w:val="FF0000"/>
        </w:rPr>
        <w:t xml:space="preserve"> </w:t>
      </w:r>
      <w:r>
        <w:rPr>
          <w:rFonts w:ascii="Arial" w:cs="Arial" w:eastAsia="Arial" w:hAnsi="Arial"/>
          <w:sz w:val="16"/>
          <w:szCs w:val="16"/>
          <w:color w:val="FF0000"/>
        </w:rPr>
        <w:t>adjustment) and subsequent to such replacement, the Administrative Agent (in consultation with the Administrative Borrower) determines that Term SOFR has become available and is administratively feasible for the Administrative Agent, and the Administrative Agent notifies the Borrower and</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FF0000"/>
        </w:rPr>
        <w:t xml:space="preserve">each Lender of such availability, then from and after the beginning of the Interest Period, relevant interest payment date or payment period for interest calculated, in each case, commencing no less than thirty (30) days after the date of </w:t>
      </w:r>
      <w:r>
        <w:rPr>
          <w:rFonts w:ascii="Arial" w:cs="Arial" w:eastAsia="Arial" w:hAnsi="Arial"/>
          <w:sz w:val="18"/>
          <w:szCs w:val="18"/>
          <w:color w:val="FF0000"/>
          <w:strike w:val="1"/>
        </w:rPr>
        <w:t>such notice, the Benchmark Replacement shall be as set forth in</w:t>
      </w:r>
      <w:r>
        <w:rPr>
          <w:rFonts w:ascii="Arial" w:cs="Arial" w:eastAsia="Arial" w:hAnsi="Arial"/>
          <w:sz w:val="18"/>
          <w:szCs w:val="18"/>
          <w:color w:val="FF0000"/>
        </w:rPr>
        <w:t xml:space="preserve"> </w:t>
      </w:r>
      <w:r>
        <w:rPr>
          <w:rFonts w:ascii="Arial" w:cs="Arial" w:eastAsia="Arial" w:hAnsi="Arial"/>
          <w:sz w:val="18"/>
          <w:szCs w:val="18"/>
          <w:color w:val="FF0000"/>
          <w:strike w:val="1"/>
        </w:rPr>
        <w:t>clause (a) above; and</w:t>
      </w:r>
    </w:p>
    <w:p>
      <w:pPr>
        <w:spacing w:after="0" w:line="284" w:lineRule="exact"/>
        <w:rPr>
          <w:sz w:val="20"/>
          <w:szCs w:val="20"/>
          <w:color w:val="auto"/>
        </w:rPr>
      </w:pPr>
    </w:p>
    <w:p>
      <w:pPr>
        <w:jc w:val="both"/>
        <w:ind w:right="20" w:firstLine="640"/>
        <w:spacing w:after="0" w:line="219" w:lineRule="auto"/>
        <w:tabs>
          <w:tab w:leader="none" w:pos="1152" w:val="left"/>
        </w:tabs>
        <w:numPr>
          <w:ilvl w:val="0"/>
          <w:numId w:val="20"/>
        </w:numPr>
        <w:rPr>
          <w:rFonts w:ascii="Arial" w:cs="Arial" w:eastAsia="Arial" w:hAnsi="Arial"/>
          <w:sz w:val="18"/>
          <w:szCs w:val="18"/>
          <w:color w:val="auto"/>
          <w:strike w:val="1"/>
        </w:rPr>
      </w:pPr>
      <w:r>
        <w:rPr>
          <w:rFonts w:ascii="Arial" w:cs="Arial" w:eastAsia="Arial" w:hAnsi="Arial"/>
          <w:sz w:val="18"/>
          <w:szCs w:val="18"/>
          <w:color w:val="auto"/>
        </w:rPr>
        <w:t>For purposes of Section 3.03(c)(ii), the sum of (a) the alternate benchmark rate and (b) an adjustment (which may be a positive or negative value or zero), in each case, that has been selected by the Administrative Agent and the Administrative Borrower as the replacement Benchmark giving due consideration to any evolving or then-prevailing market convention, including any applicable recommendations made by a Relevant Governmental Body at such time for determining a rate of interest as replacement for the then-current Benchmark, for U.S. dollar-denominated syndicated credit facilities at such time;</w:t>
      </w:r>
    </w:p>
    <w:p>
      <w:pPr>
        <w:spacing w:after="0" w:line="19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Benchmark Replacement as determined pursuant to clause (</w:t>
      </w:r>
      <w:r>
        <w:rPr>
          <w:rFonts w:ascii="Arial" w:cs="Arial" w:eastAsia="Arial" w:hAnsi="Arial"/>
          <w:sz w:val="18"/>
          <w:szCs w:val="18"/>
          <w:color w:val="FF0000"/>
          <w:strike w:val="1"/>
        </w:rPr>
        <w:t>1) or (</w:t>
      </w:r>
      <w:r>
        <w:rPr>
          <w:rFonts w:ascii="Arial" w:cs="Arial" w:eastAsia="Arial" w:hAnsi="Arial"/>
          <w:sz w:val="18"/>
          <w:szCs w:val="18"/>
          <w:color w:val="auto"/>
        </w:rPr>
        <w:t>2) above would be less than 0.50%, it shall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0.50% per annum.</w:t>
      </w:r>
    </w:p>
    <w:p>
      <w:pPr>
        <w:spacing w:after="0" w:line="197"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 xml:space="preserve">Any Benchmark Replacement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Benchmark Replacement shall be applied in a manner as otherwise reasonably determined by the Administrative Agent in consultation with the Administrative Borrower.</w:t>
      </w:r>
    </w:p>
    <w:p>
      <w:pPr>
        <w:spacing w:after="0" w:line="19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7"/>
          <w:szCs w:val="17"/>
          <w:color w:val="auto"/>
        </w:rPr>
        <w:t>the applicability and length of lookback periods, the applicability of breakage provisions, and other technical, administrative or operational matters) that the Administrative Agent (in consultation with the Administrative Borrower) decides may be appropriate to reflect the adoption and implementation of such Benchmark Replacement and to permit the administration thereof by the Administrative Agent in a manner substantially</w:t>
      </w:r>
    </w:p>
    <w:p>
      <w:pPr>
        <w:jc w:val="both"/>
        <w:ind w:right="20"/>
        <w:spacing w:after="0" w:line="221" w:lineRule="auto"/>
        <w:rPr>
          <w:sz w:val="20"/>
          <w:szCs w:val="20"/>
          <w:color w:val="auto"/>
        </w:rPr>
      </w:pPr>
      <w:r>
        <w:rPr>
          <w:rFonts w:ascii="Arial" w:cs="Arial" w:eastAsia="Arial" w:hAnsi="Arial"/>
          <w:sz w:val="17"/>
          <w:szCs w:val="17"/>
          <w:color w:val="auto"/>
        </w:rPr>
        <w:t>consistent with market practice (or, if the Administrative Agent (in consultation with the Administrative Borrower) decides that adoption of any portion of such market practice is not administratively feasible or if the Administrative Agent (in consultation with the Administrative Borrower) determines that no market practice for the administration of such Benchmark Replacement exists, in such other manner of administration as the</w:t>
      </w:r>
    </w:p>
    <w:p>
      <w:pPr>
        <w:spacing w:after="0"/>
        <w:rPr>
          <w:sz w:val="20"/>
          <w:szCs w:val="20"/>
          <w:color w:val="auto"/>
        </w:rPr>
      </w:pPr>
      <w:r>
        <w:rPr>
          <w:rFonts w:ascii="Arial" w:cs="Arial" w:eastAsia="Arial" w:hAnsi="Arial"/>
          <w:sz w:val="17"/>
          <w:szCs w:val="17"/>
          <w:color w:val="auto"/>
        </w:rPr>
        <w:t>Administrative Agent decides is reasonably necessary in connection with the administration of this Agreement and the other Loan Documents).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Transition Event</w:t>
      </w:r>
      <w:r>
        <w:rPr>
          <w:rFonts w:ascii="Arial" w:cs="Arial" w:eastAsia="Arial" w:hAnsi="Arial"/>
          <w:sz w:val="16"/>
          <w:szCs w:val="16"/>
          <w:color w:val="auto"/>
        </w:rPr>
        <w:t xml:space="preserve">” means, with respect to any then-current Benchmark </w:t>
      </w:r>
      <w:r>
        <w:rPr>
          <w:rFonts w:ascii="Arial" w:cs="Arial" w:eastAsia="Arial" w:hAnsi="Arial"/>
          <w:sz w:val="16"/>
          <w:szCs w:val="16"/>
          <w:color w:val="FF0000"/>
          <w:strike w:val="1"/>
        </w:rPr>
        <w:t>other than LIBOR</w:t>
      </w:r>
      <w:r>
        <w:rPr>
          <w:rFonts w:ascii="Arial" w:cs="Arial" w:eastAsia="Arial" w:hAnsi="Arial"/>
          <w:sz w:val="16"/>
          <w:szCs w:val="16"/>
          <w:color w:val="auto"/>
        </w:rPr>
        <w:t>, the occurrence of a public statement</w:t>
      </w:r>
    </w:p>
    <w:p>
      <w:pPr>
        <w:spacing w:after="0" w:line="25"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w:t>
      </w:r>
    </w:p>
    <w:p>
      <w:pPr>
        <w:sectPr>
          <w:pgSz w:w="11900" w:h="16838" w:orient="portrait"/>
          <w:cols w:equalWidth="0" w:num="1">
            <w:col w:w="10900"/>
          </w:cols>
          <w:pgMar w:left="480" w:top="1440" w:right="519" w:bottom="1440" w:gutter="0" w:footer="0" w:header="0"/>
        </w:sectPr>
      </w:pPr>
    </w:p>
    <w:bookmarkStart w:id="53" w:name="page54"/>
    <w:bookmarkEnd w:id="53"/>
    <w:p>
      <w:pPr>
        <w:spacing w:after="0" w:line="21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there is no successor administrator that is satisfactory to the Administrative Agent, that will continue to provide any representative tenors of such Benchmark after such specific date.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Benefit Plan</w:t>
      </w:r>
      <w:r>
        <w:rPr>
          <w:rFonts w:ascii="Arial" w:cs="Arial" w:eastAsia="Arial" w:hAnsi="Arial"/>
          <w:sz w:val="16"/>
          <w:szCs w:val="16"/>
          <w:color w:val="auto"/>
        </w:rPr>
        <w:t>” means any of (a) an “employee benefit plan” (as defined in ERISA) that is subject to Title I of ERISA, (b) a “plan” as defined in Section 4975 of the Code that is subject to Section 4975 of the Code or (c) any Person whose assets include (for purposes of ERISA Section 3(42)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otherwise for purposes of Title I of ERISA or Section 4975 of the Code) the assets of any such “employee benefit plan” or “plan”.</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has the meaning specified in Section 10.22(b).</w:t>
      </w:r>
    </w:p>
    <w:p>
      <w:pPr>
        <w:spacing w:after="0" w:line="22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for any Person, the board of directors or other governing body of such Person or, if such Person does not have such a board of directors or other governing body and is owned or managed by a single entity, the Board of Directors of such entity, or, in either case,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committee thereof duly authorized to act on behalf of such Board of Directors.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Bookrunner</w:t>
      </w:r>
      <w:r>
        <w:rPr>
          <w:rFonts w:ascii="Arial" w:cs="Arial" w:eastAsia="Arial" w:hAnsi="Arial"/>
          <w:sz w:val="18"/>
          <w:szCs w:val="18"/>
          <w:color w:val="auto"/>
        </w:rPr>
        <w:t>” means BofA Securities, Inc., in its capacity as the lead bookrunner.</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and “</w:t>
      </w:r>
      <w:r>
        <w:rPr>
          <w:rFonts w:ascii="Arial" w:cs="Arial" w:eastAsia="Arial" w:hAnsi="Arial"/>
          <w:sz w:val="16"/>
          <w:szCs w:val="16"/>
          <w:b w:val="1"/>
          <w:bCs w:val="1"/>
          <w:color w:val="auto"/>
        </w:rPr>
        <w:t>Borrowers</w:t>
      </w:r>
      <w:r>
        <w:rPr>
          <w:rFonts w:ascii="Arial" w:cs="Arial" w:eastAsia="Arial" w:hAnsi="Arial"/>
          <w:sz w:val="16"/>
          <w:szCs w:val="16"/>
          <w:color w:val="auto"/>
        </w:rPr>
        <w:t>” shall mean the Parent Borrower and any wholly-owned Domestic Subsidiary of the Parent Borrower that is treated as a corporation for U.S. federal tax purposes and that after the Closing Date becomes a Borrower by executing a Borrower Joinder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 accordance with the terms hereof (but excluding any Subsidiary of the Parent Borrower that ceases to be a party hereto in accordance with the terms of Section 11.09);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is or has become a Borrower (a “</w:t>
      </w:r>
      <w:r>
        <w:rPr>
          <w:rFonts w:ascii="Arial" w:cs="Arial" w:eastAsia="Arial" w:hAnsi="Arial"/>
          <w:sz w:val="16"/>
          <w:szCs w:val="16"/>
          <w:b w:val="1"/>
          <w:bCs w:val="1"/>
          <w:color w:val="auto"/>
        </w:rPr>
        <w:t>Subsidiary Borrower</w:t>
      </w:r>
      <w:r>
        <w:rPr>
          <w:rFonts w:ascii="Arial" w:cs="Arial" w:eastAsia="Arial" w:hAnsi="Arial"/>
          <w:sz w:val="16"/>
          <w:szCs w:val="16"/>
          <w:color w:val="auto"/>
        </w:rPr>
        <w:t>”) may have its status as a Borrower terminated by delivering a notice to the Administrative Agent from the Administrative Borrower and such Subsidiary Borrower electing to terminate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such Subsidiary’s status as a Borrower,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such termination shall affect (and such notice shall expressly provide that): (x) any obligation of such Subsidiary as a Guarantor or as a grantor or pledgor under any Loan Document or (y) any Lien granted by such Subsidiary which Liens shall continue in full force and effect after giving effect to such termination.</w:t>
      </w:r>
    </w:p>
    <w:p>
      <w:pPr>
        <w:spacing w:after="0" w:line="19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Joinder Agreement</w:t>
      </w:r>
      <w:r>
        <w:rPr>
          <w:rFonts w:ascii="Arial" w:cs="Arial" w:eastAsia="Arial" w:hAnsi="Arial"/>
          <w:sz w:val="18"/>
          <w:szCs w:val="18"/>
          <w:color w:val="auto"/>
        </w:rPr>
        <w:t>” means a joinder agreement substantially in the form of the Borrower Joinder Agreement attached as Exhibit H-2 hereto or in such other form agreed by the Administrative Agent and the Administrative Borrower.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Offer of Specified Discount Prepayment</w:t>
      </w:r>
      <w:r>
        <w:rPr>
          <w:rFonts w:ascii="Arial" w:cs="Arial" w:eastAsia="Arial" w:hAnsi="Arial"/>
          <w:sz w:val="18"/>
          <w:szCs w:val="18"/>
          <w:color w:val="auto"/>
        </w:rPr>
        <w:t>” means the offer by any Borrower Party to make a voluntary prepayment of Term Loans at a Specified Discount to par pursuant to Section 2.05(a)(v)(B).</w:t>
      </w:r>
    </w:p>
    <w:p>
      <w:pPr>
        <w:spacing w:after="0" w:line="19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Parties</w:t>
      </w:r>
      <w:r>
        <w:rPr>
          <w:rFonts w:ascii="Arial" w:cs="Arial" w:eastAsia="Arial" w:hAnsi="Arial"/>
          <w:sz w:val="18"/>
          <w:szCs w:val="18"/>
          <w:color w:val="auto"/>
        </w:rPr>
        <w:t>” means the collective reference to the Parent Borrower and its Restricted Subsidiaries, and “Borrower Party” means any one of them.</w:t>
      </w:r>
    </w:p>
    <w:p>
      <w:pPr>
        <w:spacing w:after="0" w:line="19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Solicitation of Discount Range Prepayment Offers</w:t>
      </w:r>
      <w:r>
        <w:rPr>
          <w:rFonts w:ascii="Arial" w:cs="Arial" w:eastAsia="Arial" w:hAnsi="Arial"/>
          <w:sz w:val="16"/>
          <w:szCs w:val="16"/>
          <w:color w:val="auto"/>
        </w:rPr>
        <w:t>” means the solicitation by any Borrower Party of offers for, and the corresponding acceptance by a Lender of, a voluntary prepayment of Term Loans at a specified range of discounts to par pursuant to Section 2.05(a)(v)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Solicitation of Discounted Prepayment Offers</w:t>
      </w:r>
      <w:r>
        <w:rPr>
          <w:rFonts w:ascii="Arial" w:cs="Arial" w:eastAsia="Arial" w:hAnsi="Arial"/>
          <w:sz w:val="17"/>
          <w:szCs w:val="17"/>
          <w:color w:val="auto"/>
        </w:rPr>
        <w:t>” means the solicitation by any Borrower Party of offers for, and the subsequent acceptance, if any, by a Lender of, a voluntary prepayment of Term Loans at a discount to par pursuant to Section 2.05(a)(v)(D).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Revolving Credit Borrowing or a Term Borrowing, as the context may require.</w:t>
      </w:r>
    </w:p>
    <w:p>
      <w:pPr>
        <w:sectPr>
          <w:pgSz w:w="11900" w:h="16838" w:orient="portrait"/>
          <w:cols w:equalWidth="0" w:num="1">
            <w:col w:w="10900"/>
          </w:cols>
          <w:pgMar w:left="480" w:top="1440" w:right="519" w:bottom="1440" w:gutter="0" w:footer="0" w:header="0"/>
        </w:sectPr>
      </w:pPr>
    </w:p>
    <w:bookmarkStart w:id="54" w:name="page55"/>
    <w:bookmarkEnd w:id="54"/>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Broker-Dealer Regulated Subsidiary</w:t>
      </w:r>
      <w:r>
        <w:rPr>
          <w:rFonts w:ascii="Arial" w:cs="Arial" w:eastAsia="Arial" w:hAnsi="Arial"/>
          <w:sz w:val="18"/>
          <w:szCs w:val="18"/>
          <w:color w:val="auto"/>
        </w:rPr>
        <w:t>” means any Subsidiary of the Parent Borrower that is registered as a broker-dealer under the Exchange Act or any other applicable Laws requiring such registration.</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any day other than a Saturday, Sunday or other day on which commercial banks are authorized to close under the Laws of, or are in fact closed in, </w:t>
      </w:r>
      <w:r>
        <w:rPr>
          <w:rFonts w:ascii="Arial" w:cs="Arial" w:eastAsia="Arial" w:hAnsi="Arial"/>
          <w:sz w:val="16"/>
          <w:szCs w:val="16"/>
          <w:color w:val="FF0000"/>
          <w:strike w:val="1"/>
        </w:rPr>
        <w:t>New York, New York or the jurisdiction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state</w:t>
      </w:r>
      <w:r>
        <w:rPr>
          <w:rFonts w:ascii="Arial" w:cs="Arial" w:eastAsia="Arial" w:hAnsi="Arial"/>
          <w:sz w:val="16"/>
          <w:szCs w:val="16"/>
          <w:color w:val="auto"/>
        </w:rPr>
        <w:t xml:space="preserve"> where the Administrative Agent’s Office is located</w:t>
      </w:r>
      <w:r>
        <w:rPr>
          <w:rFonts w:ascii="Arial" w:cs="Arial" w:eastAsia="Arial" w:hAnsi="Arial"/>
          <w:sz w:val="16"/>
          <w:szCs w:val="16"/>
          <w:color w:val="0000FF"/>
        </w:rPr>
        <w:t>,</w:t>
      </w:r>
      <w:r>
        <w:rPr>
          <w:rFonts w:ascii="Arial" w:cs="Arial" w:eastAsia="Arial" w:hAnsi="Arial"/>
          <w:sz w:val="16"/>
          <w:szCs w:val="16"/>
          <w:color w:val="auto"/>
        </w:rPr>
        <w:t xml:space="preserve"> and, if such day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relates to any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 means any such day that is also a </w:t>
      </w:r>
      <w:r>
        <w:rPr>
          <w:rFonts w:ascii="Arial" w:cs="Arial" w:eastAsia="Arial" w:hAnsi="Arial"/>
          <w:sz w:val="16"/>
          <w:szCs w:val="16"/>
          <w:color w:val="FF0000"/>
          <w:strike w:val="1"/>
        </w:rPr>
        <w:t>London Banking</w:t>
      </w:r>
      <w:r>
        <w:rPr>
          <w:rFonts w:ascii="Arial" w:cs="Arial" w:eastAsia="Arial" w:hAnsi="Arial"/>
          <w:sz w:val="16"/>
          <w:szCs w:val="16"/>
          <w:u w:val="single" w:color="auto"/>
          <w:color w:val="0000FF"/>
        </w:rPr>
        <w:t>U.S. Government Securities Business</w:t>
      </w:r>
      <w:r>
        <w:rPr>
          <w:rFonts w:ascii="Arial" w:cs="Arial" w:eastAsia="Arial" w:hAnsi="Arial"/>
          <w:sz w:val="16"/>
          <w:szCs w:val="16"/>
          <w:color w:val="auto"/>
        </w:rPr>
        <w:t xml:space="preserve"> Day.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means, for any period, the aggregate of all expenditures (whether paid in cash or accrued as liabilities and including in all events all amounts expended or capitalized under Capitalized Leases) by the Borrowers and the Restricted Subsidiaries during such period that,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conformity with GAAP, are or are required to be included as capital expenditures on the consolidated statement of cash flows of the Parent Borrower and its Restricted Subsidiaries.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means, at the time any determination thereof is to be made, the amount of the liability in respect of a</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Capitalized Lease that would at such time be required to be capitalized and reflected as a liability on a balance sheet (excluding the footnotes thereto) prepared in accordance with GAAP (subject to Section 1.03).</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Leases</w:t>
      </w:r>
      <w:r>
        <w:rPr>
          <w:rFonts w:ascii="Arial" w:cs="Arial" w:eastAsia="Arial" w:hAnsi="Arial"/>
          <w:sz w:val="17"/>
          <w:szCs w:val="17"/>
          <w:color w:val="auto"/>
        </w:rPr>
        <w:t>” means all leases that have been or are required to be, in accordance with GAAP, recorded as capitalized leases;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all purposes hereunder the amount of obligations under any Capitalized Lease shall be the amount thereof accounted for as a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GAAP.</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Software Expenditures</w:t>
      </w:r>
      <w:r>
        <w:rPr>
          <w:rFonts w:ascii="Arial" w:cs="Arial" w:eastAsia="Arial" w:hAnsi="Arial"/>
          <w:sz w:val="17"/>
          <w:szCs w:val="17"/>
          <w:color w:val="auto"/>
        </w:rPr>
        <w:t>” means, for any period, the aggregate of all expenditures (whether paid in cash or accrued as</w:t>
      </w:r>
    </w:p>
    <w:p>
      <w:pPr>
        <w:spacing w:after="0" w:line="1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liabilities) by the Borrowers and the Restricted Subsidiaries during such period in respect of licensed or purchased software or internally developed software and software enhancements that, in conformity with GAAP, are or are required to be reflected as capitalized costs on the consolidated balance sheet of the Parent Borrower and the Restricted Subsidiaries.</w:t>
      </w:r>
    </w:p>
    <w:p>
      <w:pPr>
        <w:spacing w:after="0" w:line="19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Captive Insurance Subsidiary</w:t>
      </w:r>
      <w:r>
        <w:rPr>
          <w:rFonts w:ascii="Arial" w:cs="Arial" w:eastAsia="Arial" w:hAnsi="Arial"/>
          <w:sz w:val="18"/>
          <w:szCs w:val="18"/>
          <w:color w:val="auto"/>
        </w:rPr>
        <w:t xml:space="preserve"> ” means any Subsidiary of a Borrower that is subject to regulation as an insurance company and provides insurance to a Borrower and its Restricted Subsidiaries.</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 Account</w:t>
      </w:r>
      <w:r>
        <w:rPr>
          <w:rFonts w:ascii="Arial" w:cs="Arial" w:eastAsia="Arial" w:hAnsi="Arial"/>
          <w:sz w:val="16"/>
          <w:szCs w:val="16"/>
          <w:color w:val="auto"/>
        </w:rPr>
        <w:t>” means a blocked account, established for the purposes of Section 2.05(c)(ii), at the Administrative Agent (or another commercial bank selected by the Administrative Agent) in the name of the Administrative Agent and under the sole dominion and control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and otherwise established in a manner reasonably satisfactory to the Administrative Agent.</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any Borrower or any of its Restricted Subsidiaries:</w:t>
      </w:r>
    </w:p>
    <w:p>
      <w:pPr>
        <w:spacing w:after="0" w:line="203" w:lineRule="exact"/>
        <w:rPr>
          <w:sz w:val="20"/>
          <w:szCs w:val="20"/>
          <w:color w:val="auto"/>
        </w:rPr>
      </w:pPr>
    </w:p>
    <w:p>
      <w:pPr>
        <w:jc w:val="both"/>
        <w:ind w:left="640" w:firstLine="648"/>
        <w:spacing w:after="0" w:line="245" w:lineRule="auto"/>
        <w:tabs>
          <w:tab w:leader="none" w:pos="17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(1) Yen, Dollars, pound sterling, Canadian Dollars or euros or any national currency of any Participating Member State of the EMU; and (2) in the case of any Foreign Subsidiary or any jurisdiction in which any Borrower or any of its Restricted Subsidiaries conducts business, such local currencies held by it from time to time in the ordinary course of business and not for speculation;</w:t>
      </w:r>
    </w:p>
    <w:p>
      <w:pPr>
        <w:spacing w:after="0" w:line="184" w:lineRule="exact"/>
        <w:rPr>
          <w:rFonts w:ascii="Arial" w:cs="Arial" w:eastAsia="Arial" w:hAnsi="Arial"/>
          <w:sz w:val="17"/>
          <w:szCs w:val="17"/>
          <w:color w:val="auto"/>
        </w:rPr>
      </w:pPr>
    </w:p>
    <w:p>
      <w:pPr>
        <w:jc w:val="both"/>
        <w:ind w:left="640" w:firstLine="648"/>
        <w:spacing w:after="0" w:line="229" w:lineRule="auto"/>
        <w:tabs>
          <w:tab w:leader="none" w:pos="17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readily marketable obligations issued or directly and fully guaranteed or insured by the United States government or any agency or instrumentality thereof the securities of which are guaranteed as a full faith and credit obligation of such government with maturities of 24 months or less from the date of acquisition;</w:t>
      </w:r>
    </w:p>
    <w:p>
      <w:pPr>
        <w:spacing w:after="0" w:line="190" w:lineRule="exact"/>
        <w:rPr>
          <w:rFonts w:ascii="Arial" w:cs="Arial" w:eastAsia="Arial" w:hAnsi="Arial"/>
          <w:sz w:val="18"/>
          <w:szCs w:val="18"/>
          <w:color w:val="auto"/>
        </w:rPr>
      </w:pPr>
    </w:p>
    <w:p>
      <w:pPr>
        <w:ind w:left="640" w:firstLine="648"/>
        <w:spacing w:after="0" w:line="246" w:lineRule="auto"/>
        <w:tabs>
          <w:tab w:leader="none" w:pos="17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 deposits, eurodollar time deposits or demand deposits with, insured certificates of deposit, bankers’ acceptances or overnight bank deposits of, or letters of credit issued by, any commercial</w:t>
      </w:r>
    </w:p>
    <w:p>
      <w:pPr>
        <w:sectPr>
          <w:pgSz w:w="11900" w:h="16838" w:orient="portrait"/>
          <w:cols w:equalWidth="0" w:num="1">
            <w:col w:w="10880"/>
          </w:cols>
          <w:pgMar w:left="480" w:top="1440" w:right="539" w:bottom="1440" w:gutter="0" w:footer="0" w:header="0"/>
        </w:sectPr>
      </w:pPr>
    </w:p>
    <w:bookmarkStart w:id="55" w:name="page56"/>
    <w:bookmarkEnd w:id="55"/>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bank that (i) is a Lender or (ii) (A) is organized under the Laws of the United States, any state thereof, the District of Columbia or any member nation of the Organization for Economic Cooperation and Development or is the principal banking Subsidiary of a bank holding company organized under the Laws of the United States, any state thereof, the District of Columbia or any member nation of the Organization</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for Economic Cooperation and Development and is a member of the Federal Reserve System, and (B) has combined capital and surplus of at least $250,000,000 (any such bank in the foregoing clauses (i) or (ii) being an “</w:t>
      </w:r>
      <w:r>
        <w:rPr>
          <w:rFonts w:ascii="Arial" w:cs="Arial" w:eastAsia="Arial" w:hAnsi="Arial"/>
          <w:sz w:val="18"/>
          <w:szCs w:val="18"/>
          <w:b w:val="1"/>
          <w:bCs w:val="1"/>
          <w:color w:val="auto"/>
        </w:rPr>
        <w:t>Approved Bank</w:t>
      </w:r>
      <w:r>
        <w:rPr>
          <w:rFonts w:ascii="Arial" w:cs="Arial" w:eastAsia="Arial" w:hAnsi="Arial"/>
          <w:sz w:val="18"/>
          <w:szCs w:val="18"/>
          <w:color w:val="auto"/>
        </w:rPr>
        <w:t>”), in each case with maturities not exceeding 24 months from the date of acquisition thereof;</w:t>
      </w:r>
    </w:p>
    <w:p>
      <w:pPr>
        <w:spacing w:after="0" w:line="203" w:lineRule="exact"/>
        <w:rPr>
          <w:sz w:val="20"/>
          <w:szCs w:val="20"/>
          <w:color w:val="auto"/>
        </w:rPr>
      </w:pPr>
    </w:p>
    <w:p>
      <w:pPr>
        <w:jc w:val="both"/>
        <w:ind w:right="40" w:firstLine="648"/>
        <w:spacing w:after="0" w:line="216"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issued by an Approved Bank (or by the parent company thereof) or any variable or fixed rate note issued by, or guaranteed by, a corporation (other than structured investment vehicles and other than corporations used in structured financing transactions) rated A-2 (or the equivalent thereof) or better by S&amp;P or P-2 (or the equivalent thereof) or better by Moody’s (or, if at any time neither Moody’s nor S&amp;P shall be rating such obligations, an equivalent rating from another nationally recognized statistical rating agency selected by the Borrowers), in each case with average maturities of not more than 24 months from the date of acquisition thereof;</w:t>
      </w:r>
    </w:p>
    <w:p>
      <w:pPr>
        <w:spacing w:after="0" w:line="205" w:lineRule="exact"/>
        <w:rPr>
          <w:rFonts w:ascii="Arial" w:cs="Arial" w:eastAsia="Arial" w:hAnsi="Arial"/>
          <w:sz w:val="18"/>
          <w:szCs w:val="18"/>
          <w:color w:val="auto"/>
        </w:rPr>
      </w:pPr>
    </w:p>
    <w:p>
      <w:pPr>
        <w:jc w:val="both"/>
        <w:ind w:right="40" w:firstLine="648"/>
        <w:spacing w:after="0" w:line="237" w:lineRule="auto"/>
        <w:tabs>
          <w:tab w:leader="none" w:pos="11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marketable short-term money market and similar funds having a rating of at least P-2 (or the equivalent thereof) or A-2 (or the equivalent thereof) from either Moody’s or S&amp;P, respectively (or, if at any time neither Moody’s nor S&amp;P shall be rating such obligations, an equivalent rating from another nationally recognized statistical rating agency selected by the Borrowers);</w:t>
      </w:r>
    </w:p>
    <w:p>
      <w:pPr>
        <w:spacing w:after="0" w:line="203" w:lineRule="exact"/>
        <w:rPr>
          <w:rFonts w:ascii="Arial" w:cs="Arial" w:eastAsia="Arial" w:hAnsi="Arial"/>
          <w:sz w:val="17"/>
          <w:szCs w:val="17"/>
          <w:color w:val="auto"/>
        </w:rPr>
      </w:pPr>
    </w:p>
    <w:p>
      <w:pPr>
        <w:ind w:right="40" w:firstLine="648"/>
        <w:spacing w:after="0" w:line="235"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(b), (c) and (e) above entered into with any Approved Bank;</w:t>
      </w:r>
    </w:p>
    <w:p>
      <w:pPr>
        <w:spacing w:after="0" w:line="202" w:lineRule="exact"/>
        <w:rPr>
          <w:rFonts w:ascii="Arial" w:cs="Arial" w:eastAsia="Arial" w:hAnsi="Arial"/>
          <w:sz w:val="18"/>
          <w:szCs w:val="18"/>
          <w:color w:val="auto"/>
        </w:rPr>
      </w:pPr>
    </w:p>
    <w:p>
      <w:pPr>
        <w:jc w:val="both"/>
        <w:ind w:right="40" w:firstLine="648"/>
        <w:spacing w:after="0" w:line="219"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with average maturities of 24 months or less from the date of acquisition issued or fully guaranteed (i) by any state, commonwealth or territory of the United States, by any political subdivision or taxing authority of any such state, commonwealth or territory or by (ii) any foreign government, in each case, having an Investment Grade Rating from either S&amp;P or Moody’s (or the equivalent thereof) (or, if at any time neither Moody’s nor S&amp;P shall be rating such obligations, an equivalent rating from another nationally recognized statistical rating agency selected by the Borrowers);</w:t>
      </w:r>
    </w:p>
    <w:p>
      <w:pPr>
        <w:spacing w:after="0" w:line="203" w:lineRule="exact"/>
        <w:rPr>
          <w:rFonts w:ascii="Arial" w:cs="Arial" w:eastAsia="Arial" w:hAnsi="Arial"/>
          <w:sz w:val="18"/>
          <w:szCs w:val="18"/>
          <w:color w:val="auto"/>
        </w:rPr>
      </w:pPr>
    </w:p>
    <w:p>
      <w:pPr>
        <w:jc w:val="both"/>
        <w:ind w:right="20" w:firstLine="648"/>
        <w:spacing w:after="0" w:line="259"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Borrowers);</w:t>
      </w:r>
    </w:p>
    <w:p>
      <w:pPr>
        <w:spacing w:after="0" w:line="187" w:lineRule="exact"/>
        <w:rPr>
          <w:rFonts w:ascii="Arial" w:cs="Arial" w:eastAsia="Arial" w:hAnsi="Arial"/>
          <w:sz w:val="16"/>
          <w:szCs w:val="16"/>
          <w:color w:val="auto"/>
        </w:rPr>
      </w:pPr>
    </w:p>
    <w:p>
      <w:pPr>
        <w:ind w:right="40" w:firstLine="648"/>
        <w:spacing w:after="0" w:line="235"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with maturities of 12 months or less from the date of acquisition backed by standby letters of credit issued by any Approved Bank;</w:t>
      </w:r>
    </w:p>
    <w:p>
      <w:pPr>
        <w:spacing w:after="0" w:line="202" w:lineRule="exact"/>
        <w:rPr>
          <w:rFonts w:ascii="Arial" w:cs="Arial" w:eastAsia="Arial" w:hAnsi="Arial"/>
          <w:sz w:val="18"/>
          <w:szCs w:val="18"/>
          <w:color w:val="auto"/>
        </w:rPr>
      </w:pPr>
    </w:p>
    <w:p>
      <w:pPr>
        <w:jc w:val="both"/>
        <w:ind w:right="40" w:firstLine="648"/>
        <w:spacing w:after="0" w:line="223"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(i)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the Parent Borrower or any of its Restricted Subsidiaries;</w:t>
      </w:r>
    </w:p>
    <w:p>
      <w:pPr>
        <w:spacing w:after="0" w:line="189" w:lineRule="exact"/>
        <w:rPr>
          <w:rFonts w:ascii="Arial" w:cs="Arial" w:eastAsia="Arial" w:hAnsi="Arial"/>
          <w:sz w:val="18"/>
          <w:szCs w:val="18"/>
          <w:color w:val="auto"/>
        </w:rPr>
      </w:pPr>
    </w:p>
    <w:p>
      <w:pPr>
        <w:jc w:val="both"/>
        <w:ind w:firstLine="648"/>
        <w:spacing w:after="0" w:line="254"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Investments, classified in accordance with GAAP as current assets of the Parent Borrower or any of its Restricted Subsidiaries,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clauses (a) through (j) of this definition; and</w:t>
      </w:r>
    </w:p>
    <w:p>
      <w:pPr>
        <w:sectPr>
          <w:pgSz w:w="11900" w:h="16838" w:orient="portrait"/>
          <w:cols w:equalWidth="0" w:num="1">
            <w:col w:w="10280"/>
          </w:cols>
          <w:pgMar w:left="1120" w:top="1440" w:right="499" w:bottom="1440" w:gutter="0" w:footer="0" w:header="0"/>
        </w:sectPr>
      </w:pPr>
    </w:p>
    <w:bookmarkStart w:id="56" w:name="page57"/>
    <w:bookmarkEnd w:id="56"/>
    <w:p>
      <w:pPr>
        <w:spacing w:after="0" w:line="211" w:lineRule="exact"/>
        <w:rPr>
          <w:sz w:val="20"/>
          <w:szCs w:val="20"/>
          <w:color w:val="auto"/>
        </w:rPr>
      </w:pPr>
    </w:p>
    <w:p>
      <w:pPr>
        <w:ind w:left="1800" w:hanging="512"/>
        <w:spacing w:after="0"/>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investment funds investing substantially all of their assets in securities of the types described in clauses (a) through (k) above.</w:t>
      </w:r>
    </w:p>
    <w:p>
      <w:pPr>
        <w:spacing w:after="0" w:line="2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Notwithstanding the foregoing, Cash Equivalents shall include amounts denominated in currencies other than those specified in clause (a)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for amounts used to pay non-Dollar-denominated obligations of the Borrowers or any of their Restricted Subsidiaries in the ordinary course of business, such amounts are converted into any currency listed in clause (a) above as promptly as practicable and in any event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within ten (10) Business Days following the receipt of such amounts.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means any treasury, depositary, disbursement, lockbox, funds transfer, pooling, netting, overdraft, stored value card, purchase card (including so-called “procurement cards” or “P-cards”), debit card, credit card, e-payable, cash management and similar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services, foreign exchange facilities, and any automated clearing house transfer of funds.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Casualty Event</w:t>
      </w:r>
      <w:r>
        <w:rPr>
          <w:rFonts w:ascii="Arial" w:cs="Arial" w:eastAsia="Arial" w:hAnsi="Arial"/>
          <w:sz w:val="16"/>
          <w:szCs w:val="16"/>
          <w:color w:val="auto"/>
        </w:rPr>
        <w:t xml:space="preserve"> ” means any event that gives rise to the receipt by any Borrower or any of its Restricted Subsidiaries of any insurance proceeds or condemnation awards in respect of any equipment, fixed assets or Real Property (including any improvements thereon) to replace or repair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equipment, fixed assets or Real Property.</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957(a) of the Code.</w:t>
      </w:r>
    </w:p>
    <w:p>
      <w:pPr>
        <w:spacing w:after="0" w:line="22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Holdco</w:t>
      </w:r>
      <w:r>
        <w:rPr>
          <w:rFonts w:ascii="Arial" w:cs="Arial" w:eastAsia="Arial" w:hAnsi="Arial"/>
          <w:sz w:val="18"/>
          <w:szCs w:val="18"/>
          <w:color w:val="auto"/>
        </w:rPr>
        <w:t>” means any Domestic Subsidiary if it has no material assets other than the Equity Interests (including any Indebtedness treated as equity for U.S. federal income tax purposes) and, if applicable, Indebtedness (and any cash or Cash Equivalents related thereto) of one or more Foreign Subsidiaries that is a CFC.</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means the occurrence, after the date of this Agreement, of any of the following: (a) the adoption or taking effect of any</w:t>
      </w:r>
    </w:p>
    <w:p>
      <w:pPr>
        <w:spacing w:after="0" w:line="1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law, rule, regulation or treaty (excluding the taking effect after the date of this Agreement of a law, rule, regulation or treaty adopted prior to the date of this Agreement), (b) any change in any law, rule, regulation or treaty or in the administration, interpretation or application thereof by any Governmental Authority or (c) the making or issuance of any request, guideline or directive (whether or not having the force of law) by any</w:t>
      </w:r>
    </w:p>
    <w:p>
      <w:pPr>
        <w:jc w:val="both"/>
        <w:spacing w:after="0" w:line="234" w:lineRule="auto"/>
        <w:rPr>
          <w:sz w:val="20"/>
          <w:szCs w:val="20"/>
          <w:color w:val="auto"/>
        </w:rPr>
      </w:pPr>
      <w:r>
        <w:rPr>
          <w:rFonts w:ascii="Arial" w:cs="Arial" w:eastAsia="Arial" w:hAnsi="Arial"/>
          <w:sz w:val="16"/>
          <w:szCs w:val="16"/>
          <w:color w:val="auto"/>
        </w:rPr>
        <w:t>Governmental Authority. It is understood and agreed that (i) the Dodd–Frank Wall Street Reform and Consumer Protection Act (Pub.L. 111-203, H.R. 4173), all Laws relating thereto, all interpretations and applications thereof and any compliance by a Lender with any request or directive relating thereto and (ii) all requests, rules, guidelines or directives promulgated by the Bank for International settlements, the Basel Committee on Banking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Supervision (or any successor or similar authority) or the United States regulatory authorities, in each case pursuant to Basel III (collectively, “</w:t>
      </w:r>
      <w:r>
        <w:rPr>
          <w:rFonts w:ascii="Arial" w:cs="Arial" w:eastAsia="Arial" w:hAnsi="Arial"/>
          <w:sz w:val="16"/>
          <w:szCs w:val="16"/>
          <w:b w:val="1"/>
          <w:bCs w:val="1"/>
          <w:color w:val="auto"/>
        </w:rPr>
        <w:t>Basel</w:t>
      </w:r>
      <w:r>
        <w:rPr>
          <w:rFonts w:ascii="Arial" w:cs="Arial" w:eastAsia="Arial" w:hAnsi="Arial"/>
          <w:sz w:val="16"/>
          <w:szCs w:val="16"/>
          <w:color w:val="auto"/>
        </w:rPr>
        <w:t xml:space="preserve"> </w:t>
      </w:r>
      <w:r>
        <w:rPr>
          <w:rFonts w:ascii="Arial" w:cs="Arial" w:eastAsia="Arial" w:hAnsi="Arial"/>
          <w:sz w:val="16"/>
          <w:szCs w:val="16"/>
          <w:b w:val="1"/>
          <w:bCs w:val="1"/>
          <w:color w:val="auto"/>
        </w:rPr>
        <w:t>III</w:t>
      </w:r>
      <w:r>
        <w:rPr>
          <w:rFonts w:ascii="Arial" w:cs="Arial" w:eastAsia="Arial" w:hAnsi="Arial"/>
          <w:sz w:val="16"/>
          <w:szCs w:val="16"/>
          <w:color w:val="auto"/>
        </w:rPr>
        <w:t>”), shall, in each case, for the purposes of this Agreement, be deemed to be adopted and taking effect subsequent to the Closing Date,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w:t>
      </w:r>
      <w:r>
        <w:rPr>
          <w:rFonts w:ascii="Arial" w:cs="Arial" w:eastAsia="Arial" w:hAnsi="Arial"/>
          <w:sz w:val="16"/>
          <w:szCs w:val="16"/>
          <w:b w:val="1"/>
          <w:bCs w:val="1"/>
          <w:color w:val="auto"/>
        </w:rPr>
        <w:t xml:space="preserve"> </w:t>
      </w:r>
      <w:r>
        <w:rPr>
          <w:rFonts w:ascii="Arial" w:cs="Arial" w:eastAsia="Arial" w:hAnsi="Arial"/>
          <w:sz w:val="16"/>
          <w:szCs w:val="16"/>
          <w:color w:val="auto"/>
        </w:rPr>
        <w:t>a Lender shall be entitled to compensation with respect to any such adoption taking effect, making or issuance becoming effective after the date of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Agreement only if it is the applicable Lender’s general policy or practice to demand compensation in similar circumstances under comparable provisions of other financing agreements.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be deemed to occur if:</w:t>
      </w:r>
    </w:p>
    <w:p>
      <w:pPr>
        <w:spacing w:after="0" w:line="229" w:lineRule="exact"/>
        <w:rPr>
          <w:sz w:val="20"/>
          <w:szCs w:val="20"/>
          <w:color w:val="auto"/>
        </w:rPr>
      </w:pPr>
    </w:p>
    <w:p>
      <w:pPr>
        <w:jc w:val="both"/>
        <w:ind w:left="640" w:firstLine="648"/>
        <w:spacing w:after="0" w:line="241" w:lineRule="auto"/>
        <w:rPr>
          <w:sz w:val="20"/>
          <w:szCs w:val="20"/>
          <w:color w:val="auto"/>
        </w:rPr>
      </w:pPr>
      <w:r>
        <w:rPr>
          <w:rFonts w:ascii="Arial" w:cs="Arial" w:eastAsia="Arial" w:hAnsi="Arial"/>
          <w:sz w:val="16"/>
          <w:szCs w:val="16"/>
          <w:color w:val="auto"/>
        </w:rPr>
        <w:t>(a)(i) any Person (other than a Permitted Holder) or (ii) Persons (other than one or more Permitted Holders) constituting a “group” (as such term is used in Sections 13(d) and 14(d) of the Exchange Act as in effect on the Closing Date), but excluding any underwriters in connection with a Qualified Primary Equity Offering or a secondary public offering of Equity Interests of the Parent Borrower, any employee</w:t>
      </w:r>
    </w:p>
    <w:p>
      <w:pPr>
        <w:spacing w:after="0" w:line="2" w:lineRule="exact"/>
        <w:rPr>
          <w:sz w:val="20"/>
          <w:szCs w:val="20"/>
          <w:color w:val="auto"/>
        </w:rPr>
      </w:pPr>
    </w:p>
    <w:p>
      <w:pPr>
        <w:jc w:val="both"/>
        <w:ind w:left="640"/>
        <w:spacing w:after="0" w:line="234" w:lineRule="auto"/>
        <w:rPr>
          <w:sz w:val="20"/>
          <w:szCs w:val="20"/>
          <w:color w:val="auto"/>
        </w:rPr>
      </w:pPr>
      <w:r>
        <w:rPr>
          <w:rFonts w:ascii="Arial" w:cs="Arial" w:eastAsia="Arial" w:hAnsi="Arial"/>
          <w:sz w:val="16"/>
          <w:szCs w:val="16"/>
          <w:color w:val="auto"/>
        </w:rPr>
        <w:t>benefit plan of such Person and its Subsidiaries, and any person or entity acting in its capacity as trustee, agent or other fiduciary or administrator of any such plan, becomes the “beneficial owner” (as defined in Rules 13(d)-3 and 13(d)-5 under the Exchange Act as in effect on the Closing Date), directly or indirectly, of Equity Interests representing more than thirty-five percent (35%) of the aggregate ordinary</w:t>
      </w:r>
    </w:p>
    <w:p>
      <w:pPr>
        <w:spacing w:after="0" w:line="2" w:lineRule="exact"/>
        <w:rPr>
          <w:sz w:val="20"/>
          <w:szCs w:val="20"/>
          <w:color w:val="auto"/>
        </w:rPr>
      </w:pPr>
    </w:p>
    <w:p>
      <w:pPr>
        <w:jc w:val="both"/>
        <w:ind w:left="640"/>
        <w:spacing w:after="0" w:line="234" w:lineRule="auto"/>
        <w:rPr>
          <w:sz w:val="20"/>
          <w:szCs w:val="20"/>
          <w:color w:val="auto"/>
        </w:rPr>
      </w:pPr>
      <w:r>
        <w:rPr>
          <w:rFonts w:ascii="Arial" w:cs="Arial" w:eastAsia="Arial" w:hAnsi="Arial"/>
          <w:sz w:val="16"/>
          <w:szCs w:val="16"/>
          <w:color w:val="auto"/>
        </w:rPr>
        <w:t>voting power represented by the issued and outstanding Equity Interests of the Company (it being understood that to the extent any Permitted Holders are members of such group, any Equity Interests held by such Permitted Holders will be disregarded in calculating such beneficial ownership) and the percentage of aggregate ordinary voting power so held is greater than the percentage of the aggregate ordinary voting</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power</w:t>
      </w:r>
    </w:p>
    <w:p>
      <w:pPr>
        <w:sectPr>
          <w:pgSz w:w="11900" w:h="16838" w:orient="portrait"/>
          <w:cols w:equalWidth="0" w:num="1">
            <w:col w:w="10880"/>
          </w:cols>
          <w:pgMar w:left="480" w:top="1440" w:right="539" w:bottom="1440" w:gutter="0" w:footer="0" w:header="0"/>
        </w:sectPr>
      </w:pPr>
    </w:p>
    <w:bookmarkStart w:id="57" w:name="page58"/>
    <w:bookmarkEnd w:id="57"/>
    <w:p>
      <w:pPr>
        <w:spacing w:after="0" w:line="211" w:lineRule="exact"/>
        <w:rPr>
          <w:sz w:val="20"/>
          <w:szCs w:val="20"/>
          <w:color w:val="auto"/>
        </w:rPr>
      </w:pPr>
    </w:p>
    <w:p>
      <w:pPr>
        <w:jc w:val="both"/>
        <w:ind w:left="648" w:right="40"/>
        <w:spacing w:after="0" w:line="224" w:lineRule="auto"/>
        <w:rPr>
          <w:sz w:val="20"/>
          <w:szCs w:val="20"/>
          <w:color w:val="auto"/>
        </w:rPr>
      </w:pPr>
      <w:r>
        <w:rPr>
          <w:rFonts w:ascii="Arial" w:cs="Arial" w:eastAsia="Arial" w:hAnsi="Arial"/>
          <w:sz w:val="18"/>
          <w:szCs w:val="18"/>
          <w:color w:val="auto"/>
        </w:rPr>
        <w:t>represented by the Equity Interests of the Company beneficially owned, directly or indirectly, in the aggregate by the Permitted Holders, unless, and so long as, the Permitted Holders have the right or the ability by voting power, contract or otherwise to elect or designate for election at least a majority of the Board of Directors of the Company;</w:t>
      </w:r>
    </w:p>
    <w:p>
      <w:pPr>
        <w:spacing w:after="0" w:line="203" w:lineRule="exact"/>
        <w:rPr>
          <w:sz w:val="20"/>
          <w:szCs w:val="20"/>
          <w:color w:val="auto"/>
        </w:rPr>
      </w:pPr>
    </w:p>
    <w:p>
      <w:pPr>
        <w:jc w:val="both"/>
        <w:ind w:left="648" w:firstLine="1296"/>
        <w:spacing w:after="0" w:line="223" w:lineRule="auto"/>
        <w:tabs>
          <w:tab w:leader="none" w:pos="2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of control” (or similar event) shall occur in any document pertaining to (i) Indebtedness that constitutes First Lien Obligations, ABL Obligations or Second Lien Obligations, (ii) any Incremental Equivalent Debt or (iii) any Refinancing Equivalent Debt or any Refinancing Indebtedness in respect of any of the foregoing, in each case of clauses (i) through (iii) with an aggregate outstanding principal amount in excess of the Threshold Amount.</w:t>
      </w:r>
    </w:p>
    <w:p>
      <w:pPr>
        <w:spacing w:after="0" w:line="189" w:lineRule="exact"/>
        <w:rPr>
          <w:sz w:val="20"/>
          <w:szCs w:val="20"/>
          <w:color w:val="auto"/>
        </w:rPr>
      </w:pPr>
    </w:p>
    <w:p>
      <w:pPr>
        <w:jc w:val="both"/>
        <w:ind w:left="8" w:right="20" w:firstLine="648"/>
        <w:spacing w:after="0" w:line="248" w:lineRule="auto"/>
        <w:rPr>
          <w:sz w:val="20"/>
          <w:szCs w:val="20"/>
          <w:color w:val="auto"/>
        </w:rPr>
      </w:pPr>
      <w:r>
        <w:rPr>
          <w:rFonts w:ascii="Arial" w:cs="Arial" w:eastAsia="Arial" w:hAnsi="Arial"/>
          <w:sz w:val="16"/>
          <w:szCs w:val="16"/>
          <w:color w:val="auto"/>
        </w:rPr>
        <w:t>Notwithstanding the preceding or any provision of Section 13d-3 of the Exchange Act, (i) a Person or “group” shall not be deemed to beneficially own Equity Interests subject to a stock or asset purchase agreement, merger agreement, option agreement, warrant agreement or similar</w:t>
      </w:r>
    </w:p>
    <w:p>
      <w:pPr>
        <w:jc w:val="both"/>
        <w:ind w:left="8" w:right="20"/>
        <w:spacing w:after="0" w:line="234" w:lineRule="auto"/>
        <w:rPr>
          <w:sz w:val="20"/>
          <w:szCs w:val="20"/>
          <w:color w:val="auto"/>
        </w:rPr>
      </w:pPr>
      <w:r>
        <w:rPr>
          <w:rFonts w:ascii="Arial" w:cs="Arial" w:eastAsia="Arial" w:hAnsi="Arial"/>
          <w:sz w:val="16"/>
          <w:szCs w:val="16"/>
          <w:color w:val="auto"/>
        </w:rPr>
        <w:t>agreement (or voting or option or similar agreement related thereto) until the consummation of the acquisition of the Equity Interests in connection with the transactions contemplated by such agreement and (ii) the right to acquire Equity Interests (so long as such Person does not have the right to direct the voting of the Equity Interests subject to such right) or to exercise any veto power in connection with the acquisition or disposition of Equity</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Interests will not in itself cause a party to be a beneficial owner.</w:t>
      </w:r>
    </w:p>
    <w:p>
      <w:pPr>
        <w:spacing w:after="0" w:line="192" w:lineRule="exact"/>
        <w:rPr>
          <w:sz w:val="20"/>
          <w:szCs w:val="20"/>
          <w:color w:val="auto"/>
        </w:rPr>
      </w:pPr>
    </w:p>
    <w:p>
      <w:pPr>
        <w:jc w:val="both"/>
        <w:ind w:left="8"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means (a) when used with respect to Lenders, refers to whether such Lender has a Loan or Commitment with respect to a particular Class of Loans or Commitments, (b) when used with respect to Commitments, refers to whether such Commitments are Extended Revolving Credit</w:t>
      </w:r>
    </w:p>
    <w:p>
      <w:pPr>
        <w:spacing w:after="0" w:line="1" w:lineRule="exact"/>
        <w:rPr>
          <w:sz w:val="20"/>
          <w:szCs w:val="20"/>
          <w:color w:val="auto"/>
        </w:rPr>
      </w:pPr>
    </w:p>
    <w:p>
      <w:pPr>
        <w:jc w:val="both"/>
        <w:ind w:left="8" w:right="40"/>
        <w:spacing w:after="0" w:line="208" w:lineRule="auto"/>
        <w:rPr>
          <w:sz w:val="20"/>
          <w:szCs w:val="20"/>
          <w:color w:val="auto"/>
        </w:rPr>
      </w:pPr>
      <w:r>
        <w:rPr>
          <w:rFonts w:ascii="Arial" w:cs="Arial" w:eastAsia="Arial" w:hAnsi="Arial"/>
          <w:sz w:val="18"/>
          <w:szCs w:val="18"/>
          <w:color w:val="auto"/>
        </w:rPr>
        <w:t>Commitments of a given Extension Series, Incremental Revolving Credit Commitments (of the same tranche), Refinancing Revolving Credit Commitments (of the same tranche), Term B Commitments, Incremental Term Commitments (of the same tranche), Refinancing Term Commitments (of the same tranche) or Commitments in respect of Replacement Term Loans and</w:t>
      </w:r>
    </w:p>
    <w:p>
      <w:pPr>
        <w:spacing w:after="0" w:line="2" w:lineRule="exact"/>
        <w:rPr>
          <w:sz w:val="20"/>
          <w:szCs w:val="20"/>
          <w:color w:val="auto"/>
        </w:rPr>
      </w:pPr>
    </w:p>
    <w:p>
      <w:pPr>
        <w:jc w:val="both"/>
        <w:ind w:left="8" w:right="40" w:hanging="8"/>
        <w:spacing w:after="0" w:line="239" w:lineRule="auto"/>
        <w:tabs>
          <w:tab w:leader="none" w:pos="5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when used with respect to Loans or a Borrowing, refers to whether such Loans, or the Loans comprising such Borrowing, are Extended Revolving Credit Loans of a given Extension Series, Incremental Revolving Loans (of the same tranche), Refinancing Revolving Loans (of the same tranche), Term B Loans, Extended Term Loans of a given Extension Series, Incremental Term Loans (of the same tranche), Refinancing Term Loans (of the same tranche) or Replacement Term Loans. Extended Revolving Credit Loans of a given Extension Series, each tranche of Incremental Revolving Loans, each tranche of Refinancing Revolving Loans, Term B Loans, Extended Term Loans of a given Extension Series, each tranche of Incremental Term Loans, each tranche of Refinancing Term Loans or Replacement Term Loans (together with the respective Commitments in respect thereof) shall, at the election of the Parent Borrower, be construed to be in different Classes;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Incremental Term Loans effected as a Term Loan Increase to any existing Class of Term Loans and such existing Class of Term Loans shall in all events be part of the same Class.</w:t>
      </w:r>
    </w:p>
    <w:p>
      <w:pPr>
        <w:spacing w:after="0" w:line="202"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October 27, 2021.</w:t>
      </w:r>
    </w:p>
    <w:p>
      <w:pPr>
        <w:spacing w:after="0" w:line="225" w:lineRule="exact"/>
        <w:rPr>
          <w:sz w:val="20"/>
          <w:szCs w:val="20"/>
          <w:color w:val="auto"/>
        </w:rPr>
      </w:pPr>
    </w:p>
    <w:p>
      <w:pPr>
        <w:jc w:val="both"/>
        <w:ind w:left="8" w:right="40" w:firstLine="648"/>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 Refinancing</w:t>
      </w:r>
      <w:r>
        <w:rPr>
          <w:rFonts w:ascii="Arial" w:cs="Arial" w:eastAsia="Arial" w:hAnsi="Arial"/>
          <w:sz w:val="17"/>
          <w:szCs w:val="17"/>
          <w:color w:val="auto"/>
        </w:rPr>
        <w:t>” means the refinancing in full of the Term Loans (as defined in the Original Credit Agreement) outstanding under the Original Credit Agreement as of the Closing Date, together with accrued and unpaid interest thereon and fees related thereto from the proceeds of the Term Loans, the Unsecured Notes and cash on hand of the Company and its Restricted Subsidiaries.</w:t>
      </w:r>
    </w:p>
    <w:p>
      <w:pPr>
        <w:spacing w:after="0" w:line="321"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Fee</w:t>
      </w:r>
      <w:r>
        <w:rPr>
          <w:rFonts w:ascii="Arial" w:cs="Arial" w:eastAsia="Arial" w:hAnsi="Arial"/>
          <w:sz w:val="18"/>
          <w:szCs w:val="18"/>
          <w:color w:val="auto"/>
        </w:rPr>
        <w:t xml:space="preserve">” has the meaning specified in Section 2.09(c). </w:t>
      </w: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CME</w:t>
      </w:r>
      <w:r>
        <w:rPr>
          <w:rFonts w:ascii="Arial" w:cs="Arial" w:eastAsia="Arial" w:hAnsi="Arial"/>
          <w:sz w:val="18"/>
          <w:szCs w:val="18"/>
          <w:u w:val="single" w:color="auto"/>
          <w:color w:val="0000FF"/>
        </w:rPr>
        <w:t>” means CME Group Benchmark</w:t>
      </w:r>
    </w:p>
    <w:p>
      <w:pPr>
        <w:spacing w:after="0" w:line="216" w:lineRule="exact"/>
        <w:rPr>
          <w:sz w:val="20"/>
          <w:szCs w:val="20"/>
          <w:color w:val="auto"/>
        </w:rPr>
      </w:pPr>
    </w:p>
    <w:p>
      <w:pPr>
        <w:ind w:left="648"/>
        <w:spacing w:after="0"/>
        <w:rPr>
          <w:sz w:val="20"/>
          <w:szCs w:val="20"/>
          <w:color w:val="auto"/>
        </w:rPr>
      </w:pPr>
      <w:r>
        <w:rPr>
          <w:rFonts w:ascii="Arial" w:cs="Arial" w:eastAsia="Arial" w:hAnsi="Arial"/>
          <w:sz w:val="18"/>
          <w:szCs w:val="18"/>
          <w:u w:val="single" w:color="auto"/>
          <w:color w:val="0000FF"/>
        </w:rPr>
        <w:t>Administration Limited.</w:t>
      </w:r>
    </w:p>
    <w:p>
      <w:pPr>
        <w:spacing w:after="0" w:line="100" w:lineRule="exact"/>
        <w:rPr>
          <w:sz w:val="20"/>
          <w:szCs w:val="20"/>
          <w:color w:val="auto"/>
        </w:rPr>
      </w:pPr>
    </w:p>
    <w:p>
      <w:pPr>
        <w:ind w:left="8" w:right="2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and the United States Treasury Department regulations promulgated thereunder, as amended from time to time.</w:t>
      </w:r>
    </w:p>
    <w:p>
      <w:pPr>
        <w:sectPr>
          <w:pgSz w:w="11900" w:h="16838" w:orient="portrait"/>
          <w:cols w:equalWidth="0" w:num="1">
            <w:col w:w="10928"/>
          </w:cols>
          <w:pgMar w:left="472" w:top="1440" w:right="499" w:bottom="1440" w:gutter="0" w:footer="0" w:header="0"/>
        </w:sectPr>
      </w:pPr>
    </w:p>
    <w:bookmarkStart w:id="58" w:name="page59"/>
    <w:bookmarkEnd w:id="58"/>
    <w:p>
      <w:pPr>
        <w:spacing w:after="0" w:line="207"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the “Collateral” as defined in the Security Agreement and all the “Collateral” or “Pledged Collateral” (or equivalent term) as defined in any other Collateral Document and any other assets pledged pursuant to any Collateral Document, but in any event excluding Excluded Assets.</w:t>
      </w:r>
    </w:p>
    <w:p>
      <w:pPr>
        <w:spacing w:after="0" w:line="198"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and Guarantee Requirement</w:t>
      </w:r>
      <w:r>
        <w:rPr>
          <w:rFonts w:ascii="Arial" w:cs="Arial" w:eastAsia="Arial" w:hAnsi="Arial"/>
          <w:sz w:val="18"/>
          <w:szCs w:val="18"/>
          <w:color w:val="auto"/>
        </w:rPr>
        <w:t>” means, at any time, subject to (x) the applicable limitations set forth in this Agreement and/or any other Loan Documents, (y) the time periods (and extensions thereof) set forth in Section 6.11 and Section 6.17 and (z) the terms of any applicable Intercreditor Agreement contemplated hereby, the requirement that:</w:t>
      </w:r>
    </w:p>
    <w:p>
      <w:pPr>
        <w:spacing w:after="0" w:line="202" w:lineRule="exact"/>
        <w:rPr>
          <w:sz w:val="20"/>
          <w:szCs w:val="20"/>
          <w:color w:val="auto"/>
        </w:rPr>
      </w:pPr>
    </w:p>
    <w:p>
      <w:pPr>
        <w:jc w:val="both"/>
        <w:ind w:left="640" w:firstLine="648"/>
        <w:spacing w:after="0" w:line="259" w:lineRule="auto"/>
        <w:tabs>
          <w:tab w:leader="none" w:pos="17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Administrative Agent shall have received each Collateral Document required to be delivered (i) on the Original Closing Date and (ii) at such time as may be designated therein, pursuant to the Collateral Documents or Sections 2.18, 6.11 or 6.13, subject, in each case, to the limitations and exceptions of this Agreement and the Collateral Documents, duly executed by each Loan Party party thereto;</w:t>
      </w:r>
    </w:p>
    <w:p>
      <w:pPr>
        <w:spacing w:after="0" w:line="187" w:lineRule="exact"/>
        <w:rPr>
          <w:rFonts w:ascii="Arial" w:cs="Arial" w:eastAsia="Arial" w:hAnsi="Arial"/>
          <w:sz w:val="16"/>
          <w:szCs w:val="16"/>
          <w:color w:val="auto"/>
        </w:rPr>
      </w:pPr>
    </w:p>
    <w:p>
      <w:pPr>
        <w:jc w:val="both"/>
        <w:ind w:left="640" w:right="20" w:firstLine="648"/>
        <w:spacing w:after="0" w:line="224" w:lineRule="auto"/>
        <w:tabs>
          <w:tab w:leader="none" w:pos="17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Secured Obligations (i) of the Borrowers shall have been unconditionally guaranteed by each Restricted Subsidiary of the Parent Borrower (other than a Borrower) that is then required to be a Guarantor and (ii) of any Borrower shall have been unconditionally guaranteed by each other Borrower;</w:t>
      </w:r>
    </w:p>
    <w:p>
      <w:pPr>
        <w:spacing w:after="0" w:line="203" w:lineRule="exact"/>
        <w:rPr>
          <w:rFonts w:ascii="Arial" w:cs="Arial" w:eastAsia="Arial" w:hAnsi="Arial"/>
          <w:sz w:val="18"/>
          <w:szCs w:val="18"/>
          <w:color w:val="auto"/>
        </w:rPr>
      </w:pPr>
    </w:p>
    <w:p>
      <w:pPr>
        <w:jc w:val="both"/>
        <w:ind w:left="640" w:firstLine="648"/>
        <w:spacing w:after="0" w:line="215" w:lineRule="auto"/>
        <w:tabs>
          <w:tab w:leader="none" w:pos="17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Secured Obligations and the Guaranty shall have been secured by a first-priority security interest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 (i) all of the Equity Interests of each wholly-owned Material Domestic Subsidiary (other than a Domestic Subsidiary described in the following </w:t>
      </w:r>
      <w:r>
        <w:rPr>
          <w:rFonts w:ascii="Arial" w:cs="Arial" w:eastAsia="Arial" w:hAnsi="Arial"/>
          <w:sz w:val="18"/>
          <w:szCs w:val="18"/>
          <w:u w:val="single" w:color="auto"/>
          <w:color w:val="auto"/>
        </w:rPr>
        <w:t>clause (ii)</w:t>
      </w:r>
      <w:r>
        <w:rPr>
          <w:rFonts w:ascii="Arial" w:cs="Arial" w:eastAsia="Arial" w:hAnsi="Arial"/>
          <w:sz w:val="18"/>
          <w:szCs w:val="18"/>
          <w:color w:val="auto"/>
        </w:rPr>
        <w:t>) directly owned by any Borrower or any Guarantor, (ii) 65% of the issued and outstanding voting Equity Interests and 100% of the non-voting Equity Interests of each Restricted Subsidiary that is a wholly-owned Material Domestic Subsidiary that is directly owned by any Borrower or by any Guarantor that is a CFC Holdco and (iii) 65% of the issued and outstanding voting Equity Interests and 100% of the non-voting Equity Interests of each CFC that is a Restricted Subsidiary that is a wholly-owned Material Foreign Subsidiary that is directly owned by any Borrower or by any Guarantor, in each case other than constituting Excluded Assets pursuant to clause (vi)(D) of the definition thereof;</w:t>
      </w:r>
    </w:p>
    <w:p>
      <w:pPr>
        <w:spacing w:after="0" w:line="190" w:lineRule="exact"/>
        <w:rPr>
          <w:rFonts w:ascii="Arial" w:cs="Arial" w:eastAsia="Arial" w:hAnsi="Arial"/>
          <w:sz w:val="18"/>
          <w:szCs w:val="18"/>
          <w:color w:val="auto"/>
        </w:rPr>
      </w:pPr>
    </w:p>
    <w:p>
      <w:pPr>
        <w:jc w:val="both"/>
        <w:ind w:left="640" w:right="20" w:firstLine="648"/>
        <w:spacing w:after="0" w:line="227" w:lineRule="auto"/>
        <w:tabs>
          <w:tab w:leader="none" w:pos="1792"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except to the extent otherwise provided hereunder, including subject to Liens permitted by Section 7.01, or under any Collateral Document, the Secured Obligations and the Guaranty shall have been secured by a perfected first-priority security interest (to the extent such security interest may be perfected by delivering certificated securities, filing financing statements under the Uniform Commercial Code or making any necessary filings with the United States Patent and Trademark Office or United States Copyright Office, or, to the extent required in the Security Agreement (or any other Collateral Document) or this Agreement) in the Collateral of any Borrower and each Guarantor (including accounts receivable (other than any Securitization Assets subject to a Qualified Securitization Financing), intercompany obligations, inventory, equipment, investment property, contract rights, applications and registrations of material intellectual property filed in the United States, other general intangibles and proceeds of the foregoing), in each case, (i) with the priority required by the Loan Documents and (ii) subject to exceptions and limitations otherwise set forth in this Agreement (for the avoidance of doubt, including the limitations and exceptions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and the Collateral Documents;</w:t>
      </w:r>
    </w:p>
    <w:p>
      <w:pPr>
        <w:spacing w:after="0" w:line="203"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the foregoing definition shall not require, and the Loan Documents shall not contain any requirements as to, the creation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perfection of pledges of, security interests in, mortgages on, or the obtaining of title insurance, surveys, abstracts or appraisals or taking other actions</w:t>
      </w:r>
    </w:p>
    <w:p>
      <w:pPr>
        <w:jc w:val="both"/>
        <w:ind w:right="20"/>
        <w:spacing w:after="0" w:line="234" w:lineRule="auto"/>
        <w:rPr>
          <w:sz w:val="20"/>
          <w:szCs w:val="20"/>
          <w:color w:val="auto"/>
        </w:rPr>
      </w:pPr>
      <w:r>
        <w:rPr>
          <w:rFonts w:ascii="Arial" w:cs="Arial" w:eastAsia="Arial" w:hAnsi="Arial"/>
          <w:sz w:val="16"/>
          <w:szCs w:val="16"/>
          <w:color w:val="auto"/>
        </w:rPr>
        <w:t>with respect to any Excluded Assets (or take any other actions which are expressly not required pursuant to the definition thereof), (ii) no Loan Party shall be required to prepare or procure any environmental surveys or reports with respect to the real property of any Loan Party or Restricted Subsidiary and (iii) the Liens required to be granted from time to time pursuant to the Collateral and Guarantee Requirement shall be subject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exceptions and limitations set forth in this Agreement and the Collateral Documents.</w:t>
      </w:r>
    </w:p>
    <w:p>
      <w:pPr>
        <w:spacing w:after="0" w:line="19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Administrative Agent may grant extensions of time for the perfection of security interests in particular assets and the delivery of assets (including extensions beyond the Closing Date for the perfection of security</w:t>
      </w:r>
    </w:p>
    <w:p>
      <w:pPr>
        <w:sectPr>
          <w:pgSz w:w="11900" w:h="16838" w:orient="portrait"/>
          <w:cols w:equalWidth="0" w:num="1">
            <w:col w:w="10900"/>
          </w:cols>
          <w:pgMar w:left="480" w:top="1440" w:right="519" w:bottom="1440" w:gutter="0" w:footer="0" w:header="0"/>
        </w:sectPr>
      </w:pPr>
    </w:p>
    <w:bookmarkStart w:id="59" w:name="page60"/>
    <w:bookmarkEnd w:id="59"/>
    <w:p>
      <w:pPr>
        <w:spacing w:after="0" w:line="211" w:lineRule="exact"/>
        <w:rPr>
          <w:sz w:val="20"/>
          <w:szCs w:val="20"/>
          <w:color w:val="auto"/>
        </w:rPr>
      </w:pPr>
    </w:p>
    <w:p>
      <w:pPr>
        <w:jc w:val="both"/>
        <w:ind w:right="180"/>
        <w:spacing w:after="0" w:line="237" w:lineRule="auto"/>
        <w:rPr>
          <w:sz w:val="20"/>
          <w:szCs w:val="20"/>
          <w:color w:val="auto"/>
        </w:rPr>
      </w:pPr>
      <w:r>
        <w:rPr>
          <w:rFonts w:ascii="Arial" w:cs="Arial" w:eastAsia="Arial" w:hAnsi="Arial"/>
          <w:sz w:val="17"/>
          <w:szCs w:val="17"/>
          <w:color w:val="auto"/>
        </w:rPr>
        <w:t>interests in the assets of the Loan Parties on such date) or any other compliance with the requirements of this definition where it reasonably determines, in consultation with the Administrative Borrower, that perfection or compliance cannot be accomplished without undue effort or expense by the time or times at which it would otherwise be required by this Agreement, the Collateral Documents or the other Loan Documents.</w:t>
      </w:r>
    </w:p>
    <w:p>
      <w:pPr>
        <w:spacing w:after="0" w:line="204" w:lineRule="exact"/>
        <w:rPr>
          <w:sz w:val="20"/>
          <w:szCs w:val="20"/>
          <w:color w:val="auto"/>
        </w:rPr>
      </w:pPr>
    </w:p>
    <w:p>
      <w:pPr>
        <w:jc w:val="both"/>
        <w:ind w:right="180" w:firstLine="648"/>
        <w:spacing w:after="0" w:line="241" w:lineRule="auto"/>
        <w:rPr>
          <w:sz w:val="20"/>
          <w:szCs w:val="20"/>
          <w:color w:val="auto"/>
        </w:rPr>
      </w:pPr>
      <w:r>
        <w:rPr>
          <w:rFonts w:ascii="Arial" w:cs="Arial" w:eastAsia="Arial" w:hAnsi="Arial"/>
          <w:sz w:val="16"/>
          <w:szCs w:val="16"/>
          <w:color w:val="auto"/>
        </w:rPr>
        <w:t>No actions in any non-U.S. jurisdiction or required by the Laws of any non-U.S. jurisdiction shall be required in order to create any security interests in assets located or titled outside of the U.S. or to perfect such security interests, including any intellectual property registered in any non-U.S. jurisdiction (it being understood that there shall be no security agreements or pledge agreements governed under the Laws of any non-U.S. jurisdiction</w:t>
      </w:r>
    </w:p>
    <w:p>
      <w:pPr>
        <w:spacing w:after="0" w:line="2" w:lineRule="exact"/>
        <w:rPr>
          <w:sz w:val="20"/>
          <w:szCs w:val="20"/>
          <w:color w:val="auto"/>
        </w:rPr>
      </w:pPr>
    </w:p>
    <w:p>
      <w:pPr>
        <w:jc w:val="both"/>
        <w:ind w:right="180"/>
        <w:spacing w:after="0" w:line="234" w:lineRule="auto"/>
        <w:rPr>
          <w:sz w:val="20"/>
          <w:szCs w:val="20"/>
          <w:color w:val="auto"/>
        </w:rPr>
      </w:pPr>
      <w:r>
        <w:rPr>
          <w:rFonts w:ascii="Arial" w:cs="Arial" w:eastAsia="Arial" w:hAnsi="Arial"/>
          <w:sz w:val="16"/>
          <w:szCs w:val="16"/>
          <w:color w:val="auto"/>
        </w:rPr>
        <w:t>or any requirement to make any filings in any foreign jurisdiction, including with respect to foreign intellectual property). No actions shall be required with respect to Collateral requiring perfection through control agreements or perfection by “control” (as defined in the UCC) (including deposit accounts or other bank accounts or securities accounts), other than in respect of (x) promissory notes and other evidences of Indebtedness owed to a</w:t>
      </w:r>
    </w:p>
    <w:p>
      <w:pPr>
        <w:spacing w:after="0" w:line="2" w:lineRule="exact"/>
        <w:rPr>
          <w:sz w:val="20"/>
          <w:szCs w:val="20"/>
          <w:color w:val="auto"/>
        </w:rPr>
      </w:pPr>
    </w:p>
    <w:p>
      <w:pPr>
        <w:jc w:val="both"/>
        <w:ind w:right="180"/>
        <w:spacing w:after="0" w:line="234" w:lineRule="auto"/>
        <w:rPr>
          <w:sz w:val="20"/>
          <w:szCs w:val="20"/>
          <w:color w:val="auto"/>
        </w:rPr>
      </w:pPr>
      <w:r>
        <w:rPr>
          <w:rFonts w:ascii="Arial" w:cs="Arial" w:eastAsia="Arial" w:hAnsi="Arial"/>
          <w:sz w:val="16"/>
          <w:szCs w:val="16"/>
          <w:color w:val="auto"/>
        </w:rPr>
        <w:t>Loan Party and required to be pledged pursuant to the Collateral Documents and (y) certificated Equity Interests of the Borrowers (other than the Parent Borrower) and wholly-owned Restricted Subsidiaries that are Material Subsidiaries or Guarantors directly owned by any Borrower or by any Guarantor otherwise required to be pledged pursuant to the provisions of clause (c) of this definition of “Collateral and Guarantee Requirement” and</w:t>
      </w:r>
    </w:p>
    <w:p>
      <w:pPr>
        <w:spacing w:after="0" w:line="2" w:lineRule="exact"/>
        <w:rPr>
          <w:sz w:val="20"/>
          <w:szCs w:val="20"/>
          <w:color w:val="auto"/>
        </w:rPr>
      </w:pPr>
    </w:p>
    <w:p>
      <w:pPr>
        <w:jc w:val="both"/>
        <w:ind w:right="180"/>
        <w:spacing w:after="0" w:line="231" w:lineRule="auto"/>
        <w:rPr>
          <w:sz w:val="20"/>
          <w:szCs w:val="20"/>
          <w:color w:val="auto"/>
        </w:rPr>
      </w:pPr>
      <w:r>
        <w:rPr>
          <w:rFonts w:ascii="Arial" w:cs="Arial" w:eastAsia="Arial" w:hAnsi="Arial"/>
          <w:sz w:val="17"/>
          <w:szCs w:val="17"/>
          <w:color w:val="auto"/>
        </w:rPr>
        <w:t>not otherwise constituting an Excluded Asset. No Loan Party shall be required to comply with the Federal Assignment of Claims Act of 1940, as amended from time to time (31 U.S.C. § 3727 et seq.), or any similar statute. The foregoing definition shall not require nor shall it permit the Administrative Agent to enter into any source code escrow arrangement or register or apply to register any intellectual property.</w:t>
      </w:r>
    </w:p>
    <w:p>
      <w:pPr>
        <w:spacing w:after="0" w:line="203" w:lineRule="exact"/>
        <w:rPr>
          <w:sz w:val="20"/>
          <w:szCs w:val="20"/>
          <w:color w:val="auto"/>
        </w:rPr>
      </w:pPr>
    </w:p>
    <w:p>
      <w:pPr>
        <w:jc w:val="both"/>
        <w:ind w:right="180" w:firstLine="648"/>
        <w:spacing w:after="0" w:line="248" w:lineRule="auto"/>
        <w:rPr>
          <w:sz w:val="20"/>
          <w:szCs w:val="20"/>
          <w:color w:val="auto"/>
        </w:rPr>
      </w:pPr>
      <w:r>
        <w:rPr>
          <w:rFonts w:ascii="Arial" w:cs="Arial" w:eastAsia="Arial" w:hAnsi="Arial"/>
          <w:sz w:val="16"/>
          <w:szCs w:val="16"/>
          <w:color w:val="auto"/>
        </w:rPr>
        <w:t>Notwithstanding any of the foregoing, the Borrowers may cause any Subsidiary that is a Restricted Subsidiary and is not otherwise required to be a Guarantor to Guarantee the Obligations in accordance with the last sentence of the definition of “Guarantor” in which case such entity shall be</w:t>
      </w:r>
    </w:p>
    <w:p>
      <w:pPr>
        <w:spacing w:after="0"/>
        <w:rPr>
          <w:sz w:val="20"/>
          <w:szCs w:val="20"/>
          <w:color w:val="auto"/>
        </w:rPr>
      </w:pPr>
      <w:r>
        <w:rPr>
          <w:rFonts w:ascii="Arial" w:cs="Arial" w:eastAsia="Arial" w:hAnsi="Arial"/>
          <w:sz w:val="18"/>
          <w:szCs w:val="18"/>
          <w:color w:val="auto"/>
        </w:rPr>
        <w:t>treated as a Guarantor hereunder for all purposes.</w:t>
      </w:r>
    </w:p>
    <w:p>
      <w:pPr>
        <w:spacing w:after="0" w:line="192"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Documents</w:t>
      </w:r>
      <w:r>
        <w:rPr>
          <w:rFonts w:ascii="Arial" w:cs="Arial" w:eastAsia="Arial" w:hAnsi="Arial"/>
          <w:sz w:val="16"/>
          <w:szCs w:val="16"/>
          <w:color w:val="auto"/>
        </w:rPr>
        <w:t>” means, collectively, the Security Agreement, the Intellectual Property Security Agreements, collateral assignments, Security Agreement Supplements, security agreements, pledge agreements, intellectual property security agreements or other similar agreements</w:t>
      </w:r>
    </w:p>
    <w:p>
      <w:pPr>
        <w:spacing w:after="0" w:line="1" w:lineRule="exact"/>
        <w:rPr>
          <w:sz w:val="20"/>
          <w:szCs w:val="20"/>
          <w:color w:val="auto"/>
        </w:rPr>
      </w:pPr>
    </w:p>
    <w:p>
      <w:pPr>
        <w:jc w:val="both"/>
        <w:ind w:right="180"/>
        <w:spacing w:after="0" w:line="268" w:lineRule="auto"/>
        <w:rPr>
          <w:sz w:val="20"/>
          <w:szCs w:val="20"/>
          <w:color w:val="auto"/>
        </w:rPr>
      </w:pPr>
      <w:r>
        <w:rPr>
          <w:rFonts w:ascii="Arial" w:cs="Arial" w:eastAsia="Arial" w:hAnsi="Arial"/>
          <w:sz w:val="16"/>
          <w:szCs w:val="16"/>
          <w:color w:val="auto"/>
        </w:rPr>
        <w:t>delivered to the Administrative Agent pursuant to Section 2.18, Section 4.01(a)(v), Section 6.11 or Section 6.13 and each of the other agreements, instruments or documents that creates or purports to create a Lien in favor of the Administrative Agent for the benefit of the Secured Parties.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w:t>
      </w:r>
      <w:r>
        <w:rPr>
          <w:rFonts w:ascii="Arial" w:cs="Arial" w:eastAsia="Arial" w:hAnsi="Arial"/>
          <w:sz w:val="16"/>
          <w:szCs w:val="16"/>
          <w:color w:val="auto"/>
        </w:rPr>
        <w:t>” means a Revolving Credit Commitment or Term Commitment, as the context may require. “</w:t>
      </w:r>
      <w:r>
        <w:rPr>
          <w:rFonts w:ascii="Arial" w:cs="Arial" w:eastAsia="Arial" w:hAnsi="Arial"/>
          <w:sz w:val="16"/>
          <w:szCs w:val="16"/>
          <w:b w:val="1"/>
          <w:bCs w:val="1"/>
          <w:color w:val="auto"/>
        </w:rPr>
        <w:t>Committed Loan Notice</w:t>
      </w:r>
      <w:r>
        <w:rPr>
          <w:rFonts w:ascii="Arial" w:cs="Arial" w:eastAsia="Arial" w:hAnsi="Arial"/>
          <w:sz w:val="16"/>
          <w:szCs w:val="16"/>
          <w:color w:val="auto"/>
        </w:rPr>
        <w:t>” means a</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notice of (a) a Borrowing, (b) a conversion of Loans from one Type</w:t>
      </w:r>
    </w:p>
    <w:p>
      <w:pPr>
        <w:spacing w:after="0" w:line="131" w:lineRule="exact"/>
        <w:rPr>
          <w:sz w:val="20"/>
          <w:szCs w:val="20"/>
          <w:color w:val="auto"/>
        </w:rPr>
      </w:pPr>
    </w:p>
    <w:p>
      <w:pPr>
        <w:jc w:val="both"/>
        <w:ind w:right="180"/>
        <w:spacing w:after="0" w:line="248" w:lineRule="auto"/>
        <w:rPr>
          <w:sz w:val="20"/>
          <w:szCs w:val="20"/>
          <w:color w:val="auto"/>
        </w:rPr>
      </w:pPr>
      <w:r>
        <w:rPr>
          <w:rFonts w:ascii="Arial" w:cs="Arial" w:eastAsia="Arial" w:hAnsi="Arial"/>
          <w:sz w:val="16"/>
          <w:szCs w:val="16"/>
          <w:color w:val="auto"/>
        </w:rPr>
        <w:t xml:space="preserve">to the other, or (c) a continuation of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pursuant to Section 2.02(a),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such other form as may be approved by the Administrative Agent and agreed by the Administrative Borrower (including</w:t>
      </w:r>
    </w:p>
    <w:p>
      <w:pPr>
        <w:jc w:val="both"/>
        <w:ind w:right="180"/>
        <w:spacing w:after="0" w:line="226" w:lineRule="auto"/>
        <w:rPr>
          <w:sz w:val="20"/>
          <w:szCs w:val="20"/>
          <w:color w:val="auto"/>
        </w:rPr>
      </w:pPr>
      <w:r>
        <w:rPr>
          <w:rFonts w:ascii="Arial" w:cs="Arial" w:eastAsia="Arial" w:hAnsi="Arial"/>
          <w:sz w:val="18"/>
          <w:szCs w:val="18"/>
          <w:color w:val="auto"/>
        </w:rPr>
        <w:t>any form on an electronic platform or electronic transmission system as shall be approved by the Administrative Agent and agreed by the Administrative Borrower), appropriately completed and signed by a Responsible Officer of the Administrative Borrower.</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xml:space="preserve"> means the Commodity Exchange Act (7 U.S.C. § 1 et seq.), as amended from time to time, and any successor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Period</w:t>
      </w:r>
      <w:r>
        <w:rPr>
          <w:rFonts w:ascii="Arial" w:cs="Arial" w:eastAsia="Arial" w:hAnsi="Arial"/>
          <w:sz w:val="18"/>
          <w:szCs w:val="18"/>
          <w:color w:val="auto"/>
        </w:rPr>
        <w:t>” has the meaning specified in Section 2.12(b)(ii).</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hereto. “</w:t>
      </w:r>
      <w:r>
        <w:rPr>
          <w:rFonts w:ascii="Arial" w:cs="Arial" w:eastAsia="Arial" w:hAnsi="Arial"/>
          <w:sz w:val="17"/>
          <w:szCs w:val="17"/>
          <w:b w:val="1"/>
          <w:bCs w:val="1"/>
          <w:color w:val="auto"/>
        </w:rPr>
        <w:t>Consolidated Cash Interest Expense</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means, for any period, the sum, without duplication, of</w:t>
      </w:r>
    </w:p>
    <w:p>
      <w:pPr>
        <w:spacing w:after="0" w:line="104" w:lineRule="exact"/>
        <w:rPr>
          <w:sz w:val="20"/>
          <w:szCs w:val="20"/>
          <w:color w:val="auto"/>
        </w:rPr>
      </w:pPr>
    </w:p>
    <w:p>
      <w:pPr>
        <w:ind w:left="640" w:right="840" w:firstLine="736"/>
        <w:spacing w:after="0" w:line="235" w:lineRule="auto"/>
        <w:tabs>
          <w:tab w:leader="none" w:pos="17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cash interest expense (including that attributable to Capitalized Leases), net of cash interest income, of the Parent Borrower and the Restricted Subsidiaries, determined on a consolidated basis</w:t>
      </w:r>
    </w:p>
    <w:p>
      <w:pPr>
        <w:sectPr>
          <w:pgSz w:w="11900" w:h="16838" w:orient="portrait"/>
          <w:cols w:equalWidth="0" w:num="1">
            <w:col w:w="11060"/>
          </w:cols>
          <w:pgMar w:left="480" w:top="1440" w:right="359" w:bottom="1440" w:gutter="0" w:footer="0" w:header="0"/>
        </w:sectPr>
      </w:pPr>
    </w:p>
    <w:bookmarkStart w:id="60" w:name="page61"/>
    <w:bookmarkEnd w:id="60"/>
    <w:p>
      <w:pPr>
        <w:spacing w:after="0" w:line="211" w:lineRule="exact"/>
        <w:rPr>
          <w:sz w:val="20"/>
          <w:szCs w:val="20"/>
          <w:color w:val="auto"/>
        </w:rPr>
      </w:pPr>
    </w:p>
    <w:p>
      <w:pPr>
        <w:jc w:val="both"/>
        <w:ind w:left="640" w:right="20"/>
        <w:spacing w:after="0" w:line="224" w:lineRule="auto"/>
        <w:rPr>
          <w:sz w:val="20"/>
          <w:szCs w:val="20"/>
          <w:color w:val="auto"/>
        </w:rPr>
      </w:pPr>
      <w:r>
        <w:rPr>
          <w:rFonts w:ascii="Arial" w:cs="Arial" w:eastAsia="Arial" w:hAnsi="Arial"/>
          <w:sz w:val="18"/>
          <w:szCs w:val="18"/>
          <w:color w:val="auto"/>
        </w:rPr>
        <w:t>in accordance with GAAP, with respect to all outstanding Indebtedness of the Borrowers and the Restricted Subsidiaries, including all commissions, discounts and other fees and charges owed with respect to letters of credit and bankers’ acceptance financing and net cash costs (net of payments received) under interest rate Swap Contracts with respect to Indebtedness,</w:t>
      </w:r>
    </w:p>
    <w:p>
      <w:pPr>
        <w:spacing w:after="0" w:line="203" w:lineRule="exact"/>
        <w:rPr>
          <w:sz w:val="20"/>
          <w:szCs w:val="20"/>
          <w:color w:val="auto"/>
        </w:rPr>
      </w:pPr>
    </w:p>
    <w:p>
      <w:pPr>
        <w:ind w:left="1800" w:hanging="474"/>
        <w:spacing w:after="0"/>
        <w:tabs>
          <w:tab w:leader="none" w:pos="18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cash payments made during such period in respect of the accretion or accrual of discounted liabilities referred to in clause</w:t>
      </w:r>
    </w:p>
    <w:p>
      <w:pPr>
        <w:spacing w:after="0" w:line="7" w:lineRule="exact"/>
        <w:rPr>
          <w:rFonts w:ascii="Arial" w:cs="Arial" w:eastAsia="Arial" w:hAnsi="Arial"/>
          <w:sz w:val="16"/>
          <w:szCs w:val="16"/>
          <w:color w:val="auto"/>
        </w:rPr>
      </w:pPr>
    </w:p>
    <w:p>
      <w:pPr>
        <w:ind w:left="900" w:hanging="260"/>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below relating to Funded Debt that were amortized or accrued in a previous period, and</w:t>
      </w:r>
    </w:p>
    <w:p>
      <w:pPr>
        <w:spacing w:after="0" w:line="195" w:lineRule="exact"/>
        <w:rPr>
          <w:rFonts w:ascii="Arial" w:cs="Arial" w:eastAsia="Arial" w:hAnsi="Arial"/>
          <w:sz w:val="18"/>
          <w:szCs w:val="18"/>
          <w:color w:val="auto"/>
        </w:rPr>
      </w:pPr>
    </w:p>
    <w:p>
      <w:pPr>
        <w:jc w:val="both"/>
        <w:ind w:left="640" w:right="20" w:firstLine="637"/>
        <w:spacing w:after="0" w:line="229" w:lineRule="auto"/>
        <w:tabs>
          <w:tab w:leader="none" w:pos="17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Restricted Payment made pursuant to Section 7.06(b)(xx)(A) the proceeds of which are used to make payments in respect of Indebtedness which payments would constitute Consolidated Cash Interest Expense if such Indebtedness was Indebtedness of the Parent Borrower;</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there shall be excluded from Consolidated Cash Interest Expense for any period:</w:t>
      </w:r>
    </w:p>
    <w:p>
      <w:pPr>
        <w:spacing w:after="0" w:line="225" w:lineRule="exact"/>
        <w:rPr>
          <w:sz w:val="20"/>
          <w:szCs w:val="20"/>
          <w:color w:val="auto"/>
        </w:rPr>
      </w:pPr>
    </w:p>
    <w:p>
      <w:pPr>
        <w:ind w:left="640" w:right="20" w:firstLine="648"/>
        <w:spacing w:after="0" w:line="246" w:lineRule="auto"/>
        <w:tabs>
          <w:tab w:leader="none" w:pos="17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deferred financing costs, debt issuance costs, commissions, fees (including amendment and contract fees) and expenses and, in each case, the amortization thereof, and any other amounts of non-cash interest,</w:t>
      </w:r>
    </w:p>
    <w:p>
      <w:pPr>
        <w:spacing w:after="0" w:line="183" w:lineRule="exact"/>
        <w:rPr>
          <w:rFonts w:ascii="Arial" w:cs="Arial" w:eastAsia="Arial" w:hAnsi="Arial"/>
          <w:sz w:val="18"/>
          <w:szCs w:val="18"/>
          <w:color w:val="auto"/>
        </w:rPr>
      </w:pPr>
    </w:p>
    <w:p>
      <w:pPr>
        <w:ind w:left="1800" w:hanging="512"/>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accretion or accrual of discounted liabilities and any prepayment premium or penalty during such period,</w:t>
      </w:r>
    </w:p>
    <w:p>
      <w:pPr>
        <w:spacing w:after="0" w:line="225" w:lineRule="exact"/>
        <w:rPr>
          <w:rFonts w:ascii="Arial" w:cs="Arial" w:eastAsia="Arial" w:hAnsi="Arial"/>
          <w:sz w:val="18"/>
          <w:szCs w:val="18"/>
          <w:color w:val="auto"/>
        </w:rPr>
      </w:pPr>
    </w:p>
    <w:p>
      <w:pPr>
        <w:ind w:left="640" w:right="20" w:firstLine="648"/>
        <w:spacing w:after="0" w:line="235" w:lineRule="auto"/>
        <w:tabs>
          <w:tab w:leader="none" w:pos="17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non-cash interest expense attributable to the movement of the mark-to-market valuation of obligations under Swap Contracts or other derivative instruments pursuant to FASB Accounting Standards Codification Topic 815,</w:t>
      </w:r>
    </w:p>
    <w:p>
      <w:pPr>
        <w:spacing w:after="0" w:line="267" w:lineRule="exact"/>
        <w:rPr>
          <w:rFonts w:ascii="Arial" w:cs="Arial" w:eastAsia="Arial" w:hAnsi="Arial"/>
          <w:sz w:val="18"/>
          <w:szCs w:val="18"/>
          <w:color w:val="auto"/>
        </w:rPr>
      </w:pPr>
    </w:p>
    <w:p>
      <w:pPr>
        <w:ind w:left="1940" w:hanging="652"/>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cash costs associated with breakage in respect of hedging agreements for interest</w:t>
      </w:r>
    </w:p>
    <w:p>
      <w:pPr>
        <w:ind w:left="640"/>
        <w:spacing w:after="0"/>
        <w:rPr>
          <w:sz w:val="20"/>
          <w:szCs w:val="20"/>
          <w:color w:val="auto"/>
        </w:rPr>
      </w:pPr>
      <w:r>
        <w:rPr>
          <w:rFonts w:ascii="Arial" w:cs="Arial" w:eastAsia="Arial" w:hAnsi="Arial"/>
          <w:sz w:val="18"/>
          <w:szCs w:val="18"/>
          <w:color w:val="auto"/>
        </w:rPr>
        <w:t>rates,</w:t>
      </w:r>
    </w:p>
    <w:p>
      <w:pPr>
        <w:spacing w:after="0" w:line="277" w:lineRule="exact"/>
        <w:rPr>
          <w:sz w:val="20"/>
          <w:szCs w:val="20"/>
          <w:color w:val="auto"/>
        </w:rPr>
      </w:pPr>
    </w:p>
    <w:p>
      <w:pPr>
        <w:ind w:left="640" w:right="20" w:firstLine="648"/>
        <w:spacing w:after="0" w:line="246" w:lineRule="auto"/>
        <w:tabs>
          <w:tab w:leader="none" w:pos="17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cash interest expense consisting of (x) liquidated damages for failure to timely comply with registration rights obligations and (y) one-time financing fees, all as calculated on a consolidated basis in accordance with GAAP,</w:t>
      </w:r>
    </w:p>
    <w:p>
      <w:pPr>
        <w:spacing w:after="0" w:line="183" w:lineRule="exact"/>
        <w:rPr>
          <w:rFonts w:ascii="Arial" w:cs="Arial" w:eastAsia="Arial" w:hAnsi="Arial"/>
          <w:sz w:val="18"/>
          <w:szCs w:val="18"/>
          <w:color w:val="auto"/>
        </w:rPr>
      </w:pPr>
    </w:p>
    <w:p>
      <w:pPr>
        <w:ind w:left="1940" w:hanging="652"/>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Transaction Expenses,</w:t>
      </w:r>
    </w:p>
    <w:p>
      <w:pPr>
        <w:spacing w:after="0" w:line="225" w:lineRule="exact"/>
        <w:rPr>
          <w:rFonts w:ascii="Arial" w:cs="Arial" w:eastAsia="Arial" w:hAnsi="Arial"/>
          <w:sz w:val="18"/>
          <w:szCs w:val="18"/>
          <w:color w:val="auto"/>
        </w:rPr>
      </w:pPr>
    </w:p>
    <w:p>
      <w:pPr>
        <w:ind w:left="1800" w:hanging="512"/>
        <w:spacing w:after="0"/>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annual agency fees paid to administrative agents and collateral agents under any credit facilities or other debt instruments or</w:t>
      </w:r>
    </w:p>
    <w:p>
      <w:pPr>
        <w:spacing w:after="0" w:line="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09" w:lineRule="exact"/>
        <w:rPr>
          <w:rFonts w:ascii="Arial" w:cs="Arial" w:eastAsia="Arial" w:hAnsi="Arial"/>
          <w:sz w:val="16"/>
          <w:szCs w:val="16"/>
          <w:color w:val="auto"/>
        </w:rPr>
      </w:pPr>
    </w:p>
    <w:p>
      <w:pPr>
        <w:ind w:left="1940" w:hanging="652"/>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associated with obtaining Swap Contracts,</w:t>
      </w:r>
    </w:p>
    <w:p>
      <w:pPr>
        <w:spacing w:after="0" w:line="225" w:lineRule="exact"/>
        <w:rPr>
          <w:rFonts w:ascii="Arial" w:cs="Arial" w:eastAsia="Arial" w:hAnsi="Arial"/>
          <w:sz w:val="18"/>
          <w:szCs w:val="18"/>
          <w:color w:val="auto"/>
        </w:rPr>
      </w:pPr>
    </w:p>
    <w:p>
      <w:pPr>
        <w:ind w:left="640" w:right="20" w:firstLine="648"/>
        <w:spacing w:after="0" w:line="235" w:lineRule="auto"/>
        <w:tabs>
          <w:tab w:leader="none" w:pos="17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expense resulting from the discounting of any Indebtedness in connection with the application of recapitalization accounting or, if applicable, purchase accounting in connection with the Transactions or any acquisition, and</w:t>
      </w:r>
    </w:p>
    <w:p>
      <w:pPr>
        <w:spacing w:after="0" w:line="188" w:lineRule="exact"/>
        <w:rPr>
          <w:rFonts w:ascii="Arial" w:cs="Arial" w:eastAsia="Arial" w:hAnsi="Arial"/>
          <w:sz w:val="18"/>
          <w:szCs w:val="18"/>
          <w:color w:val="auto"/>
        </w:rPr>
      </w:pPr>
    </w:p>
    <w:p>
      <w:pPr>
        <w:ind w:left="640" w:right="20" w:firstLine="648"/>
        <w:spacing w:after="0" w:line="246" w:lineRule="auto"/>
        <w:tabs>
          <w:tab w:leader="none" w:pos="17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commissions, discounts, yield and other fees and charges (including any interest expense) related to any Qualified Securitization Financing.</w:t>
      </w:r>
    </w:p>
    <w:p>
      <w:pPr>
        <w:spacing w:after="0" w:line="197"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Notwithstanding anything to the contrary contained herein, for purposes of determining Consolidated Cash Interest Expense the effects of purchase accounting or recapitalization accounting shall be excluded.</w:t>
      </w:r>
    </w:p>
    <w:p>
      <w:pPr>
        <w:spacing w:after="0" w:line="198"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Depreciation and Amortization Expense</w:t>
      </w:r>
      <w:r>
        <w:rPr>
          <w:rFonts w:ascii="Arial" w:cs="Arial" w:eastAsia="Arial" w:hAnsi="Arial"/>
          <w:sz w:val="16"/>
          <w:szCs w:val="16"/>
          <w:color w:val="auto"/>
        </w:rPr>
        <w:t>” means, with respect to any Person for any period, the total amount of depreciation and amortization expense of such Person and its Restricted Subsidiaries, including the amortization or write-off of (a) intangible assets and non-cash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organization costs, (b) deferred</w:t>
      </w:r>
    </w:p>
    <w:p>
      <w:pPr>
        <w:sectPr>
          <w:pgSz w:w="11900" w:h="16838" w:orient="portrait"/>
          <w:cols w:equalWidth="0" w:num="1">
            <w:col w:w="10900"/>
          </w:cols>
          <w:pgMar w:left="480" w:top="1440" w:right="519" w:bottom="1440" w:gutter="0" w:footer="0" w:header="0"/>
        </w:sectPr>
      </w:pPr>
    </w:p>
    <w:bookmarkStart w:id="61" w:name="page62"/>
    <w:bookmarkEnd w:id="61"/>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financing fees, debt issuance costs, commissions, fees and expenses, bridge, commitment and other financing fees, discounts, yield and other fees and charges, (c) unrecognized prior service costs and actuarial gains and losses related to pensions and other post-employment benefits, (d) Capitalized Software Expenditures, capitalized customer acquisition costs and incentive payments and capitalized conversion costs and contract acquisition costs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(e) favorable or unfavorable lease assets or liabilities of such Person and its Restricted Subsidiaries, for such period on a consolidated basis and otherwise determined in accordance with GAAP.</w:t>
      </w:r>
    </w:p>
    <w:p>
      <w:pPr>
        <w:spacing w:after="0" w:line="184" w:lineRule="exact"/>
        <w:rPr>
          <w:sz w:val="20"/>
          <w:szCs w:val="20"/>
          <w:color w:val="auto"/>
        </w:rPr>
      </w:pPr>
    </w:p>
    <w:p>
      <w:pPr>
        <w:ind w:right="20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with respect to any Person for any period, the Consolidated Net Income of such Person and its Restricted Subsidiaries for such period:</w:t>
      </w:r>
    </w:p>
    <w:p>
      <w:pPr>
        <w:spacing w:after="0" w:line="194" w:lineRule="exact"/>
        <w:rPr>
          <w:sz w:val="20"/>
          <w:szCs w:val="20"/>
          <w:color w:val="auto"/>
        </w:rPr>
      </w:pPr>
    </w:p>
    <w:p>
      <w:pPr>
        <w:jc w:val="both"/>
        <w:ind w:left="640" w:right="20" w:firstLine="648"/>
        <w:spacing w:after="0" w:line="224" w:lineRule="auto"/>
        <w:tabs>
          <w:tab w:leader="none" w:pos="17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(without duplication) by the following, in each case (other than in the case of clauses (a)(vii), (ix) and (xi) below) to the extent deducted (and not added back) in determining Consolidated Net Income, for such period with respect to such Person and its Restricted Subsidiaries:</w:t>
      </w:r>
    </w:p>
    <w:p>
      <w:pPr>
        <w:spacing w:after="0" w:line="203" w:lineRule="exact"/>
        <w:rPr>
          <w:rFonts w:ascii="Arial" w:cs="Arial" w:eastAsia="Arial" w:hAnsi="Arial"/>
          <w:sz w:val="18"/>
          <w:szCs w:val="18"/>
          <w:color w:val="auto"/>
        </w:rPr>
      </w:pPr>
    </w:p>
    <w:p>
      <w:pPr>
        <w:jc w:val="both"/>
        <w:ind w:left="1280" w:right="20" w:firstLine="744"/>
        <w:spacing w:after="0" w:line="227" w:lineRule="auto"/>
        <w:tabs>
          <w:tab w:leader="none" w:pos="2432" w:val="left"/>
        </w:tabs>
        <w:numPr>
          <w:ilvl w:val="1"/>
          <w:numId w:val="32"/>
        </w:numPr>
        <w:rPr>
          <w:rFonts w:ascii="Arial" w:cs="Arial" w:eastAsia="Arial" w:hAnsi="Arial"/>
          <w:sz w:val="17"/>
          <w:szCs w:val="17"/>
          <w:color w:val="auto"/>
        </w:rPr>
      </w:pPr>
      <w:r>
        <w:rPr>
          <w:rFonts w:ascii="Arial" w:cs="Arial" w:eastAsia="Arial" w:hAnsi="Arial"/>
          <w:sz w:val="17"/>
          <w:szCs w:val="17"/>
          <w:color w:val="auto"/>
        </w:rPr>
        <w:t>total interest expense determined in accordance with GAAP (including, to the extent deducted and not added back in computing Consolidated Net Income, (A) amortization of OID resulting from the issuance of Indebtedness at less than par, (B) all commissions, discounts and other fees and charges owed with respect to letters of credit or bankers acceptances,</w:t>
      </w:r>
    </w:p>
    <w:p>
      <w:pPr>
        <w:spacing w:after="0" w:line="1" w:lineRule="exact"/>
        <w:rPr>
          <w:rFonts w:ascii="Arial" w:cs="Arial" w:eastAsia="Arial" w:hAnsi="Arial"/>
          <w:sz w:val="17"/>
          <w:szCs w:val="17"/>
          <w:color w:val="auto"/>
        </w:rPr>
      </w:pPr>
    </w:p>
    <w:p>
      <w:pPr>
        <w:ind w:left="1280" w:right="20"/>
        <w:spacing w:after="0" w:line="203" w:lineRule="auto"/>
        <w:rPr>
          <w:rFonts w:ascii="Arial" w:cs="Arial" w:eastAsia="Arial" w:hAnsi="Arial"/>
          <w:sz w:val="17"/>
          <w:szCs w:val="17"/>
          <w:color w:val="auto"/>
        </w:rPr>
      </w:pPr>
      <w:r>
        <w:rPr>
          <w:rFonts w:ascii="Arial" w:cs="Arial" w:eastAsia="Arial" w:hAnsi="Arial"/>
          <w:sz w:val="18"/>
          <w:szCs w:val="18"/>
          <w:color w:val="auto"/>
        </w:rPr>
        <w:t>(C) non-cash interest payments, (D) the interest component of Capitalized Leases, (E) net payments, if any, pursuant to interest Swap Contracts with respect to Indebtedness,</w:t>
      </w:r>
    </w:p>
    <w:p>
      <w:pPr>
        <w:jc w:val="both"/>
        <w:ind w:left="1280" w:right="20"/>
        <w:spacing w:after="0" w:line="218" w:lineRule="auto"/>
        <w:rPr>
          <w:rFonts w:ascii="Arial" w:cs="Arial" w:eastAsia="Arial" w:hAnsi="Arial"/>
          <w:sz w:val="17"/>
          <w:szCs w:val="17"/>
          <w:color w:val="auto"/>
        </w:rPr>
      </w:pPr>
      <w:r>
        <w:rPr>
          <w:rFonts w:ascii="Arial" w:cs="Arial" w:eastAsia="Arial" w:hAnsi="Arial"/>
          <w:sz w:val="18"/>
          <w:szCs w:val="18"/>
          <w:color w:val="auto"/>
        </w:rPr>
        <w:t xml:space="preserve">(F) amortization of deferred financing fees, debt issuance costs, commissions and fees and (G) the interest component of any pension or other post-employment benefit expense) and, to the extent not reflected in such total interest expense, any losses on hedging obligations or other derivative instruments entered into for the purpose of hedging interest rate risk, net of interest income and gains on such hedging obligations or other derivative instruments, and costs of surety bonds in connection with financing activities (whether amortized or immediately expensed), </w:t>
      </w:r>
      <w:r>
        <w:rPr>
          <w:rFonts w:ascii="Arial" w:cs="Arial" w:eastAsia="Arial" w:hAnsi="Arial"/>
          <w:sz w:val="18"/>
          <w:szCs w:val="18"/>
          <w:u w:val="single" w:color="auto"/>
          <w:color w:val="auto"/>
        </w:rPr>
        <w:t>plus</w:t>
      </w:r>
    </w:p>
    <w:p>
      <w:pPr>
        <w:spacing w:after="0" w:line="272" w:lineRule="exact"/>
        <w:rPr>
          <w:rFonts w:ascii="Arial" w:cs="Arial" w:eastAsia="Arial" w:hAnsi="Arial"/>
          <w:sz w:val="17"/>
          <w:szCs w:val="17"/>
          <w:color w:val="auto"/>
        </w:rPr>
      </w:pPr>
    </w:p>
    <w:p>
      <w:pPr>
        <w:jc w:val="both"/>
        <w:ind w:left="1280" w:right="20" w:firstLine="694"/>
        <w:spacing w:after="0" w:line="245" w:lineRule="auto"/>
        <w:tabs>
          <w:tab w:leader="none" w:pos="2432"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provision for taxes based on income or profits or capital gain, including, federal, state, local, franchise, property and similar taxes and foreign withholding taxes (including any future taxes or other levies which replace or are intended to be in lieu of such taxes and any penalties and interest related to such taxes or arising from tax examinations), </w:t>
      </w:r>
      <w:r>
        <w:rPr>
          <w:rFonts w:ascii="Arial" w:cs="Arial" w:eastAsia="Arial" w:hAnsi="Arial"/>
          <w:sz w:val="17"/>
          <w:szCs w:val="17"/>
          <w:u w:val="single" w:color="auto"/>
          <w:color w:val="auto"/>
        </w:rPr>
        <w:t>plus</w:t>
      </w:r>
    </w:p>
    <w:p>
      <w:pPr>
        <w:spacing w:after="0" w:line="265" w:lineRule="exact"/>
        <w:rPr>
          <w:rFonts w:ascii="Arial" w:cs="Arial" w:eastAsia="Arial" w:hAnsi="Arial"/>
          <w:sz w:val="17"/>
          <w:szCs w:val="17"/>
          <w:color w:val="auto"/>
        </w:rPr>
      </w:pPr>
    </w:p>
    <w:p>
      <w:pPr>
        <w:ind w:left="2580" w:hanging="655"/>
        <w:spacing w:after="0"/>
        <w:tabs>
          <w:tab w:leader="none" w:pos="2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for such period, </w:t>
      </w:r>
      <w:r>
        <w:rPr>
          <w:rFonts w:ascii="Arial" w:cs="Arial" w:eastAsia="Arial" w:hAnsi="Arial"/>
          <w:sz w:val="18"/>
          <w:szCs w:val="18"/>
          <w:u w:val="single" w:color="auto"/>
          <w:color w:val="auto"/>
        </w:rPr>
        <w:t>plus</w:t>
      </w:r>
    </w:p>
    <w:p>
      <w:pPr>
        <w:spacing w:after="0" w:line="306" w:lineRule="exact"/>
        <w:rPr>
          <w:rFonts w:ascii="Arial" w:cs="Arial" w:eastAsia="Arial" w:hAnsi="Arial"/>
          <w:sz w:val="18"/>
          <w:szCs w:val="18"/>
          <w:color w:val="auto"/>
        </w:rPr>
      </w:pPr>
    </w:p>
    <w:p>
      <w:pPr>
        <w:ind w:left="1280" w:right="20" w:firstLine="656"/>
        <w:spacing w:after="0" w:line="235" w:lineRule="auto"/>
        <w:tabs>
          <w:tab w:leader="none" w:pos="24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or minority interest expense consisting of Subsidiary income attributable to minority equity interests of third parties in any non-wholly-owned Subsidiaries, </w:t>
      </w:r>
      <w:r>
        <w:rPr>
          <w:rFonts w:ascii="Arial" w:cs="Arial" w:eastAsia="Arial" w:hAnsi="Arial"/>
          <w:sz w:val="18"/>
          <w:szCs w:val="18"/>
          <w:u w:val="single" w:color="auto"/>
          <w:color w:val="auto"/>
        </w:rPr>
        <w:t>plus</w:t>
      </w:r>
    </w:p>
    <w:p>
      <w:pPr>
        <w:spacing w:after="0" w:line="283" w:lineRule="exact"/>
        <w:rPr>
          <w:rFonts w:ascii="Arial" w:cs="Arial" w:eastAsia="Arial" w:hAnsi="Arial"/>
          <w:sz w:val="18"/>
          <w:szCs w:val="18"/>
          <w:color w:val="auto"/>
        </w:rPr>
      </w:pPr>
    </w:p>
    <w:p>
      <w:pPr>
        <w:ind w:left="2580" w:hanging="595"/>
        <w:spacing w:after="0"/>
        <w:tabs>
          <w:tab w:leader="none" w:pos="2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292" w:lineRule="exact"/>
        <w:rPr>
          <w:rFonts w:ascii="Arial" w:cs="Arial" w:eastAsia="Arial" w:hAnsi="Arial"/>
          <w:sz w:val="18"/>
          <w:szCs w:val="18"/>
          <w:color w:val="auto"/>
        </w:rPr>
      </w:pPr>
    </w:p>
    <w:p>
      <w:pPr>
        <w:jc w:val="both"/>
        <w:ind w:left="1280" w:right="20" w:firstLine="656"/>
        <w:spacing w:after="0" w:line="248" w:lineRule="auto"/>
        <w:tabs>
          <w:tab w:leader="none" w:pos="24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any costs or expenses incurred pursuant to any management equity plan, stock option plan or any other management, director or employee benefit plan, agreement or any stock subscription or stockholders agreement, to the extent that such costs or expenses are funded with cash proceeds contributed to the capital of such Person or net cash proceeds of an issuance of Equity Interests of such Person (other than Disqualified Equity Interests) solely to the extent that such cash proceeds are excluded from the calculation set forth in Section 7.06(a) and shall not be, and have not been, designated an Excluded Contribution, </w:t>
      </w:r>
      <w:r>
        <w:rPr>
          <w:rFonts w:ascii="Arial" w:cs="Arial" w:eastAsia="Arial" w:hAnsi="Arial"/>
          <w:sz w:val="16"/>
          <w:szCs w:val="16"/>
          <w:u w:val="single" w:color="auto"/>
          <w:color w:val="auto"/>
        </w:rPr>
        <w:t>plus</w:t>
      </w:r>
    </w:p>
    <w:p>
      <w:pPr>
        <w:spacing w:after="0" w:line="277" w:lineRule="exact"/>
        <w:rPr>
          <w:rFonts w:ascii="Arial" w:cs="Arial" w:eastAsia="Arial" w:hAnsi="Arial"/>
          <w:sz w:val="16"/>
          <w:szCs w:val="16"/>
          <w:color w:val="auto"/>
        </w:rPr>
      </w:pPr>
    </w:p>
    <w:p>
      <w:pPr>
        <w:jc w:val="both"/>
        <w:ind w:left="1280" w:right="20" w:firstLine="605"/>
        <w:spacing w:after="0" w:line="219" w:lineRule="auto"/>
        <w:tabs>
          <w:tab w:leader="none" w:pos="24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amount of “run rate” cost savings, synergies and operating expense reductions or other operating improvements (including, in each case, as a result of any Specified Transaction) projected by the Administrative Borrower in good faith to result from actions taken, committed to be taken or with respect to which substantial steps have been taken or are expected in good faith to be taken no later than twenty-four (24) months after the end of such period (calculated on a pro forma basis as though such cost savings, operating expense reductions or</w:t>
      </w:r>
    </w:p>
    <w:p>
      <w:pPr>
        <w:sectPr>
          <w:pgSz w:w="11900" w:h="16838" w:orient="portrait"/>
          <w:cols w:equalWidth="0" w:num="1">
            <w:col w:w="10900"/>
          </w:cols>
          <w:pgMar w:left="480" w:top="1440" w:right="519" w:bottom="1440" w:gutter="0" w:footer="0" w:header="0"/>
        </w:sectPr>
      </w:pPr>
    </w:p>
    <w:bookmarkStart w:id="62" w:name="page63"/>
    <w:bookmarkEnd w:id="62"/>
    <w:p>
      <w:pPr>
        <w:spacing w:after="0" w:line="211" w:lineRule="exact"/>
        <w:rPr>
          <w:sz w:val="20"/>
          <w:szCs w:val="20"/>
          <w:color w:val="auto"/>
        </w:rPr>
      </w:pPr>
    </w:p>
    <w:p>
      <w:pPr>
        <w:jc w:val="both"/>
        <w:ind w:left="1280"/>
        <w:spacing w:after="0" w:line="227" w:lineRule="auto"/>
        <w:rPr>
          <w:sz w:val="20"/>
          <w:szCs w:val="20"/>
          <w:color w:val="auto"/>
        </w:rPr>
      </w:pPr>
      <w:r>
        <w:rPr>
          <w:rFonts w:ascii="Arial" w:cs="Arial" w:eastAsia="Arial" w:hAnsi="Arial"/>
          <w:sz w:val="17"/>
          <w:szCs w:val="17"/>
          <w:color w:val="auto"/>
        </w:rPr>
        <w:t>other operating improvements and synergies had been realized on the first day of such period for which Consolidated EBITDA is being determined and if such cost savings, operating expense reductions or other operating improvements and synergies were realized during the entirety of such period), net of the amount of actual benefits realized during such period from such actions;</w:t>
      </w:r>
    </w:p>
    <w:p>
      <w:pPr>
        <w:spacing w:after="0" w:line="1" w:lineRule="exact"/>
        <w:rPr>
          <w:sz w:val="20"/>
          <w:szCs w:val="20"/>
          <w:color w:val="auto"/>
        </w:rPr>
      </w:pPr>
    </w:p>
    <w:p>
      <w:pPr>
        <w:jc w:val="both"/>
        <w:ind w:left="1280"/>
        <w:spacing w:after="0" w:line="23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cost savings, operating expense reductions or other operating improvements and synergies are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identifiable and factually supportable in the good faith judgment of the Administrative Borrower (it is understood and agreed that “run-rate” means the full recurring benefit for a period that is associated with any action taken, committed to be taken or with respect</w:t>
      </w:r>
    </w:p>
    <w:p>
      <w:pPr>
        <w:spacing w:after="0" w:line="2" w:lineRule="exact"/>
        <w:rPr>
          <w:sz w:val="20"/>
          <w:szCs w:val="20"/>
          <w:color w:val="auto"/>
        </w:rPr>
      </w:pPr>
    </w:p>
    <w:p>
      <w:pPr>
        <w:jc w:val="both"/>
        <w:ind w:left="1280"/>
        <w:spacing w:after="0" w:line="234" w:lineRule="auto"/>
        <w:rPr>
          <w:sz w:val="20"/>
          <w:szCs w:val="20"/>
          <w:color w:val="auto"/>
        </w:rPr>
      </w:pPr>
      <w:r>
        <w:rPr>
          <w:rFonts w:ascii="Arial" w:cs="Arial" w:eastAsia="Arial" w:hAnsi="Arial"/>
          <w:sz w:val="16"/>
          <w:szCs w:val="16"/>
          <w:color w:val="auto"/>
        </w:rPr>
        <w:t xml:space="preserve">to which substantial steps have been taken or are expected to be taken);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amounts under this clause (vii) in any Test Period, together with any increase pursuant to Section 1.08(c)(E) shall in the aggregate not exceed 35.0% of Consolidated EBITDA for such Test Period (calculated after giving effect to adjustments under this clause (vii) and all other applicable adjustments pursuant</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to this definition of “Consolidated EBITDA”); </w:t>
      </w:r>
      <w:r>
        <w:rPr>
          <w:rFonts w:ascii="Arial" w:cs="Arial" w:eastAsia="Arial" w:hAnsi="Arial"/>
          <w:sz w:val="18"/>
          <w:szCs w:val="18"/>
          <w:u w:val="single" w:color="auto"/>
          <w:color w:val="auto"/>
        </w:rPr>
        <w:t>plus</w:t>
      </w:r>
    </w:p>
    <w:p>
      <w:pPr>
        <w:spacing w:after="0" w:line="277" w:lineRule="exact"/>
        <w:rPr>
          <w:sz w:val="20"/>
          <w:szCs w:val="20"/>
          <w:color w:val="auto"/>
        </w:rPr>
      </w:pPr>
    </w:p>
    <w:p>
      <w:pPr>
        <w:ind w:left="2580" w:hanging="744"/>
        <w:spacing w:after="0"/>
        <w:tabs>
          <w:tab w:leader="none" w:pos="25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306" w:lineRule="exact"/>
        <w:rPr>
          <w:rFonts w:ascii="Arial" w:cs="Arial" w:eastAsia="Arial" w:hAnsi="Arial"/>
          <w:sz w:val="18"/>
          <w:szCs w:val="18"/>
          <w:color w:val="auto"/>
        </w:rPr>
      </w:pPr>
    </w:p>
    <w:p>
      <w:pPr>
        <w:jc w:val="both"/>
        <w:ind w:left="1280" w:right="40" w:firstLine="656"/>
        <w:spacing w:after="0" w:line="259" w:lineRule="auto"/>
        <w:tabs>
          <w:tab w:leader="none" w:pos="2432" w:val="left"/>
        </w:tabs>
        <w:numPr>
          <w:ilvl w:val="2"/>
          <w:numId w:val="33"/>
        </w:numPr>
        <w:rPr>
          <w:rFonts w:ascii="Arial" w:cs="Arial" w:eastAsia="Arial" w:hAnsi="Arial"/>
          <w:sz w:val="16"/>
          <w:szCs w:val="16"/>
          <w:color w:val="auto"/>
        </w:rPr>
      </w:pPr>
      <w:r>
        <w:rPr>
          <w:rFonts w:ascii="Arial" w:cs="Arial" w:eastAsia="Arial" w:hAnsi="Arial"/>
          <w:sz w:val="16"/>
          <w:szCs w:val="16"/>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paragraph (b) below for any previous period and not added back, </w:t>
      </w:r>
      <w:r>
        <w:rPr>
          <w:rFonts w:ascii="Arial" w:cs="Arial" w:eastAsia="Arial" w:hAnsi="Arial"/>
          <w:sz w:val="16"/>
          <w:szCs w:val="16"/>
          <w:u w:val="single" w:color="auto"/>
          <w:color w:val="auto"/>
        </w:rPr>
        <w:t>plus</w:t>
      </w:r>
    </w:p>
    <w:p>
      <w:pPr>
        <w:spacing w:after="0" w:line="268" w:lineRule="exact"/>
        <w:rPr>
          <w:rFonts w:ascii="Arial" w:cs="Arial" w:eastAsia="Arial" w:hAnsi="Arial"/>
          <w:sz w:val="16"/>
          <w:szCs w:val="16"/>
          <w:color w:val="auto"/>
        </w:rPr>
      </w:pPr>
    </w:p>
    <w:p>
      <w:pPr>
        <w:ind w:left="1280" w:right="120" w:firstLine="656"/>
        <w:spacing w:after="0" w:line="235" w:lineRule="auto"/>
        <w:tabs>
          <w:tab w:leader="none" w:pos="24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amount of loss on sales of Securitization Assets and related assets to any Securitization Subsidiary in connection with a Qualified Securitization Financing, </w:t>
      </w:r>
      <w:r>
        <w:rPr>
          <w:rFonts w:ascii="Arial" w:cs="Arial" w:eastAsia="Arial" w:hAnsi="Arial"/>
          <w:sz w:val="18"/>
          <w:szCs w:val="18"/>
          <w:u w:val="single" w:color="auto"/>
          <w:color w:val="auto"/>
        </w:rPr>
        <w:t>plus</w:t>
      </w:r>
    </w:p>
    <w:p>
      <w:pPr>
        <w:spacing w:after="0" w:line="283" w:lineRule="exact"/>
        <w:rPr>
          <w:rFonts w:ascii="Arial" w:cs="Arial" w:eastAsia="Arial" w:hAnsi="Arial"/>
          <w:sz w:val="18"/>
          <w:szCs w:val="18"/>
          <w:color w:val="auto"/>
        </w:rPr>
      </w:pPr>
    </w:p>
    <w:p>
      <w:pPr>
        <w:jc w:val="both"/>
        <w:ind w:left="1280" w:right="40" w:firstLine="656"/>
        <w:spacing w:after="0" w:line="224" w:lineRule="auto"/>
        <w:tabs>
          <w:tab w:leader="none" w:pos="24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other adjustments and addbacks (i) evidenced or contained in a due diligence quality of earnings report made available to the Administrative Agent prepared by (x) a “big four” nationally recognized accounting firm or (y) any other accounting firm reasonably acceptable to the Administrative Agent or (ii) consistent with Regulation S-X,</w:t>
      </w:r>
    </w:p>
    <w:p>
      <w:pPr>
        <w:spacing w:after="0" w:line="203" w:lineRule="exact"/>
        <w:rPr>
          <w:rFonts w:ascii="Arial" w:cs="Arial" w:eastAsia="Arial" w:hAnsi="Arial"/>
          <w:sz w:val="18"/>
          <w:szCs w:val="18"/>
          <w:color w:val="auto"/>
        </w:rPr>
      </w:pPr>
    </w:p>
    <w:p>
      <w:pPr>
        <w:jc w:val="both"/>
        <w:ind w:left="640" w:right="40" w:firstLine="648"/>
        <w:spacing w:after="0" w:line="224" w:lineRule="auto"/>
        <w:tabs>
          <w:tab w:leader="none" w:pos="17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(without duplication) by, to the extent included in determining Consolidated Net Income for such period, any non-cash gains with respect to cash actually received in a prior period unless such cash did not increase, or was otherwise not included in, Consolidated EBITDA in any prior period.</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to the contrary contained herein, for purposes of determining Consolidated EBITDA of the Parent Borrower under</w:t>
      </w:r>
    </w:p>
    <w:p>
      <w:pPr>
        <w:spacing w:after="0" w:line="2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this Agreement for any period that includes any of the fiscal quarters ended June 30, 2018, September 30, 2018, December 31, 2018 and March 31, 2019, Consolidated EBITDA of the Parent Borrower for such fiscal quarters shall be deemed to be $51,635,000, $54,427,000, $63,392,000 and $44,756,000, respectively, in each case, for such periods as may be subject to addbacks and adjustments (without duplication) pursuant to Section 1.08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applicable Test Period.</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avoidance of doubt, (i) Consolidated EBITDA shall be calculated, including pro forma adjustments, in accordance with Section 1.08</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and (ii) reference to Consolidated EBITDA of the Parent Borrower means such Consolidated EBITDA calculated on a consolidated basis with respect to the Parent Borrower and the Restricted Subsidiaries.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First Lien Net Debt</w:t>
      </w:r>
      <w:r>
        <w:rPr>
          <w:rFonts w:ascii="Arial" w:cs="Arial" w:eastAsia="Arial" w:hAnsi="Arial"/>
          <w:sz w:val="16"/>
          <w:szCs w:val="16"/>
          <w:color w:val="auto"/>
        </w:rPr>
        <w:t>” means, as of any date of determination, any Indebtedness described in clause (a) of the definition of</w:t>
      </w:r>
    </w:p>
    <w:p>
      <w:pPr>
        <w:spacing w:after="0" w:line="25"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 xml:space="preserve">“Consolidated Total Net Debt” outstanding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 without duplication, the aggregate undrawn amount of Designated Revolving Commitments in effect on such date, in each case, that is secured by any Applicable Lien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Cash Equivalents (other than Restricted Cash), in each case, included on the consolidated balance sheet of the Parent Borrower and the Restricted Subsidiaries as of such</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First Lien Net Debt shall not include Indebtedness (i) in respect of letters of credit, except to the extent of obligations in respect of amounts drawn under standby letters of</w:t>
      </w:r>
    </w:p>
    <w:p>
      <w:pPr>
        <w:sectPr>
          <w:pgSz w:w="11900" w:h="16838" w:orient="portrait"/>
          <w:cols w:equalWidth="0" w:num="1">
            <w:col w:w="10920"/>
          </w:cols>
          <w:pgMar w:left="480" w:top="1440" w:right="499" w:bottom="1440" w:gutter="0" w:footer="0" w:header="0"/>
        </w:sectPr>
      </w:pPr>
    </w:p>
    <w:bookmarkStart w:id="63" w:name="page64"/>
    <w:bookmarkEnd w:id="63"/>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credit that are unreimbursed for at least two (2) Business Days after such amount is drawn, (ii) owed by Unrestricted Subsidiaries, (iii) obligations in respect of Cash Management Services and (iv) in respect of any Qualified Securitization Financing; it being understood, for the avoidance of doubt, that obligations under Swap Contracts do not constitute Consolidated First Lien Net Debt. For the avoidance of doubt, Indebtedness under the ABL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shall be included in Consolidated First Lien Net Debt.</w:t>
      </w:r>
    </w:p>
    <w:p>
      <w:pPr>
        <w:spacing w:after="0" w:line="192"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means, with respect to any Person for any period, the Net Income of such Person and its Restricted Subsidiaries for such period, on a consolidated basis, and otherwise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duplication:</w:t>
      </w:r>
    </w:p>
    <w:p>
      <w:pPr>
        <w:spacing w:after="0" w:line="161" w:lineRule="exact"/>
        <w:rPr>
          <w:sz w:val="20"/>
          <w:szCs w:val="20"/>
          <w:color w:val="auto"/>
        </w:rPr>
      </w:pPr>
    </w:p>
    <w:p>
      <w:pPr>
        <w:jc w:val="both"/>
        <w:ind w:left="640" w:right="40" w:firstLine="648"/>
        <w:spacing w:after="0" w:line="241" w:lineRule="auto"/>
        <w:tabs>
          <w:tab w:leader="none" w:pos="17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net after-tax effect of extraordinary, non-recurring, exceptional or unusual gains or losses, charges or expenses (including all fees and expenses related thereto), losses, charges or expenses relating to any strategic initiatives (including any multi-year strategic initiatives), Transaction Expenses, restructuring costs and reserves, relocation costs, severance costs and expenses, one-time compensation charges, closing and consolidation costs for facilities, signing, upfront, retention or completion bonuses, executive recruiting and retention costs (including payments made to employees pursuant to non-compete agreements), transition costs, costs incurred in connection with non-ordinary course intellectual property development, integration costs (whether in connection with Permitted Acquisitions, other acquisitions or otherwise), business optimization expenses (including costs and expenses relating to business optimization programs, and new systems design, retention charges, system establishment costs (including information technology systems), technology upgrades and implementation costs and project start-up costs), operating expenses attributable to the implementation of cost-savings initiatives, consulting fees and curtailments and modifications to pension and post-retirement employee benefit plans, in all cases above for such period, shall be excluded;</w:t>
      </w:r>
    </w:p>
    <w:p>
      <w:pPr>
        <w:spacing w:after="0" w:line="204" w:lineRule="exact"/>
        <w:rPr>
          <w:rFonts w:ascii="Arial" w:cs="Arial" w:eastAsia="Arial" w:hAnsi="Arial"/>
          <w:sz w:val="16"/>
          <w:szCs w:val="16"/>
          <w:color w:val="auto"/>
        </w:rPr>
      </w:pPr>
    </w:p>
    <w:p>
      <w:pPr>
        <w:jc w:val="both"/>
        <w:ind w:left="640" w:right="40" w:firstLine="648"/>
        <w:spacing w:after="0" w:line="229" w:lineRule="auto"/>
        <w:tabs>
          <w:tab w:leader="none" w:pos="17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and changes as a result of the adoption or modification of accounting policies during such period whether effected through a cumulative effect adjustment or a retroactive application, in each case in accordance with GAAP, shall be excluded;</w:t>
      </w:r>
    </w:p>
    <w:p>
      <w:pPr>
        <w:spacing w:after="0" w:line="190" w:lineRule="exact"/>
        <w:rPr>
          <w:rFonts w:ascii="Arial" w:cs="Arial" w:eastAsia="Arial" w:hAnsi="Arial"/>
          <w:sz w:val="18"/>
          <w:szCs w:val="18"/>
          <w:color w:val="auto"/>
        </w:rPr>
      </w:pPr>
    </w:p>
    <w:p>
      <w:pPr>
        <w:jc w:val="both"/>
        <w:ind w:left="640" w:right="40" w:firstLine="647"/>
        <w:spacing w:after="0" w:line="225" w:lineRule="auto"/>
        <w:tabs>
          <w:tab w:leader="none" w:pos="17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net after-tax effect of any fees (including finder’s fees, broker’s fees or any other fees), expenses or charges incurred during such period (including, without limitation, any premiums, make-whole or penalty payments), or any amortization thereof for such period, in connection with any Investment, Permitted Acquisition or any other acquisition (other than any such other acquisition in the ordinary course of business) permitted under this Agreement, Disposition (other than in the ordinary course of business), or other transfer (other than any such transfer in the ordinary course of business), incurrence or repayment of indebtedness (including such fees, expenses or charges related to the offering and issuance of the Term B Loans, ABL Revolving Credit Commitments, the Unsecured Notes and the syndication and incurrence of any securities or credit facilities), issuance of Equity Interests, recapitalization, refinancing transaction or amendment or modification of any debt instrument (including any amendment or other modification of any securities, the ABL Credit Agreement, the Unsecured Notes, any other credit facilities or any other debt instrument) and including, in each case, any such transaction whether consummated on, after or prior to the Closing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FASB Accounting Standards Codification Topic 805, Business Combinations), shall be excluded;</w:t>
      </w:r>
    </w:p>
    <w:p>
      <w:pPr>
        <w:spacing w:after="0" w:line="209" w:lineRule="exact"/>
        <w:rPr>
          <w:rFonts w:ascii="Arial" w:cs="Arial" w:eastAsia="Arial" w:hAnsi="Arial"/>
          <w:sz w:val="17"/>
          <w:szCs w:val="17"/>
          <w:color w:val="auto"/>
        </w:rPr>
      </w:pPr>
    </w:p>
    <w:p>
      <w:pPr>
        <w:jc w:val="both"/>
        <w:ind w:left="640" w:firstLine="648"/>
        <w:spacing w:after="0" w:line="232" w:lineRule="auto"/>
        <w:tabs>
          <w:tab w:leader="none" w:pos="1792"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accruals and reserves that are established or adjusted within 12 months after the Closing Date that are so required to be established or adjusted as a result of the Transactions (or within 12 months after the closing of any Permitted Acquisition or any other acquisition (other than any such other acquisition in the ordinary course of business) that are so required to be established or adjusted as a result of such Permitted Acquisition or such other acquisition) in accordance with GAAP shall be excluded;</w:t>
      </w:r>
    </w:p>
    <w:p>
      <w:pPr>
        <w:sectPr>
          <w:pgSz w:w="11900" w:h="16838" w:orient="portrait"/>
          <w:cols w:equalWidth="0" w:num="1">
            <w:col w:w="10920"/>
          </w:cols>
          <w:pgMar w:left="480" w:top="1440" w:right="499" w:bottom="1440" w:gutter="0" w:footer="0" w:header="0"/>
        </w:sectPr>
      </w:pPr>
    </w:p>
    <w:bookmarkStart w:id="64" w:name="page65"/>
    <w:bookmarkEnd w:id="64"/>
    <w:p>
      <w:pPr>
        <w:spacing w:after="0" w:line="211" w:lineRule="exact"/>
        <w:rPr>
          <w:sz w:val="20"/>
          <w:szCs w:val="20"/>
          <w:color w:val="auto"/>
        </w:rPr>
      </w:pPr>
    </w:p>
    <w:p>
      <w:pPr>
        <w:jc w:val="both"/>
        <w:ind w:left="-320" w:right="40" w:firstLine="648"/>
        <w:spacing w:after="0" w:line="224" w:lineRule="auto"/>
        <w:tabs>
          <w:tab w:leader="none" w:pos="8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net after-tax effect of gains or losses on disposal, abandonment (including asset retirement costs) or discontinuance of disposed, abandoned or discontinued operations, as applicable, in each case other than in the ordinary course of business, as determined in good faith by the Administrative Borrower, shall be excluded;</w:t>
      </w:r>
    </w:p>
    <w:p>
      <w:pPr>
        <w:spacing w:after="0" w:line="203" w:lineRule="exact"/>
        <w:rPr>
          <w:rFonts w:ascii="Arial" w:cs="Arial" w:eastAsia="Arial" w:hAnsi="Arial"/>
          <w:sz w:val="18"/>
          <w:szCs w:val="18"/>
          <w:color w:val="auto"/>
        </w:rPr>
      </w:pPr>
    </w:p>
    <w:p>
      <w:pPr>
        <w:jc w:val="both"/>
        <w:ind w:left="-320" w:right="40" w:firstLine="648"/>
        <w:spacing w:after="0" w:line="224" w:lineRule="auto"/>
        <w:tabs>
          <w:tab w:leader="none" w:pos="8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net after-tax effect of gains or losses (less all fees, expenses and charges relating thereto) attributable to asset dispositions or abandonments or the sale or other disposition of any Equity Interests of any Person, in each case other than in the ordinary course of business, as determined in good faith by the Administrative Borrower, shall be excluded;</w:t>
      </w:r>
    </w:p>
    <w:p>
      <w:pPr>
        <w:spacing w:after="0" w:line="203" w:lineRule="exact"/>
        <w:rPr>
          <w:rFonts w:ascii="Arial" w:cs="Arial" w:eastAsia="Arial" w:hAnsi="Arial"/>
          <w:sz w:val="18"/>
          <w:szCs w:val="18"/>
          <w:color w:val="auto"/>
        </w:rPr>
      </w:pPr>
    </w:p>
    <w:p>
      <w:pPr>
        <w:jc w:val="both"/>
        <w:ind w:left="-320" w:right="40" w:firstLine="647"/>
        <w:spacing w:after="0" w:line="216" w:lineRule="auto"/>
        <w:tabs>
          <w:tab w:leader="none" w:pos="8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an Unrestricted Subsidiary shall be excluded, and the Net Income for such period of any Person that is not a Subsidiary or that is accounted for by the equity method of accounting shall be excluded;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Net Income of a Person shall be increased by the amount of dividends or distributions or other payments that are actually paid in cash or Cash Equivalents (or to the extent subsequently converted into cash or Cash Equivalents) to such Person or a Restricted Subsidiary thereof in respect of such period by any Subsidiary of such Person that is not a Subsidiary or that is accounted for by the equity method of accounting;</w:t>
      </w:r>
    </w:p>
    <w:p>
      <w:pPr>
        <w:spacing w:after="0" w:line="205" w:lineRule="exact"/>
        <w:rPr>
          <w:rFonts w:ascii="Arial" w:cs="Arial" w:eastAsia="Arial" w:hAnsi="Arial"/>
          <w:sz w:val="18"/>
          <w:szCs w:val="18"/>
          <w:color w:val="auto"/>
        </w:rPr>
      </w:pPr>
    </w:p>
    <w:p>
      <w:pPr>
        <w:jc w:val="both"/>
        <w:ind w:left="-320" w:right="40" w:firstLine="647"/>
        <w:spacing w:after="0" w:line="227" w:lineRule="auto"/>
        <w:tabs>
          <w:tab w:leader="none" w:pos="833"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the amount available for Restricted Payments under Section 7.06(a)(iii)(A) and the calculation of Excess Cash Flow, the Net Income for such period of any Restricted Subsidiary (other than any Borrower (other than the Parent Borrower) or any Guarantor) shall be excluded to the extent that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(other than restrictions that have been waived or otherwise released);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a Person will be increased by the amount of dividends or other distributions or other payments actually paid in cash or Cash Equivalents (or to the extent converted into cash or Cash Equivalents), or, without duplication, the amount that could have been paid in cash without violating any such restriction or requiring any such approval, to such Person in respect of such period, to the extent not already included therein;</w:t>
      </w:r>
    </w:p>
    <w:p>
      <w:pPr>
        <w:spacing w:after="0" w:line="189" w:lineRule="exact"/>
        <w:rPr>
          <w:rFonts w:ascii="Arial" w:cs="Arial" w:eastAsia="Arial" w:hAnsi="Arial"/>
          <w:sz w:val="17"/>
          <w:szCs w:val="17"/>
          <w:color w:val="auto"/>
        </w:rPr>
      </w:pPr>
    </w:p>
    <w:p>
      <w:pPr>
        <w:jc w:val="both"/>
        <w:ind w:left="-320" w:right="20" w:firstLine="648"/>
        <w:spacing w:after="0" w:line="248" w:lineRule="auto"/>
        <w:tabs>
          <w:tab w:leader="none" w:pos="8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effects of adjustments (including the effects of such adjustments pushed down to such Person and its Restricted Subsidiaries) in such Person’s consolidated financial statements pursuant to GAAP attributable to the application of recapitalization accounting or purchase accounting, as the case may be, in relation to the Transactions or any consummated Permitted Acquisition or other acquisition (other than any such other acquisition in the ordinary course of business) or Investments permitted under this Agreement consummated prior to or after the Closing Date or the amortization or write-off or write-down of any amounts thereof pursuant to GAAP, net of taxes, shall be excluded;</w:t>
      </w:r>
    </w:p>
    <w:p>
      <w:pPr>
        <w:spacing w:after="0" w:line="196" w:lineRule="exact"/>
        <w:rPr>
          <w:rFonts w:ascii="Arial" w:cs="Arial" w:eastAsia="Arial" w:hAnsi="Arial"/>
          <w:sz w:val="16"/>
          <w:szCs w:val="16"/>
          <w:color w:val="auto"/>
        </w:rPr>
      </w:pPr>
    </w:p>
    <w:p>
      <w:pPr>
        <w:ind w:left="-320" w:firstLine="648"/>
        <w:spacing w:after="0" w:line="235" w:lineRule="auto"/>
        <w:tabs>
          <w:tab w:leader="none" w:pos="8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net after-tax effect of income (loss) from the early extinguishment or conversion of (i) Indebtedness, (ii) Swap Contracts or (iii) other derivative instruments shall be excluded;</w:t>
      </w:r>
    </w:p>
    <w:p>
      <w:pPr>
        <w:spacing w:after="0" w:line="202" w:lineRule="exact"/>
        <w:rPr>
          <w:rFonts w:ascii="Arial" w:cs="Arial" w:eastAsia="Arial" w:hAnsi="Arial"/>
          <w:sz w:val="18"/>
          <w:szCs w:val="18"/>
          <w:color w:val="auto"/>
        </w:rPr>
      </w:pPr>
    </w:p>
    <w:p>
      <w:pPr>
        <w:jc w:val="both"/>
        <w:ind w:left="-320" w:right="40" w:firstLine="648"/>
        <w:spacing w:after="0" w:line="254" w:lineRule="auto"/>
        <w:tabs>
          <w:tab w:leader="none" w:pos="8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impairment charge or asset write-off or write-down (other than write-offs, write-downs or impairments with respect to accounts receivable in the normal course or inventory), including impairment charges or asset write-offs or write-downs related to intangible assets, long-lived assets, investments in debt and equity securities or as a result of a change in law or regulation or in connection with any disposition of assets, in each case, pursuant to GAAP, and the amortization of intangibles arising pursuant to GAAP shall be excluded,</w:t>
      </w:r>
    </w:p>
    <w:p>
      <w:pPr>
        <w:spacing w:after="0" w:line="179" w:lineRule="exact"/>
        <w:rPr>
          <w:rFonts w:ascii="Arial" w:cs="Arial" w:eastAsia="Arial" w:hAnsi="Arial"/>
          <w:sz w:val="16"/>
          <w:szCs w:val="16"/>
          <w:color w:val="auto"/>
        </w:rPr>
      </w:pPr>
    </w:p>
    <w:p>
      <w:pPr>
        <w:jc w:val="both"/>
        <w:ind w:left="-320" w:right="20" w:firstLine="648"/>
        <w:spacing w:after="0" w:line="267" w:lineRule="auto"/>
        <w:tabs>
          <w:tab w:leader="none" w:pos="8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non-cash expenses, charges and losses during such period shall be excluded, in each case other than (A) any non-cash expense, charge or loss charge either (i) expressly excluded from Consolidated Net Income pursuant to another clause of this definition or (ii) expressly added back to Consolidated EBITDA pursuant to the definition thereof or (B) any non-cash charge representing</w:t>
      </w:r>
    </w:p>
    <w:p>
      <w:pPr>
        <w:sectPr>
          <w:pgSz w:w="11900" w:h="16838" w:orient="portrait"/>
          <w:cols w:equalWidth="0" w:num="1">
            <w:col w:w="9960"/>
          </w:cols>
          <w:pgMar w:left="1440" w:top="1440" w:right="499" w:bottom="1440" w:gutter="0" w:footer="0" w:header="0"/>
        </w:sectPr>
      </w:pPr>
    </w:p>
    <w:bookmarkStart w:id="65" w:name="page66"/>
    <w:bookmarkEnd w:id="65"/>
    <w:p>
      <w:pPr>
        <w:spacing w:after="0" w:line="211" w:lineRule="exact"/>
        <w:rPr>
          <w:sz w:val="20"/>
          <w:szCs w:val="20"/>
          <w:color w:val="auto"/>
        </w:rPr>
      </w:pPr>
    </w:p>
    <w:p>
      <w:pPr>
        <w:jc w:val="both"/>
        <w:ind w:left="1" w:right="20"/>
        <w:spacing w:after="0" w:line="241" w:lineRule="auto"/>
        <w:rPr>
          <w:sz w:val="20"/>
          <w:szCs w:val="20"/>
          <w:color w:val="auto"/>
        </w:rPr>
      </w:pPr>
      <w:r>
        <w:rPr>
          <w:rFonts w:ascii="Arial" w:cs="Arial" w:eastAsia="Arial" w:hAnsi="Arial"/>
          <w:sz w:val="16"/>
          <w:szCs w:val="16"/>
          <w:color w:val="auto"/>
        </w:rPr>
        <w:t xml:space="preserve">amortization of a prepaid cash item that was paid and not expensed in a prior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non-cash charges or expenses referred to in this clause (l) represents an accrual or reserve for potential cash item in any future period, (i) such Person may elect not to exclude such non-cash charge or expense in the current period or (ii) to the extent such Person elects to exclude such non-cash charge, the</w:t>
      </w:r>
    </w:p>
    <w:p>
      <w:pPr>
        <w:spacing w:after="0" w:line="2" w:lineRule="exact"/>
        <w:rPr>
          <w:sz w:val="20"/>
          <w:szCs w:val="20"/>
          <w:color w:val="auto"/>
        </w:rPr>
      </w:pPr>
    </w:p>
    <w:p>
      <w:pPr>
        <w:jc w:val="both"/>
        <w:ind w:left="1" w:right="20"/>
        <w:spacing w:after="0" w:line="226" w:lineRule="auto"/>
        <w:rPr>
          <w:sz w:val="20"/>
          <w:szCs w:val="20"/>
          <w:color w:val="auto"/>
        </w:rPr>
      </w:pPr>
      <w:r>
        <w:rPr>
          <w:rFonts w:ascii="Arial" w:cs="Arial" w:eastAsia="Arial" w:hAnsi="Arial"/>
          <w:sz w:val="18"/>
          <w:szCs w:val="18"/>
          <w:color w:val="auto"/>
        </w:rPr>
        <w:t>cash payment in respect thereof in such future period shall be subtracted from Consolidated Net Income in such future period to such extent paid;</w:t>
      </w:r>
    </w:p>
    <w:p>
      <w:pPr>
        <w:spacing w:after="0" w:line="188" w:lineRule="exact"/>
        <w:rPr>
          <w:sz w:val="20"/>
          <w:szCs w:val="20"/>
          <w:color w:val="auto"/>
        </w:rPr>
      </w:pPr>
    </w:p>
    <w:p>
      <w:pPr>
        <w:jc w:val="both"/>
        <w:ind w:left="1" w:right="20" w:firstLine="648"/>
        <w:spacing w:after="0" w:line="212"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other non-cash gains during such period shall be excluded other than (x) to the extent expressly excluded from Consolidated Net Income pursuant to another clause of this definition, (y) to the extent expressly deducted from Consolidated EBITDA pursuant to the definition thereof, or (z) any non-cash gains that represent the reversal of an accrual or reserve for any anticipated cash charges in any prior period (other than any such accrual or reserve that has been, or, had this Agreement been in effect at such time, would be, excluded in calculating Consolidated Net Income in accordance with this definition);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non-cash gain, the cash receipt in such future period in respect of any non-cash gain which was excluded from the calculation of Consolidated Net Income pursuant to this clause</w:t>
      </w:r>
    </w:p>
    <w:p>
      <w:pPr>
        <w:spacing w:after="0" w:line="5" w:lineRule="exact"/>
        <w:rPr>
          <w:rFonts w:ascii="Arial" w:cs="Arial" w:eastAsia="Arial" w:hAnsi="Arial"/>
          <w:sz w:val="18"/>
          <w:szCs w:val="18"/>
          <w:color w:val="auto"/>
        </w:rPr>
      </w:pPr>
    </w:p>
    <w:p>
      <w:pPr>
        <w:ind w:left="301" w:hanging="301"/>
        <w:spacing w:after="0"/>
        <w:tabs>
          <w:tab w:leader="none" w:pos="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shall be added to Consolidated Net Income in such future period to such extent received;</w:t>
      </w:r>
    </w:p>
    <w:p>
      <w:pPr>
        <w:spacing w:after="0" w:line="209" w:lineRule="exact"/>
        <w:rPr>
          <w:rFonts w:ascii="Arial" w:cs="Arial" w:eastAsia="Arial" w:hAnsi="Arial"/>
          <w:sz w:val="18"/>
          <w:szCs w:val="18"/>
          <w:color w:val="auto"/>
        </w:rPr>
      </w:pPr>
    </w:p>
    <w:p>
      <w:pPr>
        <w:jc w:val="both"/>
        <w:ind w:left="1" w:firstLine="647"/>
        <w:spacing w:after="0" w:line="236" w:lineRule="auto"/>
        <w:tabs>
          <w:tab w:leader="none" w:pos="115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equity-based or non-cash compensation charge or expense, including any such charge or expense arising from grants of stock appreciation rights, equity incentive programs or similar rights, stock options, restricted stock or other rights to, and any cash charges associated with the rollover, acceleration, or payout of, Equity Interests by management of such Person or of a Restricted Subsidiary or any of its direct or indirect parent companies in connection with the Transactions, shall be excluded;</w:t>
      </w:r>
    </w:p>
    <w:p>
      <w:pPr>
        <w:spacing w:after="0" w:line="189" w:lineRule="exact"/>
        <w:rPr>
          <w:rFonts w:ascii="Arial" w:cs="Arial" w:eastAsia="Arial" w:hAnsi="Arial"/>
          <w:sz w:val="17"/>
          <w:szCs w:val="17"/>
          <w:color w:val="auto"/>
        </w:rPr>
      </w:pPr>
    </w:p>
    <w:p>
      <w:pPr>
        <w:jc w:val="both"/>
        <w:ind w:left="1" w:right="20" w:firstLine="648"/>
        <w:spacing w:after="0" w:line="235" w:lineRule="auto"/>
        <w:tabs>
          <w:tab w:leader="none" w:pos="115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expenses, charges or losses to the extent covered by insurance or indemnity and actually reimbursed, or, so long as such Person has made a determination that there exists reasonable evidence that such amount will in fact be paid for or reimbursed by the insurer or indemnifying party and only to the extent that such amount is in fact paid for or reimbursed within 365 days of the date of such determination (with a deduction to be applied to Consolidated Net Income in the applicable future period for any amount so added back in any prior period to the extent not so paid for or reimbursed within the applicable 365-day period), shall be excluded;</w:t>
      </w:r>
    </w:p>
    <w:p>
      <w:pPr>
        <w:spacing w:after="0" w:line="190" w:lineRule="exact"/>
        <w:rPr>
          <w:rFonts w:ascii="Arial" w:cs="Arial" w:eastAsia="Arial" w:hAnsi="Arial"/>
          <w:sz w:val="17"/>
          <w:szCs w:val="17"/>
          <w:color w:val="auto"/>
        </w:rPr>
      </w:pPr>
    </w:p>
    <w:p>
      <w:pPr>
        <w:jc w:val="both"/>
        <w:ind w:left="1" w:right="20" w:firstLine="648"/>
        <w:spacing w:after="0" w:line="223"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Statement of Financial Accounting Standards Nos. 87, 106 and 112, and any other items of a similar nature, shall be excluded;</w:t>
      </w:r>
    </w:p>
    <w:p>
      <w:pPr>
        <w:spacing w:after="0" w:line="189" w:lineRule="exact"/>
        <w:rPr>
          <w:rFonts w:ascii="Arial" w:cs="Arial" w:eastAsia="Arial" w:hAnsi="Arial"/>
          <w:sz w:val="18"/>
          <w:szCs w:val="18"/>
          <w:color w:val="auto"/>
        </w:rPr>
      </w:pPr>
    </w:p>
    <w:p>
      <w:pPr>
        <w:jc w:val="both"/>
        <w:ind w:left="1" w:right="20" w:firstLine="648"/>
        <w:spacing w:after="0" w:line="229"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any non-cash compensation expense resulting from the application of FASB Accounting Standards Codification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or FASB Accounting Standards Codification Subtopic 505-50,</w:t>
      </w:r>
      <w:r>
        <w:rPr>
          <w:rFonts w:ascii="Arial" w:cs="Arial" w:eastAsia="Arial" w:hAnsi="Arial"/>
          <w:sz w:val="18"/>
          <w:szCs w:val="18"/>
          <w:i w:val="1"/>
          <w:iCs w:val="1"/>
          <w:color w:val="auto"/>
        </w:rPr>
        <w:t xml:space="preserve"> Equity-Based Payments to Non-Employees</w:t>
      </w:r>
      <w:r>
        <w:rPr>
          <w:rFonts w:ascii="Arial" w:cs="Arial" w:eastAsia="Arial" w:hAnsi="Arial"/>
          <w:sz w:val="18"/>
          <w:szCs w:val="18"/>
          <w:color w:val="auto"/>
        </w:rPr>
        <w:t>, shall be excluded; and</w:t>
      </w:r>
    </w:p>
    <w:p>
      <w:pPr>
        <w:spacing w:after="0" w:line="204" w:lineRule="exact"/>
        <w:rPr>
          <w:rFonts w:ascii="Arial" w:cs="Arial" w:eastAsia="Arial" w:hAnsi="Arial"/>
          <w:sz w:val="18"/>
          <w:szCs w:val="18"/>
          <w:color w:val="auto"/>
        </w:rPr>
      </w:pPr>
    </w:p>
    <w:p>
      <w:pPr>
        <w:ind w:left="1301" w:hanging="652"/>
        <w:spacing w:after="0"/>
        <w:tabs>
          <w:tab w:leader="none" w:pos="130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following items shall be excluded:</w:t>
      </w:r>
    </w:p>
    <w:p>
      <w:pPr>
        <w:spacing w:after="0" w:line="225" w:lineRule="exact"/>
        <w:rPr>
          <w:rFonts w:ascii="Arial" w:cs="Arial" w:eastAsia="Arial" w:hAnsi="Arial"/>
          <w:sz w:val="18"/>
          <w:szCs w:val="18"/>
          <w:color w:val="auto"/>
        </w:rPr>
      </w:pPr>
    </w:p>
    <w:p>
      <w:pPr>
        <w:ind w:left="641" w:right="20" w:firstLine="744"/>
        <w:spacing w:after="0" w:line="235" w:lineRule="auto"/>
        <w:tabs>
          <w:tab w:leader="none" w:pos="1793"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any net unrealized gain or loss (after any offset) resulting in such period from Swap Contracts and the application of Accounting Standards Codification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641" w:right="20" w:firstLine="694"/>
        <w:spacing w:after="0" w:line="219" w:lineRule="auto"/>
        <w:tabs>
          <w:tab w:leader="none" w:pos="1793"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net unrealized gain or loss (after any offset) resulting in such period from currency transaction or translation gains or losses including those related to currency remeasurements of Indebtedness (including any net loss or gain resulting from (A) Swap Contracts for currency exchange risk and (B) resulting from intercompany indebtedness among such Person and its Restricted Subsidiaries) and any other foreign currency transaction or translation gains and losses, to the extent such gain or losses are non-cash items;</w:t>
      </w:r>
    </w:p>
    <w:p>
      <w:pPr>
        <w:sectPr>
          <w:pgSz w:w="11900" w:h="16838" w:orient="portrait"/>
          <w:cols w:equalWidth="0" w:num="1">
            <w:col w:w="10261"/>
          </w:cols>
          <w:pgMar w:left="1119" w:top="1440" w:right="519" w:bottom="1440" w:gutter="0" w:footer="0" w:header="0"/>
        </w:sectPr>
      </w:pPr>
    </w:p>
    <w:bookmarkStart w:id="66" w:name="page67"/>
    <w:bookmarkEnd w:id="66"/>
    <w:p>
      <w:pPr>
        <w:spacing w:after="0" w:line="211" w:lineRule="exact"/>
        <w:rPr>
          <w:sz w:val="20"/>
          <w:szCs w:val="20"/>
          <w:color w:val="auto"/>
        </w:rPr>
      </w:pPr>
    </w:p>
    <w:p>
      <w:pPr>
        <w:ind w:left="1288" w:right="20" w:firstLine="645"/>
        <w:spacing w:after="0" w:line="235" w:lineRule="auto"/>
        <w:tabs>
          <w:tab w:leader="none" w:pos="24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non-cash adjustments resulting from the application of Accounting Standards Codification Topic 460, </w:t>
      </w:r>
      <w:r>
        <w:rPr>
          <w:rFonts w:ascii="Arial" w:cs="Arial" w:eastAsia="Arial" w:hAnsi="Arial"/>
          <w:sz w:val="18"/>
          <w:szCs w:val="18"/>
          <w:i w:val="1"/>
          <w:iCs w:val="1"/>
          <w:color w:val="auto"/>
        </w:rPr>
        <w:t>Guarantees</w:t>
      </w:r>
      <w:r>
        <w:rPr>
          <w:rFonts w:ascii="Arial" w:cs="Arial" w:eastAsia="Arial" w:hAnsi="Arial"/>
          <w:sz w:val="18"/>
          <w:szCs w:val="18"/>
          <w:color w:val="auto"/>
        </w:rPr>
        <w:t>, or any comparable regulation; and</w:t>
      </w:r>
    </w:p>
    <w:p>
      <w:pPr>
        <w:spacing w:after="0" w:line="202" w:lineRule="exact"/>
        <w:rPr>
          <w:rFonts w:ascii="Arial" w:cs="Arial" w:eastAsia="Arial" w:hAnsi="Arial"/>
          <w:sz w:val="18"/>
          <w:szCs w:val="18"/>
          <w:color w:val="auto"/>
        </w:rPr>
      </w:pPr>
    </w:p>
    <w:p>
      <w:pPr>
        <w:jc w:val="both"/>
        <w:ind w:left="1288" w:right="20" w:firstLine="655"/>
        <w:spacing w:after="0" w:line="267" w:lineRule="auto"/>
        <w:tabs>
          <w:tab w:leader="none" w:pos="24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earn-out obligations and other contingent consideration obligations (including to the extent accounted for as bonuses, compensation or otherwise (and including deferred performance incentives in connection with Permitted Acquisitions whether or not a service component is required from the transferor or its related party)) and adjustments thereof and purchase price adjustments.</w:t>
      </w:r>
    </w:p>
    <w:p>
      <w:pPr>
        <w:spacing w:after="0" w:line="169" w:lineRule="exact"/>
        <w:rPr>
          <w:sz w:val="20"/>
          <w:szCs w:val="20"/>
          <w:color w:val="auto"/>
        </w:rPr>
      </w:pPr>
    </w:p>
    <w:p>
      <w:pPr>
        <w:jc w:val="both"/>
        <w:ind w:left="8" w:right="20" w:firstLine="648"/>
        <w:spacing w:after="0" w:line="248" w:lineRule="auto"/>
        <w:rPr>
          <w:sz w:val="20"/>
          <w:szCs w:val="20"/>
          <w:color w:val="auto"/>
        </w:rPr>
      </w:pPr>
      <w:r>
        <w:rPr>
          <w:rFonts w:ascii="Arial" w:cs="Arial" w:eastAsia="Arial" w:hAnsi="Arial"/>
          <w:sz w:val="16"/>
          <w:szCs w:val="16"/>
          <w:color w:val="auto"/>
        </w:rPr>
        <w:t>In addition, to the extent not already included in the Consolidated Net Income of such Person in any period and so long as the expenses, charges and losses with respect to which such amounts relate have not been excluded from Consolidated Net Income of such Person in any period,</w:t>
      </w:r>
    </w:p>
    <w:p>
      <w:pPr>
        <w:jc w:val="both"/>
        <w:ind w:left="8" w:right="20"/>
        <w:spacing w:after="0" w:line="234" w:lineRule="auto"/>
        <w:rPr>
          <w:sz w:val="20"/>
          <w:szCs w:val="20"/>
          <w:color w:val="auto"/>
        </w:rPr>
      </w:pPr>
      <w:r>
        <w:rPr>
          <w:rFonts w:ascii="Arial" w:cs="Arial" w:eastAsia="Arial" w:hAnsi="Arial"/>
          <w:sz w:val="16"/>
          <w:szCs w:val="16"/>
          <w:color w:val="auto"/>
        </w:rPr>
        <w:t>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acquisition, Permitted Acquisition, Investment or any sale, conveyance, transfer or other disposition of assets permitted under this</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Agreement.</w:t>
      </w:r>
    </w:p>
    <w:p>
      <w:pPr>
        <w:spacing w:after="0" w:line="196" w:lineRule="exact"/>
        <w:rPr>
          <w:sz w:val="20"/>
          <w:szCs w:val="20"/>
          <w:color w:val="auto"/>
        </w:rPr>
      </w:pPr>
    </w:p>
    <w:p>
      <w:pPr>
        <w:jc w:val="both"/>
        <w:ind w:left="8" w:right="20" w:firstLine="648"/>
        <w:spacing w:after="0" w:line="248" w:lineRule="auto"/>
        <w:rPr>
          <w:sz w:val="20"/>
          <w:szCs w:val="20"/>
          <w:color w:val="auto"/>
        </w:rPr>
      </w:pPr>
      <w:r>
        <w:rPr>
          <w:rFonts w:ascii="Arial" w:cs="Arial" w:eastAsia="Arial" w:hAnsi="Arial"/>
          <w:sz w:val="16"/>
          <w:szCs w:val="16"/>
          <w:color w:val="auto"/>
        </w:rPr>
        <w:t>Notwithstanding the foregoing, for the purpose of Section 7.06 only (other than Section 7.06(a)(iii)(D)), there shall be excluded from Consolidated Net Income any income arising from any sale or other disposition of, or other Returns on Investments from, Restricted Investments made</w:t>
      </w:r>
    </w:p>
    <w:p>
      <w:pPr>
        <w:jc w:val="both"/>
        <w:ind w:left="8" w:right="20"/>
        <w:spacing w:after="0" w:line="234" w:lineRule="auto"/>
        <w:rPr>
          <w:sz w:val="20"/>
          <w:szCs w:val="20"/>
          <w:color w:val="auto"/>
        </w:rPr>
      </w:pPr>
      <w:r>
        <w:rPr>
          <w:rFonts w:ascii="Arial" w:cs="Arial" w:eastAsia="Arial" w:hAnsi="Arial"/>
          <w:sz w:val="16"/>
          <w:szCs w:val="16"/>
          <w:color w:val="auto"/>
        </w:rPr>
        <w:t>by such Person and its Restricted Subsidiaries, any repurchases and redemptions of Restricted Investments from such Person and its Restricted Subsidiaries, any repayments of loans and advances, and releases of guarantees, which constitute Restricted Investments by such Person or any of its Restricted Subsidiaries, any sale of the stock of an Unrestricted Subsidiary or any distribution or dividend from an Unrestricted Subsidiary, in each</w:t>
      </w:r>
    </w:p>
    <w:p>
      <w:pPr>
        <w:spacing w:after="0" w:line="2" w:lineRule="exact"/>
        <w:rPr>
          <w:sz w:val="20"/>
          <w:szCs w:val="20"/>
          <w:color w:val="auto"/>
        </w:rPr>
      </w:pPr>
    </w:p>
    <w:p>
      <w:pPr>
        <w:jc w:val="both"/>
        <w:ind w:left="8" w:right="20"/>
        <w:spacing w:after="0" w:line="218" w:lineRule="auto"/>
        <w:rPr>
          <w:sz w:val="20"/>
          <w:szCs w:val="20"/>
          <w:color w:val="auto"/>
        </w:rPr>
      </w:pPr>
      <w:r>
        <w:rPr>
          <w:rFonts w:ascii="Arial" w:cs="Arial" w:eastAsia="Arial" w:hAnsi="Arial"/>
          <w:sz w:val="18"/>
          <w:szCs w:val="18"/>
          <w:color w:val="auto"/>
        </w:rPr>
        <w:t>case only to the extent such amounts increase the amount of Restricted Payments permitted under Section 7.06(a)(iii)(D) thereof. For the avoidance of doubt, Consolidated Net Income shall be calculated, including pro forma adjustments, in accordance with Section 1.08 other than for purposes of the definition of Excess Cash Flow.</w:t>
      </w:r>
    </w:p>
    <w:p>
      <w:pPr>
        <w:spacing w:after="0" w:line="199" w:lineRule="exact"/>
        <w:rPr>
          <w:sz w:val="20"/>
          <w:szCs w:val="20"/>
          <w:color w:val="auto"/>
        </w:rPr>
      </w:pPr>
    </w:p>
    <w:p>
      <w:pPr>
        <w:jc w:val="both"/>
        <w:ind w:left="8"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Senior Secured Net Debt</w:t>
      </w:r>
      <w:r>
        <w:rPr>
          <w:rFonts w:ascii="Arial" w:cs="Arial" w:eastAsia="Arial" w:hAnsi="Arial"/>
          <w:sz w:val="16"/>
          <w:szCs w:val="16"/>
          <w:color w:val="auto"/>
        </w:rPr>
        <w:t xml:space="preserve">” means, as of any date of determination, any Indebtedness described in clause (a) of the definition of “Consolidated Total Net Debt” outstanding on such date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aggregate undrawn amount of Designated Revolving Commitments in effect on such date, in each case, that is secured by a Lien on any asset or property of the Parent Borrower or any of the Restricted</w:t>
      </w:r>
    </w:p>
    <w:p>
      <w:pPr>
        <w:spacing w:after="0" w:line="1"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6"/>
          <w:szCs w:val="16"/>
          <w:color w:val="auto"/>
        </w:rPr>
        <w:t>Subsidiaries (other than property or assets held in a defeasance or similar trust or arrangement for the benefit of the Indebtedness secured thereby so long as such property or assets are not deducted below) and all secured Incremental Equivalent Debt and any secured Refinancing Indebtedness in respect thereof incurred in reliance on Section 7.03(w), but excluding any such Indebtedness that is expressly junior in right of payment to the</w:t>
      </w:r>
    </w:p>
    <w:p>
      <w:pPr>
        <w:spacing w:after="0" w:line="2" w:lineRule="exact"/>
        <w:rPr>
          <w:sz w:val="20"/>
          <w:szCs w:val="20"/>
          <w:color w:val="auto"/>
        </w:rPr>
      </w:pPr>
    </w:p>
    <w:p>
      <w:pPr>
        <w:jc w:val="both"/>
        <w:ind w:left="8" w:right="20"/>
        <w:spacing w:after="0" w:line="208" w:lineRule="auto"/>
        <w:rPr>
          <w:sz w:val="20"/>
          <w:szCs w:val="20"/>
          <w:color w:val="auto"/>
        </w:rPr>
      </w:pPr>
      <w:r>
        <w:rPr>
          <w:rFonts w:ascii="Arial" w:cs="Arial" w:eastAsia="Arial" w:hAnsi="Arial"/>
          <w:sz w:val="18"/>
          <w:szCs w:val="18"/>
          <w:color w:val="auto"/>
        </w:rPr>
        <w:t xml:space="preserve">Obligations, the ABL Obligations and the Second Lien Obligations,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(other than Restricted Cash), in each case, included on the consolidated balance sheet of the Parent Borrower and the Restricted Subsidiaries as of such date;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Consolidated Senior Secured Net Debt shall not include Indebtedness</w:t>
      </w:r>
    </w:p>
    <w:p>
      <w:pPr>
        <w:spacing w:after="0" w:line="2" w:lineRule="exact"/>
        <w:rPr>
          <w:sz w:val="20"/>
          <w:szCs w:val="20"/>
          <w:color w:val="auto"/>
        </w:rPr>
      </w:pPr>
    </w:p>
    <w:p>
      <w:pPr>
        <w:jc w:val="both"/>
        <w:ind w:left="8" w:right="20" w:hanging="8"/>
        <w:spacing w:after="0" w:line="218" w:lineRule="auto"/>
        <w:tabs>
          <w:tab w:leader="none" w:pos="2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respect of letters of credit, except to the extent of obligations in respect of amounts drawn under standby letters of credit that are unreimbursed for at least two (2) Business Days after such amount is drawn, (ii) owed by Unrestricted Subsidiaries, (iii) obligations in respect of Cash Management Services and (iv) in respect of any Qualified Securitization Financing; it being understood, for the avoidance of doubt, that obligations under Swap Contracts do not constitute Consolidated Senior Secured Net Debt.</w:t>
      </w:r>
    </w:p>
    <w:p>
      <w:pPr>
        <w:spacing w:after="0" w:line="186" w:lineRule="exact"/>
        <w:rPr>
          <w:sz w:val="20"/>
          <w:szCs w:val="20"/>
          <w:color w:val="auto"/>
        </w:rPr>
      </w:pPr>
    </w:p>
    <w:p>
      <w:pPr>
        <w:ind w:left="6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Net Debt</w:t>
      </w:r>
      <w:r>
        <w:rPr>
          <w:rFonts w:ascii="Arial" w:cs="Arial" w:eastAsia="Arial" w:hAnsi="Arial"/>
          <w:sz w:val="16"/>
          <w:szCs w:val="16"/>
          <w:color w:val="auto"/>
        </w:rPr>
        <w:t>” means, as of any date of determination, (a) the aggregate principal amount of Indebtedness of the Parent</w:t>
      </w:r>
    </w:p>
    <w:p>
      <w:pPr>
        <w:spacing w:after="0" w:line="25"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Borrower and the Restricted Subsidiaries outstanding on such date, in an amount that would be reflected on a balance sheet (but excluding the notes thereto) prepared as of such date on a consolidated basis in accordance with GAAP (but excluding the effects of any discounting of Indebtedness resulting from the application of purchase accounting or recapitalization accounting in connection with the Transactions or any Permitted Acquisition</w:t>
      </w:r>
    </w:p>
    <w:p>
      <w:pPr>
        <w:spacing w:after="0" w:line="2"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 xml:space="preserve">or any other acquisition permitted under this Agreement) consisting only of Indebtedness for borrowed money and obligations in respect of Capitalized Leases or other purchase money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without duplication, the aggregate undrawn amount of Designated Revolving Commitments in effect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cash and Cash Equivalents (other than Restricted Cash), in each case, included on</w:t>
      </w:r>
    </w:p>
    <w:p>
      <w:pPr>
        <w:sectPr>
          <w:pgSz w:w="11900" w:h="16838" w:orient="portrait"/>
          <w:cols w:equalWidth="0" w:num="1">
            <w:col w:w="10908"/>
          </w:cols>
          <w:pgMar w:left="472" w:top="1440" w:right="519" w:bottom="1440" w:gutter="0" w:footer="0" w:header="0"/>
        </w:sectPr>
      </w:pPr>
    </w:p>
    <w:bookmarkStart w:id="67" w:name="page68"/>
    <w:bookmarkEnd w:id="67"/>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 xml:space="preserve">the consolidated balance sheet of the Parent Borrower and the Restricted Subsidiaries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Total Net Debt shall not include Indebtedness (i) in respect of letters of credit, except to the extent of obligations in respect of amounts drawn under standby letters that are unreimbursed for at least two (2) Business Days after such amount is drawn, (ii) owed by Unrestricted Subsidiaries, (iii) obligations in respect of Cash</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Management Services and (iv) in respect of any Qualified Securitization Financing; it being understood, for the avoidance of doubt, that obligations under Swap Contracts do not constitute Consolidated Total Net Debt.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Working Capital</w:t>
      </w:r>
      <w:r>
        <w:rPr>
          <w:rFonts w:ascii="Arial" w:cs="Arial" w:eastAsia="Arial" w:hAnsi="Arial"/>
          <w:sz w:val="16"/>
          <w:szCs w:val="16"/>
          <w:color w:val="auto"/>
        </w:rPr>
        <w:t>” means, with respect to the Parent Borrower and the Restricted Subsidiaries on a consolidated basis at any</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date of determination, Current Assets at such date of determination minus Current Liabilities at such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and (b) the effects of purchase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accounting or recapitalization accounting.</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Obligations</w:t>
      </w:r>
      <w:r>
        <w:rPr>
          <w:rFonts w:ascii="Arial" w:cs="Arial" w:eastAsia="Arial" w:hAnsi="Arial"/>
          <w:sz w:val="16"/>
          <w:szCs w:val="16"/>
          <w:color w:val="auto"/>
        </w:rPr>
        <w:t>” means, with respect to any Person, any obligation of such Person guaranteeing any leases, dividends or other obligations that do not constitute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indirectly, including any obligation of such Person, whether or not contingent,</w:t>
      </w:r>
    </w:p>
    <w:p>
      <w:pPr>
        <w:spacing w:after="0" w:line="196" w:lineRule="exact"/>
        <w:rPr>
          <w:sz w:val="20"/>
          <w:szCs w:val="20"/>
          <w:color w:val="auto"/>
        </w:rPr>
      </w:pPr>
    </w:p>
    <w:p>
      <w:pPr>
        <w:ind w:left="1800" w:hanging="512"/>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11" w:lineRule="exact"/>
        <w:rPr>
          <w:rFonts w:ascii="Arial" w:cs="Arial" w:eastAsia="Arial" w:hAnsi="Arial"/>
          <w:sz w:val="18"/>
          <w:szCs w:val="18"/>
          <w:color w:val="auto"/>
        </w:rPr>
      </w:pPr>
    </w:p>
    <w:p>
      <w:pPr>
        <w:ind w:left="1940" w:hanging="652"/>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25" w:lineRule="exact"/>
        <w:rPr>
          <w:rFonts w:ascii="Arial" w:cs="Arial" w:eastAsia="Arial" w:hAnsi="Arial"/>
          <w:sz w:val="18"/>
          <w:szCs w:val="18"/>
          <w:color w:val="auto"/>
        </w:rPr>
      </w:pPr>
    </w:p>
    <w:p>
      <w:pPr>
        <w:ind w:left="2580" w:hanging="556"/>
        <w:spacing w:after="0"/>
        <w:tabs>
          <w:tab w:leader="none" w:pos="2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225" w:lineRule="exact"/>
        <w:rPr>
          <w:rFonts w:ascii="Arial" w:cs="Arial" w:eastAsia="Arial" w:hAnsi="Arial"/>
          <w:sz w:val="18"/>
          <w:szCs w:val="18"/>
          <w:color w:val="auto"/>
        </w:rPr>
      </w:pPr>
    </w:p>
    <w:p>
      <w:pPr>
        <w:ind w:left="1280" w:right="640" w:firstLine="694"/>
        <w:spacing w:after="0" w:line="246" w:lineRule="auto"/>
        <w:tabs>
          <w:tab w:leader="none" w:pos="24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196" w:lineRule="exact"/>
        <w:rPr>
          <w:rFonts w:ascii="Arial" w:cs="Arial" w:eastAsia="Arial" w:hAnsi="Arial"/>
          <w:sz w:val="18"/>
          <w:szCs w:val="18"/>
          <w:color w:val="auto"/>
        </w:rPr>
      </w:pPr>
    </w:p>
    <w:p>
      <w:pPr>
        <w:ind w:left="640" w:firstLine="648"/>
        <w:spacing w:after="0" w:line="235" w:lineRule="auto"/>
        <w:tabs>
          <w:tab w:leader="none" w:pos="17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 Consideration</w:t>
      </w:r>
      <w:r>
        <w:rPr>
          <w:rFonts w:ascii="Arial" w:cs="Arial" w:eastAsia="Arial" w:hAnsi="Arial"/>
          <w:sz w:val="16"/>
          <w:szCs w:val="16"/>
          <w:color w:val="auto"/>
        </w:rPr>
        <w:t>” has the meaning specified in the definition of “Excess Cash Flow.” “</w:t>
      </w:r>
      <w:r>
        <w:rPr>
          <w:rFonts w:ascii="Arial" w:cs="Arial" w:eastAsia="Arial" w:hAnsi="Arial"/>
          <w:sz w:val="16"/>
          <w:szCs w:val="16"/>
          <w:b w:val="1"/>
          <w:bCs w:val="1"/>
          <w:color w:val="auto"/>
        </w:rPr>
        <w:t>Contractual Obligation</w:t>
      </w:r>
      <w:r>
        <w:rPr>
          <w:rFonts w:ascii="Arial" w:cs="Arial" w:eastAsia="Arial" w:hAnsi="Arial"/>
          <w:sz w:val="16"/>
          <w:szCs w:val="16"/>
          <w:color w:val="auto"/>
        </w:rPr>
        <w:t>” means, as to any</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Person, any provision of any security issued by such Person 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of any agreement, instrument or other undertaking to which such Person is a party or by which it or any of its property is bound.</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t>
      </w:r>
      <w:r>
        <w:rPr>
          <w:rFonts w:ascii="Arial" w:cs="Arial" w:eastAsia="Arial" w:hAnsi="Arial"/>
          <w:sz w:val="17"/>
          <w:szCs w:val="17"/>
          <w:b w:val="1"/>
          <w:bCs w:val="1"/>
          <w:color w:val="auto"/>
        </w:rPr>
        <w:t>Controlled</w:t>
      </w:r>
      <w:r>
        <w:rPr>
          <w:rFonts w:ascii="Arial" w:cs="Arial" w:eastAsia="Arial" w:hAnsi="Arial"/>
          <w:sz w:val="17"/>
          <w:szCs w:val="17"/>
          <w:color w:val="auto"/>
        </w:rPr>
        <w:t>” and “</w:t>
      </w:r>
      <w:r>
        <w:rPr>
          <w:rFonts w:ascii="Arial" w:cs="Arial" w:eastAsia="Arial" w:hAnsi="Arial"/>
          <w:sz w:val="17"/>
          <w:szCs w:val="17"/>
          <w:b w:val="1"/>
          <w:bCs w:val="1"/>
          <w:color w:val="auto"/>
        </w:rPr>
        <w:t>Controlling</w:t>
      </w:r>
      <w:r>
        <w:rPr>
          <w:rFonts w:ascii="Arial" w:cs="Arial" w:eastAsia="Arial" w:hAnsi="Arial"/>
          <w:sz w:val="17"/>
          <w:szCs w:val="17"/>
          <w:color w:val="auto"/>
        </w:rPr>
        <w:t>” have the meaning specified in the definition of “Affiliate.” “</w:t>
      </w:r>
      <w:r>
        <w:rPr>
          <w:rFonts w:ascii="Arial" w:cs="Arial" w:eastAsia="Arial" w:hAnsi="Arial"/>
          <w:sz w:val="17"/>
          <w:szCs w:val="17"/>
          <w:b w:val="1"/>
          <w:bCs w:val="1"/>
          <w:color w:val="auto"/>
        </w:rPr>
        <w:t>Controlled Investment Affiliate</w:t>
      </w:r>
      <w:r>
        <w:rPr>
          <w:rFonts w:ascii="Arial" w:cs="Arial" w:eastAsia="Arial" w:hAnsi="Arial"/>
          <w:sz w:val="17"/>
          <w:szCs w:val="17"/>
          <w:color w:val="auto"/>
        </w:rPr>
        <w: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means, as to any Person, any other Person, which directly or indirectly</w:t>
      </w:r>
    </w:p>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is in Control of, is Controlled by, or is under common Control with such Person and is organized by such Person (or any Person Controlling such Person) primarily for making direct or indirect equity or debt investments in a Borrower and/or other companies.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has the meaning specified in Section 10.22(b). “</w:t>
      </w:r>
      <w:r>
        <w:rPr>
          <w:rFonts w:ascii="Arial" w:cs="Arial" w:eastAsia="Arial" w:hAnsi="Arial"/>
          <w:sz w:val="18"/>
          <w:szCs w:val="18"/>
          <w:b w:val="1"/>
          <w:bCs w:val="1"/>
          <w:color w:val="auto"/>
        </w:rPr>
        <w:t>Covered Party</w:t>
      </w:r>
      <w:r>
        <w:rPr>
          <w:rFonts w:ascii="Arial" w:cs="Arial" w:eastAsia="Arial" w:hAnsi="Arial"/>
          <w:sz w:val="18"/>
          <w:szCs w:val="18"/>
          <w:color w:val="auto"/>
        </w:rPr>
        <w:t>” has the meaning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10.22(a). “</w:t>
      </w:r>
      <w:r>
        <w:rPr>
          <w:rFonts w:ascii="Arial" w:cs="Arial" w:eastAsia="Arial" w:hAnsi="Arial"/>
          <w:sz w:val="18"/>
          <w:szCs w:val="18"/>
          <w:b w:val="1"/>
          <w:bCs w:val="1"/>
          <w:color w:val="auto"/>
        </w:rPr>
        <w:t>Credit Extension</w:t>
      </w:r>
      <w:r>
        <w:rPr>
          <w:rFonts w:ascii="Arial" w:cs="Arial" w:eastAsia="Arial" w:hAnsi="Arial"/>
          <w:sz w:val="18"/>
          <w:szCs w:val="18"/>
          <w:color w:val="auto"/>
        </w:rPr>
        <w:t>” means a Borrowing.</w:t>
      </w:r>
    </w:p>
    <w:p>
      <w:pPr>
        <w:sectPr>
          <w:pgSz w:w="11900" w:h="16838" w:orient="portrait"/>
          <w:cols w:equalWidth="0" w:num="1">
            <w:col w:w="10900"/>
          </w:cols>
          <w:pgMar w:left="480" w:top="1440" w:right="519" w:bottom="1440" w:gutter="0" w:footer="0" w:header="0"/>
        </w:sectPr>
      </w:pPr>
    </w:p>
    <w:bookmarkStart w:id="68" w:name="page69"/>
    <w:bookmarkEnd w:id="68"/>
    <w:p>
      <w:pPr>
        <w:spacing w:after="0" w:line="207"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has the meaning specified in Section 9.15.</w:t>
      </w:r>
    </w:p>
    <w:p>
      <w:pPr>
        <w:spacing w:after="0" w:line="225" w:lineRule="exact"/>
        <w:rPr>
          <w:sz w:val="20"/>
          <w:szCs w:val="20"/>
          <w:color w:val="auto"/>
        </w:rPr>
      </w:pPr>
    </w:p>
    <w:p>
      <w:pPr>
        <w:jc w:val="both"/>
        <w:ind w:left="8"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Assets</w:t>
      </w:r>
      <w:r>
        <w:rPr>
          <w:rFonts w:ascii="Arial" w:cs="Arial" w:eastAsia="Arial" w:hAnsi="Arial"/>
          <w:sz w:val="16"/>
          <w:szCs w:val="16"/>
          <w:color w:val="auto"/>
        </w:rPr>
        <w:t>” means, with respect to the Parent Borrower and the Restricted Subsidiaries on a consolidated basis at any date of determination, all assets (other than cash and Cash Equivalents) that would, in accordance with GAAP, be classified on a consolidated balance sheet of the Parent Borrower and the Restricted Subsidiaries as current assets at such date of determination, other than (i) amounts related to current or deferred</w:t>
      </w:r>
    </w:p>
    <w:p>
      <w:pPr>
        <w:ind w:left="8"/>
        <w:spacing w:after="0" w:line="204" w:lineRule="auto"/>
        <w:rPr>
          <w:sz w:val="20"/>
          <w:szCs w:val="20"/>
          <w:color w:val="auto"/>
        </w:rPr>
      </w:pPr>
      <w:r>
        <w:rPr>
          <w:rFonts w:ascii="Arial" w:cs="Arial" w:eastAsia="Arial" w:hAnsi="Arial"/>
          <w:sz w:val="18"/>
          <w:szCs w:val="18"/>
          <w:color w:val="auto"/>
        </w:rPr>
        <w:t>Taxes based on income or profits, (ii) assets held for sale, (iii) loans (permitted) to third parties, (iv) pension assets,</w:t>
      </w:r>
    </w:p>
    <w:p>
      <w:pPr>
        <w:spacing w:after="0" w:line="1" w:lineRule="exact"/>
        <w:rPr>
          <w:sz w:val="20"/>
          <w:szCs w:val="20"/>
          <w:color w:val="auto"/>
        </w:rPr>
      </w:pPr>
    </w:p>
    <w:p>
      <w:pPr>
        <w:jc w:val="both"/>
        <w:ind w:left="8" w:right="20" w:hanging="8"/>
        <w:spacing w:after="0" w:line="223" w:lineRule="auto"/>
        <w:tabs>
          <w:tab w:leader="none" w:pos="5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deferred bank fees, (vi) derivative financial instruments, (vii) prepaid expenses and (viii) in the event that a Securitization Financing is accounted for off balance sheet, (x) gross accounts receivable comprising Securitization Assets sold pursuant to such Securitization Financing less (y) collections against the amount sold pursuant to clause (x).</w:t>
      </w:r>
    </w:p>
    <w:p>
      <w:pPr>
        <w:spacing w:after="0" w:line="186" w:lineRule="exact"/>
        <w:rPr>
          <w:sz w:val="20"/>
          <w:szCs w:val="20"/>
          <w:color w:val="auto"/>
        </w:rPr>
      </w:pPr>
    </w:p>
    <w:p>
      <w:pPr>
        <w:jc w:val="both"/>
        <w:ind w:left="8"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Liabilities</w:t>
      </w:r>
      <w:r>
        <w:rPr>
          <w:rFonts w:ascii="Arial" w:cs="Arial" w:eastAsia="Arial" w:hAnsi="Arial"/>
          <w:sz w:val="16"/>
          <w:szCs w:val="16"/>
          <w:color w:val="auto"/>
        </w:rPr>
        <w:t>” means, with respect to the Parent Borrower and the Restricted Subsidiaries on a consolidated basis at any date of determination, all liabilities that would, in accordance with GAAP, be classified on a consolidated balance sheet of the Borrowers and the Restricted</w:t>
      </w:r>
    </w:p>
    <w:p>
      <w:pPr>
        <w:spacing w:after="0" w:line="1"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Subsidiaries as current liabilities at such date of determination, other than (a) the current portion of any Funded Debt and derivative financial instruments, (b) the current portion of accrued interest, (c) liabilities relating to current or deferred Taxes based on income or profits, (d) accruals of any costs or expenses related to restructuring reserves or severance, (e) deferred revenue, (f) any ABL Revolving Loans, Revolving Credit Exposure,</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Revolving Credit Loans or any other liabilities in respect of revolving loans, swingline loans or letter of credit obligations under any revolving credit facility, (g) the current portion of any Capitalized Lease Obligation, (h) the current portion of any other long-term liabilities, (i) liabilities in respect of unpaid earn-outs, (j) amounts related to derivative financial instruments and assets held for sale, (k) the current portion of pension liabilities, and (l)</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liabilities related to assets held for sale.</w:t>
      </w:r>
    </w:p>
    <w:p>
      <w:pPr>
        <w:spacing w:after="0" w:line="192" w:lineRule="exact"/>
        <w:rPr>
          <w:sz w:val="20"/>
          <w:szCs w:val="20"/>
          <w:color w:val="auto"/>
        </w:rPr>
      </w:pPr>
    </w:p>
    <w:p>
      <w:pPr>
        <w:ind w:left="648"/>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Daily Simple SOFR</w:t>
      </w:r>
      <w:r>
        <w:rPr>
          <w:rFonts w:ascii="Arial" w:cs="Arial" w:eastAsia="Arial" w:hAnsi="Arial"/>
          <w:sz w:val="16"/>
          <w:szCs w:val="16"/>
          <w:color w:val="FF0000"/>
          <w:strike w:val="1"/>
        </w:rPr>
        <w:t>” with respect to any applicable determination date means the secured overnight financing rate (“</w:t>
      </w:r>
      <w:r>
        <w:rPr>
          <w:rFonts w:ascii="Arial" w:cs="Arial" w:eastAsia="Arial" w:hAnsi="Arial"/>
          <w:sz w:val="16"/>
          <w:szCs w:val="16"/>
          <w:b w:val="1"/>
          <w:bCs w:val="1"/>
          <w:color w:val="FF0000"/>
          <w:strike w:val="1"/>
        </w:rPr>
        <w:t>S</w:t>
      </w:r>
      <w:r>
        <w:rPr>
          <w:rFonts w:ascii="Arial" w:cs="Arial" w:eastAsia="Arial" w:hAnsi="Arial"/>
          <w:sz w:val="16"/>
          <w:szCs w:val="16"/>
          <w:b w:val="1"/>
          <w:bCs w:val="1"/>
          <w:color w:val="EE2724"/>
          <w:strike w:val="1"/>
        </w:rPr>
        <w:t>OFR</w:t>
      </w:r>
      <w:r>
        <w:rPr>
          <w:rFonts w:ascii="Arial" w:cs="Arial" w:eastAsia="Arial" w:hAnsi="Arial"/>
          <w:sz w:val="16"/>
          <w:szCs w:val="16"/>
          <w:color w:val="EE2724"/>
          <w:strike w:val="1"/>
        </w:rPr>
        <w:t>”) published on</w:t>
      </w:r>
    </w:p>
    <w:p>
      <w:pPr>
        <w:spacing w:after="0" w:line="25" w:lineRule="exact"/>
        <w:rPr>
          <w:sz w:val="20"/>
          <w:szCs w:val="20"/>
          <w:color w:val="auto"/>
        </w:rPr>
      </w:pPr>
    </w:p>
    <w:p>
      <w:pPr>
        <w:jc w:val="both"/>
        <w:ind w:left="8" w:right="20"/>
        <w:spacing w:after="0" w:line="226" w:lineRule="auto"/>
        <w:rPr>
          <w:sz w:val="20"/>
          <w:szCs w:val="20"/>
          <w:color w:val="auto"/>
        </w:rPr>
      </w:pPr>
      <w:r>
        <w:rPr>
          <w:rFonts w:ascii="Arial" w:cs="Arial" w:eastAsia="Arial" w:hAnsi="Arial"/>
          <w:sz w:val="18"/>
          <w:szCs w:val="18"/>
          <w:color w:val="EE2724"/>
          <w:strike w:val="1"/>
        </w:rPr>
        <w:t>such date by the Federal Reserve Bank of New York, as the administrator of the benchmark (or a successor administrator) on the Federal Reserve Bank of New York’s website (or any successor source).</w:t>
      </w:r>
    </w:p>
    <w:p>
      <w:pPr>
        <w:spacing w:after="0" w:line="265"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Assumption</w:t>
      </w:r>
      <w:r>
        <w:rPr>
          <w:rFonts w:ascii="Arial" w:cs="Arial" w:eastAsia="Arial" w:hAnsi="Arial"/>
          <w:sz w:val="18"/>
          <w:szCs w:val="18"/>
          <w:color w:val="auto"/>
        </w:rPr>
        <w:t>” has the meaning set forth in Section 2.01(c)(ii).</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Debtor Relief Laws</w:t>
      </w:r>
      <w:r>
        <w:rPr>
          <w:rFonts w:ascii="Arial" w:cs="Arial" w:eastAsia="Arial" w:hAnsi="Arial"/>
          <w:sz w:val="16"/>
          <w:szCs w:val="16"/>
          <w:color w:val="auto"/>
        </w:rPr>
        <w:t>” means the Bankruptcy Code of the United States and all other liquidation, conservatorship, bankruptcy, assignment for</w:t>
      </w:r>
    </w:p>
    <w:p>
      <w:pPr>
        <w:spacing w:after="0" w:line="25" w:lineRule="exact"/>
        <w:rPr>
          <w:sz w:val="20"/>
          <w:szCs w:val="20"/>
          <w:color w:val="auto"/>
        </w:rPr>
      </w:pPr>
    </w:p>
    <w:p>
      <w:pPr>
        <w:jc w:val="both"/>
        <w:ind w:left="8" w:right="20"/>
        <w:spacing w:after="0" w:line="226" w:lineRule="auto"/>
        <w:rPr>
          <w:sz w:val="20"/>
          <w:szCs w:val="20"/>
          <w:color w:val="auto"/>
        </w:rPr>
      </w:pPr>
      <w:r>
        <w:rPr>
          <w:rFonts w:ascii="Arial" w:cs="Arial" w:eastAsia="Arial" w:hAnsi="Arial"/>
          <w:sz w:val="18"/>
          <w:szCs w:val="18"/>
          <w:color w:val="auto"/>
        </w:rPr>
        <w:t>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has the meaning specified in Section 2.05(b)(vii).</w:t>
      </w:r>
    </w:p>
    <w:p>
      <w:pPr>
        <w:spacing w:after="0" w:line="225" w:lineRule="exact"/>
        <w:rPr>
          <w:sz w:val="20"/>
          <w:szCs w:val="20"/>
          <w:color w:val="auto"/>
        </w:rPr>
      </w:pPr>
    </w:p>
    <w:p>
      <w:pPr>
        <w:jc w:val="both"/>
        <w:ind w:left="8"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with the passage of time or the giving of notice or both, in each case, as set forth under Section 8.01, without cure or waiver, would be an Event of Default.</w:t>
      </w:r>
    </w:p>
    <w:p>
      <w:pPr>
        <w:spacing w:after="0" w:line="190" w:lineRule="exact"/>
        <w:rPr>
          <w:sz w:val="20"/>
          <w:szCs w:val="20"/>
          <w:color w:val="auto"/>
        </w:rPr>
      </w:pPr>
    </w:p>
    <w:p>
      <w:pPr>
        <w:jc w:val="both"/>
        <w:ind w:left="8"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means an interest rate equal to (a) the Base Rate plus (b) the Applicable Rate, if any, applicable to Base Rate Loans plus (c) 2.00% per annum;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 the Default Rate shall be an interest rate equal to the interest rate (including any Applicable Rate) otherwise applicable to such Loan plus 2.00% per annum, in each case, to the fullest extent permitted by</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applicable Laws.</w:t>
      </w:r>
    </w:p>
    <w:p>
      <w:pPr>
        <w:spacing w:after="0" w:line="192"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specified in Section 10.22(b).</w:t>
      </w:r>
    </w:p>
    <w:p>
      <w:pPr>
        <w:spacing w:after="0" w:line="225" w:lineRule="exact"/>
        <w:rPr>
          <w:sz w:val="20"/>
          <w:szCs w:val="20"/>
          <w:color w:val="auto"/>
        </w:rPr>
      </w:pPr>
    </w:p>
    <w:p>
      <w:pPr>
        <w:jc w:val="both"/>
        <w:ind w:left="8"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means, subject to Section 2.17(b), any Lender that, as reasonably determined by the Administrative Agent (a) has refused (which refusal may be given verbally or in writing and has not been retracted) or failed to perform any of its funding obligations hereunder or</w:t>
      </w:r>
    </w:p>
    <w:p>
      <w:pPr>
        <w:spacing w:after="0" w:line="1" w:lineRule="exact"/>
        <w:rPr>
          <w:sz w:val="20"/>
          <w:szCs w:val="20"/>
          <w:color w:val="auto"/>
        </w:rPr>
      </w:pPr>
    </w:p>
    <w:p>
      <w:pPr>
        <w:ind w:left="8" w:right="20"/>
        <w:spacing w:after="0" w:line="239" w:lineRule="auto"/>
        <w:rPr>
          <w:sz w:val="20"/>
          <w:szCs w:val="20"/>
          <w:color w:val="auto"/>
        </w:rPr>
      </w:pPr>
      <w:r>
        <w:rPr>
          <w:rFonts w:ascii="Arial" w:cs="Arial" w:eastAsia="Arial" w:hAnsi="Arial"/>
          <w:sz w:val="17"/>
          <w:szCs w:val="17"/>
          <w:color w:val="auto"/>
        </w:rPr>
        <w:t>any other amounts required to be paid by it, which refusal or failure is not cured within two (2) Business Days after the date of such refusal or failure, (b) has notified the Borrowers or Administrative Agent (which notification has not been withdrawn in writing) that it does not intend</w:t>
      </w:r>
    </w:p>
    <w:p>
      <w:pPr>
        <w:sectPr>
          <w:pgSz w:w="11900" w:h="16838" w:orient="portrait"/>
          <w:cols w:equalWidth="0" w:num="1">
            <w:col w:w="10908"/>
          </w:cols>
          <w:pgMar w:left="472" w:top="1440" w:right="519" w:bottom="1440" w:gutter="0" w:footer="0" w:header="0"/>
        </w:sectPr>
      </w:pPr>
    </w:p>
    <w:bookmarkStart w:id="69" w:name="page70"/>
    <w:bookmarkEnd w:id="69"/>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to comply with its funding obligations or has made a public statement to that effect with respect to its funding obligations hereunder or under other agreements in which it commits to extend credit, (c) has failed, within three (3) Business Days after request by the Administrative Agent, to confirm that it will comply with its funding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Lender shall cease to be a Defaulting Lender pursuant to this clause (c) upon receipt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such confirmation by the Administrative Agent or the Borrowers, or (d) has, or has a direct or indirect parent company that has, after the date of this Agreement, (i) become the subject of a proceeding under any Debtor Relief Law, (ii) had a receiver, conservator, trustee, administrator, assignee for the benefit of creditors or similar Person charged with reorganization or liquidation of its business or a custodian appointed for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Governmental Authority or instrumentality) to reject, repudiate, disavow or disaffirm any contracts or agreements made with such Lender or (iii) become the subject of a Bail-In Action.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Preferred Stock</w:t>
      </w:r>
      <w:r>
        <w:rPr>
          <w:rFonts w:ascii="Arial" w:cs="Arial" w:eastAsia="Arial" w:hAnsi="Arial"/>
          <w:sz w:val="16"/>
          <w:szCs w:val="16"/>
          <w:color w:val="auto"/>
        </w:rPr>
        <w:t>” means Preferred Stock of the Parent Borrower or any direct or indirect parent company thereof (in each case other than Disqualified Equity Interests) that is issued for cash (other than to the Parent Borrower, a Restricted Subsidiary or an employee stock ownership plan or trust established by the Parent Borrower or any Subsidiary) and is designated as Designated Preferred Stock pursuant to a certificate of a Responsible Officer of the Administrative Borrower delivered to the Administrative Agent on or promptly after the issue date thereof, the cash</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proceeds of which are excluded from the calculation set forth in Section 7.06(a)(iii) and shall not be, and have not been, designated an Excluded Contribution.</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Revolving Commitments</w:t>
      </w:r>
      <w:r>
        <w:rPr>
          <w:rFonts w:ascii="Arial" w:cs="Arial" w:eastAsia="Arial" w:hAnsi="Arial"/>
          <w:sz w:val="16"/>
          <w:szCs w:val="16"/>
          <w:color w:val="auto"/>
        </w:rPr>
        <w:t>” means any commitments to make loans or extend credit on a revolving basis to any Borrower or any of its Restricted Subsidiaries by any Person other than any Borrower or any of its Restricted Subsidiaries that have been designated pursuant to a certificate of a Responsible Officer of the Administrative Borrower delivered to the Administrative Agent as “Designated Revolving Commitments”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until such time as the Administrative Borrower subsequently delivers a certificate of a Responsible Officer of the Administrative Borrower to the Administrative Agent to the effect that such commitments shall no longer constitute “Designated Revolving Commitments.”</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Prepayment Accepting Lender</w:t>
      </w:r>
      <w:r>
        <w:rPr>
          <w:rFonts w:ascii="Arial" w:cs="Arial" w:eastAsia="Arial" w:hAnsi="Arial"/>
          <w:sz w:val="17"/>
          <w:szCs w:val="17"/>
          <w:color w:val="auto"/>
        </w:rPr>
        <w:t>” has the meaning specified in Section 2.05(a)(v)(B)(2). “</w:t>
      </w:r>
      <w:r>
        <w:rPr>
          <w:rFonts w:ascii="Arial" w:cs="Arial" w:eastAsia="Arial" w:hAnsi="Arial"/>
          <w:sz w:val="17"/>
          <w:szCs w:val="17"/>
          <w:b w:val="1"/>
          <w:bCs w:val="1"/>
          <w:color w:val="auto"/>
        </w:rPr>
        <w:t>Discount Range</w:t>
      </w:r>
      <w:r>
        <w:rPr>
          <w:rFonts w:ascii="Arial" w:cs="Arial" w:eastAsia="Arial" w:hAnsi="Arial"/>
          <w:sz w:val="17"/>
          <w:szCs w:val="17"/>
          <w:color w:val="auto"/>
        </w:rPr>
        <w:t>” has the meaning</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2.05(a)(v)(C)(1).</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 Prepayment Amount</w:t>
      </w:r>
      <w:r>
        <w:rPr>
          <w:rFonts w:ascii="Arial" w:cs="Arial" w:eastAsia="Arial" w:hAnsi="Arial"/>
          <w:sz w:val="18"/>
          <w:szCs w:val="18"/>
          <w:color w:val="auto"/>
        </w:rPr>
        <w:t>” has the meaning specified in Section 2.05(a)(v)(C)(1).</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 Prepayment Notice</w:t>
      </w:r>
      <w:r>
        <w:rPr>
          <w:rFonts w:ascii="Arial" w:cs="Arial" w:eastAsia="Arial" w:hAnsi="Arial"/>
          <w:sz w:val="18"/>
          <w:szCs w:val="18"/>
          <w:color w:val="auto"/>
        </w:rPr>
        <w:t xml:space="preserve"> ” means a written notice of a Borrower Solicitation of Discount Range Prepayment Offers made pursuant to Section 2.05(a)(v)(C)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 Prepayment Offer</w:t>
      </w:r>
      <w:r>
        <w:rPr>
          <w:rFonts w:ascii="Arial" w:cs="Arial" w:eastAsia="Arial" w:hAnsi="Arial"/>
          <w:sz w:val="18"/>
          <w:szCs w:val="18"/>
          <w:color w:val="auto"/>
        </w:rPr>
        <w:t xml:space="preserve">” means the irrevocable written offer by a Lender, substantially in the form of </w:t>
      </w:r>
      <w:r>
        <w:rPr>
          <w:rFonts w:ascii="Arial" w:cs="Arial" w:eastAsia="Arial" w:hAnsi="Arial"/>
          <w:sz w:val="18"/>
          <w:szCs w:val="18"/>
          <w:u w:val="single" w:color="auto"/>
          <w:color w:val="auto"/>
        </w:rPr>
        <w:t>Exhibit E-5</w:t>
      </w:r>
      <w:r>
        <w:rPr>
          <w:rFonts w:ascii="Arial" w:cs="Arial" w:eastAsia="Arial" w:hAnsi="Arial"/>
          <w:sz w:val="18"/>
          <w:szCs w:val="18"/>
          <w:color w:val="auto"/>
        </w:rPr>
        <w:t>, submitted in response to an invitation to submit offers following the Auction Agent’s receipt of a Discount Range Prepayment Notice.</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Discount Range Prepayment Response Date</w:t>
      </w:r>
      <w:r>
        <w:rPr>
          <w:rFonts w:ascii="Arial" w:cs="Arial" w:eastAsia="Arial" w:hAnsi="Arial"/>
          <w:sz w:val="16"/>
          <w:szCs w:val="16"/>
          <w:color w:val="auto"/>
        </w:rPr>
        <w:t>” has the meaning specified in Section 2.05(a)(v)(C)(1). “</w:t>
      </w:r>
      <w:r>
        <w:rPr>
          <w:rFonts w:ascii="Arial" w:cs="Arial" w:eastAsia="Arial" w:hAnsi="Arial"/>
          <w:sz w:val="16"/>
          <w:szCs w:val="16"/>
          <w:b w:val="1"/>
          <w:bCs w:val="1"/>
          <w:color w:val="auto"/>
        </w:rPr>
        <w:t>Discount Range Proration</w:t>
      </w:r>
      <w:r>
        <w:rPr>
          <w:rFonts w:ascii="Arial" w:cs="Arial" w:eastAsia="Arial" w:hAnsi="Arial"/>
          <w:sz w:val="16"/>
          <w:szCs w:val="16"/>
          <w:color w:val="auto"/>
        </w:rPr>
        <w:t>” has the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2.05(a)(v)(C)(3).</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 Determination Date</w:t>
      </w:r>
      <w:r>
        <w:rPr>
          <w:rFonts w:ascii="Arial" w:cs="Arial" w:eastAsia="Arial" w:hAnsi="Arial"/>
          <w:sz w:val="18"/>
          <w:szCs w:val="18"/>
          <w:color w:val="auto"/>
        </w:rPr>
        <w:t>” has the meaning specified in Section 2.05(a)(v)(D)(3).</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Discounted Prepayment Effective Date</w:t>
      </w:r>
      <w:r>
        <w:rPr>
          <w:rFonts w:ascii="Arial" w:cs="Arial" w:eastAsia="Arial" w:hAnsi="Arial"/>
          <w:sz w:val="16"/>
          <w:szCs w:val="16"/>
          <w:color w:val="auto"/>
        </w:rPr>
        <w:t>” means in the case of a Borrower Offer of Specified Discount Prepayment, Borrower Solicitation</w:t>
      </w:r>
    </w:p>
    <w:p>
      <w:pPr>
        <w:spacing w:after="0" w:line="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Discount Range Prepayment Offer or Borrower Solicitation of Discounted Prepayment Offer, five (5) Business Days following the Specified Discount Prepayment Response Date, the Discount Range Prepayment Response Date or the Solicited Discounted Prepayment Response Date, as applicable,</w:t>
      </w:r>
    </w:p>
    <w:p>
      <w:pPr>
        <w:sectPr>
          <w:pgSz w:w="11900" w:h="16838" w:orient="portrait"/>
          <w:cols w:equalWidth="0" w:num="1">
            <w:col w:w="10880"/>
          </w:cols>
          <w:pgMar w:left="480" w:top="1440" w:right="539" w:bottom="1440" w:gutter="0" w:footer="0" w:header="0"/>
        </w:sectPr>
      </w:pPr>
    </w:p>
    <w:bookmarkStart w:id="70" w:name="page71"/>
    <w:bookmarkEnd w:id="70"/>
    <w:p>
      <w:pPr>
        <w:spacing w:after="0" w:line="211" w:lineRule="exact"/>
        <w:rPr>
          <w:sz w:val="20"/>
          <w:szCs w:val="20"/>
          <w:color w:val="auto"/>
        </w:rPr>
      </w:pPr>
    </w:p>
    <w:p>
      <w:pPr>
        <w:ind w:left="8" w:right="380"/>
        <w:spacing w:after="0" w:line="235" w:lineRule="auto"/>
        <w:rPr>
          <w:sz w:val="20"/>
          <w:szCs w:val="20"/>
          <w:color w:val="auto"/>
        </w:rPr>
      </w:pPr>
      <w:r>
        <w:rPr>
          <w:rFonts w:ascii="Arial" w:cs="Arial" w:eastAsia="Arial" w:hAnsi="Arial"/>
          <w:sz w:val="18"/>
          <w:szCs w:val="18"/>
          <w:color w:val="auto"/>
        </w:rPr>
        <w:t>in accordance with Section 2.05(a)(v)(B)(1), Section 2.05(a)(v)(C)(1) or Section 2.05(a)(v)(D)(1), respectively, unless a shorter period is agreed to between the Administrative Borrower and the Auction Agent.</w:t>
      </w:r>
    </w:p>
    <w:p>
      <w:pPr>
        <w:spacing w:after="0" w:line="198"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Term Loan Prepayment</w:t>
      </w:r>
      <w:r>
        <w:rPr>
          <w:rFonts w:ascii="Arial" w:cs="Arial" w:eastAsia="Arial" w:hAnsi="Arial"/>
          <w:sz w:val="18"/>
          <w:szCs w:val="18"/>
          <w:color w:val="auto"/>
        </w:rPr>
        <w:t>” has the meaning specified in Section 2.05(a)(v)(A).</w:t>
      </w:r>
    </w:p>
    <w:p>
      <w:pPr>
        <w:spacing w:after="0" w:line="225" w:lineRule="exact"/>
        <w:rPr>
          <w:sz w:val="20"/>
          <w:szCs w:val="20"/>
          <w:color w:val="auto"/>
        </w:rPr>
      </w:pPr>
    </w:p>
    <w:p>
      <w:pPr>
        <w:jc w:val="both"/>
        <w:ind w:left="8"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Disposition</w:t>
      </w:r>
      <w:r>
        <w:rPr>
          <w:rFonts w:ascii="Arial" w:cs="Arial" w:eastAsia="Arial" w:hAnsi="Arial"/>
          <w:sz w:val="16"/>
          <w:szCs w:val="16"/>
          <w:color w:val="auto"/>
        </w:rPr>
        <w:t xml:space="preserve">” or “ </w:t>
      </w:r>
      <w:r>
        <w:rPr>
          <w:rFonts w:ascii="Arial" w:cs="Arial" w:eastAsia="Arial" w:hAnsi="Arial"/>
          <w:sz w:val="16"/>
          <w:szCs w:val="16"/>
          <w:b w:val="1"/>
          <w:bCs w:val="1"/>
          <w:color w:val="auto"/>
        </w:rPr>
        <w:t>Dispose</w:t>
      </w:r>
      <w:r>
        <w:rPr>
          <w:rFonts w:ascii="Arial" w:cs="Arial" w:eastAsia="Arial" w:hAnsi="Arial"/>
          <w:sz w:val="16"/>
          <w:szCs w:val="16"/>
          <w:color w:val="auto"/>
        </w:rPr>
        <w:t>” means the sale, transfer, license, lease or other disposition (including any sale and leaseback transaction and any sale or issuance of Equity Interests in a Restricted Subsidiary) of any property by any Person, including any sale, assignment, transfer or other</w:t>
      </w:r>
    </w:p>
    <w:p>
      <w:pPr>
        <w:spacing w:after="0" w:line="1" w:lineRule="exact"/>
        <w:rPr>
          <w:sz w:val="20"/>
          <w:szCs w:val="20"/>
          <w:color w:val="auto"/>
        </w:rPr>
      </w:pPr>
    </w:p>
    <w:p>
      <w:pPr>
        <w:jc w:val="both"/>
        <w:ind w:left="8" w:right="40"/>
        <w:spacing w:after="0" w:line="218" w:lineRule="auto"/>
        <w:rPr>
          <w:sz w:val="20"/>
          <w:szCs w:val="20"/>
          <w:color w:val="auto"/>
        </w:rPr>
      </w:pPr>
      <w:r>
        <w:rPr>
          <w:rFonts w:ascii="Arial" w:cs="Arial" w:eastAsia="Arial" w:hAnsi="Arial"/>
          <w:sz w:val="18"/>
          <w:szCs w:val="18"/>
          <w:color w:val="auto"/>
        </w:rPr>
        <w:t xml:space="preserve">disposal, with or without recourse, of any notes or accounts receivable or any rights and claims associated therewith, whether in a single transaction or a series of related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“Disposition” and “Dispose” shall not include any issuance by the Parent Borrower of any of its Equity Interests to another Person.</w:t>
      </w:r>
    </w:p>
    <w:p>
      <w:pPr>
        <w:spacing w:after="0" w:line="199" w:lineRule="exact"/>
        <w:rPr>
          <w:sz w:val="20"/>
          <w:szCs w:val="20"/>
          <w:color w:val="auto"/>
        </w:rPr>
      </w:pPr>
    </w:p>
    <w:p>
      <w:pPr>
        <w:jc w:val="both"/>
        <w:ind w:left="8" w:firstLine="648"/>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Interests</w:t>
      </w:r>
      <w:r>
        <w:rPr>
          <w:rFonts w:ascii="Arial" w:cs="Arial" w:eastAsia="Arial" w:hAnsi="Arial"/>
          <w:sz w:val="17"/>
          <w:szCs w:val="17"/>
          <w:color w:val="auto"/>
        </w:rPr>
        <w:t>” means any Equity Interest that, by its terms (or by the terms of any security or other Equity Interests into which it is convertible or for which it is exchangeable), or upon the happening of any event or condition (a) matures or is mandatorily redeemable (other than (i) solely for Qualified Equity Interests and cash in lieu of fractional shares or (ii) solely at the discretion of the issuer), pursuant to a</w:t>
      </w:r>
    </w:p>
    <w:p>
      <w:pPr>
        <w:jc w:val="both"/>
        <w:ind w:left="8"/>
        <w:spacing w:after="0" w:line="234" w:lineRule="auto"/>
        <w:rPr>
          <w:sz w:val="20"/>
          <w:szCs w:val="20"/>
          <w:color w:val="auto"/>
        </w:rPr>
      </w:pPr>
      <w:r>
        <w:rPr>
          <w:rFonts w:ascii="Arial" w:cs="Arial" w:eastAsia="Arial" w:hAnsi="Arial"/>
          <w:sz w:val="16"/>
          <w:szCs w:val="16"/>
          <w:color w:val="auto"/>
        </w:rPr>
        <w:t>sinking fund obligation or otherwise (except as a result of a change of control, asset sale or similar event so long as any rights of the holders thereof upon the occurrence of a change of control, asset sale or similar event shall be subject to the prior repayment in full of the Loans (and all other Obligations (other than contingent indemnification obligations as to which no claim has been asserted) that are accrued and payable) and the</w:t>
      </w:r>
    </w:p>
    <w:p>
      <w:pPr>
        <w:spacing w:after="0" w:line="2" w:lineRule="exact"/>
        <w:rPr>
          <w:sz w:val="20"/>
          <w:szCs w:val="20"/>
          <w:color w:val="auto"/>
        </w:rPr>
      </w:pPr>
    </w:p>
    <w:p>
      <w:pPr>
        <w:jc w:val="both"/>
        <w:ind w:left="8"/>
        <w:spacing w:after="0" w:line="221" w:lineRule="auto"/>
        <w:rPr>
          <w:sz w:val="20"/>
          <w:szCs w:val="20"/>
          <w:color w:val="auto"/>
        </w:rPr>
      </w:pPr>
      <w:r>
        <w:rPr>
          <w:rFonts w:ascii="Arial" w:cs="Arial" w:eastAsia="Arial" w:hAnsi="Arial"/>
          <w:sz w:val="17"/>
          <w:szCs w:val="17"/>
          <w:color w:val="auto"/>
        </w:rPr>
        <w:t>termination of the Commitments), (b) is redeemable at the option of the holder thereof (other than (i) solely for Qualified Equity Interests and cash in lieu of fractional shares or (ii) as a result of a change of control, asset sale or similar event so long as any rights of the holders thereof upon the occurrence of a change of control, asset sale or similar event shall be subject to the prior repayment in full of the Loans (and all other Obligations</w:t>
      </w:r>
    </w:p>
    <w:p>
      <w:pPr>
        <w:jc w:val="both"/>
        <w:ind w:left="8"/>
        <w:spacing w:after="0" w:line="234" w:lineRule="auto"/>
        <w:rPr>
          <w:sz w:val="20"/>
          <w:szCs w:val="20"/>
          <w:color w:val="auto"/>
        </w:rPr>
      </w:pPr>
      <w:r>
        <w:rPr>
          <w:rFonts w:ascii="Arial" w:cs="Arial" w:eastAsia="Arial" w:hAnsi="Arial"/>
          <w:sz w:val="16"/>
          <w:szCs w:val="16"/>
          <w:color w:val="auto"/>
        </w:rPr>
        <w:t>(other than contingent indemnification obligations as to which no claim has been asserted) that are accrued and payable) and the termination of the Commitments),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 xml:space="preserve">days after the Latest Maturity Date at the time of issuance of such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Equity Interests held by any future, current or former employee, director, officer, member of management, independent contractor or consultant (or their respective Controlled Investment Affiliates or Immediate Family Members) of the Parent Borrower, any of its Subsidiaries, any direct or indirect parent companies of the Parent Borrower or any</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other entity in which the Parent Borrower or any of its Restricted Subsidiaries has an Investment and is designated in good faith as an “affiliate” by the Board of Directors (or the compensation committee thereof) of the applicable Borrower, in each case pursuant to any co-invest agreement, equity subscription or shareholders’ agreement, any management, shareholder, director or employee equity plan, any stock option plan or any other</w:t>
      </w:r>
    </w:p>
    <w:p>
      <w:pPr>
        <w:spacing w:after="0" w:line="2" w:lineRule="exact"/>
        <w:rPr>
          <w:sz w:val="20"/>
          <w:szCs w:val="20"/>
          <w:color w:val="auto"/>
        </w:rPr>
      </w:pPr>
    </w:p>
    <w:p>
      <w:pPr>
        <w:jc w:val="both"/>
        <w:ind w:left="8"/>
        <w:spacing w:after="0" w:line="221" w:lineRule="auto"/>
        <w:rPr>
          <w:sz w:val="20"/>
          <w:szCs w:val="20"/>
          <w:color w:val="auto"/>
        </w:rPr>
      </w:pPr>
      <w:r>
        <w:rPr>
          <w:rFonts w:ascii="Arial" w:cs="Arial" w:eastAsia="Arial" w:hAnsi="Arial"/>
          <w:sz w:val="17"/>
          <w:szCs w:val="17"/>
          <w:color w:val="auto"/>
        </w:rPr>
        <w:t>management or employee benefit plan or agreement shall not constitute Disqualified Equity Interests solely because it may be required to be repurchased by the Parent Borrower (or any direct or indirect parent thereof) or a Subsidiary in order to satisfy applicable statutory or regulatory obligations or as a result of such employee’s, director’s, officer’s, management member’s, independent contractor’s or consultant’s termination of</w:t>
      </w:r>
    </w:p>
    <w:p>
      <w:pPr>
        <w:ind w:left="8"/>
        <w:spacing w:after="0"/>
        <w:rPr>
          <w:sz w:val="20"/>
          <w:szCs w:val="20"/>
          <w:color w:val="auto"/>
        </w:rPr>
      </w:pPr>
      <w:r>
        <w:rPr>
          <w:rFonts w:ascii="Arial" w:cs="Arial" w:eastAsia="Arial" w:hAnsi="Arial"/>
          <w:sz w:val="18"/>
          <w:szCs w:val="18"/>
          <w:color w:val="auto"/>
        </w:rPr>
        <w:t>employment or service, as applicable, death or disability.</w:t>
      </w:r>
    </w:p>
    <w:p>
      <w:pPr>
        <w:spacing w:after="0" w:line="205" w:lineRule="exact"/>
        <w:rPr>
          <w:sz w:val="20"/>
          <w:szCs w:val="20"/>
          <w:color w:val="auto"/>
        </w:rPr>
      </w:pPr>
    </w:p>
    <w:p>
      <w:pPr>
        <w:jc w:val="both"/>
        <w:ind w:left="8"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Institutions</w:t>
      </w:r>
      <w:r>
        <w:rPr>
          <w:rFonts w:ascii="Arial" w:cs="Arial" w:eastAsia="Arial" w:hAnsi="Arial"/>
          <w:sz w:val="16"/>
          <w:szCs w:val="16"/>
          <w:color w:val="auto"/>
        </w:rPr>
        <w:t>” means (i) any competitors of any Borrower, the Parent Borrower and its Subsidiaries or Walgreens Co. that have been specified in writing by the Administrative Borrower (a) to the Lead Arranger prior to the Closing Date or (b) to the Administrative Agent after the Closing Date (and any such entity’s Affiliates that are identified as such pursuant to this clause (i) or those that are clearly identifiable as such on the</w:t>
      </w:r>
    </w:p>
    <w:p>
      <w:pPr>
        <w:spacing w:after="0" w:line="1" w:lineRule="exact"/>
        <w:rPr>
          <w:sz w:val="20"/>
          <w:szCs w:val="20"/>
          <w:color w:val="auto"/>
        </w:rPr>
      </w:pPr>
    </w:p>
    <w:p>
      <w:pPr>
        <w:jc w:val="both"/>
        <w:ind w:left="8" w:right="20"/>
        <w:spacing w:after="0" w:line="228" w:lineRule="auto"/>
        <w:rPr>
          <w:sz w:val="20"/>
          <w:szCs w:val="20"/>
          <w:color w:val="auto"/>
        </w:rPr>
      </w:pPr>
      <w:r>
        <w:rPr>
          <w:rFonts w:ascii="Arial" w:cs="Arial" w:eastAsia="Arial" w:hAnsi="Arial"/>
          <w:sz w:val="16"/>
          <w:szCs w:val="16"/>
          <w:color w:val="auto"/>
        </w:rPr>
        <w:t>basis of their name (in each case, other than bona fide diversified debt funds)) (other than those excluded pursuant to clause (ii) hereof), (ii) those particular banks, financial institutions, other institutional lenders and other Persons that have been specified in writing by the Administrative Borrower</w:t>
      </w:r>
    </w:p>
    <w:p>
      <w:pPr>
        <w:ind w:left="248" w:hanging="248"/>
        <w:spacing w:after="0" w:line="220"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Lead Arranger prior to the Closing Date or</w:t>
      </w:r>
    </w:p>
    <w:p>
      <w:pPr>
        <w:jc w:val="both"/>
        <w:ind w:left="8" w:right="40" w:hanging="8"/>
        <w:spacing w:after="0" w:line="218" w:lineRule="auto"/>
        <w:tabs>
          <w:tab w:leader="none" w:pos="2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as mutually agreed by the Administrative Borrower and the Administrative Agent (from and after the Closing Date) (and any such entity’s Affiliates that are identified as such pursuant to this clause (ii) or those that are clearly identifiable as such on the basis of their name) and (iii) Excluded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Person that is a Lender or Participant and subsequently becomes a Disqualified Institution (but was not a Disqualified Institution at</w:t>
      </w:r>
    </w:p>
    <w:p>
      <w:pPr>
        <w:sectPr>
          <w:pgSz w:w="11900" w:h="16838" w:orient="portrait"/>
          <w:cols w:equalWidth="0" w:num="1">
            <w:col w:w="10928"/>
          </w:cols>
          <w:pgMar w:left="472" w:top="1440" w:right="499" w:bottom="1440" w:gutter="0" w:footer="0" w:header="0"/>
        </w:sectPr>
      </w:pPr>
    </w:p>
    <w:bookmarkStart w:id="71" w:name="page72"/>
    <w:bookmarkEnd w:id="71"/>
    <w:p>
      <w:pPr>
        <w:spacing w:after="0" w:line="21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time it became a Lender or Participant) shall be deemed to not be a Disqualified Institution hereunder with respect to any Loans, Commitments or participations held by it prior to becoming a Disqualified Institution.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means BofA Securities, Inc., in its capacity as a documentation agent under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that is organized under the Laws of the United States, any state thereof or the District of Columbia.</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Early Opt-in Effective Date</w:t>
      </w:r>
      <w:r>
        <w:rPr>
          <w:rFonts w:ascii="Arial" w:cs="Arial" w:eastAsia="Arial" w:hAnsi="Arial"/>
          <w:sz w:val="16"/>
          <w:szCs w:val="16"/>
          <w:color w:val="FF0000"/>
          <w:strike w:val="1"/>
        </w:rPr>
        <w:t>” means, with respect to any Early Opt-in Election, the sixth Business Day</w:t>
      </w:r>
      <w:r>
        <w:rPr>
          <w:rFonts w:ascii="Arial" w:cs="Arial" w:eastAsia="Arial" w:hAnsi="Arial"/>
          <w:sz w:val="16"/>
          <w:szCs w:val="16"/>
          <w:color w:val="FF0000"/>
        </w:rPr>
        <w:t xml:space="preserve"> after the date notice of such Early</w:t>
      </w:r>
    </w:p>
    <w:p>
      <w:pPr>
        <w:spacing w:after="0" w:line="25"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FF0000"/>
        </w:rPr>
        <w:t xml:space="preserve">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w:t>
      </w:r>
      <w:r>
        <w:rPr>
          <w:rFonts w:ascii="Arial" w:cs="Arial" w:eastAsia="Arial" w:hAnsi="Arial"/>
          <w:sz w:val="18"/>
          <w:szCs w:val="18"/>
          <w:color w:val="FF0000"/>
          <w:strike w:val="1"/>
        </w:rPr>
        <w:t>Lenders comprising Required Lenders.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Early Opt-in Election</w:t>
      </w:r>
      <w:r>
        <w:rPr>
          <w:rFonts w:ascii="Arial" w:cs="Arial" w:eastAsia="Arial" w:hAnsi="Arial"/>
          <w:sz w:val="18"/>
          <w:szCs w:val="18"/>
          <w:color w:val="FF0000"/>
          <w:strike w:val="1"/>
        </w:rPr>
        <w:t>” means the occurrence of:</w:t>
      </w:r>
    </w:p>
    <w:p>
      <w:pPr>
        <w:spacing w:after="0" w:line="297" w:lineRule="exact"/>
        <w:rPr>
          <w:sz w:val="20"/>
          <w:szCs w:val="20"/>
          <w:color w:val="auto"/>
        </w:rPr>
      </w:pPr>
    </w:p>
    <w:p>
      <w:pPr>
        <w:jc w:val="both"/>
        <w:ind w:right="40" w:firstLine="640"/>
        <w:spacing w:after="0" w:line="223" w:lineRule="auto"/>
        <w:tabs>
          <w:tab w:leader="none" w:pos="1152" w:val="left"/>
        </w:tabs>
        <w:numPr>
          <w:ilvl w:val="0"/>
          <w:numId w:val="45"/>
        </w:numPr>
        <w:rPr>
          <w:rFonts w:ascii="Arial" w:cs="Arial" w:eastAsia="Arial" w:hAnsi="Arial"/>
          <w:sz w:val="18"/>
          <w:szCs w:val="18"/>
          <w:color w:val="FF0000"/>
          <w:strike w:val="1"/>
        </w:rPr>
      </w:pPr>
      <w:r>
        <w:rPr>
          <w:rFonts w:ascii="Arial" w:cs="Arial" w:eastAsia="Arial" w:hAnsi="Arial"/>
          <w:sz w:val="18"/>
          <w:szCs w:val="18"/>
          <w:color w:val="FF0000"/>
          <w:strike w:val="1"/>
        </w:rPr>
        <w:t>a determination by the Administrative Agent, or a notification by the Borrower to the</w:t>
      </w:r>
      <w:r>
        <w:rPr>
          <w:rFonts w:ascii="Arial" w:cs="Arial" w:eastAsia="Arial" w:hAnsi="Arial"/>
          <w:sz w:val="18"/>
          <w:szCs w:val="18"/>
          <w:color w:val="FF0000"/>
        </w:rPr>
        <w:t xml:space="preserve"> Administrative Agent that the Borrower has made a determination, that U.S. dollar-denominated syndicated credit facilities currently being executed, or that include language similar to that contained in Section 3.03(c), are being </w:t>
      </w:r>
      <w:r>
        <w:rPr>
          <w:rFonts w:ascii="Arial" w:cs="Arial" w:eastAsia="Arial" w:hAnsi="Arial"/>
          <w:sz w:val="18"/>
          <w:szCs w:val="18"/>
          <w:color w:val="FF0000"/>
          <w:strike w:val="1"/>
        </w:rPr>
        <w:t>executed or amended (as applicable) to incorporate or adopt a new benchmark interest rate to replace LIBOR,</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p>
    <w:p>
      <w:pPr>
        <w:spacing w:after="0" w:line="283" w:lineRule="exact"/>
        <w:rPr>
          <w:rFonts w:ascii="Arial" w:cs="Arial" w:eastAsia="Arial" w:hAnsi="Arial"/>
          <w:sz w:val="18"/>
          <w:szCs w:val="18"/>
          <w:color w:val="FF0000"/>
          <w:strike w:val="1"/>
        </w:rPr>
      </w:pPr>
    </w:p>
    <w:p>
      <w:pPr>
        <w:ind w:right="40" w:firstLine="640"/>
        <w:spacing w:after="0" w:line="235" w:lineRule="auto"/>
        <w:tabs>
          <w:tab w:leader="none" w:pos="1152" w:val="left"/>
        </w:tabs>
        <w:numPr>
          <w:ilvl w:val="0"/>
          <w:numId w:val="45"/>
        </w:numPr>
        <w:rPr>
          <w:rFonts w:ascii="Arial" w:cs="Arial" w:eastAsia="Arial" w:hAnsi="Arial"/>
          <w:sz w:val="18"/>
          <w:szCs w:val="18"/>
          <w:color w:val="FF0000"/>
          <w:strike w:val="1"/>
        </w:rPr>
      </w:pPr>
      <w:r>
        <w:rPr>
          <w:rFonts w:ascii="Arial" w:cs="Arial" w:eastAsia="Arial" w:hAnsi="Arial"/>
          <w:sz w:val="18"/>
          <w:szCs w:val="18"/>
          <w:color w:val="FF0000"/>
          <w:strike w:val="1"/>
        </w:rPr>
        <w:t>the joint election by the Administrative Agent and the Administrative Borrower to replace LIBOR</w:t>
      </w:r>
      <w:r>
        <w:rPr>
          <w:rFonts w:ascii="Arial" w:cs="Arial" w:eastAsia="Arial" w:hAnsi="Arial"/>
          <w:sz w:val="18"/>
          <w:szCs w:val="18"/>
          <w:color w:val="FF0000"/>
        </w:rPr>
        <w:t xml:space="preserve"> with a Benchmark Replacement and the provision by the Administrative Agent of written notice of such election to </w:t>
      </w:r>
      <w:r>
        <w:rPr>
          <w:rFonts w:ascii="Arial" w:cs="Arial" w:eastAsia="Arial" w:hAnsi="Arial"/>
          <w:sz w:val="18"/>
          <w:szCs w:val="18"/>
          <w:color w:val="FF0000"/>
          <w:strike w:val="1"/>
        </w:rPr>
        <w:t>the Lenders.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Payment Date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w:t>
      </w:r>
    </w:p>
    <w:p>
      <w:pPr>
        <w:spacing w:after="0" w:line="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xml:space="preserve"> ” means any public administrative authority or any person entrusted with public administrative authority of any EEA Member Country (including any delegee) having responsibility for the resolution of any EEA Financial Institution.</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Elective Guarantor</w:t>
      </w:r>
      <w:r>
        <w:rPr>
          <w:rFonts w:ascii="Arial" w:cs="Arial" w:eastAsia="Arial" w:hAnsi="Arial"/>
          <w:sz w:val="18"/>
          <w:szCs w:val="18"/>
          <w:color w:val="auto"/>
        </w:rPr>
        <w:t>” has the meaning set forth in the defined term “</w:t>
      </w:r>
      <w:r>
        <w:rPr>
          <w:rFonts w:ascii="Arial" w:cs="Arial" w:eastAsia="Arial" w:hAnsi="Arial"/>
          <w:sz w:val="18"/>
          <w:szCs w:val="18"/>
          <w:b w:val="1"/>
          <w:bCs w:val="1"/>
          <w:color w:val="auto"/>
        </w:rPr>
        <w:t>Guarantors</w:t>
      </w:r>
      <w:r>
        <w:rPr>
          <w:rFonts w:ascii="Arial" w:cs="Arial" w:eastAsia="Arial" w:hAnsi="Arial"/>
          <w:sz w:val="18"/>
          <w:szCs w:val="18"/>
          <w:color w:val="auto"/>
        </w:rPr>
        <w:t>”. “</w:t>
      </w:r>
      <w:r>
        <w:rPr>
          <w:rFonts w:ascii="Arial" w:cs="Arial" w:eastAsia="Arial" w:hAnsi="Arial"/>
          <w:sz w:val="18"/>
          <w:szCs w:val="18"/>
          <w:b w:val="1"/>
          <w:bCs w:val="1"/>
          <w:color w:val="auto"/>
        </w:rPr>
        <w:t>Eligible Assignee</w:t>
      </w:r>
      <w:r>
        <w:rPr>
          <w:rFonts w:ascii="Arial" w:cs="Arial" w:eastAsia="Arial" w:hAnsi="Arial"/>
          <w:sz w:val="18"/>
          <w:szCs w:val="18"/>
          <w:color w:val="auto"/>
        </w:rPr>
        <w:t>” has the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10.07(a)(i).</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EMU</w:t>
      </w:r>
      <w:r>
        <w:rPr>
          <w:rFonts w:ascii="Arial" w:cs="Arial" w:eastAsia="Arial" w:hAnsi="Arial"/>
          <w:sz w:val="16"/>
          <w:szCs w:val="16"/>
          <w:color w:val="auto"/>
        </w:rPr>
        <w:t>” means the economic and monetary union as contemplated in the Treaty on European Union. “</w:t>
      </w:r>
      <w:r>
        <w:rPr>
          <w:rFonts w:ascii="Arial" w:cs="Arial" w:eastAsia="Arial" w:hAnsi="Arial"/>
          <w:sz w:val="16"/>
          <w:szCs w:val="16"/>
          <w:b w:val="1"/>
          <w:bCs w:val="1"/>
          <w:color w:val="auto"/>
        </w:rPr>
        <w:t>Engagement Parties</w:t>
      </w:r>
      <w:r>
        <w:rPr>
          <w:rFonts w:ascii="Arial" w:cs="Arial" w:eastAsia="Arial" w:hAnsi="Arial"/>
          <w:sz w:val="16"/>
          <w:szCs w:val="16"/>
          <w:color w:val="auto"/>
        </w:rPr>
        <w:t>” means Bank of</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 N.A. and the Arranger.</w:t>
      </w:r>
    </w:p>
    <w:p>
      <w:pPr>
        <w:sectPr>
          <w:pgSz w:w="11900" w:h="16838" w:orient="portrait"/>
          <w:cols w:equalWidth="0" w:num="1">
            <w:col w:w="10920"/>
          </w:cols>
          <w:pgMar w:left="480" w:top="1440" w:right="499" w:bottom="1440" w:gutter="0" w:footer="0" w:header="0"/>
        </w:sectPr>
      </w:pPr>
    </w:p>
    <w:bookmarkStart w:id="72" w:name="page73"/>
    <w:bookmarkEnd w:id="72"/>
    <w:p>
      <w:pPr>
        <w:spacing w:after="0" w:line="207"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indoor air, ambient air, surface water, groundwater, drinking water, land surface, subsurface strata, and natural resources such as wetlands, flora and fauna.</w:t>
      </w:r>
    </w:p>
    <w:p>
      <w:pPr>
        <w:spacing w:after="0" w:line="199"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Law (including common law) relating to the prevention of pollution or the protection of the Environment and natural resources, and the protection of human health and safety as it relates to Hazardous Materials, including any applicable</w:t>
      </w:r>
    </w:p>
    <w:p>
      <w:pPr>
        <w:jc w:val="both"/>
        <w:ind w:right="40"/>
        <w:spacing w:after="0" w:line="208" w:lineRule="auto"/>
        <w:rPr>
          <w:sz w:val="20"/>
          <w:szCs w:val="20"/>
          <w:color w:val="auto"/>
        </w:rPr>
      </w:pPr>
      <w:r>
        <w:rPr>
          <w:rFonts w:ascii="Arial" w:cs="Arial" w:eastAsia="Arial" w:hAnsi="Arial"/>
          <w:sz w:val="18"/>
          <w:szCs w:val="18"/>
          <w:color w:val="auto"/>
        </w:rPr>
        <w:t xml:space="preserve">provisions of the Comprehensive Environmental Response, Compensation, and Liability Act,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Hazardous Materials Transportation Act, 49 U.S.C. § 5101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i w:val="1"/>
          <w:iCs w:val="1"/>
          <w:color w:val="auto"/>
        </w:rPr>
        <w:t>et seq</w:t>
      </w:r>
      <w:r>
        <w:rPr>
          <w:rFonts w:ascii="Arial" w:cs="Arial" w:eastAsia="Arial" w:hAnsi="Arial"/>
          <w:sz w:val="18"/>
          <w:szCs w:val="18"/>
          <w:color w:val="auto"/>
        </w:rPr>
        <w:t>., the Toxic Substances Control Act, 15</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 xml:space="preserve">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Occupational Safety and Health Act, 29 U.S.C. § 651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the Oil Pollution Act of 1990, 33 U.S.C. § 2701 </w:t>
      </w:r>
      <w:r>
        <w:rPr>
          <w:rFonts w:ascii="Arial" w:cs="Arial" w:eastAsia="Arial" w:hAnsi="Arial"/>
          <w:sz w:val="18"/>
          <w:szCs w:val="18"/>
          <w:i w:val="1"/>
          <w:iCs w:val="1"/>
          <w:color w:val="auto"/>
        </w:rPr>
        <w:t>et seq</w:t>
      </w:r>
      <w:r>
        <w:rPr>
          <w:rFonts w:ascii="Arial" w:cs="Arial" w:eastAsia="Arial" w:hAnsi="Arial"/>
          <w:sz w:val="18"/>
          <w:szCs w:val="18"/>
          <w:color w:val="auto"/>
        </w:rPr>
        <w:t>., and all analogous state or local statutes, and the regulations promulgated pursuant thereto.</w:t>
      </w:r>
    </w:p>
    <w:p>
      <w:pPr>
        <w:spacing w:after="0" w:line="198"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contingent or otherwise (including any liability for damages, costs of investigation and remediation, fines, penalties or indemnities), of the Loan Parties or any Restricted Subsidiary directly or indirectly resulting from or based upon (a)</w:t>
      </w:r>
    </w:p>
    <w:p>
      <w:pPr>
        <w:spacing w:after="0" w:line="1"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violation of any Environmental Law, (b) the generation, use, handling, transportation, storage or treatment of any Hazardous Materials, (c) exposure to any Hazardous Materials, or (d) the Release or threatened Release of any Hazardous Materials, including, in each case, any such liability which any Loan Party has retained either contractually or by operation of law.</w:t>
      </w:r>
    </w:p>
    <w:p>
      <w:pPr>
        <w:spacing w:after="0" w:line="19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approval, identification number, license or other authorization required under any Environmental Law.</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Interests</w:t>
      </w:r>
      <w:r>
        <w:rPr>
          <w:rFonts w:ascii="Arial" w:cs="Arial" w:eastAsia="Arial" w:hAnsi="Arial"/>
          <w:sz w:val="17"/>
          <w:szCs w:val="17"/>
          <w:color w:val="auto"/>
        </w:rPr>
        <w:t>” means, with respect to any Person, all of the shares, interests, rights, participations or other equivalents (however</w:t>
      </w:r>
    </w:p>
    <w:p>
      <w:pPr>
        <w:spacing w:after="0" w:line="14"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designated) of capital stock of (or other ownership or profit interests or units in) such Person and all of the warrants, options or other rights for the purchase, acquisition or exchange from such Person of any of the foregoing (including through convertible securities), excluding from the foregoing any debt securities convertible into Equity Interests, whether or not such debt securities include any right of participation with Equity Interests, until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such conversion.</w:t>
      </w:r>
    </w:p>
    <w:p>
      <w:pPr>
        <w:spacing w:after="0" w:line="192"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any trade or business (whether or not incorporated) that is under common control with a Loan Party within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meaning of Section 414(b) or (c) of the Code or Section 4001 of ERISA (and Sections 414(m) and (o) of the Code for purposes of provisions relating to Section 412 of the Code).</w:t>
      </w:r>
    </w:p>
    <w:p>
      <w:pPr>
        <w:spacing w:after="0" w:line="19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 Reportable Event with respect to a Pension Plan; (b) a withdrawal by a Loan Party or any ERISA Affiliate from a Pension Plan subject to Section 4063 of ERISA during a plan year in which it was a substantial employer (as defined in Section 4001(a)(2) of ERISA)</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7"/>
          <w:szCs w:val="17"/>
          <w:color w:val="auto"/>
        </w:rPr>
        <w:t>or a cessation of operations that is treated as such a withdrawal under Section 4062(e) of ERISA; (c) a complete or partial withdrawal by a Loan Party or any ERISA Affiliate from a Multiemployer Plan or written notification to a Loan Party or any ERISA Affiliate that a Multiemployer Plan is insolvent (within the meaning of Section 4245 of ERISA) or in “endangered” or “critical” status (within the meaning of Section 432 of the Code or</w:t>
      </w:r>
    </w:p>
    <w:p>
      <w:pPr>
        <w:jc w:val="both"/>
        <w:ind w:right="20"/>
        <w:spacing w:after="0" w:line="234" w:lineRule="auto"/>
        <w:rPr>
          <w:sz w:val="20"/>
          <w:szCs w:val="20"/>
          <w:color w:val="auto"/>
        </w:rPr>
      </w:pPr>
      <w:r>
        <w:rPr>
          <w:rFonts w:ascii="Arial" w:cs="Arial" w:eastAsia="Arial" w:hAnsi="Arial"/>
          <w:sz w:val="16"/>
          <w:szCs w:val="16"/>
          <w:color w:val="auto"/>
        </w:rPr>
        <w:t>Section 305 of ERISA); (d) a determination that any Pension Plan is in “at risk” status (within the meaning of Section 430(i)(4) of the Code or Section 303(i)(4) of ERISA); (e) the filing of a written notice of intent to terminate, the treatment of a Pension Plan or Multiemployer Plan amendment as a termination under Sections 4041 or 4041A of ERISA, or the receipt of written notice by a Loan Party or any ERISA Affiliate regarding the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commencement of proceedings by the PBGC to terminate a Pension Plan or Multiemployer Plan; (f) an event or condition which constitutes grounds under Section 4042 of ERISA for, and that could reasonably be expected to result in, the termination of, or the appointment of a trustee to administer, any Pension Plan or Multiemployer Plan; (g) with respect to a Pension Plan, the failure to satisfy the minimum funding standard of Section 412 of the</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Code or Section 302 of ERISA, whether or not waived; (h) the failure by a Loan Party or any ERISA Affiliate to make when due any required contribution to a Multiemployer Plan, (i) the occurrence of a nonexempt prohibited transaction (within the meaning of Section 4975 of the Code or</w:t>
      </w:r>
    </w:p>
    <w:p>
      <w:pPr>
        <w:sectPr>
          <w:pgSz w:w="11900" w:h="16838" w:orient="portrait"/>
          <w:cols w:equalWidth="0" w:num="1">
            <w:col w:w="10920"/>
          </w:cols>
          <w:pgMar w:left="480" w:top="1440" w:right="499" w:bottom="1440" w:gutter="0" w:footer="0" w:header="0"/>
        </w:sectPr>
      </w:pPr>
    </w:p>
    <w:bookmarkStart w:id="73" w:name="page74"/>
    <w:bookmarkEnd w:id="73"/>
    <w:p>
      <w:pPr>
        <w:spacing w:after="0" w:line="2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Section 406 of ERISA) which could result in liability to a Loan Party; or (j) the imposition of any liability under Title IV of ERISA, other than for PBGC premiums due but not delinquent under Section 4007 of ERISA, upon a Loan Party or any ERISA Affiliate.</w:t>
      </w:r>
    </w:p>
    <w:p>
      <w:pPr>
        <w:spacing w:after="0" w:line="185"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3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xml:space="preserve">” means the lawful single currency of the EMU. </w:t>
      </w: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Eurocu</w:t>
      </w:r>
      <w:r>
        <w:rPr>
          <w:rFonts w:ascii="Arial" w:cs="Arial" w:eastAsia="Arial" w:hAnsi="Arial"/>
          <w:sz w:val="18"/>
          <w:szCs w:val="18"/>
          <w:b w:val="1"/>
          <w:bCs w:val="1"/>
          <w:color w:val="EE2724"/>
          <w:strike w:val="1"/>
        </w:rPr>
        <w:t>rrency Rate</w:t>
      </w:r>
      <w:r>
        <w:rPr>
          <w:rFonts w:ascii="Arial" w:cs="Arial" w:eastAsia="Arial" w:hAnsi="Arial"/>
          <w:sz w:val="18"/>
          <w:szCs w:val="18"/>
          <w:color w:val="EE2724"/>
          <w:strike w:val="1"/>
        </w:rPr>
        <w:t>” means:</w:t>
      </w:r>
    </w:p>
    <w:p>
      <w:pPr>
        <w:spacing w:after="0" w:line="94" w:lineRule="exact"/>
        <w:rPr>
          <w:sz w:val="20"/>
          <w:szCs w:val="20"/>
          <w:color w:val="auto"/>
        </w:rPr>
      </w:pPr>
    </w:p>
    <w:p>
      <w:pPr>
        <w:jc w:val="both"/>
        <w:ind w:left="640" w:right="20" w:firstLine="648"/>
        <w:spacing w:after="0" w:line="222" w:lineRule="auto"/>
        <w:tabs>
          <w:tab w:leader="none" w:pos="1792" w:val="left"/>
        </w:tabs>
        <w:numPr>
          <w:ilvl w:val="0"/>
          <w:numId w:val="46"/>
        </w:numPr>
        <w:rPr>
          <w:rFonts w:ascii="Arial" w:cs="Arial" w:eastAsia="Arial" w:hAnsi="Arial"/>
          <w:sz w:val="18"/>
          <w:szCs w:val="18"/>
          <w:color w:val="EE2724"/>
          <w:strike w:val="1"/>
        </w:rPr>
      </w:pPr>
      <w:r>
        <w:rPr>
          <w:rFonts w:ascii="Arial" w:cs="Arial" w:eastAsia="Arial" w:hAnsi="Arial"/>
          <w:sz w:val="18"/>
          <w:szCs w:val="18"/>
          <w:color w:val="EE2724"/>
          <w:strike w:val="1"/>
        </w:rPr>
        <w:t>for any Interest Period with respect to a Eurocurrency Rate Loan, the rate per annum equal to the London Interbank Offered Rate (“</w:t>
      </w:r>
      <w:r>
        <w:rPr>
          <w:rFonts w:ascii="Arial" w:cs="Arial" w:eastAsia="Arial" w:hAnsi="Arial"/>
          <w:sz w:val="18"/>
          <w:szCs w:val="18"/>
          <w:b w:val="1"/>
          <w:bCs w:val="1"/>
          <w:color w:val="EE2724"/>
          <w:strike w:val="1"/>
        </w:rPr>
        <w:t>LIBOR</w:t>
      </w:r>
      <w:r>
        <w:rPr>
          <w:rFonts w:ascii="Arial" w:cs="Arial" w:eastAsia="Arial" w:hAnsi="Arial"/>
          <w:sz w:val="18"/>
          <w:szCs w:val="18"/>
          <w:color w:val="EE2724"/>
          <w:strike w:val="1"/>
        </w:rPr>
        <w:t>”), as published on the applicable Bloomberg screen page (or such other commercially available source providing quotations as may be designated by the Administrative Agent from time to time) (in such case, the “</w:t>
      </w:r>
      <w:r>
        <w:rPr>
          <w:rFonts w:ascii="Arial" w:cs="Arial" w:eastAsia="Arial" w:hAnsi="Arial"/>
          <w:sz w:val="18"/>
          <w:szCs w:val="18"/>
          <w:b w:val="1"/>
          <w:bCs w:val="1"/>
          <w:color w:val="EE2724"/>
          <w:strike w:val="1"/>
        </w:rPr>
        <w:t>LIBOR Rate</w:t>
      </w:r>
      <w:r>
        <w:rPr>
          <w:rFonts w:ascii="Arial" w:cs="Arial" w:eastAsia="Arial" w:hAnsi="Arial"/>
          <w:sz w:val="18"/>
          <w:szCs w:val="18"/>
          <w:color w:val="EE2724"/>
          <w:strike w:val="1"/>
        </w:rPr>
        <w:t>”) at approximately 11:00 a.m., London time, two (2) Business Days prior to the commencement of such Interest Period, for deposits (for delivery on the first day of such Interest Period) with a term equivalent to such Interest Period; and</w:t>
      </w:r>
    </w:p>
    <w:p>
      <w:pPr>
        <w:spacing w:after="0" w:line="271" w:lineRule="exact"/>
        <w:rPr>
          <w:rFonts w:ascii="Arial" w:cs="Arial" w:eastAsia="Arial" w:hAnsi="Arial"/>
          <w:sz w:val="18"/>
          <w:szCs w:val="18"/>
          <w:color w:val="EE2724"/>
          <w:strike w:val="1"/>
        </w:rPr>
      </w:pPr>
    </w:p>
    <w:p>
      <w:pPr>
        <w:jc w:val="both"/>
        <w:ind w:left="640" w:right="20" w:firstLine="648"/>
        <w:spacing w:after="0" w:line="229" w:lineRule="auto"/>
        <w:tabs>
          <w:tab w:leader="none" w:pos="1792" w:val="left"/>
        </w:tabs>
        <w:numPr>
          <w:ilvl w:val="0"/>
          <w:numId w:val="46"/>
        </w:numPr>
        <w:rPr>
          <w:rFonts w:ascii="Arial" w:cs="Arial" w:eastAsia="Arial" w:hAnsi="Arial"/>
          <w:sz w:val="18"/>
          <w:szCs w:val="18"/>
          <w:color w:val="EE2724"/>
          <w:strike w:val="1"/>
        </w:rPr>
      </w:pPr>
      <w:r>
        <w:rPr>
          <w:rFonts w:ascii="Arial" w:cs="Arial" w:eastAsia="Arial" w:hAnsi="Arial"/>
          <w:sz w:val="18"/>
          <w:szCs w:val="18"/>
          <w:color w:val="EE2724"/>
          <w:strike w:val="1"/>
        </w:rPr>
        <w:t>for any interest calculation with respect to a Base Rate Loan on any date, the rate per annum equal to the LIBOR Rate, at or about 11:00 a.m., London time, two (2) Business Days prior to such date for Dollar deposits with a term of one (1) month commencing that day;</w:t>
      </w:r>
    </w:p>
    <w:p>
      <w:pPr>
        <w:spacing w:after="0" w:line="272" w:lineRule="exact"/>
        <w:rPr>
          <w:sz w:val="20"/>
          <w:szCs w:val="20"/>
          <w:color w:val="auto"/>
        </w:rPr>
      </w:pPr>
    </w:p>
    <w:p>
      <w:pPr>
        <w:ind w:left="640" w:firstLine="648"/>
        <w:spacing w:after="0" w:line="248" w:lineRule="auto"/>
        <w:rPr>
          <w:sz w:val="20"/>
          <w:szCs w:val="20"/>
          <w:color w:val="auto"/>
        </w:rPr>
      </w:pPr>
      <w:r>
        <w:rPr>
          <w:rFonts w:ascii="Arial" w:cs="Arial" w:eastAsia="Arial" w:hAnsi="Arial"/>
          <w:sz w:val="16"/>
          <w:szCs w:val="16"/>
          <w:i w:val="1"/>
          <w:iCs w:val="1"/>
          <w:color w:val="EE2724"/>
          <w:strike w:val="1"/>
        </w:rPr>
        <w:t xml:space="preserve">provided </w:t>
      </w:r>
      <w:r>
        <w:rPr>
          <w:rFonts w:ascii="Arial" w:cs="Arial" w:eastAsia="Arial" w:hAnsi="Arial"/>
          <w:sz w:val="16"/>
          <w:szCs w:val="16"/>
          <w:color w:val="EE2724"/>
          <w:strike w:val="1"/>
        </w:rPr>
        <w:t>that to the extent a comparable or successor rate is approved pursuant to the provisions of Section 3.03, “Eurocurrency</w:t>
      </w:r>
      <w:r>
        <w:rPr>
          <w:rFonts w:ascii="Arial" w:cs="Arial" w:eastAsia="Arial" w:hAnsi="Arial"/>
          <w:sz w:val="16"/>
          <w:szCs w:val="16"/>
          <w:i w:val="1"/>
          <w:iCs w:val="1"/>
          <w:color w:val="EE2724"/>
          <w:strike w:val="1"/>
        </w:rPr>
        <w:t xml:space="preserve"> </w:t>
      </w:r>
      <w:r>
        <w:rPr>
          <w:rFonts w:ascii="Arial" w:cs="Arial" w:eastAsia="Arial" w:hAnsi="Arial"/>
          <w:sz w:val="16"/>
          <w:szCs w:val="16"/>
          <w:color w:val="EE2724"/>
          <w:strike w:val="1"/>
        </w:rPr>
        <w:t xml:space="preserve">Rate” shall mean the “LIBOR Successor Rate”; </w:t>
      </w:r>
      <w:r>
        <w:rPr>
          <w:rFonts w:ascii="Arial" w:cs="Arial" w:eastAsia="Arial" w:hAnsi="Arial"/>
          <w:sz w:val="16"/>
          <w:szCs w:val="16"/>
          <w:i w:val="1"/>
          <w:iCs w:val="1"/>
          <w:color w:val="EE2724"/>
          <w:strike w:val="1"/>
        </w:rPr>
        <w:t>provided</w:t>
      </w:r>
      <w:r>
        <w:rPr>
          <w:rFonts w:ascii="Arial" w:cs="Arial" w:eastAsia="Arial" w:hAnsi="Arial"/>
          <w:sz w:val="16"/>
          <w:szCs w:val="16"/>
          <w:color w:val="EE2724"/>
          <w:strike w:val="1"/>
        </w:rPr>
        <w:t xml:space="preserve">, </w:t>
      </w:r>
      <w:r>
        <w:rPr>
          <w:rFonts w:ascii="Arial" w:cs="Arial" w:eastAsia="Arial" w:hAnsi="Arial"/>
          <w:sz w:val="16"/>
          <w:szCs w:val="16"/>
          <w:i w:val="1"/>
          <w:iCs w:val="1"/>
          <w:color w:val="EE2724"/>
          <w:strike w:val="1"/>
        </w:rPr>
        <w:t>further</w:t>
      </w:r>
      <w:r>
        <w:rPr>
          <w:rFonts w:ascii="Arial" w:cs="Arial" w:eastAsia="Arial" w:hAnsi="Arial"/>
          <w:sz w:val="16"/>
          <w:szCs w:val="16"/>
          <w:color w:val="EE2724"/>
          <w:strike w:val="1"/>
        </w:rPr>
        <w:t>, that in all cases (a) or (b), the Eurocurrency Rate shall not be less than</w:t>
      </w:r>
    </w:p>
    <w:p>
      <w:pPr>
        <w:ind w:left="640"/>
        <w:spacing w:after="0"/>
        <w:rPr>
          <w:sz w:val="20"/>
          <w:szCs w:val="20"/>
          <w:color w:val="auto"/>
        </w:rPr>
      </w:pPr>
      <w:r>
        <w:rPr>
          <w:rFonts w:ascii="Arial" w:cs="Arial" w:eastAsia="Arial" w:hAnsi="Arial"/>
          <w:sz w:val="18"/>
          <w:szCs w:val="18"/>
          <w:color w:val="EE2724"/>
          <w:strike w:val="1"/>
        </w:rPr>
        <w:t>0.50% per annum.</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7"/>
          <w:szCs w:val="17"/>
          <w:color w:val="EE2724"/>
          <w:strike w:val="1"/>
        </w:rPr>
        <w:t>“</w:t>
      </w:r>
      <w:r>
        <w:rPr>
          <w:rFonts w:ascii="Arial" w:cs="Arial" w:eastAsia="Arial" w:hAnsi="Arial"/>
          <w:sz w:val="17"/>
          <w:szCs w:val="17"/>
          <w:b w:val="1"/>
          <w:bCs w:val="1"/>
          <w:color w:val="EE2724"/>
          <w:strike w:val="1"/>
        </w:rPr>
        <w:t>Eurocurrency Rate Loan</w:t>
      </w:r>
      <w:r>
        <w:rPr>
          <w:rFonts w:ascii="Arial" w:cs="Arial" w:eastAsia="Arial" w:hAnsi="Arial"/>
          <w:sz w:val="17"/>
          <w:szCs w:val="17"/>
          <w:color w:val="EE2724"/>
          <w:strike w:val="1"/>
        </w:rPr>
        <w:t>” means a Loan that bears interest at a rate based on clause (a) of the definition of “Eurocurrency Rate.”</w:t>
      </w: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8.01. “</w:t>
      </w:r>
      <w:r>
        <w:rPr>
          <w:rFonts w:ascii="Arial" w:cs="Arial" w:eastAsia="Arial" w:hAnsi="Arial"/>
          <w:sz w:val="18"/>
          <w:szCs w:val="18"/>
          <w:b w:val="1"/>
          <w:bCs w:val="1"/>
          <w:color w:val="auto"/>
        </w:rPr>
        <w:t>Excess Cash Flow</w:t>
      </w:r>
      <w:r>
        <w:rPr>
          <w:rFonts w:ascii="Arial" w:cs="Arial" w:eastAsia="Arial" w:hAnsi="Arial"/>
          <w:sz w:val="18"/>
          <w:szCs w:val="18"/>
          <w:color w:val="auto"/>
        </w:rPr>
        <w:t>” means, for 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period, an amount equal to:</w:t>
      </w:r>
    </w:p>
    <w:p>
      <w:pPr>
        <w:spacing w:after="0" w:line="117" w:lineRule="exact"/>
        <w:rPr>
          <w:sz w:val="20"/>
          <w:szCs w:val="20"/>
          <w:color w:val="auto"/>
        </w:rPr>
      </w:pPr>
    </w:p>
    <w:p>
      <w:pPr>
        <w:ind w:left="1940" w:hanging="653"/>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38" w:lineRule="exact"/>
        <w:rPr>
          <w:rFonts w:ascii="Arial" w:cs="Arial" w:eastAsia="Arial" w:hAnsi="Arial"/>
          <w:sz w:val="18"/>
          <w:szCs w:val="18"/>
          <w:color w:val="auto"/>
        </w:rPr>
      </w:pPr>
    </w:p>
    <w:p>
      <w:pPr>
        <w:ind w:left="2580" w:hanging="556"/>
        <w:spacing w:after="0"/>
        <w:tabs>
          <w:tab w:leader="none" w:pos="2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225" w:lineRule="exact"/>
        <w:rPr>
          <w:rFonts w:ascii="Arial" w:cs="Arial" w:eastAsia="Arial" w:hAnsi="Arial"/>
          <w:sz w:val="18"/>
          <w:szCs w:val="18"/>
          <w:color w:val="auto"/>
        </w:rPr>
      </w:pPr>
    </w:p>
    <w:p>
      <w:pPr>
        <w:jc w:val="both"/>
        <w:ind w:left="1280" w:right="20" w:firstLine="694"/>
        <w:spacing w:after="0" w:line="223" w:lineRule="auto"/>
        <w:tabs>
          <w:tab w:leader="none" w:pos="24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amount equal to the amount of all non-cash expenses, charges or losses (including depreciation and amortization) to the extent deducted in arriving at such Consolidated Net Income, but excluding any such non-cash charges representing an accrual or reserve for potential cash items in any future period and excluding amortization of a prepaid cash item that was paid in a prior period;</w:t>
      </w:r>
    </w:p>
    <w:p>
      <w:pPr>
        <w:spacing w:after="0" w:line="189" w:lineRule="exact"/>
        <w:rPr>
          <w:rFonts w:ascii="Arial" w:cs="Arial" w:eastAsia="Arial" w:hAnsi="Arial"/>
          <w:sz w:val="18"/>
          <w:szCs w:val="18"/>
          <w:color w:val="auto"/>
        </w:rPr>
      </w:pPr>
    </w:p>
    <w:p>
      <w:pPr>
        <w:jc w:val="both"/>
        <w:ind w:left="1280" w:right="20" w:firstLine="645"/>
        <w:spacing w:after="0" w:line="245" w:lineRule="auto"/>
        <w:tabs>
          <w:tab w:leader="none" w:pos="2432"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decreases in Consolidated Working Capital for such period (other than any such decreases arising from acquisitions (outside of the ordinary course of business), Permitted Acquisitions or Dispositions by the Borrowers and the Restricted Subsidiaries completed during such period or the application of purchase accounting or recapitalization accounting);</w:t>
      </w:r>
    </w:p>
    <w:p>
      <w:pPr>
        <w:spacing w:after="0" w:line="184" w:lineRule="exact"/>
        <w:rPr>
          <w:rFonts w:ascii="Arial" w:cs="Arial" w:eastAsia="Arial" w:hAnsi="Arial"/>
          <w:sz w:val="17"/>
          <w:szCs w:val="17"/>
          <w:color w:val="auto"/>
        </w:rPr>
      </w:pPr>
    </w:p>
    <w:p>
      <w:pPr>
        <w:ind w:left="2580" w:hanging="644"/>
        <w:spacing w:after="0"/>
        <w:tabs>
          <w:tab w:leader="none" w:pos="2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[Reserved];</w:t>
      </w:r>
    </w:p>
    <w:p>
      <w:pPr>
        <w:sectPr>
          <w:pgSz w:w="11900" w:h="16838" w:orient="portrait"/>
          <w:cols w:equalWidth="0" w:num="1">
            <w:col w:w="10900"/>
          </w:cols>
          <w:pgMar w:left="480" w:top="1440" w:right="519" w:bottom="1440" w:gutter="0" w:footer="0" w:header="0"/>
        </w:sectPr>
      </w:pPr>
    </w:p>
    <w:bookmarkStart w:id="74" w:name="page75"/>
    <w:bookmarkEnd w:id="74"/>
    <w:p>
      <w:pPr>
        <w:spacing w:after="0" w:line="211" w:lineRule="exact"/>
        <w:rPr>
          <w:sz w:val="20"/>
          <w:szCs w:val="20"/>
          <w:color w:val="auto"/>
        </w:rPr>
      </w:pPr>
    </w:p>
    <w:p>
      <w:pPr>
        <w:ind w:left="1280" w:right="20" w:firstLine="705"/>
        <w:spacing w:after="0" w:line="235" w:lineRule="auto"/>
        <w:tabs>
          <w:tab w:leader="none" w:pos="24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amount equal to all cash received for such period on account of any net non-cash gain or income from Investments deducted in a previous period pursuant to clause (b)(iv) of this definition;</w:t>
      </w:r>
    </w:p>
    <w:p>
      <w:pPr>
        <w:spacing w:after="0" w:line="188" w:lineRule="exact"/>
        <w:rPr>
          <w:rFonts w:ascii="Arial" w:cs="Arial" w:eastAsia="Arial" w:hAnsi="Arial"/>
          <w:sz w:val="18"/>
          <w:szCs w:val="18"/>
          <w:color w:val="auto"/>
        </w:rPr>
      </w:pPr>
    </w:p>
    <w:p>
      <w:pPr>
        <w:ind w:left="1280" w:right="40" w:firstLine="656"/>
        <w:spacing w:after="0" w:line="246" w:lineRule="auto"/>
        <w:tabs>
          <w:tab w:leader="none" w:pos="24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amount deducted as tax expense in determining Consolidated Net Income to the extent in excess of cash taxes paid in such period;</w:t>
      </w:r>
    </w:p>
    <w:p>
      <w:pPr>
        <w:spacing w:after="0" w:line="196" w:lineRule="exact"/>
        <w:rPr>
          <w:rFonts w:ascii="Arial" w:cs="Arial" w:eastAsia="Arial" w:hAnsi="Arial"/>
          <w:sz w:val="18"/>
          <w:szCs w:val="18"/>
          <w:color w:val="auto"/>
        </w:rPr>
      </w:pPr>
    </w:p>
    <w:p>
      <w:pPr>
        <w:ind w:left="1280" w:right="40" w:firstLine="605"/>
        <w:spacing w:after="0" w:line="235" w:lineRule="auto"/>
        <w:tabs>
          <w:tab w:leader="none" w:pos="24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payments received in respect of Swap Contracts or other derivative instruments during such fiscal year to the extent not included in arriving at such Consolidated Net Income;</w:t>
      </w:r>
    </w:p>
    <w:p>
      <w:pPr>
        <w:spacing w:after="0" w:line="202" w:lineRule="exact"/>
        <w:rPr>
          <w:rFonts w:ascii="Arial" w:cs="Arial" w:eastAsia="Arial" w:hAnsi="Arial"/>
          <w:sz w:val="18"/>
          <w:szCs w:val="18"/>
          <w:color w:val="auto"/>
        </w:rPr>
      </w:pPr>
    </w:p>
    <w:p>
      <w:pPr>
        <w:jc w:val="both"/>
        <w:ind w:left="1280" w:right="40" w:firstLine="556"/>
        <w:spacing w:after="0" w:line="229" w:lineRule="auto"/>
        <w:tabs>
          <w:tab w:leader="none" w:pos="24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amounts deducted from Consolidated Net Income during such period representing expenditures made during any prior period for which a deduction from Excess Cash Flow was made in such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below; and</w:t>
      </w:r>
    </w:p>
    <w:p>
      <w:pPr>
        <w:spacing w:after="0" w:line="190" w:lineRule="exact"/>
        <w:rPr>
          <w:rFonts w:ascii="Arial" w:cs="Arial" w:eastAsia="Arial" w:hAnsi="Arial"/>
          <w:sz w:val="18"/>
          <w:szCs w:val="18"/>
          <w:color w:val="auto"/>
        </w:rPr>
      </w:pPr>
    </w:p>
    <w:p>
      <w:pPr>
        <w:ind w:left="2440" w:hanging="504"/>
        <w:spacing w:after="0"/>
        <w:tabs>
          <w:tab w:leader="none" w:pos="2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any amounts required to be added back to Excess Cash Flow in such period pursuant to clause </w:t>
      </w:r>
      <w:r>
        <w:rPr>
          <w:rFonts w:ascii="Arial" w:cs="Arial" w:eastAsia="Arial" w:hAnsi="Arial"/>
          <w:sz w:val="17"/>
          <w:szCs w:val="17"/>
          <w:u w:val="single" w:color="auto"/>
          <w:color w:val="auto"/>
        </w:rPr>
        <w:t>(b)(xi)</w:t>
      </w:r>
      <w:r>
        <w:rPr>
          <w:rFonts w:ascii="Arial" w:cs="Arial" w:eastAsia="Arial" w:hAnsi="Arial"/>
          <w:sz w:val="17"/>
          <w:szCs w:val="17"/>
          <w:color w:val="auto"/>
        </w:rPr>
        <w:t xml:space="preserve"> below;</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minus</w:t>
      </w:r>
    </w:p>
    <w:p>
      <w:pPr>
        <w:spacing w:after="0" w:line="306" w:lineRule="exact"/>
        <w:rPr>
          <w:sz w:val="20"/>
          <w:szCs w:val="20"/>
          <w:color w:val="auto"/>
        </w:rPr>
      </w:pPr>
    </w:p>
    <w:p>
      <w:pPr>
        <w:ind w:left="1800" w:hanging="512"/>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sum (to the extent not deducted or excluded in determining Consolidated Net Income), without duplication, of</w:t>
      </w:r>
    </w:p>
    <w:p>
      <w:pPr>
        <w:spacing w:after="0" w:line="225" w:lineRule="exact"/>
        <w:rPr>
          <w:rFonts w:ascii="Arial" w:cs="Arial" w:eastAsia="Arial" w:hAnsi="Arial"/>
          <w:sz w:val="18"/>
          <w:szCs w:val="18"/>
          <w:color w:val="auto"/>
        </w:rPr>
      </w:pPr>
    </w:p>
    <w:p>
      <w:pPr>
        <w:jc w:val="both"/>
        <w:ind w:left="1280" w:right="40" w:firstLine="744"/>
        <w:spacing w:after="0" w:line="248" w:lineRule="auto"/>
        <w:tabs>
          <w:tab w:leader="none" w:pos="2432"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 amount equal to (x) the amount of all non-cash credits (including, to the extent constituting non-cash credits, without limitation, amortization of deferred revenue acquired as a result of the Transaction or any Permitted Acquisition) included in arriving at Consolidated Net Income in such period (but excluding any non-cash credit to the extent representing the reversal of an accrual or reserve described in clause (a)(ii) above) and (y) cash charges, losses or expenses excluded in arriving at Consolidated Net Income in such period by virtue of clauses (a) through (r) of the definition of Consolidated Net Income;</w:t>
      </w:r>
    </w:p>
    <w:p>
      <w:pPr>
        <w:spacing w:after="0" w:line="183" w:lineRule="exact"/>
        <w:rPr>
          <w:rFonts w:ascii="Arial" w:cs="Arial" w:eastAsia="Arial" w:hAnsi="Arial"/>
          <w:sz w:val="16"/>
          <w:szCs w:val="16"/>
          <w:color w:val="auto"/>
        </w:rPr>
      </w:pPr>
    </w:p>
    <w:p>
      <w:pPr>
        <w:jc w:val="both"/>
        <w:ind w:left="1280" w:right="40" w:firstLine="694"/>
        <w:spacing w:after="0" w:line="254" w:lineRule="auto"/>
        <w:tabs>
          <w:tab w:leader="none" w:pos="2432" w:val="left"/>
        </w:tabs>
        <w:numPr>
          <w:ilvl w:val="1"/>
          <w:numId w:val="49"/>
        </w:numPr>
        <w:rPr>
          <w:rFonts w:ascii="Arial" w:cs="Arial" w:eastAsia="Arial" w:hAnsi="Arial"/>
          <w:sz w:val="16"/>
          <w:szCs w:val="16"/>
          <w:color w:val="auto"/>
        </w:rPr>
      </w:pPr>
      <w:r>
        <w:rPr>
          <w:rFonts w:ascii="Arial" w:cs="Arial" w:eastAsia="Arial" w:hAnsi="Arial"/>
          <w:sz w:val="16"/>
          <w:szCs w:val="16"/>
          <w:color w:val="auto"/>
        </w:rPr>
        <w:t>without duplication of amounts deducted pursuant to clause (xi) below in prior fiscal years or pursuant to Section 2.05(b)(i), the amount of Capital Expenditures, Capitalized Software Expenditures or acquisitions of intellectual property to the extent not expensed or accrued during such period and/or made in cash during such period, except to the extent financed with the proceeds of long term Indebtedness (other than revolving Indebtedness) of the Parent Borrower and the Restricted Subsidiaries;</w:t>
      </w:r>
    </w:p>
    <w:p>
      <w:pPr>
        <w:spacing w:after="0" w:line="193" w:lineRule="exact"/>
        <w:rPr>
          <w:rFonts w:ascii="Arial" w:cs="Arial" w:eastAsia="Arial" w:hAnsi="Arial"/>
          <w:sz w:val="16"/>
          <w:szCs w:val="16"/>
          <w:color w:val="auto"/>
        </w:rPr>
      </w:pPr>
    </w:p>
    <w:p>
      <w:pPr>
        <w:jc w:val="both"/>
        <w:ind w:left="1280" w:firstLine="644"/>
        <w:spacing w:after="0"/>
        <w:tabs>
          <w:tab w:leader="none" w:pos="2433"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aggregate amount of all principal payments (including (I) the principal component of payments in respect of Capitalized Leases and (II) the amount of any scheduled repayment of Term Loans pursuant to Section 2.07) and repayments of Indebtedness of the Parent Borrower or any of its Restricted Subsidiaries, except to the extent financed with the proceeds of long term Indebtedness (other than revolving Indebtedness) of a Borrower or any of its Restricted Subsidiaries, but excluding principal payments and repayments of (A) Revolving Credit Loans or other Revolving Credit Exposure (unless there is a corresponding reduction in commitments thereunder and to the extent not otherwise deducted from the Applicable ECF Percentage of Excess Cash Flow pursuant to Section 2.05(b)(i)(B) in any prior fiscal year), (B) Indebtedness in respect of the ABL Revolving Loans or any other revolving credit facility (unless there is a corresponding reduction in commitments thereunder and to the extent not otherwise deducted from the Applicable ECF Percentage of Excess Cash Flow pursuant to Section 2.05(b)(i)(B) in any prior fiscal year), (C) all prepayments of Term Loans by the Parent Borrower or any of its Restricted Subsidiaries, (D) Indebtedness to the extent otherwise deducted from the Applicable ECF Percentage of Excess Cash Flow pursuant to Section 2.05(b)(i)(B) in any prior fiscal year and (E) any Junior Financing to the extent not permitted to be made pursuant to Section 7.06, in each case,</w:t>
      </w:r>
    </w:p>
    <w:p>
      <w:pPr>
        <w:sectPr>
          <w:pgSz w:w="11900" w:h="16838" w:orient="portrait"/>
          <w:cols w:equalWidth="0" w:num="1">
            <w:col w:w="10920"/>
          </w:cols>
          <w:pgMar w:left="480" w:top="1440" w:right="499" w:bottom="1440" w:gutter="0" w:footer="0" w:header="0"/>
        </w:sectPr>
      </w:pPr>
    </w:p>
    <w:bookmarkStart w:id="75" w:name="page76"/>
    <w:bookmarkEnd w:id="75"/>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including any debt buyback conducted pursuant to a Dutch auction or open market purchase based on actual amounts paid;</w:t>
      </w:r>
    </w:p>
    <w:p>
      <w:pPr>
        <w:spacing w:after="0" w:line="237" w:lineRule="exact"/>
        <w:rPr>
          <w:sz w:val="20"/>
          <w:szCs w:val="20"/>
          <w:color w:val="auto"/>
        </w:rPr>
      </w:pPr>
    </w:p>
    <w:p>
      <w:pPr>
        <w:ind w:left="320" w:right="20" w:firstLine="655"/>
        <w:spacing w:after="0" w:line="235" w:lineRule="auto"/>
        <w:tabs>
          <w:tab w:leader="none" w:pos="14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or income from Investments (other than Investments made in the ordinary course of business) to the extent included in arriving at Consolidated Net Income;</w:t>
      </w:r>
    </w:p>
    <w:p>
      <w:pPr>
        <w:spacing w:after="0" w:line="188" w:lineRule="exact"/>
        <w:rPr>
          <w:rFonts w:ascii="Arial" w:cs="Arial" w:eastAsia="Arial" w:hAnsi="Arial"/>
          <w:sz w:val="18"/>
          <w:szCs w:val="18"/>
          <w:color w:val="auto"/>
        </w:rPr>
      </w:pPr>
    </w:p>
    <w:p>
      <w:pPr>
        <w:jc w:val="both"/>
        <w:ind w:left="320" w:right="20" w:firstLine="705"/>
        <w:spacing w:after="0" w:line="229" w:lineRule="auto"/>
        <w:tabs>
          <w:tab w:leader="none" w:pos="14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Consolidated Working Capital for such period (other than any such increases arising from acquisitions (outside the ordinary course of business), Permitted Acquisitions or Dispositions by a Borrower or any of its Restricted Subsidiaries during such period or the application of purchase accounting or recapitalization accounting);</w:t>
      </w:r>
    </w:p>
    <w:p>
      <w:pPr>
        <w:spacing w:after="0" w:line="190" w:lineRule="exact"/>
        <w:rPr>
          <w:rFonts w:ascii="Arial" w:cs="Arial" w:eastAsia="Arial" w:hAnsi="Arial"/>
          <w:sz w:val="18"/>
          <w:szCs w:val="18"/>
          <w:color w:val="auto"/>
        </w:rPr>
      </w:pPr>
    </w:p>
    <w:p>
      <w:pPr>
        <w:jc w:val="both"/>
        <w:ind w:left="320" w:right="20" w:firstLine="656"/>
        <w:spacing w:after="0" w:line="222" w:lineRule="auto"/>
        <w:tabs>
          <w:tab w:leader="none" w:pos="14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payments by the Parent Borrower or any of its Restricted Subsidiaries during such period in respect of long-term liabilities of the Parent Borrower or any of its Restricted Subsidiaries other than Indebtedness to the extent such payments are not expensed during such period or are not deducted (or were excluded) in calculating Consolidated Net Income and except to the extent financed with the proceeds of long term Indebtedness (other than revolving Indebtedness) of the Parent Borrower or any of its Restricted Subsidiaries;</w:t>
      </w:r>
    </w:p>
    <w:p>
      <w:pPr>
        <w:spacing w:after="0" w:line="190" w:lineRule="exact"/>
        <w:rPr>
          <w:rFonts w:ascii="Arial" w:cs="Arial" w:eastAsia="Arial" w:hAnsi="Arial"/>
          <w:sz w:val="18"/>
          <w:szCs w:val="18"/>
          <w:color w:val="auto"/>
        </w:rPr>
      </w:pPr>
    </w:p>
    <w:p>
      <w:pPr>
        <w:ind w:left="1620" w:hanging="694"/>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620" w:hanging="744"/>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320" w:right="20" w:firstLine="656"/>
        <w:spacing w:after="0" w:line="219" w:lineRule="auto"/>
        <w:tabs>
          <w:tab w:leader="none" w:pos="14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amount of expenditures actually made by the Parent Borrower or any of its Restricted Subsidiaries in cash during such period (including expenditures for the payment of financing fees) to the extent that such expenditures are not expensed during such period or are not deducted (or were excluded) in calculating Consolidated Net Income during such period except to the extent financed with the proceeds of long term Indebtedness (other than revolving Indebtedness) of the Parent Borrower or any of its Restricted Subsidiaries;</w:t>
      </w:r>
    </w:p>
    <w:p>
      <w:pPr>
        <w:spacing w:after="0" w:line="203" w:lineRule="exact"/>
        <w:rPr>
          <w:rFonts w:ascii="Arial" w:cs="Arial" w:eastAsia="Arial" w:hAnsi="Arial"/>
          <w:sz w:val="18"/>
          <w:szCs w:val="18"/>
          <w:color w:val="auto"/>
        </w:rPr>
      </w:pPr>
    </w:p>
    <w:p>
      <w:pPr>
        <w:jc w:val="both"/>
        <w:ind w:left="320" w:firstLine="705"/>
        <w:spacing w:after="0" w:line="223" w:lineRule="auto"/>
        <w:tabs>
          <w:tab w:leader="none" w:pos="14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amount of any premium, make-whole or penalty payments actually paid in cash by the Parent Borrower or any of its Restricted Subsidiaries during such period that are required to be made in connection with any prepayment of Indebtedness except to the extent such payments were financed with the proceeds of long term Indebtedness (other than revolving Indebtedness) of the Parent Borrower and the Restricted Subsidiaries;</w:t>
      </w:r>
    </w:p>
    <w:p>
      <w:pPr>
        <w:spacing w:after="0" w:line="189" w:lineRule="exact"/>
        <w:rPr>
          <w:rFonts w:ascii="Arial" w:cs="Arial" w:eastAsia="Arial" w:hAnsi="Arial"/>
          <w:sz w:val="18"/>
          <w:szCs w:val="18"/>
          <w:color w:val="auto"/>
        </w:rPr>
      </w:pPr>
    </w:p>
    <w:p>
      <w:pPr>
        <w:jc w:val="both"/>
        <w:ind w:left="320" w:firstLine="655"/>
        <w:spacing w:after="0" w:line="225" w:lineRule="auto"/>
        <w:tabs>
          <w:tab w:leader="none" w:pos="14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without duplication of amounts deducted from Excess Cash Flow in prior periods, at the option of the Administrative Borrower, the aggregate consideration required to be paid in cash by the Parent Borrower or any of its Restricted Subsidiaries to a Person that is not the Parent Borrower or any Restricted Subsidiary thereof pursuant to binding contracts or executed letters-of-intent (the “</w:t>
      </w:r>
      <w:r>
        <w:rPr>
          <w:rFonts w:ascii="Arial" w:cs="Arial" w:eastAsia="Arial" w:hAnsi="Arial"/>
          <w:sz w:val="17"/>
          <w:szCs w:val="17"/>
          <w:b w:val="1"/>
          <w:bCs w:val="1"/>
          <w:color w:val="auto"/>
        </w:rPr>
        <w:t>Contract Consideration</w:t>
      </w:r>
      <w:r>
        <w:rPr>
          <w:rFonts w:ascii="Arial" w:cs="Arial" w:eastAsia="Arial" w:hAnsi="Arial"/>
          <w:sz w:val="17"/>
          <w:szCs w:val="17"/>
          <w:color w:val="auto"/>
        </w:rPr>
        <w:t xml:space="preserve">”) entered into prior to or during such period, or, at the Parent Borrower’s option, after the end of such period and prior to the date of such Excess Cash Flow payment for such period, relating to Permitted Acquisitions or other permitted Investments, Restricted Payments, Capital Expenditures, Capitalized Software Expenditures or acquisitions of intellectual property to the extent not expensed and expected to be consummated or made, in each case during the period of four consecutive fiscal quarters of the Parent Borrower following the end of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the aggregate amount of cash actually utilized to finance such Permitted Acquisitions, permitted Investments, Restricted Payments, Capital Expenditures, Capitalized Software Expenditures or acquisitions of intellectual property during such period of four consecutive fiscal quarters is less than the Contract Consideration, the amount of such shortfall shall be added to the calculation of Excess Cash Flow at the end of such period of four consecutive fiscal quarters;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without duplication to the immediately preceding proviso, to the extent such cash actually utilized to finance such Permitted Acquisitions, permitted Investments, Restricted Payments, Capital Expenditures, Capitalized</w:t>
      </w:r>
    </w:p>
    <w:p>
      <w:pPr>
        <w:sectPr>
          <w:pgSz w:w="11900" w:h="16838" w:orient="portrait"/>
          <w:cols w:equalWidth="0" w:num="1">
            <w:col w:w="9940"/>
          </w:cols>
          <w:pgMar w:left="1440" w:top="1440" w:right="519" w:bottom="1440" w:gutter="0" w:footer="0" w:header="0"/>
        </w:sectPr>
      </w:pPr>
    </w:p>
    <w:bookmarkStart w:id="76" w:name="page77"/>
    <w:bookmarkEnd w:id="76"/>
    <w:p>
      <w:pPr>
        <w:spacing w:after="0" w:line="211" w:lineRule="exact"/>
        <w:rPr>
          <w:sz w:val="20"/>
          <w:szCs w:val="20"/>
          <w:color w:val="auto"/>
        </w:rPr>
      </w:pPr>
    </w:p>
    <w:p>
      <w:pPr>
        <w:jc w:val="both"/>
        <w:ind w:left="1288"/>
        <w:spacing w:after="0" w:line="241" w:lineRule="auto"/>
        <w:rPr>
          <w:sz w:val="20"/>
          <w:szCs w:val="20"/>
          <w:color w:val="auto"/>
        </w:rPr>
      </w:pPr>
      <w:r>
        <w:rPr>
          <w:rFonts w:ascii="Arial" w:cs="Arial" w:eastAsia="Arial" w:hAnsi="Arial"/>
          <w:sz w:val="16"/>
          <w:szCs w:val="16"/>
          <w:color w:val="auto"/>
        </w:rPr>
        <w:t>Software Expenditures or acquisitions of intellectual property, during such period of four consecutive fiscal quarters is financed with the proceeds of long term Indebtedness (other than revolving Indebtedness) of the Parent Borrower or any of its Restricted Subsidiaries, such amount shall be added to the calculation of Excess Cash Flow at the end of such period of four consecutive fiscal</w:t>
      </w:r>
    </w:p>
    <w:p>
      <w:pPr>
        <w:spacing w:after="0" w:line="2" w:lineRule="exact"/>
        <w:rPr>
          <w:sz w:val="20"/>
          <w:szCs w:val="20"/>
          <w:color w:val="auto"/>
        </w:rPr>
      </w:pPr>
    </w:p>
    <w:p>
      <w:pPr>
        <w:ind w:left="1288"/>
        <w:spacing w:after="0"/>
        <w:rPr>
          <w:sz w:val="20"/>
          <w:szCs w:val="20"/>
          <w:color w:val="auto"/>
        </w:rPr>
      </w:pPr>
      <w:r>
        <w:rPr>
          <w:rFonts w:ascii="Arial" w:cs="Arial" w:eastAsia="Arial" w:hAnsi="Arial"/>
          <w:sz w:val="18"/>
          <w:szCs w:val="18"/>
          <w:color w:val="auto"/>
        </w:rPr>
        <w:t>quarters;</w:t>
      </w:r>
    </w:p>
    <w:p>
      <w:pPr>
        <w:spacing w:after="0" w:line="196" w:lineRule="exact"/>
        <w:rPr>
          <w:sz w:val="20"/>
          <w:szCs w:val="20"/>
          <w:color w:val="auto"/>
        </w:rPr>
      </w:pPr>
    </w:p>
    <w:p>
      <w:pPr>
        <w:jc w:val="both"/>
        <w:ind w:left="1288" w:right="40" w:firstLine="605"/>
        <w:spacing w:after="0" w:line="245" w:lineRule="auto"/>
        <w:tabs>
          <w:tab w:leader="none" w:pos="24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 of cash taxes paid or payable (to the extent, without duplication, not deducted in any prior period pursuant to this clause (xii)) in such period (including any Tax reserves set aside and without duplication with respect to such period to the extent they exceed the amount of tax expense deducted in determining Consolidated Net Income for such period);</w:t>
      </w:r>
    </w:p>
    <w:p>
      <w:pPr>
        <w:spacing w:after="0" w:line="184" w:lineRule="exact"/>
        <w:rPr>
          <w:rFonts w:ascii="Arial" w:cs="Arial" w:eastAsia="Arial" w:hAnsi="Arial"/>
          <w:sz w:val="17"/>
          <w:szCs w:val="17"/>
          <w:color w:val="auto"/>
        </w:rPr>
      </w:pPr>
    </w:p>
    <w:p>
      <w:pPr>
        <w:ind w:left="1288" w:right="40" w:firstLine="556"/>
        <w:spacing w:after="0" w:line="235" w:lineRule="auto"/>
        <w:tabs>
          <w:tab w:leader="none" w:pos="2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expenditures in respect of Swap Contracts during such period to the extent not deducted in arriving at such Consolidated Net Income;</w:t>
      </w:r>
    </w:p>
    <w:p>
      <w:pPr>
        <w:spacing w:after="0" w:line="202" w:lineRule="exact"/>
        <w:rPr>
          <w:rFonts w:ascii="Arial" w:cs="Arial" w:eastAsia="Arial" w:hAnsi="Arial"/>
          <w:sz w:val="18"/>
          <w:szCs w:val="18"/>
          <w:color w:val="auto"/>
        </w:rPr>
      </w:pPr>
    </w:p>
    <w:p>
      <w:pPr>
        <w:ind w:left="2448" w:hanging="593"/>
        <w:spacing w:after="0"/>
        <w:tabs>
          <w:tab w:leader="none" w:pos="24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payment of cash to be amortized or expensed over a future period and recorded as a long-term asset;</w:t>
      </w:r>
    </w:p>
    <w:p>
      <w:pPr>
        <w:spacing w:after="0" w:line="225" w:lineRule="exact"/>
        <w:rPr>
          <w:rFonts w:ascii="Arial" w:cs="Arial" w:eastAsia="Arial" w:hAnsi="Arial"/>
          <w:sz w:val="18"/>
          <w:szCs w:val="18"/>
          <w:color w:val="auto"/>
        </w:rPr>
      </w:pPr>
    </w:p>
    <w:p>
      <w:pPr>
        <w:ind w:left="1288" w:right="20" w:firstLine="616"/>
        <w:spacing w:after="0" w:line="246" w:lineRule="auto"/>
        <w:tabs>
          <w:tab w:leader="none" w:pos="2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reimbursable or insured expenses incurred for such period to the extent that such reimbursement has not yet been received and to the extent not deducted in arriving at such Consolidated Net Income; and</w:t>
      </w:r>
    </w:p>
    <w:p>
      <w:pPr>
        <w:spacing w:after="0" w:line="196" w:lineRule="exact"/>
        <w:rPr>
          <w:rFonts w:ascii="Arial" w:cs="Arial" w:eastAsia="Arial" w:hAnsi="Arial"/>
          <w:sz w:val="18"/>
          <w:szCs w:val="18"/>
          <w:color w:val="auto"/>
        </w:rPr>
      </w:pPr>
    </w:p>
    <w:p>
      <w:pPr>
        <w:jc w:val="both"/>
        <w:ind w:left="1288" w:right="40" w:firstLine="567"/>
        <w:spacing w:after="0" w:line="229" w:lineRule="auto"/>
        <w:tabs>
          <w:tab w:leader="none" w:pos="2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cash expenditures for costs and expenses (including retention, recruiting, relocation, stay and signing bonuses and expenses) in connection with the Transactions (including all Transaction Expenses), acquisitions, Investments, Restricted Payments, dispositions and the issuance of equity interests or Indebtedness, repayment of debt, issuance of equity securities, refinancing transactions or amendments or other modifications of any debt instrument (including, in each case, any such transaction consummated on the Closing Date and any such transaction undertaking but not completed), in each case, to the extent not deducted in arriving at such Consolidated Net Income and to the extent not financed with the proceeds of any long-term Indebtedness (other than revolving loans) of the Parent Borrower and its Restricted Subsidiaries;</w:t>
      </w:r>
    </w:p>
    <w:p>
      <w:pPr>
        <w:spacing w:after="0" w:line="193" w:lineRule="exact"/>
        <w:rPr>
          <w:sz w:val="20"/>
          <w:szCs w:val="20"/>
          <w:color w:val="auto"/>
        </w:rPr>
      </w:pPr>
    </w:p>
    <w:p>
      <w:pPr>
        <w:ind w:left="8" w:right="40" w:firstLine="648"/>
        <w:spacing w:after="0" w:line="24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the option of the Parent Borrower, all such payments made after the applicable period and prior to the applicable due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Excess Cash Flow payment may (without duplication of such amount deducted in any period) be deducted from Excess Cash Flow for such prior</w:t>
      </w:r>
    </w:p>
    <w:p>
      <w:pPr>
        <w:ind w:left="8"/>
        <w:spacing w:after="0"/>
        <w:rPr>
          <w:sz w:val="20"/>
          <w:szCs w:val="20"/>
          <w:color w:val="auto"/>
        </w:rPr>
      </w:pPr>
      <w:r>
        <w:rPr>
          <w:rFonts w:ascii="Arial" w:cs="Arial" w:eastAsia="Arial" w:hAnsi="Arial"/>
          <w:sz w:val="18"/>
          <w:szCs w:val="18"/>
          <w:color w:val="auto"/>
        </w:rPr>
        <w:t>period.</w:t>
      </w:r>
    </w:p>
    <w:p>
      <w:pPr>
        <w:spacing w:after="0" w:line="196" w:lineRule="exact"/>
        <w:rPr>
          <w:sz w:val="20"/>
          <w:szCs w:val="20"/>
          <w:color w:val="auto"/>
        </w:rPr>
      </w:pPr>
    </w:p>
    <w:p>
      <w:pPr>
        <w:ind w:left="8" w:right="40" w:firstLine="648"/>
        <w:spacing w:after="0" w:line="248" w:lineRule="auto"/>
        <w:rPr>
          <w:sz w:val="20"/>
          <w:szCs w:val="20"/>
          <w:color w:val="auto"/>
        </w:rPr>
      </w:pPr>
      <w:r>
        <w:rPr>
          <w:rFonts w:ascii="Arial" w:cs="Arial" w:eastAsia="Arial" w:hAnsi="Arial"/>
          <w:sz w:val="16"/>
          <w:szCs w:val="16"/>
          <w:color w:val="auto"/>
        </w:rPr>
        <w:t>Notwithstanding anything in the definition of any term used in the definition of Excess Cash Flow to the contrary, all components of Excess Cash Flow shall be computed for the Parent Borrower and the Restricted Subsidiaries on a consolidated basis. For the avoidance of doubt, Excess</w:t>
      </w:r>
    </w:p>
    <w:p>
      <w:pPr>
        <w:ind w:left="8"/>
        <w:spacing w:after="0"/>
        <w:rPr>
          <w:sz w:val="20"/>
          <w:szCs w:val="20"/>
          <w:color w:val="auto"/>
        </w:rPr>
      </w:pPr>
      <w:r>
        <w:rPr>
          <w:rFonts w:ascii="Arial" w:cs="Arial" w:eastAsia="Arial" w:hAnsi="Arial"/>
          <w:sz w:val="18"/>
          <w:szCs w:val="18"/>
          <w:color w:val="auto"/>
        </w:rPr>
        <w:t>Cash Flow shall not include pro forma adjustments in accordance with Section 1.08.</w:t>
      </w:r>
    </w:p>
    <w:p>
      <w:pPr>
        <w:spacing w:after="0" w:line="192"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left="8"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Affiliate</w:t>
      </w:r>
      <w:r>
        <w:rPr>
          <w:rFonts w:ascii="Arial" w:cs="Arial" w:eastAsia="Arial" w:hAnsi="Arial"/>
          <w:sz w:val="16"/>
          <w:szCs w:val="16"/>
          <w:color w:val="auto"/>
        </w:rPr>
        <w:t>” means, with respect to any Agent or Agent-Related Person and their respective Affiliates and controlling Persons, (i) any of their Affiliates that is engaged as principals primarily in private equity, mezzanine financing or venture capital or any of such Affiliate’s officers,</w:t>
      </w:r>
    </w:p>
    <w:p>
      <w:pPr>
        <w:spacing w:after="0" w:line="1" w:lineRule="exact"/>
        <w:rPr>
          <w:sz w:val="20"/>
          <w:szCs w:val="20"/>
          <w:color w:val="auto"/>
        </w:rPr>
      </w:pPr>
    </w:p>
    <w:p>
      <w:pPr>
        <w:ind w:left="8" w:right="20"/>
        <w:spacing w:after="0" w:line="211" w:lineRule="auto"/>
        <w:rPr>
          <w:sz w:val="20"/>
          <w:szCs w:val="20"/>
          <w:color w:val="auto"/>
        </w:rPr>
      </w:pPr>
      <w:r>
        <w:rPr>
          <w:rFonts w:ascii="Arial" w:cs="Arial" w:eastAsia="Arial" w:hAnsi="Arial"/>
          <w:sz w:val="18"/>
          <w:szCs w:val="18"/>
          <w:color w:val="auto"/>
        </w:rPr>
        <w:t>directors, employees, legal counsel, independent auditors, professionals and other experts or agents other than, in each case, any Over the Wall Person or</w:t>
      </w:r>
    </w:p>
    <w:p>
      <w:pPr>
        <w:spacing w:after="0" w:line="1" w:lineRule="exact"/>
        <w:rPr>
          <w:sz w:val="20"/>
          <w:szCs w:val="20"/>
          <w:color w:val="auto"/>
        </w:rPr>
      </w:pPr>
    </w:p>
    <w:p>
      <w:pPr>
        <w:jc w:val="both"/>
        <w:ind w:left="8" w:right="40" w:hanging="8"/>
        <w:spacing w:after="0" w:line="218" w:lineRule="auto"/>
        <w:tabs>
          <w:tab w:leader="none" w:pos="2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their Affiliates and/or any of their Affiliates’ employees, officers, directors, legal counsel, professionals and other experts or agents that are engaged directly or indirectly in a sale of the Company and its subsidiaries as buy-side or sell-side representative and acting in such capacity other than, in each case, any Over the Wall Person.</w:t>
      </w:r>
    </w:p>
    <w:p>
      <w:pPr>
        <w:spacing w:after="0" w:line="199" w:lineRule="exact"/>
        <w:rPr>
          <w:sz w:val="20"/>
          <w:szCs w:val="20"/>
          <w:color w:val="auto"/>
        </w:rPr>
      </w:pPr>
    </w:p>
    <w:p>
      <w:pPr>
        <w:jc w:val="both"/>
        <w:ind w:left="8"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Assets</w:t>
      </w:r>
      <w:r>
        <w:rPr>
          <w:rFonts w:ascii="Arial" w:cs="Arial" w:eastAsia="Arial" w:hAnsi="Arial"/>
          <w:sz w:val="16"/>
          <w:szCs w:val="16"/>
          <w:color w:val="auto"/>
        </w:rPr>
        <w:t>” means (i) any fee owned Real Property and any leasehold rights and interests in Real Property (including landlord or other third-party waivers, non-disturbance agreements, estoppels, bailee waivers, warehouseman waivers and collateral access letters), (ii) motor vehicles, aircraft and other assets subject to certificates of title, to the extent a Lien therein cannot be perfected by the filing of a UCC financing</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statement, (iii)</w:t>
      </w:r>
    </w:p>
    <w:p>
      <w:pPr>
        <w:sectPr>
          <w:pgSz w:w="11900" w:h="16838" w:orient="portrait"/>
          <w:cols w:equalWidth="0" w:num="1">
            <w:col w:w="10928"/>
          </w:cols>
          <w:pgMar w:left="472" w:top="1440" w:right="499" w:bottom="1440" w:gutter="0" w:footer="0" w:header="0"/>
        </w:sectPr>
      </w:pPr>
    </w:p>
    <w:bookmarkStart w:id="77" w:name="page78"/>
    <w:bookmarkEnd w:id="77"/>
    <w:p>
      <w:pPr>
        <w:spacing w:after="0" w:line="196" w:lineRule="exact"/>
        <w:rPr>
          <w:sz w:val="20"/>
          <w:szCs w:val="20"/>
          <w:color w:val="auto"/>
        </w:rPr>
      </w:pPr>
    </w:p>
    <w:p>
      <w:pPr>
        <w:ind w:left="8"/>
        <w:spacing w:after="0"/>
        <w:rPr>
          <w:sz w:val="20"/>
          <w:szCs w:val="20"/>
          <w:color w:val="auto"/>
        </w:rPr>
      </w:pPr>
      <w:r>
        <w:rPr>
          <w:rFonts w:ascii="Arial" w:cs="Arial" w:eastAsia="Arial" w:hAnsi="Arial"/>
          <w:sz w:val="18"/>
          <w:szCs w:val="18"/>
          <w:color w:val="auto"/>
        </w:rPr>
        <w:t>commercial tort claims where the applicable Loan Party’s reasonable expectation of recovery is less than</w:t>
      </w:r>
    </w:p>
    <w:p>
      <w:pPr>
        <w:jc w:val="both"/>
        <w:ind w:left="8" w:right="40"/>
        <w:spacing w:after="0" w:line="237" w:lineRule="auto"/>
        <w:rPr>
          <w:sz w:val="20"/>
          <w:szCs w:val="20"/>
          <w:color w:val="auto"/>
        </w:rPr>
      </w:pPr>
      <w:r>
        <w:rPr>
          <w:rFonts w:ascii="Arial" w:cs="Arial" w:eastAsia="Arial" w:hAnsi="Arial"/>
          <w:sz w:val="16"/>
          <w:szCs w:val="16"/>
          <w:color w:val="auto"/>
        </w:rPr>
        <w:t>$5,000,000, (iv) any governmental or regulatory licenses or state or local franchises, charters and authorizations to the extent that the Administrative Agent may not (or is restricted from) validly possess a security interest therein under applicable Laws (including, without limitation, rules and</w:t>
      </w:r>
    </w:p>
    <w:p>
      <w:pPr>
        <w:spacing w:after="0" w:line="1"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6"/>
          <w:szCs w:val="16"/>
          <w:color w:val="auto"/>
        </w:rPr>
        <w:t>regulations of any Governmental Authority or agency) or the pledge or creation of a security interest in which would require governmental consent, approval, license or authorization (to the extent such consent, approval, license or authorization was not obtained (it being understood and agreed that the Loan Parties shall be under no obligation to obtain such consent, approval, license or authorization)), other than to the extent such prohibition,</w:t>
      </w:r>
    </w:p>
    <w:p>
      <w:pPr>
        <w:spacing w:after="0" w:line="2"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6"/>
          <w:szCs w:val="16"/>
          <w:color w:val="auto"/>
        </w:rPr>
        <w:t>limitation or restriction is rendered ineffective under the UCC or other applicable Law, (v) any particular asset or right under contract, if the pledge thereof or the security interest therein is prohibited or restricted by applicable Law (including any requirement to obtain the consent of any Governmental Authority or regulatory authority), other than to the extent such prohibition or restriction is rendered ineffective under the UCC or other</w:t>
      </w:r>
    </w:p>
    <w:p>
      <w:pPr>
        <w:spacing w:after="0" w:line="2" w:lineRule="exact"/>
        <w:rPr>
          <w:sz w:val="20"/>
          <w:szCs w:val="20"/>
          <w:color w:val="auto"/>
        </w:rPr>
      </w:pPr>
    </w:p>
    <w:p>
      <w:pPr>
        <w:jc w:val="both"/>
        <w:ind w:left="8" w:right="40"/>
        <w:spacing w:after="0" w:line="221" w:lineRule="auto"/>
        <w:rPr>
          <w:sz w:val="20"/>
          <w:szCs w:val="20"/>
          <w:color w:val="auto"/>
        </w:rPr>
      </w:pPr>
      <w:r>
        <w:rPr>
          <w:rFonts w:ascii="Arial" w:cs="Arial" w:eastAsia="Arial" w:hAnsi="Arial"/>
          <w:sz w:val="17"/>
          <w:szCs w:val="17"/>
          <w:color w:val="auto"/>
        </w:rPr>
        <w:t>applicable Law, (vi) (A) Margin Stock, (B) Equity Interests in any Person other than wholly-owned Restricted Subsidiaries (but, in the case of the Equity Interests of any Person that is not a wholly-owned Restricted Subsidiary, only to the extent the organizational documents or similar agreement with equity holders of such Person do not permit the pledge of such Equity Interests so long as such prohibition exists),</w:t>
      </w:r>
    </w:p>
    <w:p>
      <w:pPr>
        <w:jc w:val="both"/>
        <w:ind w:left="8" w:hanging="8"/>
        <w:spacing w:after="0" w:line="233" w:lineRule="auto"/>
        <w:tabs>
          <w:tab w:leader="none" w:pos="303" w:val="left"/>
        </w:tabs>
        <w:numPr>
          <w:ilvl w:val="0"/>
          <w:numId w:val="53"/>
        </w:numPr>
        <w:rPr>
          <w:rFonts w:ascii="Arial" w:cs="Arial" w:eastAsia="Arial" w:hAnsi="Arial"/>
          <w:sz w:val="16"/>
          <w:szCs w:val="16"/>
          <w:color w:val="auto"/>
        </w:rPr>
      </w:pPr>
      <w:r>
        <w:rPr>
          <w:rFonts w:ascii="Arial" w:cs="Arial" w:eastAsia="Arial" w:hAnsi="Arial"/>
          <w:sz w:val="16"/>
          <w:szCs w:val="16"/>
          <w:color w:val="auto"/>
        </w:rPr>
        <w:t>voting Equity Interests or Indebtedness treated as equity for U.S. federal income tax purposes of first tier Foreign Subsidiaries that are CFCs and first tier CFC Holdcos in excess of 65% of the issued and outstanding voting Equity Interests or Indebtedness treated as equity for U.S. federal income tax purposes thereof and (D) Equity Interests in any Broker-Dealer Regulated Subsidiary, Unrestricted Subsidiary, Captive Insurance Subsidiary, not-for-profit Subsidiary, or special purpose securitization vehicle (or similar entity), including any Securitization Subsidiary, in each case of this clause</w:t>
      </w:r>
    </w:p>
    <w:p>
      <w:pPr>
        <w:spacing w:after="0" w:line="1" w:lineRule="exact"/>
        <w:rPr>
          <w:rFonts w:ascii="Arial" w:cs="Arial" w:eastAsia="Arial" w:hAnsi="Arial"/>
          <w:sz w:val="16"/>
          <w:szCs w:val="16"/>
          <w:color w:val="auto"/>
        </w:rPr>
      </w:pPr>
    </w:p>
    <w:p>
      <w:pPr>
        <w:jc w:val="both"/>
        <w:ind w:left="8" w:hanging="8"/>
        <w:spacing w:after="0" w:line="221" w:lineRule="auto"/>
        <w:tabs>
          <w:tab w:leader="none" w:pos="3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that are not Guarantors, (vii) any lease, license or agreement or any property subject to such lease, license or agreement, in each case, to the extent that a grant of a security interest therein (A) would violate or invalidate such lease, license or agreement or create a right of termination in favor of any other party thereto (other than a Loan Party after giving effect to the applicable anti-assignment provisions of the UCC) or (B) would require governmental, regulatory or third-party (other than a Loan Party) approval, consent or authorization pursuant to the terms thereof (in each case after giving effect to the applicable anti-assignment provisions of the UCC) (other than proceeds and receivables thereof, the assignment of which is expressly deemed effective under the UCC notwithstanding such prohibition) not obtained (without any requirement to obtain such approval, consent or authorization) (in each case of clauses (A) and (B), (1) after giving effect to the applicable anti-assignment provisions of the UCC and (2) only to the extent that such limitation on such pledge or security interest is not otherwise prohibited pursuant to Section 7.09), (viii) letter of credit rights, except to the extent perfection of the security interest therein is accomplished by the filing of a UCC financing statement (it being understood that no actions shall be required to perfect a security interest in letter of credit rights, other than the filing of a UCC financing statement), (ix) any intent-to-use trademark application prior to the filing, and acceptance by the</w:t>
      </w:r>
    </w:p>
    <w:p>
      <w:pPr>
        <w:spacing w:after="0" w:line="4" w:lineRule="exact"/>
        <w:rPr>
          <w:rFonts w:ascii="Arial" w:cs="Arial" w:eastAsia="Arial" w:hAnsi="Arial"/>
          <w:sz w:val="17"/>
          <w:szCs w:val="17"/>
          <w:color w:val="auto"/>
        </w:rPr>
      </w:pPr>
    </w:p>
    <w:p>
      <w:pPr>
        <w:ind w:left="8" w:right="40"/>
        <w:spacing w:after="0" w:line="238" w:lineRule="auto"/>
        <w:rPr>
          <w:rFonts w:ascii="Arial" w:cs="Arial" w:eastAsia="Arial" w:hAnsi="Arial"/>
          <w:sz w:val="17"/>
          <w:szCs w:val="17"/>
          <w:color w:val="auto"/>
        </w:rPr>
      </w:pPr>
      <w:r>
        <w:rPr>
          <w:rFonts w:ascii="Arial" w:cs="Arial" w:eastAsia="Arial" w:hAnsi="Arial"/>
          <w:sz w:val="16"/>
          <w:szCs w:val="16"/>
          <w:color w:val="auto"/>
        </w:rPr>
        <w:t xml:space="preserve">U.S.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 assets where the burden or cost (including adverse tax or regulatory consequences) of obtaining a security interest therein or perfection thereof exceeds the practical benefit to the Lenders afforded thereby as reasonably determined by the Administrative Borrower in good faith in consultation with the Administrative Agent; (xi) segregated funds held in a fiduciary capacity for others (that are not Loan Parties), (xii) any property subject to a Lien permitted by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(limited to Capitalized Leases, Attributable Indebtedness and purchase money security interest or other similar arrangements incurred pursuant thereto), </w:t>
      </w:r>
      <w:r>
        <w:rPr>
          <w:rFonts w:ascii="Arial" w:cs="Arial" w:eastAsia="Arial" w:hAnsi="Arial"/>
          <w:sz w:val="16"/>
          <w:szCs w:val="16"/>
          <w:u w:val="single" w:color="auto"/>
          <w:color w:val="auto"/>
        </w:rPr>
        <w:t>(w)</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(aa)</w:t>
      </w:r>
      <w:r>
        <w:rPr>
          <w:rFonts w:ascii="Arial" w:cs="Arial" w:eastAsia="Arial" w:hAnsi="Arial"/>
          <w:sz w:val="16"/>
          <w:szCs w:val="16"/>
          <w:color w:val="auto"/>
        </w:rPr>
        <w:t xml:space="preserve"> (to the extent relating to a Lien originally incurred pursuant to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t>
      </w:r>
      <w:r>
        <w:rPr>
          <w:rFonts w:ascii="Arial" w:cs="Arial" w:eastAsia="Arial" w:hAnsi="Arial"/>
          <w:sz w:val="16"/>
          <w:szCs w:val="16"/>
          <w:color w:val="auto"/>
        </w:rPr>
        <w:t xml:space="preserve"> subject to the limitations set forth in this clause (xii)), (xiii) any assets of any Foreign Subsidiary, CFC or CFC Holdco (including Equity Interests of any Subsidiary of such Subsidiary) and (xiv) the Cash Collateral Account (as such term is defined in the ABL Credit Agreement as in effect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Excluded Assets shall not include any Proceeds, substitutions or replacements of any Excluded Assets referred to in clause (i) through (xiv) (unless such Proceeds, substitutions or replacements would independently constitute Excluded Assets referred to in clauses (i) through (xiv)). Notwithstanding the foregoing, for so long as a Subsidiary is an Elective Guarantor, the assets or property purported to be pledged as Collateral, or in which a security interest if purported to be granted pursuant to any Collateral Document, by such Subsidiary shall be deemed not to be Excluded Assets so long as such Subsidiary is an Elective Guarantor.</w:t>
      </w:r>
    </w:p>
    <w:p>
      <w:pPr>
        <w:sectPr>
          <w:pgSz w:w="11900" w:h="16838" w:orient="portrait"/>
          <w:cols w:equalWidth="0" w:num="1">
            <w:col w:w="10928"/>
          </w:cols>
          <w:pgMar w:left="472" w:top="1440" w:right="499" w:bottom="1440" w:gutter="0" w:footer="0" w:header="0"/>
        </w:sectPr>
      </w:pPr>
    </w:p>
    <w:bookmarkStart w:id="78" w:name="page79"/>
    <w:bookmarkEnd w:id="78"/>
    <w:p>
      <w:pPr>
        <w:spacing w:after="0" w:line="207" w:lineRule="exact"/>
        <w:rPr>
          <w:sz w:val="20"/>
          <w:szCs w:val="20"/>
          <w:color w:val="auto"/>
        </w:rPr>
      </w:pPr>
    </w:p>
    <w:p>
      <w:pPr>
        <w:jc w:val="both"/>
        <w:ind w:left="9"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Contribution</w:t>
      </w:r>
      <w:r>
        <w:rPr>
          <w:rFonts w:ascii="Arial" w:cs="Arial" w:eastAsia="Arial" w:hAnsi="Arial"/>
          <w:sz w:val="16"/>
          <w:szCs w:val="16"/>
          <w:color w:val="auto"/>
        </w:rPr>
        <w:t>” means the amount of cash capital contributions to the Parent Borrower or Net Proceeds from the sale or issuance of Qualified Equity Interests of the Parent Borrower (or issuances of debt securities that have been converted into or exchanged for Qualified Equity Interests) (other than Refunding Capital Stock, any Designated Preferred Stock, any Equity Interests issued pursuant to any management, shareholder,</w:t>
      </w:r>
    </w:p>
    <w:p>
      <w:pPr>
        <w:spacing w:after="0" w:line="1" w:lineRule="exact"/>
        <w:rPr>
          <w:sz w:val="20"/>
          <w:szCs w:val="20"/>
          <w:color w:val="auto"/>
        </w:rPr>
      </w:pPr>
    </w:p>
    <w:p>
      <w:pPr>
        <w:jc w:val="both"/>
        <w:ind w:left="9" w:right="20"/>
        <w:spacing w:after="0" w:line="234" w:lineRule="auto"/>
        <w:rPr>
          <w:sz w:val="20"/>
          <w:szCs w:val="20"/>
          <w:color w:val="auto"/>
        </w:rPr>
      </w:pPr>
      <w:r>
        <w:rPr>
          <w:rFonts w:ascii="Arial" w:cs="Arial" w:eastAsia="Arial" w:hAnsi="Arial"/>
          <w:sz w:val="16"/>
          <w:szCs w:val="16"/>
          <w:color w:val="auto"/>
        </w:rPr>
        <w:t>director or employee equity plan, any stock option plan or any other management or employee benefit plan or agreement of the Parent Borrower or any amount to the extent used in the ABL Cure Amount) and designated by the Administrative Borrower to the Administrative Agent as an Excluded Contribution pursuant to a certificate of a Responsible Officer of the Administrative Borrower delivered to the Administrative Agent on or promptly</w:t>
      </w:r>
    </w:p>
    <w:p>
      <w:pPr>
        <w:spacing w:after="0" w:line="2" w:lineRule="exact"/>
        <w:rPr>
          <w:sz w:val="20"/>
          <w:szCs w:val="20"/>
          <w:color w:val="auto"/>
        </w:rPr>
      </w:pPr>
    </w:p>
    <w:p>
      <w:pPr>
        <w:ind w:left="9"/>
        <w:spacing w:after="0"/>
        <w:rPr>
          <w:sz w:val="20"/>
          <w:szCs w:val="20"/>
          <w:color w:val="auto"/>
        </w:rPr>
      </w:pPr>
      <w:r>
        <w:rPr>
          <w:rFonts w:ascii="Arial" w:cs="Arial" w:eastAsia="Arial" w:hAnsi="Arial"/>
          <w:sz w:val="18"/>
          <w:szCs w:val="18"/>
          <w:color w:val="auto"/>
        </w:rPr>
        <w:t>after the date such capital contributions are made or such Equity Interests are sold or issued.</w:t>
      </w:r>
    </w:p>
    <w:p>
      <w:pPr>
        <w:spacing w:after="0" w:line="192" w:lineRule="exact"/>
        <w:rPr>
          <w:sz w:val="20"/>
          <w:szCs w:val="20"/>
          <w:color w:val="auto"/>
        </w:rPr>
      </w:pPr>
    </w:p>
    <w:p>
      <w:pPr>
        <w:jc w:val="both"/>
        <w:ind w:left="9" w:right="20"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Information</w:t>
      </w:r>
      <w:r>
        <w:rPr>
          <w:rFonts w:ascii="Arial" w:cs="Arial" w:eastAsia="Arial" w:hAnsi="Arial"/>
          <w:sz w:val="17"/>
          <w:szCs w:val="17"/>
          <w:color w:val="auto"/>
        </w:rPr>
        <w:t>” means information regarding the Borrowers or their respective affiliates not known to such Lender and that may be material to a decision by such Lender to participate in such applicable transaction (including Material Non-Public Information).</w:t>
      </w:r>
    </w:p>
    <w:p>
      <w:pPr>
        <w:spacing w:after="0" w:line="179"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 (a) any Subsidiary that is not a wholly-owned Subsidiary of a Borrower or a Guarantor, (b) any Subsidiary that is prohibited or restricted by applicable Law or by Contractual Obligations existing on the Closing Date (or, in the case of any newly acquired Subsidiary, in existence at the time of acquisition but not entered into in anticipation of such acquisition and the Collateral and Guarantee</w:t>
      </w:r>
    </w:p>
    <w:p>
      <w:pPr>
        <w:spacing w:after="0" w:line="1"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Requirement) from guaranteeing the Obligations (including any requirement for governmental (including regulatory) or third-party (other than a Loan Party) consent, approval, license or authorization (to the extent such consent, approval, license or authorization was not obtained (it being understood and agreed that the Loan Parties shall be under no obligation to obtain such consent, approval, license or authorization))), (c) any Subsidiary where the</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burden or cost (including adverse tax or regulatory consequences to the Borrowers or any of their direct or indirect parent companies or Subsidiaries) of obtaining a Guarantee by such Subsidiary would outweigh the practical benefit to be obtained by the Lenders as reasonably determined by the Administrative Borrower in good faith in consultation with the Administrative Agent, (d) any Foreign Subsidiary, (e) any Domestic Subsidiary that is</w:t>
      </w:r>
    </w:p>
    <w:p>
      <w:pPr>
        <w:ind w:left="209" w:hanging="209"/>
        <w:spacing w:after="0" w:line="217" w:lineRule="auto"/>
        <w:tabs>
          <w:tab w:leader="none" w:pos="209"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Subsidiary of a Foreign Subsidiary that is a CFC or (ii) a CFC Holdco, (f) any not-for-profit Subsidiaries, (g) any Unrestricted Subsidiaries,</w:t>
      </w:r>
    </w:p>
    <w:p>
      <w:pPr>
        <w:ind w:left="269" w:hanging="268"/>
        <w:spacing w:after="0"/>
        <w:tabs>
          <w:tab w:leader="none" w:pos="26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special purpose securitization vehicle (or similar entity, including any Securitization Subsidiary), (i) any Captive Insurance Subsidiary, (j) any</w:t>
      </w:r>
    </w:p>
    <w:p>
      <w:pPr>
        <w:spacing w:after="0" w:line="5" w:lineRule="exact"/>
        <w:rPr>
          <w:sz w:val="20"/>
          <w:szCs w:val="20"/>
          <w:color w:val="auto"/>
        </w:rPr>
      </w:pPr>
    </w:p>
    <w:p>
      <w:pPr>
        <w:jc w:val="both"/>
        <w:ind w:left="9" w:right="20"/>
        <w:spacing w:after="0" w:line="234" w:lineRule="auto"/>
        <w:rPr>
          <w:sz w:val="20"/>
          <w:szCs w:val="20"/>
          <w:color w:val="auto"/>
        </w:rPr>
      </w:pPr>
      <w:r>
        <w:rPr>
          <w:rFonts w:ascii="Arial" w:cs="Arial" w:eastAsia="Arial" w:hAnsi="Arial"/>
          <w:sz w:val="16"/>
          <w:szCs w:val="16"/>
          <w:color w:val="auto"/>
        </w:rPr>
        <w:t xml:space="preserve">Broker-Dealer Regulated Subsidiary, (k) [reserved], (l) any Subsidiary of the Borrowers that is not a Material Domestic Subsidiary and (m) any Subsidiary acquired pursuant to a Permitted Acquisition or other permitted Investment that is prohibited from providing a guarantee pursuant to the terms of any permitted Indebtedness (and such prohibition was not entered into in anticipation of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Borrower shall</w:t>
      </w:r>
    </w:p>
    <w:p>
      <w:pPr>
        <w:spacing w:after="0" w:line="2" w:lineRule="exact"/>
        <w:rPr>
          <w:sz w:val="20"/>
          <w:szCs w:val="20"/>
          <w:color w:val="auto"/>
        </w:rPr>
      </w:pPr>
    </w:p>
    <w:p>
      <w:pPr>
        <w:jc w:val="both"/>
        <w:ind w:left="9" w:right="20"/>
        <w:spacing w:after="0" w:line="226" w:lineRule="auto"/>
        <w:rPr>
          <w:sz w:val="20"/>
          <w:szCs w:val="20"/>
          <w:color w:val="auto"/>
        </w:rPr>
      </w:pPr>
      <w:r>
        <w:rPr>
          <w:rFonts w:ascii="Arial" w:cs="Arial" w:eastAsia="Arial" w:hAnsi="Arial"/>
          <w:sz w:val="18"/>
          <w:szCs w:val="18"/>
          <w:color w:val="auto"/>
        </w:rPr>
        <w:t>constitute an Excluded Subsidiary. Notwithstanding the foregoing, for so long as a Subsidiary is an Elective Guarantor, such Subsidiary shall be deemed not to be an Excluded Subsidiary.</w:t>
      </w:r>
    </w:p>
    <w:p>
      <w:pPr>
        <w:spacing w:after="0" w:line="184" w:lineRule="exact"/>
        <w:rPr>
          <w:sz w:val="20"/>
          <w:szCs w:val="20"/>
          <w:color w:val="auto"/>
        </w:rPr>
      </w:pPr>
    </w:p>
    <w:p>
      <w:pPr>
        <w:ind w:left="6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xml:space="preserve"> means, with respect to any Guarantor, (a) any Swap Obligation if, and to the extent that, all or a portion of the</w:t>
      </w:r>
    </w:p>
    <w:p>
      <w:pPr>
        <w:spacing w:after="0" w:line="25"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(i) by virtue of such Guarantor’s failure to constitute an “eligible contract participant” as</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defined in the Commodity Exchange Act and the regulations thereunder (determined after giving effect to any applicable keepwell, support, or other agreement for the benefit of such Guarantor), at the time the Guarantee of (or grant of such security interest by, as applicable) such Guarantor would otherwise have become effective with respect to such Swap Obligation but for such Guarantor’s failure to constitute an “eligible contract participant”</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as such time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w:t>
      </w:r>
    </w:p>
    <w:p>
      <w:pPr>
        <w:spacing w:after="0" w:line="2"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Swap Obligation designated as an “Excluded Swap Obligation” of such Guarantor as specified in any agreement between the relevant Loan Parties and hedge bank applicable to such Swap Obligations. If a Swap Obligation arises under a Master Agreement governing more than one Swap, such exclusion shall apply only to the portion of such Swap Obligation that is attributable to Swaps for which such Guarantee or security interest is or</w:t>
      </w:r>
    </w:p>
    <w:p>
      <w:pPr>
        <w:sectPr>
          <w:pgSz w:w="11900" w:h="16838" w:orient="portrait"/>
          <w:cols w:equalWidth="0" w:num="1">
            <w:col w:w="10909"/>
          </w:cols>
          <w:pgMar w:left="471" w:top="1440" w:right="519" w:bottom="1440" w:gutter="0" w:footer="0" w:header="0"/>
        </w:sectPr>
      </w:pPr>
    </w:p>
    <w:bookmarkStart w:id="79" w:name="page80"/>
    <w:bookmarkEnd w:id="79"/>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becomes illegal under the Commodity Exchange Act or any rule, regulation or order of the Commodity Futures Trading Commission (or the application or official interpretation of any thereof).</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Revolver Tranche</w:t>
      </w:r>
      <w:r>
        <w:rPr>
          <w:rFonts w:ascii="Arial" w:cs="Arial" w:eastAsia="Arial" w:hAnsi="Arial"/>
          <w:sz w:val="18"/>
          <w:szCs w:val="18"/>
          <w:color w:val="auto"/>
        </w:rPr>
        <w:t>” has the meaning provided in Section 2.16(b). “</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has the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provided in Section 2.16(a).</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has the meaning provided in Section 2.16(b). “</w:t>
      </w:r>
      <w:r>
        <w:rPr>
          <w:rFonts w:ascii="Arial" w:cs="Arial" w:eastAsia="Arial" w:hAnsi="Arial"/>
          <w:sz w:val="18"/>
          <w:szCs w:val="18"/>
          <w:b w:val="1"/>
          <w:bCs w:val="1"/>
          <w:color w:val="auto"/>
        </w:rPr>
        <w:t>Extended Revolving Credit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Loans</w:t>
      </w:r>
      <w:r>
        <w:rPr>
          <w:rFonts w:ascii="Arial" w:cs="Arial" w:eastAsia="Arial" w:hAnsi="Arial"/>
          <w:sz w:val="18"/>
          <w:szCs w:val="18"/>
          <w:color w:val="auto"/>
        </w:rPr>
        <w:t>” has the meaning provided in Section 2.16(b). “</w:t>
      </w:r>
      <w:r>
        <w:rPr>
          <w:rFonts w:ascii="Arial" w:cs="Arial" w:eastAsia="Arial" w:hAnsi="Arial"/>
          <w:sz w:val="18"/>
          <w:szCs w:val="18"/>
          <w:b w:val="1"/>
          <w:bCs w:val="1"/>
          <w:color w:val="auto"/>
        </w:rPr>
        <w:t>Extended Term Loans</w:t>
      </w:r>
      <w:r>
        <w:rPr>
          <w:rFonts w:ascii="Arial" w:cs="Arial" w:eastAsia="Arial" w:hAnsi="Arial"/>
          <w:sz w:val="18"/>
          <w:szCs w:val="18"/>
          <w:color w:val="auto"/>
        </w:rPr>
        <w:t>” has the meaning provided in Section 2.16(a).</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Revolving Credit Lender</w:t>
      </w:r>
      <w:r>
        <w:rPr>
          <w:rFonts w:ascii="Arial" w:cs="Arial" w:eastAsia="Arial" w:hAnsi="Arial"/>
          <w:sz w:val="18"/>
          <w:szCs w:val="18"/>
          <w:color w:val="auto"/>
        </w:rPr>
        <w:t>” has the meaning provided in Section 2.16(c). “</w:t>
      </w:r>
      <w:r>
        <w:rPr>
          <w:rFonts w:ascii="Arial" w:cs="Arial" w:eastAsia="Arial" w:hAnsi="Arial"/>
          <w:sz w:val="18"/>
          <w:szCs w:val="18"/>
          <w:b w:val="1"/>
          <w:bCs w:val="1"/>
          <w:color w:val="auto"/>
        </w:rPr>
        <w:t>Extending Term Lender</w:t>
      </w:r>
      <w:r>
        <w:rPr>
          <w:rFonts w:ascii="Arial" w:cs="Arial" w:eastAsia="Arial" w:hAnsi="Arial"/>
          <w:sz w:val="18"/>
          <w:szCs w:val="18"/>
          <w:color w:val="auto"/>
        </w:rPr>
        <w:t>” has the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provided in Section 2.16(c).</w:t>
      </w:r>
    </w:p>
    <w:p>
      <w:pPr>
        <w:spacing w:after="0" w:line="100"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means the establishment of an Extension Series by amending a Loan pursuant to Section 2.16 and the applicable Extension Amendment.</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has the meaning provided in Section 2.16(d). “</w:t>
      </w:r>
      <w:r>
        <w:rPr>
          <w:rFonts w:ascii="Arial" w:cs="Arial" w:eastAsia="Arial" w:hAnsi="Arial"/>
          <w:sz w:val="18"/>
          <w:szCs w:val="18"/>
          <w:b w:val="1"/>
          <w:bCs w:val="1"/>
          <w:color w:val="auto"/>
        </w:rPr>
        <w:t>Extension Election</w:t>
      </w:r>
      <w:r>
        <w:rPr>
          <w:rFonts w:ascii="Arial" w:cs="Arial" w:eastAsia="Arial" w:hAnsi="Arial"/>
          <w:sz w:val="18"/>
          <w:szCs w:val="18"/>
          <w:color w:val="auto"/>
        </w:rPr>
        <w:t>” has the meaning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provided in Section 2.16(c).</w:t>
      </w:r>
    </w:p>
    <w:p>
      <w:pPr>
        <w:spacing w:after="0" w:line="100"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Minimum Condition</w:t>
      </w:r>
      <w:r>
        <w:rPr>
          <w:rFonts w:ascii="Arial" w:cs="Arial" w:eastAsia="Arial" w:hAnsi="Arial"/>
          <w:sz w:val="18"/>
          <w:szCs w:val="18"/>
          <w:color w:val="auto"/>
        </w:rPr>
        <w:t xml:space="preserve"> ” means a condition to consummating any Extension that a minimum amount (to be determined and specified in the relevant Extension Request, in the Administrative Borrower’s sole discretion) of any or all applicable Class or Classes be submitted for Extension.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means any Term Loan Extension Request or a Revolver Extension Request, as the case may be.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Series</w:t>
      </w:r>
      <w:r>
        <w:rPr>
          <w:rFonts w:ascii="Arial" w:cs="Arial" w:eastAsia="Arial" w:hAnsi="Arial"/>
          <w:sz w:val="18"/>
          <w:szCs w:val="18"/>
          <w:color w:val="auto"/>
        </w:rPr>
        <w:t>” means any Term Loan Extension Series or a Revolver Extension Series, as the case</w:t>
      </w:r>
    </w:p>
    <w:p>
      <w:pPr>
        <w:spacing w:after="0"/>
        <w:rPr>
          <w:sz w:val="20"/>
          <w:szCs w:val="20"/>
          <w:color w:val="auto"/>
        </w:rPr>
      </w:pPr>
      <w:r>
        <w:rPr>
          <w:rFonts w:ascii="Arial" w:cs="Arial" w:eastAsia="Arial" w:hAnsi="Arial"/>
          <w:sz w:val="18"/>
          <w:szCs w:val="18"/>
          <w:color w:val="auto"/>
        </w:rPr>
        <w:t>may be.</w:t>
      </w:r>
    </w:p>
    <w:p>
      <w:pPr>
        <w:spacing w:after="0" w:line="27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 given Class of Term Loans (or, to the extent unfunded, Term Commitments) or Revolving Credit Commitments, as the context may require.</w:t>
      </w:r>
    </w:p>
    <w:p>
      <w:pPr>
        <w:spacing w:after="0" w:line="190"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any asset or liability, the fair market value of such asset or liability as determined by the Administrative Borrower in good faith.</w:t>
      </w:r>
    </w:p>
    <w:p>
      <w:pPr>
        <w:spacing w:after="0" w:line="19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current Sections 1471 through 1474 of the Code (or any amended or successor version thereof that is substantively comparable and not materially more onerous to comply with), any current or future regulations or official interpretations thereof and any agreement</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entered into pursuant thereto, including any intergovernmental agreements and any rules or guidance implementing such intergovernmental agreements.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means, for any day, the rate per annum equal to the weighted average of the rates on overnight federal funds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transactions with members of the Federal Reserve System on such day, as published by the Federal Reserve Bank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Day, the Federal Funds Rate for such day shall be the average rate (rounded upward, if necessary, to a whole multiple of 1/100 of 1.00%) charged to the Administrative Agent on such day on such transactions as</w:t>
      </w:r>
    </w:p>
    <w:p>
      <w:pPr>
        <w:sectPr>
          <w:pgSz w:w="11900" w:h="16838" w:orient="portrait"/>
          <w:cols w:equalWidth="0" w:num="1">
            <w:col w:w="10920"/>
          </w:cols>
          <w:pgMar w:left="480" w:top="1440" w:right="499" w:bottom="1440" w:gutter="0" w:footer="0" w:header="0"/>
        </w:sectPr>
      </w:pPr>
    </w:p>
    <w:bookmarkStart w:id="80" w:name="page81"/>
    <w:bookmarkEnd w:id="80"/>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determined by the Administrative Agent;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Federal Funds Rate is less than zero, it shall be deemed to be zero for the purposes of this Agreement.</w:t>
      </w:r>
    </w:p>
    <w:p>
      <w:pPr>
        <w:spacing w:after="0" w:line="198" w:lineRule="exact"/>
        <w:rPr>
          <w:sz w:val="20"/>
          <w:szCs w:val="20"/>
          <w:color w:val="auto"/>
        </w:rPr>
      </w:pPr>
    </w:p>
    <w:p>
      <w:pPr>
        <w:jc w:val="both"/>
        <w:ind w:right="6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Officer</w:t>
      </w:r>
      <w:r>
        <w:rPr>
          <w:rFonts w:ascii="Arial" w:cs="Arial" w:eastAsia="Arial" w:hAnsi="Arial"/>
          <w:sz w:val="18"/>
          <w:szCs w:val="18"/>
          <w:color w:val="auto"/>
        </w:rPr>
        <w:t>” means the chief financial officer, controller, treasurer, chief accounting officer or such other financial officer with equivalent duties, as appropriate, of the applicable Borrower or Borrowers.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Financing Documents</w:t>
      </w:r>
      <w:r>
        <w:rPr>
          <w:rFonts w:ascii="Arial" w:cs="Arial" w:eastAsia="Arial" w:hAnsi="Arial"/>
          <w:sz w:val="18"/>
          <w:szCs w:val="18"/>
          <w:color w:val="auto"/>
        </w:rPr>
        <w:t>” means the “First Lien Financing Documents” as defined in the ABL Intercreditor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means, either an (a) intercreditor agreement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 or (b) a</w:t>
      </w:r>
    </w:p>
    <w:p>
      <w:pPr>
        <w:spacing w:after="0" w:line="14" w:lineRule="exact"/>
        <w:rPr>
          <w:sz w:val="20"/>
          <w:szCs w:val="20"/>
          <w:color w:val="auto"/>
        </w:rPr>
      </w:pPr>
    </w:p>
    <w:p>
      <w:pPr>
        <w:jc w:val="both"/>
        <w:ind w:right="60"/>
        <w:spacing w:after="0" w:line="234" w:lineRule="auto"/>
        <w:rPr>
          <w:sz w:val="20"/>
          <w:szCs w:val="20"/>
          <w:color w:val="auto"/>
        </w:rPr>
      </w:pPr>
      <w:r>
        <w:rPr>
          <w:rFonts w:ascii="Arial" w:cs="Arial" w:eastAsia="Arial" w:hAnsi="Arial"/>
          <w:sz w:val="16"/>
          <w:szCs w:val="16"/>
          <w:color w:val="auto"/>
        </w:rPr>
        <w:t>customary intercreditor agreement in form and substance reasonably acceptable to the Administrative Agent and the Administrative Borrower, which agreement shall provide that the Liens on the Collateral securing such Indebtedness shall rank equal in priority to the Liens on the Collateral securing the Obligations under this Agreement (but without regard to the control of remedies), in each case with such modifications thereto as the</w:t>
      </w:r>
    </w:p>
    <w:p>
      <w:pPr>
        <w:spacing w:after="0" w:line="2"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Administrative Agent and the Administrative Borrower may agree. It is understood and agreed that to the extent this Agreement requires any Indebtedness to be subject to a First Lien Intercreditor Agreement at any time such agreement is not yet in effect, then the Loan Parties, the Administrative Agent and the Senior Representative for such Indebtedness shall execute and deliver a First Lien Intercreditor Agreement.</w:t>
      </w:r>
    </w:p>
    <w:p>
      <w:pPr>
        <w:spacing w:after="0" w:line="199" w:lineRule="exact"/>
        <w:rPr>
          <w:sz w:val="20"/>
          <w:szCs w:val="20"/>
          <w:color w:val="auto"/>
        </w:rPr>
      </w:pPr>
    </w:p>
    <w:p>
      <w:pPr>
        <w:jc w:val="both"/>
        <w:ind w:right="6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Net Leverage Ratio</w:t>
      </w:r>
      <w:r>
        <w:rPr>
          <w:rFonts w:ascii="Arial" w:cs="Arial" w:eastAsia="Arial" w:hAnsi="Arial"/>
          <w:sz w:val="18"/>
          <w:szCs w:val="18"/>
          <w:color w:val="auto"/>
        </w:rPr>
        <w:t>” means, with respect to any Test Period, the ratio of (a) Consolidated First Lien Net Debt as of the last day of such Test Period to (b) Consolidated EBITDA of the Parent Borrower for such Test Period.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means the “First Lien Obligations” as defined in the ABL Intercreditor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 Coverage Ratio</w:t>
      </w:r>
      <w:r>
        <w:rPr>
          <w:rFonts w:ascii="Arial" w:cs="Arial" w:eastAsia="Arial" w:hAnsi="Arial"/>
          <w:sz w:val="16"/>
          <w:szCs w:val="16"/>
          <w:color w:val="auto"/>
        </w:rPr>
        <w:t>” means, with respect to any Test Period, the ratio of (1) Consolidated EBITDA for such Test Period to (2)</w:t>
      </w:r>
    </w:p>
    <w:p>
      <w:pPr>
        <w:spacing w:after="0" w:line="25"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the Fixed Charges for such Test Period, in each case calculated on a consolidated basis with respect to the Parent Borrower and the Restricted Subsidiaries.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Charges</w:t>
      </w:r>
      <w:r>
        <w:rPr>
          <w:rFonts w:ascii="Arial" w:cs="Arial" w:eastAsia="Arial" w:hAnsi="Arial"/>
          <w:sz w:val="16"/>
          <w:szCs w:val="16"/>
          <w:color w:val="auto"/>
        </w:rPr>
        <w:t>” means, with respect to any Person for any period, the sum of: (a) Consolidated Cash Interest Expense of such Person for</w:t>
      </w:r>
    </w:p>
    <w:p>
      <w:pPr>
        <w:spacing w:after="0" w:line="25" w:lineRule="exact"/>
        <w:rPr>
          <w:sz w:val="20"/>
          <w:szCs w:val="20"/>
          <w:color w:val="auto"/>
        </w:rPr>
      </w:pPr>
    </w:p>
    <w:p>
      <w:pPr>
        <w:jc w:val="both"/>
        <w:ind w:right="60"/>
        <w:spacing w:after="0" w:line="234" w:lineRule="auto"/>
        <w:rPr>
          <w:sz w:val="20"/>
          <w:szCs w:val="20"/>
          <w:color w:val="auto"/>
        </w:rPr>
      </w:pPr>
      <w:r>
        <w:rPr>
          <w:rFonts w:ascii="Arial" w:cs="Arial" w:eastAsia="Arial" w:hAnsi="Arial"/>
          <w:sz w:val="16"/>
          <w:szCs w:val="16"/>
          <w:color w:val="auto"/>
        </w:rPr>
        <w:t>such period; (b) all cash dividends or other cash distributions paid (excluding items eliminated in consolidation) on any series of Preferred Stock during such period; and (c) all cash dividends or other cash distributions paid (excluding items eliminated in consolidation) on any series of Disqualified Equity Interests during such period. For the avoidance of doubt, Fixed Charges shall be calculated, including pro forma adjustments,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Section 1.08.</w:t>
      </w: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Casualty Event</w:t>
      </w:r>
      <w:r>
        <w:rPr>
          <w:rFonts w:ascii="Arial" w:cs="Arial" w:eastAsia="Arial" w:hAnsi="Arial"/>
          <w:sz w:val="18"/>
          <w:szCs w:val="18"/>
          <w:color w:val="auto"/>
        </w:rPr>
        <w:t>” has the meaning specified in Section 2.05(b)(viii). “</w:t>
      </w:r>
      <w:r>
        <w:rPr>
          <w:rFonts w:ascii="Arial" w:cs="Arial" w:eastAsia="Arial" w:hAnsi="Arial"/>
          <w:sz w:val="18"/>
          <w:szCs w:val="18"/>
          <w:b w:val="1"/>
          <w:bCs w:val="1"/>
          <w:color w:val="auto"/>
        </w:rPr>
        <w:t>Foreign Disposition</w:t>
      </w:r>
      <w:r>
        <w:rPr>
          <w:rFonts w:ascii="Arial" w:cs="Arial" w:eastAsia="Arial" w:hAnsi="Arial"/>
          <w:sz w:val="18"/>
          <w:szCs w:val="18"/>
          <w:color w:val="auto"/>
        </w:rPr>
        <w:t>” has the meaning</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2.05(b)(viii).</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any direct or indirect Restricted Subsidiary of the Parent Borrower that is not a Domestic Subsidiary.</w:t>
      </w:r>
    </w:p>
    <w:p>
      <w:pPr>
        <w:spacing w:after="0" w:line="237"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w:t>
      </w:r>
      <w:r>
        <w:rPr>
          <w:rFonts w:ascii="Arial" w:cs="Arial" w:eastAsia="Arial" w:hAnsi="Arial"/>
          <w:sz w:val="16"/>
          <w:szCs w:val="16"/>
          <w:color w:val="auto"/>
        </w:rPr>
        <w:t>” means any Person (other than a natural person (or a holding company, investment vehicle or trust for, or owned and operated for the primary benefit of a natural Person)) that is engaged in making, purchasing, holding or otherwise investing in commercial loans and similar extensions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credit in the ordinary course of its activities.</w:t>
      </w:r>
    </w:p>
    <w:p>
      <w:pPr>
        <w:spacing w:after="0" w:line="192"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Funded Debt</w:t>
      </w:r>
      <w:r>
        <w:rPr>
          <w:rFonts w:ascii="Arial" w:cs="Arial" w:eastAsia="Arial" w:hAnsi="Arial"/>
          <w:sz w:val="16"/>
          <w:szCs w:val="16"/>
          <w:color w:val="auto"/>
        </w:rPr>
        <w:t>” means all Indebtedness of the Parent Borrower and the Restricted Subsidiaries for borrowed money that matures more than one year from the date of its creation or matures within one year from such date that is renewable or extendable, at the option of such Person, to a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more than one year from such date or</w:t>
      </w:r>
    </w:p>
    <w:p>
      <w:pPr>
        <w:sectPr>
          <w:pgSz w:w="11900" w:h="16838" w:orient="portrait"/>
          <w:cols w:equalWidth="0" w:num="1">
            <w:col w:w="10940"/>
          </w:cols>
          <w:pgMar w:left="480" w:top="1440" w:right="479" w:bottom="1440" w:gutter="0" w:footer="0" w:header="0"/>
        </w:sectPr>
      </w:pPr>
    </w:p>
    <w:bookmarkStart w:id="81" w:name="page82"/>
    <w:bookmarkEnd w:id="81"/>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arises under a revolving credit or similar agreement that obligates the lender or lenders to extend credit during a period of more than one year from such date, including Indebtedness in respect of the Loans.</w:t>
      </w:r>
    </w:p>
    <w:p>
      <w:pPr>
        <w:spacing w:after="0" w:line="198"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Administrative Borrower notifies the Administrative Agent that the Administrative Borrower requests an amendment to any provision hereof</w:t>
      </w:r>
    </w:p>
    <w:p>
      <w:pPr>
        <w:spacing w:after="0" w:line="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to eliminate the effect of any change occurring after the Closing Date in GAAP or in the application thereof (including through conforming changes made consistent with IFRS) on the operation of such provision (or if the Administrative Agent notifies the Administrative Borrower that the Required Lenders request an amendment to any provision hereof for such purpose), regardless of whether any such notice is given before or after such change in</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GAAP or in the application thereof (including through conforming changes made consistent with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99"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European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Central Bank).</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has the meaning specified in Section 10.07(h).</w:t>
      </w:r>
    </w:p>
    <w:p>
      <w:pPr>
        <w:spacing w:after="0" w:line="22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as to any Person, without duplication, (a) any obligation, contingent or otherwise, of such Person guaranteeing or having the economic effect of guaranteeing any Indebtedness (the “</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 or indirectly, and including any</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 xml:space="preserve">Indebtedness is assumed by such Person (or any right, contingent or otherwise, of any holder of such Indebtedness to obtain any such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Permitted Acquisition or disposition</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good faith. The term “Guarantee” as a verb has a corresponding meaning.</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Joinder Agreement</w:t>
      </w:r>
      <w:r>
        <w:rPr>
          <w:rFonts w:ascii="Arial" w:cs="Arial" w:eastAsia="Arial" w:hAnsi="Arial"/>
          <w:sz w:val="18"/>
          <w:szCs w:val="18"/>
          <w:color w:val="auto"/>
        </w:rPr>
        <w:t>” means a joinder agreement substantially in the form of the Guarantor Joinder Agreement attached as Exhibit H-1 hereto or in such other form agreed by the Administrative Agent and the Administrative Borrower.</w:t>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means (i) in the case of the Secured Obligations of the Parent Borrower, each Subsidiary Borrower and each Restricted Subsidiary of the Parent Borrower that is a Material Domestic Subsidiary (other than a Subsidiary Borrower or an Excluded Subsidiary unless such</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 xml:space="preserve">Excluded Subsidiary is then an Elective Guarantor) (including those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any Material Domestic Subsidiary that shall have become a Guarantor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(ii) in the case of the Secured Obligations of any other Loan Party, the Parent Borrower, each Subsidiary Borrower and each Restricted Subsidiary of the Parent Borrower that is a Material</w:t>
      </w:r>
    </w:p>
    <w:p>
      <w:pPr>
        <w:sectPr>
          <w:pgSz w:w="11900" w:h="16838" w:orient="portrait"/>
          <w:cols w:equalWidth="0" w:num="1">
            <w:col w:w="10940"/>
          </w:cols>
          <w:pgMar w:left="480" w:top="1440" w:right="479" w:bottom="1440" w:gutter="0" w:footer="0" w:header="0"/>
        </w:sectPr>
      </w:pPr>
    </w:p>
    <w:bookmarkStart w:id="82" w:name="page83"/>
    <w:bookmarkEnd w:id="82"/>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 xml:space="preserve">Domestic Subsidiary (other than a Subsidiary Borrower or an Excluded Subsidiary unless such Excluded Subsidiary is then an Elective Guarantor) (including those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any Material Domestic Subsidiary that shall have become a Guarantor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 The Parent Borrower in its sole discretion may designate any wholly-owned Restricted Subsidiary that is not required to be a Guarantor (such a Restricted</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Subsidiary, an “</w:t>
      </w:r>
      <w:r>
        <w:rPr>
          <w:rFonts w:ascii="Arial" w:cs="Arial" w:eastAsia="Arial" w:hAnsi="Arial"/>
          <w:sz w:val="16"/>
          <w:szCs w:val="16"/>
          <w:b w:val="1"/>
          <w:bCs w:val="1"/>
          <w:color w:val="auto"/>
        </w:rPr>
        <w:t>Elective Guarantor</w:t>
      </w:r>
      <w:r>
        <w:rPr>
          <w:rFonts w:ascii="Arial" w:cs="Arial" w:eastAsia="Arial" w:hAnsi="Arial"/>
          <w:sz w:val="16"/>
          <w:szCs w:val="16"/>
          <w:color w:val="auto"/>
        </w:rPr>
        <w:t xml:space="preserve">”) to Guarantee the Secured Obligations by causing such Restricted Subsidiary to execute this Agreement on the Closing Date or a Guarantor Joinder Agreement, and any such Restricted Subsidiary shall be a Guarantor and Loan Party for all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Administrative Agent may prohibit a Foreign Subsidiary from becoming an Elective Guarantor if it determines, in its reasonable credit</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judgment but after consultation with the Administrative Borrower, that such Foreign Subsidiary would not provide customary credit support for the Secured Obligations, which determination may be based upon (A) the amount and enforceability of the Guaranty that would be provided by the proposed Elective Guarantor, (B) the enforceability of any security interest that may be granted with respect to any Collateral located in the relevant</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jurisdiction and/or (C) such proposed Elective Guarantor is organized in a country that is not a member of the Organization for Economic Cooperation and Development or that is the target of any U.S. sanctions program administered by OFAC.</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collectively, the guaranty of the Secured Obligations by the Guarantors pursuant to this Agreement.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materials, pollutants, contaminants, chemicals, compounds, constituents, substances or wastes, in any</w:t>
      </w:r>
    </w:p>
    <w:p>
      <w:pPr>
        <w:spacing w:after="0" w:line="2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form, including petroleum or petroleum distillates, asbestos or asbestos-containing materials, polychlorinated biphenyls, radon gas, or toxic mold that are regulated pursuant to, or which could give rise to liability under, applicable Environmental Law based on their dangerous or deleterious properties.</w:t>
      </w:r>
    </w:p>
    <w:p>
      <w:pPr>
        <w:spacing w:after="0" w:line="177"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Bank</w:t>
      </w:r>
      <w:r>
        <w:rPr>
          <w:rFonts w:ascii="Arial" w:cs="Arial" w:eastAsia="Arial" w:hAnsi="Arial"/>
          <w:sz w:val="16"/>
          <w:szCs w:val="16"/>
          <w:color w:val="auto"/>
        </w:rPr>
        <w:t>” means (i) any Person that is the Administrative Agent, Arranger or a Lender or an Affiliate of the Administrative Agent, Arranger or a Lender at the time it enters into a Secured Hedge Agreement in its capacity as a party thereto or (ii) any other Person that, in each case, is designated a “Hedge Bank” with respect to such Secured Hedge Agreement in a writing from the Administrative Borrower to the Administrative</w:t>
      </w:r>
    </w:p>
    <w:p>
      <w:pPr>
        <w:spacing w:after="0" w:line="1"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Agent. If such Person is not already party hereto as the Administrative Agent or a Lender, such Person shall be required to deliver to the Administrative Agent a letter agreement reasonably satisfactory to it (i) appointing the Administrative Agent as its agent under the applicable Loan Documents and (ii) agreeing to be bound by Sections 10.05, 10.08, 10.15,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10.16 and 10.21 and Article IX as if it were a Lender in order to qualify as a “Hedge Bank”. “</w:t>
      </w:r>
      <w:r>
        <w:rPr>
          <w:rFonts w:ascii="Arial" w:cs="Arial" w:eastAsia="Arial" w:hAnsi="Arial"/>
          <w:sz w:val="18"/>
          <w:szCs w:val="18"/>
          <w:b w:val="1"/>
          <w:bCs w:val="1"/>
          <w:color w:val="auto"/>
        </w:rPr>
        <w:t>Identified Participating Lenders</w:t>
      </w:r>
      <w:r>
        <w:rPr>
          <w:rFonts w:ascii="Arial" w:cs="Arial" w:eastAsia="Arial" w:hAnsi="Arial"/>
          <w:sz w:val="18"/>
          <w:szCs w:val="18"/>
          <w:color w:val="auto"/>
        </w:rPr>
        <w:t>” has the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2.05(a)(v)(C)(3). “</w:t>
      </w:r>
      <w:r>
        <w:rPr>
          <w:rFonts w:ascii="Arial" w:cs="Arial" w:eastAsia="Arial" w:hAnsi="Arial"/>
          <w:sz w:val="18"/>
          <w:szCs w:val="18"/>
          <w:b w:val="1"/>
          <w:bCs w:val="1"/>
          <w:color w:val="auto"/>
        </w:rPr>
        <w:t>Identified Qualifying Lenders</w:t>
      </w:r>
      <w:r>
        <w:rPr>
          <w:rFonts w:ascii="Arial" w:cs="Arial" w:eastAsia="Arial" w:hAnsi="Arial"/>
          <w:sz w:val="18"/>
          <w:szCs w:val="18"/>
          <w:color w:val="auto"/>
        </w:rPr>
        <w:t>” has the meaning specified in Section 2.05(a)(v)</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(D)(3).</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as promulgated by the International Accounting Standards Board.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 Members</w:t>
      </w:r>
      <w:r>
        <w:rPr>
          <w:rFonts w:ascii="Arial" w:cs="Arial" w:eastAsia="Arial" w:hAnsi="Arial"/>
          <w:sz w:val="18"/>
          <w:szCs w:val="18"/>
          <w:color w:val="auto"/>
        </w:rPr>
        <w:t>” means with respect to any individual, such individual’s child, stepchild, grandchild or more remote</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which any such individual is the donor.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Impacted Loans</w:t>
      </w:r>
      <w:r>
        <w:rPr>
          <w:rFonts w:ascii="Arial" w:cs="Arial" w:eastAsia="Arial" w:hAnsi="Arial"/>
          <w:sz w:val="18"/>
          <w:szCs w:val="18"/>
          <w:color w:val="FF0000"/>
          <w:strike w:val="1"/>
        </w:rPr>
        <w:t>” has the meaning specified in Section 3.03(a).</w:t>
      </w: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Amendment</w:t>
      </w:r>
      <w:r>
        <w:rPr>
          <w:rFonts w:ascii="Arial" w:cs="Arial" w:eastAsia="Arial" w:hAnsi="Arial"/>
          <w:sz w:val="18"/>
          <w:szCs w:val="18"/>
          <w:color w:val="auto"/>
        </w:rPr>
        <w:t>” has the meaning specified in Section 2.14(f). “</w:t>
      </w:r>
      <w:r>
        <w:rPr>
          <w:rFonts w:ascii="Arial" w:cs="Arial" w:eastAsia="Arial" w:hAnsi="Arial"/>
          <w:sz w:val="18"/>
          <w:szCs w:val="18"/>
          <w:b w:val="1"/>
          <w:bCs w:val="1"/>
          <w:color w:val="auto"/>
        </w:rPr>
        <w:t>Incremental Commitments</w:t>
      </w:r>
      <w:r>
        <w:rPr>
          <w:rFonts w:ascii="Arial" w:cs="Arial" w:eastAsia="Arial" w:hAnsi="Arial"/>
          <w:sz w:val="18"/>
          <w:szCs w:val="18"/>
          <w:color w:val="auto"/>
        </w:rPr>
        <w:t>” has the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2.14(a). “</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has the meaning specified in Section 2.14(g).</w:t>
      </w:r>
    </w:p>
    <w:p>
      <w:pPr>
        <w:sectPr>
          <w:pgSz w:w="11900" w:h="16838" w:orient="portrait"/>
          <w:cols w:equalWidth="0" w:num="1">
            <w:col w:w="10920"/>
          </w:cols>
          <w:pgMar w:left="480" w:top="1440" w:right="499" w:bottom="1440" w:gutter="0" w:footer="0" w:header="0"/>
        </w:sectPr>
      </w:pPr>
    </w:p>
    <w:bookmarkStart w:id="83" w:name="page84"/>
    <w:bookmarkEnd w:id="83"/>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Closing Date</w:t>
      </w:r>
      <w:r>
        <w:rPr>
          <w:rFonts w:ascii="Arial" w:cs="Arial" w:eastAsia="Arial" w:hAnsi="Arial"/>
          <w:sz w:val="18"/>
          <w:szCs w:val="18"/>
          <w:color w:val="auto"/>
        </w:rPr>
        <w:t>” has the meaning specified in Section 2.14(d). “</w:t>
      </w:r>
      <w:r>
        <w:rPr>
          <w:rFonts w:ascii="Arial" w:cs="Arial" w:eastAsia="Arial" w:hAnsi="Arial"/>
          <w:sz w:val="18"/>
          <w:szCs w:val="18"/>
          <w:b w:val="1"/>
          <w:bCs w:val="1"/>
          <w:color w:val="auto"/>
        </w:rPr>
        <w:t>Incremental Lenders</w:t>
      </w:r>
      <w:r>
        <w:rPr>
          <w:rFonts w:ascii="Arial" w:cs="Arial" w:eastAsia="Arial" w:hAnsi="Arial"/>
          <w:sz w:val="18"/>
          <w:szCs w:val="18"/>
          <w:color w:val="auto"/>
        </w:rPr>
        <w:t>” has the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meaning specified in Section 2.14(c). “</w:t>
      </w:r>
      <w:r>
        <w:rPr>
          <w:rFonts w:ascii="Arial" w:cs="Arial" w:eastAsia="Arial" w:hAnsi="Arial"/>
          <w:sz w:val="18"/>
          <w:szCs w:val="18"/>
          <w:b w:val="1"/>
          <w:bCs w:val="1"/>
          <w:color w:val="auto"/>
        </w:rPr>
        <w:t>Incremental Loan</w:t>
      </w:r>
      <w:r>
        <w:rPr>
          <w:rFonts w:ascii="Arial" w:cs="Arial" w:eastAsia="Arial" w:hAnsi="Arial"/>
          <w:sz w:val="18"/>
          <w:szCs w:val="18"/>
          <w:color w:val="auto"/>
        </w:rPr>
        <w:t>” has the meaning specified in Section 2.14(b).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 Request</w:t>
      </w:r>
      <w:r>
        <w:rPr>
          <w:rFonts w:ascii="Arial" w:cs="Arial" w:eastAsia="Arial" w:hAnsi="Arial"/>
          <w:sz w:val="18"/>
          <w:szCs w:val="18"/>
          <w:color w:val="auto"/>
        </w:rPr>
        <w:t>” has the meaning specified in Section 2.14(a).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has the meaning specified in Section 2.14(a). “</w:t>
      </w:r>
      <w:r>
        <w:rPr>
          <w:rFonts w:ascii="Arial" w:cs="Arial" w:eastAsia="Arial" w:hAnsi="Arial"/>
          <w:sz w:val="18"/>
          <w:szCs w:val="18"/>
          <w:b w:val="1"/>
          <w:bCs w:val="1"/>
          <w:color w:val="auto"/>
        </w:rPr>
        <w:t>Incremental Revolving Credit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Lender</w:t>
      </w:r>
      <w:r>
        <w:rPr>
          <w:rFonts w:ascii="Arial" w:cs="Arial" w:eastAsia="Arial" w:hAnsi="Arial"/>
          <w:sz w:val="17"/>
          <w:szCs w:val="17"/>
          <w:color w:val="auto"/>
        </w:rPr>
        <w:t>” has the meaning specified in Section 2.14(c). “</w:t>
      </w:r>
      <w:r>
        <w:rPr>
          <w:rFonts w:ascii="Arial" w:cs="Arial" w:eastAsia="Arial" w:hAnsi="Arial"/>
          <w:sz w:val="17"/>
          <w:szCs w:val="17"/>
          <w:b w:val="1"/>
          <w:bCs w:val="1"/>
          <w:color w:val="auto"/>
        </w:rPr>
        <w:t>Incremental Revolving Loan</w:t>
      </w:r>
      <w:r>
        <w:rPr>
          <w:rFonts w:ascii="Arial" w:cs="Arial" w:eastAsia="Arial" w:hAnsi="Arial"/>
          <w:sz w:val="17"/>
          <w:szCs w:val="17"/>
          <w:color w:val="auto"/>
        </w:rPr>
        <w:t>” has the meaning specified in Section 2.14(b).</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Commitments</w:t>
      </w:r>
      <w:r>
        <w:rPr>
          <w:rFonts w:ascii="Arial" w:cs="Arial" w:eastAsia="Arial" w:hAnsi="Arial"/>
          <w:sz w:val="18"/>
          <w:szCs w:val="18"/>
          <w:color w:val="auto"/>
        </w:rPr>
        <w:t>” has the meaning specified in Section 2.14(a). “</w:t>
      </w:r>
      <w:r>
        <w:rPr>
          <w:rFonts w:ascii="Arial" w:cs="Arial" w:eastAsia="Arial" w:hAnsi="Arial"/>
          <w:sz w:val="18"/>
          <w:szCs w:val="18"/>
          <w:b w:val="1"/>
          <w:bCs w:val="1"/>
          <w:color w:val="auto"/>
        </w:rPr>
        <w:t>Incremental Term Lender</w:t>
      </w:r>
      <w:r>
        <w:rPr>
          <w:rFonts w:ascii="Arial" w:cs="Arial" w:eastAsia="Arial" w:hAnsi="Arial"/>
          <w:sz w:val="18"/>
          <w:szCs w:val="18"/>
          <w:color w:val="auto"/>
        </w:rPr>
        <w:t>” has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meaning specified in Section 2.14(c). “</w:t>
      </w:r>
      <w:r>
        <w:rPr>
          <w:rFonts w:ascii="Arial" w:cs="Arial" w:eastAsia="Arial" w:hAnsi="Arial"/>
          <w:sz w:val="18"/>
          <w:szCs w:val="18"/>
          <w:b w:val="1"/>
          <w:bCs w:val="1"/>
          <w:color w:val="auto"/>
        </w:rPr>
        <w:t>Incremental Term Loan</w:t>
      </w:r>
      <w:r>
        <w:rPr>
          <w:rFonts w:ascii="Arial" w:cs="Arial" w:eastAsia="Arial" w:hAnsi="Arial"/>
          <w:sz w:val="18"/>
          <w:szCs w:val="18"/>
          <w:color w:val="auto"/>
        </w:rPr>
        <w:t>” has the meaning specified in Section 2.14(b).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as to any Person at a particular time, without duplication, all of the following:</w:t>
      </w:r>
    </w:p>
    <w:p>
      <w:pPr>
        <w:spacing w:after="0" w:line="243" w:lineRule="exact"/>
        <w:rPr>
          <w:sz w:val="20"/>
          <w:szCs w:val="20"/>
          <w:color w:val="auto"/>
        </w:rPr>
      </w:pPr>
    </w:p>
    <w:p>
      <w:pPr>
        <w:ind w:right="20" w:firstLine="648"/>
        <w:spacing w:after="0" w:line="235" w:lineRule="auto"/>
        <w:tabs>
          <w:tab w:leader="none" w:pos="11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202" w:lineRule="exact"/>
        <w:rPr>
          <w:rFonts w:ascii="Arial" w:cs="Arial" w:eastAsia="Arial" w:hAnsi="Arial"/>
          <w:sz w:val="18"/>
          <w:szCs w:val="18"/>
          <w:color w:val="auto"/>
        </w:rPr>
      </w:pPr>
    </w:p>
    <w:p>
      <w:pPr>
        <w:jc w:val="both"/>
        <w:ind w:firstLine="648"/>
        <w:spacing w:after="0" w:line="229" w:lineRule="auto"/>
        <w:tabs>
          <w:tab w:leader="none" w:pos="11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90" w:lineRule="exact"/>
        <w:rPr>
          <w:rFonts w:ascii="Arial" w:cs="Arial" w:eastAsia="Arial" w:hAnsi="Arial"/>
          <w:sz w:val="18"/>
          <w:szCs w:val="18"/>
          <w:color w:val="auto"/>
        </w:rPr>
      </w:pPr>
    </w:p>
    <w:p>
      <w:pPr>
        <w:ind w:left="1300" w:hanging="652"/>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09" w:lineRule="exact"/>
        <w:rPr>
          <w:rFonts w:ascii="Arial" w:cs="Arial" w:eastAsia="Arial" w:hAnsi="Arial"/>
          <w:sz w:val="18"/>
          <w:szCs w:val="18"/>
          <w:color w:val="auto"/>
        </w:rPr>
      </w:pPr>
    </w:p>
    <w:p>
      <w:pPr>
        <w:ind w:left="1300" w:hanging="652"/>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(other than</w:t>
      </w:r>
    </w:p>
    <w:p>
      <w:pPr>
        <w:ind w:left="220" w:hanging="220"/>
        <w:spacing w:after="0"/>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trade accounts and accrued expenses payable in the ordinary course of business, (ii) any earn-out obligations, including deferred or other</w:t>
      </w:r>
    </w:p>
    <w:p>
      <w:pPr>
        <w:spacing w:after="0" w:line="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contingent purchase price obligations (including deferred performance incentives, whether or not a service component is required from the transferor or its related party), until such obligation becomes a liability on the balance sheet of such Person in accordance with GAAP and is not paid after becoming due and payable and (iii) accruals for payroll and other liabilities accrued in the ordinary course of business);</w:t>
      </w:r>
    </w:p>
    <w:p>
      <w:pPr>
        <w:spacing w:after="0" w:line="197" w:lineRule="exact"/>
        <w:rPr>
          <w:sz w:val="20"/>
          <w:szCs w:val="20"/>
          <w:color w:val="auto"/>
        </w:rPr>
      </w:pPr>
    </w:p>
    <w:p>
      <w:pPr>
        <w:ind w:left="1300" w:hanging="652"/>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Attributable Indebtedness;</w:t>
      </w:r>
    </w:p>
    <w:p>
      <w:pPr>
        <w:spacing w:after="0" w:line="225" w:lineRule="exact"/>
        <w:rPr>
          <w:rFonts w:ascii="Arial" w:cs="Arial" w:eastAsia="Arial" w:hAnsi="Arial"/>
          <w:sz w:val="18"/>
          <w:szCs w:val="18"/>
          <w:color w:val="auto"/>
        </w:rPr>
      </w:pPr>
    </w:p>
    <w:p>
      <w:pPr>
        <w:ind w:right="20" w:firstLine="648"/>
        <w:spacing w:after="0" w:line="235" w:lineRule="auto"/>
        <w:tabs>
          <w:tab w:leader="none" w:pos="11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 if and to the extent that the foregoing would constitute indebtedness or a liability in accordance with GAAP;</w:t>
      </w:r>
    </w:p>
    <w:p>
      <w:pPr>
        <w:spacing w:after="0" w:line="202" w:lineRule="exact"/>
        <w:rPr>
          <w:rFonts w:ascii="Arial" w:cs="Arial" w:eastAsia="Arial" w:hAnsi="Arial"/>
          <w:sz w:val="18"/>
          <w:szCs w:val="18"/>
          <w:color w:val="auto"/>
        </w:rPr>
      </w:pPr>
    </w:p>
    <w:p>
      <w:pPr>
        <w:jc w:val="both"/>
        <w:ind w:right="20" w:firstLine="647"/>
        <w:spacing w:after="0" w:line="223"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indebtedness (excluding prepaid interest thereon) of the types described in clauses (a) through (f) above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 and</w:t>
      </w:r>
    </w:p>
    <w:p>
      <w:pPr>
        <w:sectPr>
          <w:pgSz w:w="11900" w:h="16838" w:orient="portrait"/>
          <w:cols w:equalWidth="0" w:num="1">
            <w:col w:w="10260"/>
          </w:cols>
          <w:pgMar w:left="1120" w:top="1440" w:right="519" w:bottom="1440" w:gutter="0" w:footer="0" w:header="0"/>
        </w:sectPr>
      </w:pPr>
    </w:p>
    <w:bookmarkStart w:id="84" w:name="page85"/>
    <w:bookmarkEnd w:id="84"/>
    <w:p>
      <w:pPr>
        <w:spacing w:after="0" w:line="211" w:lineRule="exact"/>
        <w:rPr>
          <w:sz w:val="20"/>
          <w:szCs w:val="20"/>
          <w:color w:val="auto"/>
        </w:rPr>
      </w:pPr>
    </w:p>
    <w:p>
      <w:pPr>
        <w:ind w:left="648" w:right="180" w:firstLine="648"/>
        <w:spacing w:after="0" w:line="235"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not otherwise included above, all Guarantees of such Person in respect of Indebtedness described in clauses (a) through (g) in respect of any of the foregoing.</w:t>
      </w:r>
    </w:p>
    <w:p>
      <w:pPr>
        <w:spacing w:after="0" w:line="202" w:lineRule="exact"/>
        <w:rPr>
          <w:sz w:val="20"/>
          <w:szCs w:val="20"/>
          <w:color w:val="auto"/>
        </w:rPr>
      </w:pPr>
    </w:p>
    <w:p>
      <w:pPr>
        <w:jc w:val="both"/>
        <w:ind w:left="8" w:firstLine="648"/>
        <w:spacing w:after="0" w:line="248" w:lineRule="auto"/>
        <w:rPr>
          <w:sz w:val="20"/>
          <w:szCs w:val="20"/>
          <w:color w:val="auto"/>
        </w:rPr>
      </w:pPr>
      <w:r>
        <w:rPr>
          <w:rFonts w:ascii="Arial" w:cs="Arial" w:eastAsia="Arial" w:hAnsi="Arial"/>
          <w:sz w:val="16"/>
          <w:szCs w:val="16"/>
          <w:color w:val="auto"/>
        </w:rPr>
        <w:t>For all purposes hereof, the Indebtedness of any Person shall (A) include the Indebtedness of any partnership or joint venture (other than a joint venture that is itself a corporation or limited liability company) in which such Person is a general partner, except to the extent such Person’s</w:t>
      </w:r>
    </w:p>
    <w:p>
      <w:pPr>
        <w:jc w:val="both"/>
        <w:ind w:left="8"/>
        <w:spacing w:after="0" w:line="234" w:lineRule="auto"/>
        <w:rPr>
          <w:sz w:val="20"/>
          <w:szCs w:val="20"/>
          <w:color w:val="auto"/>
        </w:rPr>
      </w:pPr>
      <w:r>
        <w:rPr>
          <w:rFonts w:ascii="Arial" w:cs="Arial" w:eastAsia="Arial" w:hAnsi="Arial"/>
          <w:sz w:val="16"/>
          <w:szCs w:val="16"/>
          <w:color w:val="auto"/>
        </w:rPr>
        <w:t>liability for such Indebtedness is otherwise limited and only to the extent such Indebtedness would be included in the calculation of Consolidated Total Net Debt, (B) in the case of the Parent Borrower and the Restricted Subsidiaries, exclude all intercompany Indebtedness in the ordinary course of business having a term not exceeding 364 days (inclusive of any roll-over or extensions of terms) and (C) exclude (i) deferred compensation payable to</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officers, directors or employees of such Person or any of its Subsidiaries, (ii) deferred rent, deferred revenue and deferred taxes, in each case, in the ordinary course of business, (iii) payments and distributions to dissenting stockholders of such Person pursuant to applicable law, (iv) [reserved], (v) any obligations attributable to the exercise of appraisal rights and the settlement of any claims or actions (whether actual, contingent or potential) with</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respect thereto, (vi) trade liabilities and accounts and accrued expenses payable in the ordinary course of business, (vii) any purchase price adjustment or earn-out obligation until such obligation is not paid after becoming due and payable and (viii) accruals for payroll, obligations under employment arrangements and other liabilities accrued in the ordinary course of business. The amount of any net obligation under any Swap Contract on any date</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shall be deemed to be the Swap Termination Value thereof as of such date. The amount of Indebtedness of any Person for purposes of clause (g) that is expressly made non-recourse or limited recourse (limited solely to the assets securing such Indebtedness) to such Person shall be deemed to be equal to the lesser of (i) the aggregate unpaid amount of such Indebtedness and (ii) the fair market value of the property encumbered thereby as determined by</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such Person in good faith.</w:t>
      </w:r>
    </w:p>
    <w:p>
      <w:pPr>
        <w:spacing w:after="0" w:line="192" w:lineRule="exact"/>
        <w:rPr>
          <w:sz w:val="20"/>
          <w:szCs w:val="20"/>
          <w:color w:val="auto"/>
        </w:rPr>
      </w:pPr>
    </w:p>
    <w:p>
      <w:pPr>
        <w:ind w:left="648"/>
        <w:spacing w:after="0"/>
        <w:rPr>
          <w:sz w:val="20"/>
          <w:szCs w:val="20"/>
          <w:color w:val="auto"/>
        </w:rPr>
      </w:pPr>
      <w:r>
        <w:rPr>
          <w:rFonts w:ascii="Arial" w:cs="Arial" w:eastAsia="Arial" w:hAnsi="Arial"/>
          <w:sz w:val="16"/>
          <w:szCs w:val="16"/>
          <w:b w:val="1"/>
          <w:bCs w:val="1"/>
          <w:color w:val="auto"/>
        </w:rPr>
        <w:t xml:space="preserve">“Indemnified Taxes” </w:t>
      </w:r>
      <w:r>
        <w:rPr>
          <w:rFonts w:ascii="Arial" w:cs="Arial" w:eastAsia="Arial" w:hAnsi="Arial"/>
          <w:sz w:val="16"/>
          <w:szCs w:val="16"/>
          <w:color w:val="auto"/>
        </w:rPr>
        <w:t>means, with respect to any Agent or any Lender, all Taxes imposed on or with respect to any payment made by or on</w:t>
      </w:r>
    </w:p>
    <w:p>
      <w:pPr>
        <w:spacing w:after="0" w:line="25"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account of any obligation of any Loan Party under any Loan Document, other than (i) any Taxes imposed on or measured by its net income, however denominated, and franchise (and similar) Taxes imposed on it, imposed by a jurisdiction as a result of such recipient being organized in or having its principal office or applicable lending office in such jurisdiction, or as a result of any connection between such Lender or Agent and such jurisdiction</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other than any connections arising from executing, delivering, being a party to, engaging in any transactions pursuant to, performing its obligations under, receiving payments under, or enforcing, any Loan Document, (ii) any Taxes (other than Taxes described in clause (i) above) imposed by a jurisdiction as a result of such recipient being organized in or having its principal office or applicable lending office in such jurisdiction, or as a result</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of any connection between such Lender or Agent and such jurisdiction other than any connections arising from executing, delivering, being a party to, engaging in any transactions pursuant to, performing its obligations under, receiving payments under, or enforcing, any Loan Document, (iii) any Taxes attributable to the failure by or inability of such Agent or Lender to deliver the documentation required to be delivered pursuant to Section</w:t>
      </w:r>
    </w:p>
    <w:p>
      <w:pPr>
        <w:ind w:left="8"/>
        <w:spacing w:after="0" w:line="205" w:lineRule="auto"/>
        <w:rPr>
          <w:sz w:val="20"/>
          <w:szCs w:val="20"/>
          <w:color w:val="auto"/>
        </w:rPr>
      </w:pPr>
      <w:r>
        <w:rPr>
          <w:rFonts w:ascii="Arial" w:cs="Arial" w:eastAsia="Arial" w:hAnsi="Arial"/>
          <w:sz w:val="18"/>
          <w:szCs w:val="18"/>
          <w:color w:val="auto"/>
        </w:rPr>
        <w:t>3.01(d),</w:t>
      </w:r>
    </w:p>
    <w:p>
      <w:pPr>
        <w:spacing w:after="0" w:line="1" w:lineRule="exact"/>
        <w:rPr>
          <w:sz w:val="20"/>
          <w:szCs w:val="20"/>
          <w:color w:val="auto"/>
        </w:rPr>
      </w:pPr>
    </w:p>
    <w:p>
      <w:pPr>
        <w:jc w:val="both"/>
        <w:ind w:left="8" w:right="20" w:hanging="8"/>
        <w:spacing w:after="0" w:line="214" w:lineRule="auto"/>
        <w:tabs>
          <w:tab w:leader="none" w:pos="3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branch profits Taxes imposed by the United States under Section 884(a) of the Code, or any similar Tax, imposed by any other jurisdiction in which such Lender or Agent is located, (v) in the case of a Lender (other than an assignee pursuant to a request by a Borrower under Section 3.07), any U.S. federal withholding Tax that is in effect and would apply to amounts payable with respect to an applicable interest in a Loan or Commitment under a law in effect at the time the Lender acquires such interest in the applicable Commitment or, to the extent a Lender acquires an interest in a Loan not funded pursuant to a prior Commitment, acquires such interest in such Loan, or designates a new Lending Office, except to the extent such Lender (or its assignor, if any) was entitled, immediately prior to the time of designation of a new Lending Office (or assignment or applicable acquisition), to receive additional amounts from the Borrowers or Guarantors with respect to such Tax pursuant to Section 3.01 and (vi) any Taxes imposed under FATCA.</w:t>
      </w:r>
    </w:p>
    <w:p>
      <w:pPr>
        <w:spacing w:after="0" w:line="191"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specified in Section 10.05.</w:t>
      </w:r>
    </w:p>
    <w:p>
      <w:pPr>
        <w:spacing w:after="0" w:line="225" w:lineRule="exact"/>
        <w:rPr>
          <w:sz w:val="20"/>
          <w:szCs w:val="20"/>
          <w:color w:val="auto"/>
        </w:rPr>
      </w:pPr>
    </w:p>
    <w:p>
      <w:pPr>
        <w:ind w:left="8"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Financial Advisor</w:t>
      </w:r>
      <w:r>
        <w:rPr>
          <w:rFonts w:ascii="Arial" w:cs="Arial" w:eastAsia="Arial" w:hAnsi="Arial"/>
          <w:sz w:val="16"/>
          <w:szCs w:val="16"/>
          <w:color w:val="auto"/>
        </w:rPr>
        <w:t>” means an accounting, appraisal, investment banking firm or consultant of nationally recognized standing that is, in the good faith judgment of the Administrative Borrower, qualified to perform the task for which it has been engaged and that is independent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of the Borrowers and their Affiliates.</w:t>
      </w:r>
    </w:p>
    <w:p>
      <w:pPr>
        <w:sectPr>
          <w:pgSz w:w="11900" w:h="16838" w:orient="portrait"/>
          <w:cols w:equalWidth="0" w:num="1">
            <w:col w:w="10908"/>
          </w:cols>
          <w:pgMar w:left="472" w:top="1440" w:right="519" w:bottom="1440" w:gutter="0" w:footer="0" w:header="0"/>
        </w:sectPr>
      </w:pPr>
    </w:p>
    <w:bookmarkStart w:id="85" w:name="page86"/>
    <w:bookmarkEnd w:id="85"/>
    <w:p>
      <w:pPr>
        <w:spacing w:after="0" w:line="207"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specified in Section 10.08.</w:t>
      </w:r>
    </w:p>
    <w:p>
      <w:pPr>
        <w:spacing w:after="0" w:line="225" w:lineRule="exact"/>
        <w:rPr>
          <w:sz w:val="20"/>
          <w:szCs w:val="20"/>
          <w:color w:val="auto"/>
        </w:rPr>
      </w:pPr>
    </w:p>
    <w:p>
      <w:pPr>
        <w:ind w:left="8" w:right="20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Inside Maturity Basket</w:t>
      </w:r>
      <w:r>
        <w:rPr>
          <w:rFonts w:ascii="Arial" w:cs="Arial" w:eastAsia="Arial" w:hAnsi="Arial"/>
          <w:sz w:val="18"/>
          <w:szCs w:val="18"/>
          <w:color w:val="auto"/>
        </w:rPr>
        <w:t>” means an aggregate principal amount not to exceed the greater of $63,000,000 and 25.0% of Trailing Four Quarter Consolidated EBITDA for all Indebtedness incurred in reliance on the Inside Maturity Basket.</w:t>
      </w:r>
    </w:p>
    <w:p>
      <w:pPr>
        <w:spacing w:after="0" w:line="91" w:lineRule="exact"/>
        <w:rPr>
          <w:sz w:val="20"/>
          <w:szCs w:val="20"/>
          <w:color w:val="auto"/>
        </w:rPr>
      </w:pPr>
    </w:p>
    <w:p>
      <w:pPr>
        <w:ind w:left="6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Security Agreement</w:t>
      </w:r>
      <w:r>
        <w:rPr>
          <w:rFonts w:ascii="Arial" w:cs="Arial" w:eastAsia="Arial" w:hAnsi="Arial"/>
          <w:sz w:val="16"/>
          <w:szCs w:val="16"/>
          <w:color w:val="auto"/>
        </w:rPr>
        <w:t>” has the meaning specified in the Security Agreement. “</w:t>
      </w:r>
      <w:r>
        <w:rPr>
          <w:rFonts w:ascii="Arial" w:cs="Arial" w:eastAsia="Arial" w:hAnsi="Arial"/>
          <w:sz w:val="16"/>
          <w:szCs w:val="16"/>
          <w:b w:val="1"/>
          <w:bCs w:val="1"/>
          <w:color w:val="auto"/>
        </w:rPr>
        <w:t>Intercompany Note</w:t>
      </w:r>
      <w:r>
        <w:rPr>
          <w:rFonts w:ascii="Arial" w:cs="Arial" w:eastAsia="Arial" w:hAnsi="Arial"/>
          <w:sz w:val="16"/>
          <w:szCs w:val="16"/>
          <w:color w:val="auto"/>
        </w:rPr>
        <w:t>” means a promissory</w:t>
      </w:r>
    </w:p>
    <w:p>
      <w:pPr>
        <w:spacing w:after="0" w:line="320" w:lineRule="exact"/>
        <w:rPr>
          <w:sz w:val="20"/>
          <w:szCs w:val="20"/>
          <w:color w:val="auto"/>
        </w:rPr>
      </w:pPr>
    </w:p>
    <w:p>
      <w:pPr>
        <w:ind w:left="648"/>
        <w:spacing w:after="0"/>
        <w:rPr>
          <w:sz w:val="20"/>
          <w:szCs w:val="20"/>
          <w:color w:val="auto"/>
        </w:rPr>
      </w:pPr>
      <w:r>
        <w:rPr>
          <w:rFonts w:ascii="Arial" w:cs="Arial" w:eastAsia="Arial" w:hAnsi="Arial"/>
          <w:sz w:val="18"/>
          <w:szCs w:val="18"/>
          <w:color w:val="auto"/>
        </w:rPr>
        <w:t xml:space="preserve">note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such other form</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as agreed by the Administrative Agent.</w:t>
      </w:r>
    </w:p>
    <w:p>
      <w:pPr>
        <w:spacing w:after="0" w:line="221" w:lineRule="exact"/>
        <w:rPr>
          <w:sz w:val="20"/>
          <w:szCs w:val="20"/>
          <w:color w:val="auto"/>
        </w:rPr>
      </w:pPr>
    </w:p>
    <w:p>
      <w:pPr>
        <w:ind w:left="8" w:right="20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Intercreditor Agreements</w:t>
      </w:r>
      <w:r>
        <w:rPr>
          <w:rFonts w:ascii="Arial" w:cs="Arial" w:eastAsia="Arial" w:hAnsi="Arial"/>
          <w:sz w:val="16"/>
          <w:szCs w:val="16"/>
          <w:color w:val="auto"/>
        </w:rPr>
        <w:t>” means the ABL Intercreditor Agreement, any First Lien Intercreditor Agreement, the Second Lien Intercreditor Agreement and, to the extent permitted under this Agreement, any other lien subordination and intercreditor arrangement reasonably satisfactory to the</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Administrative Borrower and the Administrative Agent, collectively, in each case to the extent then in effect.</w:t>
      </w:r>
    </w:p>
    <w:p>
      <w:pPr>
        <w:spacing w:after="0" w:line="192" w:lineRule="exact"/>
        <w:rPr>
          <w:sz w:val="20"/>
          <w:szCs w:val="20"/>
          <w:color w:val="auto"/>
        </w:rPr>
      </w:pPr>
    </w:p>
    <w:p>
      <w:pPr>
        <w:ind w:left="8" w:right="18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means, (a) as to any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 the last day of each Interest Period applicable to such Loan and the Maturity Date of the Facility under which such Loan was made; provided</w:t>
      </w:r>
      <w:r>
        <w:rPr>
          <w:rFonts w:ascii="Arial" w:cs="Arial" w:eastAsia="Arial" w:hAnsi="Arial"/>
          <w:sz w:val="16"/>
          <w:szCs w:val="16"/>
          <w:color w:val="0000FF"/>
        </w:rPr>
        <w:t>,</w:t>
      </w:r>
      <w:r>
        <w:rPr>
          <w:rFonts w:ascii="Arial" w:cs="Arial" w:eastAsia="Arial" w:hAnsi="Arial"/>
          <w:sz w:val="16"/>
          <w:szCs w:val="16"/>
          <w:color w:val="auto"/>
        </w:rPr>
        <w:t xml:space="preserve"> that if any Interest Period for a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p>
    <w:p>
      <w:pPr>
        <w:spacing w:after="0" w:line="1" w:lineRule="exact"/>
        <w:rPr>
          <w:sz w:val="20"/>
          <w:szCs w:val="20"/>
          <w:color w:val="auto"/>
        </w:rPr>
      </w:pPr>
    </w:p>
    <w:p>
      <w:pPr>
        <w:ind w:left="8" w:right="180"/>
        <w:spacing w:after="0" w:line="211" w:lineRule="auto"/>
        <w:rPr>
          <w:sz w:val="20"/>
          <w:szCs w:val="20"/>
          <w:color w:val="auto"/>
        </w:rPr>
      </w:pPr>
      <w:r>
        <w:rPr>
          <w:rFonts w:ascii="Arial" w:cs="Arial" w:eastAsia="Arial" w:hAnsi="Arial"/>
          <w:sz w:val="18"/>
          <w:szCs w:val="18"/>
          <w:color w:val="auto"/>
        </w:rPr>
        <w:t>Loan exceeds three months, the respective dates that fall every three months after the beginning of such Interest Period shall also be Interest Payment Dates and</w:t>
      </w:r>
    </w:p>
    <w:p>
      <w:pPr>
        <w:spacing w:after="0" w:line="1" w:lineRule="exact"/>
        <w:rPr>
          <w:sz w:val="20"/>
          <w:szCs w:val="20"/>
          <w:color w:val="auto"/>
        </w:rPr>
      </w:pPr>
    </w:p>
    <w:p>
      <w:pPr>
        <w:ind w:left="8" w:right="180" w:hanging="8"/>
        <w:spacing w:after="0" w:line="226" w:lineRule="auto"/>
        <w:tabs>
          <w:tab w:leader="none" w:pos="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to any Base Rate Loan, the last Business Day of each March, June, September and December and the Maturity Date of the Facility under which such Loan was made.</w:t>
      </w:r>
    </w:p>
    <w:p>
      <w:pPr>
        <w:spacing w:after="0" w:line="198" w:lineRule="exact"/>
        <w:rPr>
          <w:sz w:val="20"/>
          <w:szCs w:val="20"/>
          <w:color w:val="auto"/>
        </w:rPr>
      </w:pPr>
    </w:p>
    <w:p>
      <w:pPr>
        <w:ind w:left="8" w:right="20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as to each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 the period commencing on the date such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SOFR</w:t>
      </w:r>
      <w:r>
        <w:rPr>
          <w:rFonts w:ascii="Arial" w:cs="Arial" w:eastAsia="Arial" w:hAnsi="Arial"/>
          <w:sz w:val="16"/>
          <w:szCs w:val="16"/>
          <w:color w:val="0000FF"/>
        </w:rPr>
        <w:t xml:space="preserve"> </w:t>
      </w:r>
      <w:r>
        <w:rPr>
          <w:rFonts w:ascii="Arial" w:cs="Arial" w:eastAsia="Arial" w:hAnsi="Arial"/>
          <w:sz w:val="16"/>
          <w:szCs w:val="16"/>
          <w:color w:val="000000"/>
        </w:rPr>
        <w:t>Loan is disbursed or converted to or continued as a</w:t>
      </w:r>
      <w:r>
        <w:rPr>
          <w:rFonts w:ascii="Arial" w:cs="Arial" w:eastAsia="Arial" w:hAnsi="Arial"/>
          <w:sz w:val="16"/>
          <w:szCs w:val="16"/>
          <w:color w:val="0000FF"/>
        </w:rPr>
        <w:t xml:space="preserv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FF"/>
        </w:rPr>
        <w:t xml:space="preserve"> </w:t>
      </w:r>
      <w:r>
        <w:rPr>
          <w:rFonts w:ascii="Arial" w:cs="Arial" w:eastAsia="Arial" w:hAnsi="Arial"/>
          <w:sz w:val="16"/>
          <w:szCs w:val="16"/>
          <w:color w:val="000000"/>
        </w:rPr>
        <w:t>Loan and ending on the date one, three or six months</w:t>
      </w:r>
    </w:p>
    <w:p>
      <w:pPr>
        <w:ind w:left="8"/>
        <w:spacing w:after="0" w:line="230" w:lineRule="auto"/>
        <w:rPr>
          <w:sz w:val="20"/>
          <w:szCs w:val="20"/>
          <w:color w:val="auto"/>
        </w:rPr>
      </w:pPr>
      <w:r>
        <w:rPr>
          <w:rFonts w:ascii="Arial" w:cs="Arial" w:eastAsia="Arial" w:hAnsi="Arial"/>
          <w:sz w:val="16"/>
          <w:szCs w:val="16"/>
          <w:color w:val="auto"/>
        </w:rPr>
        <w:t xml:space="preserve">thereafter </w:t>
      </w:r>
      <w:r>
        <w:rPr>
          <w:rFonts w:ascii="Arial" w:cs="Arial" w:eastAsia="Arial" w:hAnsi="Arial"/>
          <w:sz w:val="16"/>
          <w:szCs w:val="16"/>
          <w:color w:val="FF0000"/>
        </w:rPr>
        <w:t>or, to the extent agreed by each</w:t>
      </w:r>
      <w:r>
        <w:rPr>
          <w:rFonts w:ascii="Arial" w:cs="Arial" w:eastAsia="Arial" w:hAnsi="Arial"/>
          <w:sz w:val="16"/>
          <w:szCs w:val="16"/>
          <w:color w:val="auto"/>
        </w:rPr>
        <w:t xml:space="preserve"> </w:t>
      </w:r>
      <w:r>
        <w:rPr>
          <w:rFonts w:ascii="Arial" w:cs="Arial" w:eastAsia="Arial" w:hAnsi="Arial"/>
          <w:sz w:val="16"/>
          <w:szCs w:val="16"/>
          <w:color w:val="FF0000"/>
          <w:strike w:val="1"/>
        </w:rPr>
        <w:t>Lender of such Eurocurrency Rate Loan, twelve months or less than one month thereafter</w:t>
      </w:r>
      <w:r>
        <w:rPr>
          <w:rFonts w:ascii="Arial" w:cs="Arial" w:eastAsia="Arial" w:hAnsi="Arial"/>
          <w:sz w:val="16"/>
          <w:szCs w:val="16"/>
          <w:color w:val="auto"/>
        </w:rPr>
        <w:t>, as selected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-51435</wp:posOffset>
            </wp:positionV>
            <wp:extent cx="14674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ind w:left="8"/>
        <w:spacing w:after="0"/>
        <w:rPr>
          <w:sz w:val="20"/>
          <w:szCs w:val="20"/>
          <w:color w:val="auto"/>
        </w:rPr>
      </w:pPr>
      <w:r>
        <w:rPr>
          <w:rFonts w:ascii="Arial" w:cs="Arial" w:eastAsia="Arial" w:hAnsi="Arial"/>
          <w:sz w:val="18"/>
          <w:szCs w:val="18"/>
          <w:color w:val="auto"/>
        </w:rPr>
        <w:t xml:space="preserve">Administrative Borrower in its Committed Loan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96" w:lineRule="exact"/>
        <w:rPr>
          <w:sz w:val="20"/>
          <w:szCs w:val="20"/>
          <w:color w:val="auto"/>
        </w:rPr>
      </w:pPr>
    </w:p>
    <w:p>
      <w:pPr>
        <w:jc w:val="both"/>
        <w:ind w:left="648" w:right="180" w:firstLine="736"/>
        <w:spacing w:after="0" w:line="229"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w:t>
      </w:r>
      <w:r>
        <w:rPr>
          <w:rFonts w:ascii="Arial" w:cs="Arial" w:eastAsia="Arial" w:hAnsi="Arial"/>
          <w:sz w:val="18"/>
          <w:szCs w:val="18"/>
          <w:color w:val="0000FF"/>
        </w:rPr>
        <w:t>,</w:t>
      </w:r>
      <w:r>
        <w:rPr>
          <w:rFonts w:ascii="Arial" w:cs="Arial" w:eastAsia="Arial" w:hAnsi="Arial"/>
          <w:sz w:val="18"/>
          <w:szCs w:val="18"/>
          <w:color w:val="auto"/>
        </w:rPr>
        <w:t xml:space="preserve"> such Business Day falls in another calendar month, in which case such Interest Period shall end on the immediately preceding Business Day;</w:t>
      </w:r>
    </w:p>
    <w:p>
      <w:pPr>
        <w:spacing w:after="0" w:line="190" w:lineRule="exact"/>
        <w:rPr>
          <w:rFonts w:ascii="Arial" w:cs="Arial" w:eastAsia="Arial" w:hAnsi="Arial"/>
          <w:sz w:val="18"/>
          <w:szCs w:val="18"/>
          <w:color w:val="auto"/>
        </w:rPr>
      </w:pPr>
    </w:p>
    <w:p>
      <w:pPr>
        <w:jc w:val="both"/>
        <w:ind w:left="648" w:right="200" w:firstLine="686"/>
        <w:spacing w:after="0" w:line="229"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Interest Period </w:t>
      </w:r>
      <w:r>
        <w:rPr>
          <w:rFonts w:ascii="Arial" w:cs="Arial" w:eastAsia="Arial" w:hAnsi="Arial"/>
          <w:sz w:val="18"/>
          <w:szCs w:val="18"/>
          <w:color w:val="FF0000"/>
          <w:strike w:val="1"/>
        </w:rPr>
        <w:t>(other than an Interest Period having a duration of less than one month)</w:t>
      </w:r>
      <w:r>
        <w:rPr>
          <w:rFonts w:ascii="Arial" w:cs="Arial" w:eastAsia="Arial" w:hAnsi="Arial"/>
          <w:sz w:val="18"/>
          <w:szCs w:val="18"/>
          <w:color w:val="auto"/>
        </w:rPr>
        <w:t xml:space="preserve">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90" w:lineRule="exact"/>
        <w:rPr>
          <w:rFonts w:ascii="Arial" w:cs="Arial" w:eastAsia="Arial" w:hAnsi="Arial"/>
          <w:sz w:val="18"/>
          <w:szCs w:val="18"/>
          <w:color w:val="auto"/>
        </w:rPr>
      </w:pPr>
    </w:p>
    <w:p>
      <w:pPr>
        <w:ind w:left="1948" w:hanging="663"/>
        <w:spacing w:after="0"/>
        <w:tabs>
          <w:tab w:leader="none" w:pos="19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Interest Period shall extend beyond the applicable Maturity Date.</w:t>
      </w:r>
    </w:p>
    <w:p>
      <w:pPr>
        <w:spacing w:after="0" w:line="221" w:lineRule="exact"/>
        <w:rPr>
          <w:sz w:val="20"/>
          <w:szCs w:val="20"/>
          <w:color w:val="auto"/>
        </w:rPr>
      </w:pPr>
    </w:p>
    <w:p>
      <w:pPr>
        <w:ind w:left="64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with respect to any Person, all investments by such Person in other Persons (including Affiliates) in the form of loans</w:t>
      </w:r>
    </w:p>
    <w:p>
      <w:pPr>
        <w:spacing w:after="0" w:line="14" w:lineRule="exact"/>
        <w:rPr>
          <w:sz w:val="20"/>
          <w:szCs w:val="20"/>
          <w:color w:val="auto"/>
        </w:rPr>
      </w:pPr>
    </w:p>
    <w:p>
      <w:pPr>
        <w:jc w:val="both"/>
        <w:ind w:left="8" w:right="200"/>
        <w:spacing w:after="0" w:line="234" w:lineRule="auto"/>
        <w:rPr>
          <w:sz w:val="20"/>
          <w:szCs w:val="20"/>
          <w:color w:val="auto"/>
        </w:rPr>
      </w:pPr>
      <w:r>
        <w:rPr>
          <w:rFonts w:ascii="Arial" w:cs="Arial" w:eastAsia="Arial" w:hAnsi="Arial"/>
          <w:sz w:val="16"/>
          <w:szCs w:val="16"/>
          <w:color w:val="auto"/>
        </w:rPr>
        <w:t>(including guarantees), advances or capital contributions (excluding accounts receivable, credit card and debit card receivables, trade credit, advances to customers, commission, travel and similar advances to any future, present or former employees, directors, officers, independent contractors, members of management, manufacturers and consultants, in each case made in the ordinary course of business), purchases or other acquisitions for</w:t>
      </w:r>
    </w:p>
    <w:p>
      <w:pPr>
        <w:spacing w:after="0" w:line="2" w:lineRule="exact"/>
        <w:rPr>
          <w:sz w:val="20"/>
          <w:szCs w:val="20"/>
          <w:color w:val="auto"/>
        </w:rPr>
      </w:pPr>
    </w:p>
    <w:p>
      <w:pPr>
        <w:jc w:val="both"/>
        <w:ind w:left="8" w:right="200"/>
        <w:spacing w:after="0" w:line="234" w:lineRule="auto"/>
        <w:rPr>
          <w:sz w:val="20"/>
          <w:szCs w:val="20"/>
          <w:color w:val="auto"/>
        </w:rPr>
      </w:pPr>
      <w:r>
        <w:rPr>
          <w:rFonts w:ascii="Arial" w:cs="Arial" w:eastAsia="Arial" w:hAnsi="Arial"/>
          <w:sz w:val="16"/>
          <w:szCs w:val="16"/>
          <w:color w:val="auto"/>
        </w:rPr>
        <w:t>consideration of Indebtedness, Equity Interests or other securities issued by any other Person and the purchase or other acquisition (in one transaction or a series of transactions) of all or substantially all of the property and assets or business of another Person or assets constituting a business unit, line of business, book of business or division of such Person (excluding, in the case of the Parent Borrower and the Restricted Subsidiaries, intercompany</w:t>
      </w:r>
    </w:p>
    <w:p>
      <w:pPr>
        <w:ind w:left="8"/>
        <w:spacing w:after="0" w:line="231" w:lineRule="auto"/>
        <w:rPr>
          <w:sz w:val="20"/>
          <w:szCs w:val="20"/>
          <w:color w:val="auto"/>
        </w:rPr>
      </w:pPr>
      <w:r>
        <w:rPr>
          <w:rFonts w:ascii="Arial" w:cs="Arial" w:eastAsia="Arial" w:hAnsi="Arial"/>
          <w:sz w:val="16"/>
          <w:szCs w:val="16"/>
          <w:color w:val="auto"/>
        </w:rPr>
        <w:t>advances or indebtedness in the ordinary course of business having a term not exceeding 364 days (inclusive of any roll over or extensions of terms)).</w:t>
      </w:r>
    </w:p>
    <w:p>
      <w:pPr>
        <w:ind w:left="8"/>
        <w:spacing w:after="0"/>
        <w:rPr>
          <w:sz w:val="20"/>
          <w:szCs w:val="20"/>
          <w:color w:val="auto"/>
        </w:rPr>
      </w:pPr>
      <w:r>
        <w:rPr>
          <w:rFonts w:ascii="Arial" w:cs="Arial" w:eastAsia="Arial" w:hAnsi="Arial"/>
          <w:sz w:val="16"/>
          <w:szCs w:val="16"/>
          <w:color w:val="auto"/>
        </w:rPr>
        <w:t>For purposes of the definitions of “Unrestricted Subsidiary” and “Permitted Investments” and the covenants described under Sections 6.14 and 7.06:</w:t>
      </w:r>
    </w:p>
    <w:p>
      <w:pPr>
        <w:sectPr>
          <w:pgSz w:w="11900" w:h="16838" w:orient="portrait"/>
          <w:cols w:equalWidth="0" w:num="1">
            <w:col w:w="11088"/>
          </w:cols>
          <w:pgMar w:left="472" w:top="1440" w:right="339" w:bottom="1440" w:gutter="0" w:footer="0" w:header="0"/>
        </w:sectPr>
      </w:pPr>
    </w:p>
    <w:bookmarkStart w:id="86" w:name="page87"/>
    <w:bookmarkEnd w:id="86"/>
    <w:p>
      <w:pPr>
        <w:spacing w:after="0" w:line="211" w:lineRule="exact"/>
        <w:rPr>
          <w:sz w:val="20"/>
          <w:szCs w:val="20"/>
          <w:color w:val="auto"/>
        </w:rPr>
      </w:pPr>
    </w:p>
    <w:p>
      <w:pPr>
        <w:jc w:val="both"/>
        <w:ind w:left="640" w:right="40" w:firstLine="648"/>
        <w:spacing w:after="0" w:line="223" w:lineRule="auto"/>
        <w:tabs>
          <w:tab w:leader="none" w:pos="17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the Parent Borrower’s Equity Interest in such Subsidiary) of the fair market value of the net assets of a Subsidiary at the time that such Subsidiary is designated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 redesignation of such Subsidiary as a Restricted Subsidiary, the Parent Borrower shall be deemed to continue to have a permanent “Investment” in an Unrestricted Subsidiary in an amount (if positive) equal to:</w:t>
      </w:r>
    </w:p>
    <w:p>
      <w:pPr>
        <w:spacing w:after="0" w:line="189" w:lineRule="exact"/>
        <w:rPr>
          <w:rFonts w:ascii="Arial" w:cs="Arial" w:eastAsia="Arial" w:hAnsi="Arial"/>
          <w:sz w:val="18"/>
          <w:szCs w:val="18"/>
          <w:color w:val="auto"/>
        </w:rPr>
      </w:pPr>
    </w:p>
    <w:p>
      <w:pPr>
        <w:ind w:left="2440" w:hanging="504"/>
        <w:spacing w:after="0"/>
        <w:tabs>
          <w:tab w:leader="none" w:pos="24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Parent Borrower’s “Investment” in such Subsidiary at the time of such redesignation; less</w:t>
      </w:r>
    </w:p>
    <w:p>
      <w:pPr>
        <w:spacing w:after="0" w:line="225" w:lineRule="exact"/>
        <w:rPr>
          <w:rFonts w:ascii="Arial" w:cs="Arial" w:eastAsia="Arial" w:hAnsi="Arial"/>
          <w:sz w:val="18"/>
          <w:szCs w:val="18"/>
          <w:color w:val="auto"/>
        </w:rPr>
      </w:pPr>
    </w:p>
    <w:p>
      <w:pPr>
        <w:ind w:left="1280" w:right="40" w:firstLine="656"/>
        <w:spacing w:after="0" w:line="235" w:lineRule="auto"/>
        <w:tabs>
          <w:tab w:leader="none" w:pos="24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portion (proportionate to the Parent Borrower’s Equity Interest in such Subsidiary) of the fair market value of the net assets of such Subsidiary at the time of such redesignation; and</w:t>
      </w:r>
    </w:p>
    <w:p>
      <w:pPr>
        <w:spacing w:after="0" w:line="202" w:lineRule="exact"/>
        <w:rPr>
          <w:rFonts w:ascii="Arial" w:cs="Arial" w:eastAsia="Arial" w:hAnsi="Arial"/>
          <w:sz w:val="18"/>
          <w:szCs w:val="18"/>
          <w:color w:val="auto"/>
        </w:rPr>
      </w:pPr>
    </w:p>
    <w:p>
      <w:pPr>
        <w:ind w:left="1800" w:hanging="512"/>
        <w:spacing w:after="0"/>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property transferred to or from an Unrestricted Subsidiary shall be valued at its fair market value at the time of such</w:t>
      </w:r>
    </w:p>
    <w:p>
      <w:pPr>
        <w:spacing w:after="0" w:line="9"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transfer.</w:t>
      </w:r>
    </w:p>
    <w:p>
      <w:pPr>
        <w:spacing w:after="0" w:line="209"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16"/>
          <w:szCs w:val="16"/>
          <w:color w:val="auto"/>
        </w:rPr>
        <w:t xml:space="preserve">For purposes of covenant compliance, the amount of any Investment at any time shall be the amount actually invested (measured at the time made), without adjustment for subsequent increases or decreases in the value of such Investment, less any Returns in respect of such Investment;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lieu of treating any Returns as a deduction to the amount of any applicable Investment, the Parent Borrower may instead elect that</w:t>
      </w:r>
    </w:p>
    <w:p>
      <w:pPr>
        <w:spacing w:after="0" w:line="231" w:lineRule="auto"/>
        <w:rPr>
          <w:sz w:val="20"/>
          <w:szCs w:val="20"/>
          <w:color w:val="auto"/>
        </w:rPr>
      </w:pPr>
      <w:r>
        <w:rPr>
          <w:rFonts w:ascii="Arial" w:cs="Arial" w:eastAsia="Arial" w:hAnsi="Arial"/>
          <w:sz w:val="16"/>
          <w:szCs w:val="16"/>
          <w:color w:val="auto"/>
        </w:rPr>
        <w:t>such Returns be used to increase Section 7.06(a)(iii)(D)(1) to the extent such Returns would otherwise be permitted to increase Section 7.06(a)(iii)(D)</w:t>
      </w:r>
    </w:p>
    <w:p>
      <w:pPr>
        <w:spacing w:after="0"/>
        <w:rPr>
          <w:sz w:val="20"/>
          <w:szCs w:val="20"/>
          <w:color w:val="auto"/>
        </w:rPr>
      </w:pPr>
      <w:r>
        <w:rPr>
          <w:rFonts w:ascii="Arial" w:cs="Arial" w:eastAsia="Arial" w:hAnsi="Arial"/>
          <w:sz w:val="18"/>
          <w:szCs w:val="18"/>
          <w:color w:val="auto"/>
        </w:rPr>
        <w:t>(1) pursuant to the terms thereof.</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Rating</w:t>
      </w:r>
      <w:r>
        <w:rPr>
          <w:rFonts w:ascii="Arial" w:cs="Arial" w:eastAsia="Arial" w:hAnsi="Arial"/>
          <w:sz w:val="17"/>
          <w:szCs w:val="17"/>
          <w:color w:val="auto"/>
        </w:rPr>
        <w:t>” means a rating equal to or higher than Baa3 (or the equivalent) by Moody’s and BBB- (or the equivalent) by</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S&amp;P (or, if at any time neither Moody’s nor S&amp;P shall be rating such obligations, an equivalent rating by any other nationally recognized statistical rating agency selected by the Administrative Borrower).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means:</w:t>
      </w:r>
    </w:p>
    <w:p>
      <w:pPr>
        <w:spacing w:after="0" w:line="229" w:lineRule="exact"/>
        <w:rPr>
          <w:sz w:val="20"/>
          <w:szCs w:val="20"/>
          <w:color w:val="auto"/>
        </w:rPr>
      </w:pPr>
    </w:p>
    <w:p>
      <w:pPr>
        <w:ind w:left="640" w:right="40" w:firstLine="648"/>
        <w:spacing w:after="0" w:line="246" w:lineRule="auto"/>
        <w:tabs>
          <w:tab w:leader="none" w:pos="17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83" w:lineRule="exact"/>
        <w:rPr>
          <w:rFonts w:ascii="Arial" w:cs="Arial" w:eastAsia="Arial" w:hAnsi="Arial"/>
          <w:sz w:val="18"/>
          <w:szCs w:val="18"/>
          <w:color w:val="auto"/>
        </w:rPr>
      </w:pPr>
    </w:p>
    <w:p>
      <w:pPr>
        <w:ind w:left="640" w:firstLine="648"/>
        <w:spacing w:after="0" w:line="235" w:lineRule="auto"/>
        <w:tabs>
          <w:tab w:leader="none" w:pos="17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debt instruments constituting loans or advances among the Borrowers and the Subsidiaries and their respective equity holders;</w:t>
      </w:r>
    </w:p>
    <w:p>
      <w:pPr>
        <w:spacing w:after="0" w:line="202" w:lineRule="exact"/>
        <w:rPr>
          <w:rFonts w:ascii="Arial" w:cs="Arial" w:eastAsia="Arial" w:hAnsi="Arial"/>
          <w:sz w:val="18"/>
          <w:szCs w:val="18"/>
          <w:color w:val="auto"/>
        </w:rPr>
      </w:pPr>
    </w:p>
    <w:p>
      <w:pPr>
        <w:ind w:left="640" w:right="40" w:firstLine="648"/>
        <w:spacing w:after="0" w:line="246" w:lineRule="auto"/>
        <w:tabs>
          <w:tab w:leader="none" w:pos="17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investments in any fund that invests exclusively in investments of the type described in clauses (a) and (b) which fund may also hold immaterial amounts of cash pending investment or distribution; and</w:t>
      </w:r>
    </w:p>
    <w:p>
      <w:pPr>
        <w:spacing w:after="0" w:line="183" w:lineRule="exact"/>
        <w:rPr>
          <w:rFonts w:ascii="Arial" w:cs="Arial" w:eastAsia="Arial" w:hAnsi="Arial"/>
          <w:sz w:val="18"/>
          <w:szCs w:val="18"/>
          <w:color w:val="auto"/>
        </w:rPr>
      </w:pPr>
    </w:p>
    <w:p>
      <w:pPr>
        <w:ind w:left="1800" w:hanging="512"/>
        <w:spacing w:after="0"/>
        <w:tabs>
          <w:tab w:leader="none" w:pos="18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corresponding instruments in countries other than the United States customarily utilized for high quality investments.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has the meaning specified in Section 5.15.</w:t>
      </w:r>
    </w:p>
    <w:p>
      <w:pPr>
        <w:spacing w:after="0" w:line="225"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Financing</w:t>
      </w:r>
      <w:r>
        <w:rPr>
          <w:rFonts w:ascii="Arial" w:cs="Arial" w:eastAsia="Arial" w:hAnsi="Arial"/>
          <w:sz w:val="16"/>
          <w:szCs w:val="16"/>
          <w:color w:val="auto"/>
        </w:rPr>
        <w:t>” means any Indebtedness (other than the ABL Obligations) that constitutes (i) any Subordinated Indebtedness having an aggregate amount outstanding in excess of the Threshold Amount and (ii) any junior lien Indebtedness with respect to the Term Loan Priority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Collateral, having an aggregate amount outstanding in excess of the Threshold Amount.</w:t>
      </w:r>
    </w:p>
    <w:p>
      <w:pPr>
        <w:sectPr>
          <w:pgSz w:w="11900" w:h="16838" w:orient="portrait"/>
          <w:cols w:equalWidth="0" w:num="1">
            <w:col w:w="10920"/>
          </w:cols>
          <w:pgMar w:left="480" w:top="1440" w:right="499" w:bottom="1440" w:gutter="0" w:footer="0" w:header="0"/>
        </w:sectPr>
      </w:pPr>
    </w:p>
    <w:bookmarkStart w:id="87" w:name="page88"/>
    <w:bookmarkEnd w:id="87"/>
    <w:p>
      <w:pPr>
        <w:spacing w:after="0" w:line="20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 Documentation</w:t>
      </w:r>
      <w:r>
        <w:rPr>
          <w:rFonts w:ascii="Arial" w:cs="Arial" w:eastAsia="Arial" w:hAnsi="Arial"/>
          <w:sz w:val="18"/>
          <w:szCs w:val="18"/>
          <w:color w:val="auto"/>
        </w:rPr>
        <w:t>” means any documentation governing any Junior Financing (other than the Second Lien Intercreditor Agreement or any other lien subordination and intercreditor arrangement with respect to such Junior Financing to which the Administrative Agent is a party).</w:t>
      </w:r>
    </w:p>
    <w:p>
      <w:pPr>
        <w:spacing w:after="0" w:line="19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Latest Maturity Date</w:t>
      </w:r>
      <w:r>
        <w:rPr>
          <w:rFonts w:ascii="Arial" w:cs="Arial" w:eastAsia="Arial" w:hAnsi="Arial"/>
          <w:sz w:val="16"/>
          <w:szCs w:val="16"/>
          <w:color w:val="auto"/>
        </w:rPr>
        <w:t>”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Credit Commitment, any Incremental</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Term Loans, any Incremental Revolving Credit Commitments, any Refinancing Term Loans or any Refinancing Revolving Credit Commitments, in each case as extended in accordance with this Agreement from time to time.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collectively, all international, foreign, federal, state and local statutes, treaties, rules, guidelines, regulations, ordinances,</w:t>
      </w:r>
    </w:p>
    <w:p>
      <w:pPr>
        <w:spacing w:after="0" w:line="14"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has the meaning specified in Section 1.08(g). “</w:t>
      </w:r>
      <w:r>
        <w:rPr>
          <w:rFonts w:ascii="Arial" w:cs="Arial" w:eastAsia="Arial" w:hAnsi="Arial"/>
          <w:sz w:val="18"/>
          <w:szCs w:val="18"/>
          <w:b w:val="1"/>
          <w:bCs w:val="1"/>
          <w:color w:val="auto"/>
        </w:rPr>
        <w:t>LCT Test Date</w:t>
      </w:r>
      <w:r>
        <w:rPr>
          <w:rFonts w:ascii="Arial" w:cs="Arial" w:eastAsia="Arial" w:hAnsi="Arial"/>
          <w:sz w:val="18"/>
          <w:szCs w:val="18"/>
          <w:color w:val="auto"/>
        </w:rPr>
        <w:t>” has the meaning</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1.08(g).</w:t>
      </w:r>
    </w:p>
    <w:p>
      <w:pPr>
        <w:spacing w:after="0" w:line="100"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specified in the introductory paragraph to this Agreement and their respective successors and assigns as permitted hereunder, each of which is referred to herein as a “Lender.”</w:t>
      </w:r>
    </w:p>
    <w:p>
      <w:pPr>
        <w:spacing w:after="0" w:line="199"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as to any Lender, such office or offices as a Lender may from time to time notify the Administrative Borrower and the Administrative Agent.</w:t>
      </w:r>
    </w:p>
    <w:p>
      <w:pPr>
        <w:spacing w:after="0" w:line="19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LIBOR Screen Rate</w:t>
      </w:r>
      <w:r>
        <w:rPr>
          <w:rFonts w:ascii="Arial" w:cs="Arial" w:eastAsia="Arial" w:hAnsi="Arial"/>
          <w:sz w:val="17"/>
          <w:szCs w:val="17"/>
          <w:color w:val="FF0000"/>
          <w:strike w:val="1"/>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any mortgage, deed of trust, pledge, hypothecation, collateral assignment, deposit arrangement, encumbrance, lien (statutory or</w:t>
      </w:r>
    </w:p>
    <w:p>
      <w:pPr>
        <w:spacing w:after="0" w:line="25"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 xml:space="preserve">other), charge,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 operating lease in and of itself be deemed a Lien.</w:t>
      </w:r>
    </w:p>
    <w:p>
      <w:pPr>
        <w:spacing w:after="0" w:line="199" w:lineRule="exact"/>
        <w:rPr>
          <w:sz w:val="20"/>
          <w:szCs w:val="20"/>
          <w:color w:val="auto"/>
        </w:rPr>
      </w:pPr>
    </w:p>
    <w:p>
      <w:pPr>
        <w:jc w:val="both"/>
        <w:ind w:right="1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Limited Condition Transaction</w:t>
      </w:r>
      <w:r>
        <w:rPr>
          <w:rFonts w:ascii="Arial" w:cs="Arial" w:eastAsia="Arial" w:hAnsi="Arial"/>
          <w:sz w:val="16"/>
          <w:szCs w:val="16"/>
          <w:color w:val="auto"/>
        </w:rPr>
        <w:t xml:space="preserve">” means any (1) acquisition whose consummation is not conditioned on the availability of, or on obtaining, third party financing, (2) repurchase, repayment or prepayment of Indebtedness that requires the delivery of an irrevocable notice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notice may be conditioned on the occurrence of another transaction), (3) Restricted Payment (x) that requires the delivery of an irrevocable notice</w:t>
      </w:r>
    </w:p>
    <w:p>
      <w:pPr>
        <w:spacing w:after="0" w:line="1" w:lineRule="exact"/>
        <w:rPr>
          <w:sz w:val="20"/>
          <w:szCs w:val="20"/>
          <w:color w:val="auto"/>
        </w:rPr>
      </w:pPr>
    </w:p>
    <w:p>
      <w:pPr>
        <w:jc w:val="both"/>
        <w:ind w:right="220"/>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 may be conditioned on the occurrence of another transaction) (including with respect to any Indebtedness contemplated or incurred in connection therewith, or (y) to the extent such Restricted Payment is consummated in connection with a transaction separately subject to clause (1) or (2) above) or (4) permitted asset sale or other Disposition.</w:t>
      </w:r>
    </w:p>
    <w:p>
      <w:pPr>
        <w:spacing w:after="0" w:line="19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Originator Recourse</w:t>
      </w:r>
      <w:r>
        <w:rPr>
          <w:rFonts w:ascii="Arial" w:cs="Arial" w:eastAsia="Arial" w:hAnsi="Arial"/>
          <w:sz w:val="18"/>
          <w:szCs w:val="18"/>
          <w:color w:val="auto"/>
        </w:rPr>
        <w:t>” means a letter of credit, cash collateral account or other such credit enhancement issued in connection with the incurrence of Indebtedness by a Securitization Subsidiary under a Qualified Securitization Financing</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 extension of credit by a Lender to the Borrowers in the form of a Term Loan or Revolving Credit Loan.</w:t>
      </w:r>
    </w:p>
    <w:p>
      <w:pPr>
        <w:sectPr>
          <w:pgSz w:w="11900" w:h="16838" w:orient="portrait"/>
          <w:cols w:equalWidth="0" w:num="1">
            <w:col w:w="10920"/>
          </w:cols>
          <w:pgMar w:left="480" w:top="1440" w:right="499" w:bottom="1440" w:gutter="0" w:footer="0" w:header="0"/>
        </w:sectPr>
      </w:pPr>
    </w:p>
    <w:bookmarkStart w:id="88" w:name="page89"/>
    <w:bookmarkEnd w:id="88"/>
    <w:p>
      <w:pPr>
        <w:spacing w:after="0" w:line="196"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collectively, (i) this Agreement, (ii) the Notes, (iii) the Collateral Documents,</w:t>
      </w:r>
    </w:p>
    <w:p>
      <w:pPr>
        <w:jc w:val="both"/>
        <w:ind w:left="8" w:right="40" w:hanging="8"/>
        <w:spacing w:after="0" w:line="223" w:lineRule="auto"/>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Refinancing Amendment, Incremental Amendment, Extension Amendment, Permitted Repricing Amendment or amendment effecting Replacement Term Loans, (v) each Intercreditor Agreement, (vi) any other document or instrument designated by the Administrative Borrower and the Administrative Agent as a “Loan Document” and (vii) any amendment or joinder to this Agreement.</w:t>
      </w:r>
    </w:p>
    <w:p>
      <w:pPr>
        <w:spacing w:after="0" w:line="186"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the Borrowers and each Guarantor.</w:t>
      </w:r>
    </w:p>
    <w:p>
      <w:pPr>
        <w:spacing w:after="0" w:line="225" w:lineRule="exact"/>
        <w:rPr>
          <w:sz w:val="20"/>
          <w:szCs w:val="20"/>
          <w:color w:val="auto"/>
        </w:rPr>
      </w:pPr>
    </w:p>
    <w:p>
      <w:pPr>
        <w:ind w:left="8" w:right="220" w:firstLine="648"/>
        <w:spacing w:after="0" w:line="23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London Banking Day</w:t>
      </w:r>
      <w:r>
        <w:rPr>
          <w:rFonts w:ascii="Arial" w:cs="Arial" w:eastAsia="Arial" w:hAnsi="Arial"/>
          <w:sz w:val="18"/>
          <w:szCs w:val="18"/>
          <w:color w:val="FF0000"/>
          <w:strike w:val="1"/>
        </w:rPr>
        <w:t>” means any day on which dealings in Dollar deposits are conducted by and between banks in the London interbank eurodollar market.</w:t>
      </w:r>
    </w:p>
    <w:p>
      <w:pPr>
        <w:spacing w:after="0" w:line="280" w:lineRule="exact"/>
        <w:rPr>
          <w:sz w:val="20"/>
          <w:szCs w:val="20"/>
          <w:color w:val="auto"/>
        </w:rPr>
      </w:pPr>
    </w:p>
    <w:p>
      <w:pPr>
        <w:jc w:val="both"/>
        <w:ind w:left="8"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Stockholders</w:t>
      </w:r>
      <w:r>
        <w:rPr>
          <w:rFonts w:ascii="Arial" w:cs="Arial" w:eastAsia="Arial" w:hAnsi="Arial"/>
          <w:sz w:val="16"/>
          <w:szCs w:val="16"/>
          <w:color w:val="auto"/>
        </w:rPr>
        <w:t>” means any present or former members of management of the Parent Borrower or any Restricted Subsidiary who are investors in the Parent Borrower or any direct or indirect parent thereof, including, for the avoidance of doubt any future members of management of the Parent Borrower or any Restricted Subsidiary who are investors in the Parent Borrower or any direct or indirect parent thereof,</w:t>
      </w:r>
    </w:p>
    <w:p>
      <w:pPr>
        <w:spacing w:after="0" w:line="1" w:lineRule="exact"/>
        <w:rPr>
          <w:sz w:val="20"/>
          <w:szCs w:val="20"/>
          <w:color w:val="auto"/>
        </w:rPr>
      </w:pPr>
    </w:p>
    <w:p>
      <w:pPr>
        <w:jc w:val="both"/>
        <w:ind w:left="8" w:right="20"/>
        <w:spacing w:after="0" w:line="218" w:lineRule="auto"/>
        <w:rPr>
          <w:sz w:val="20"/>
          <w:szCs w:val="20"/>
          <w:color w:val="auto"/>
        </w:rPr>
      </w:pPr>
      <w:r>
        <w:rPr>
          <w:rFonts w:ascii="Arial" w:cs="Arial" w:eastAsia="Arial" w:hAnsi="Arial"/>
          <w:sz w:val="18"/>
          <w:szCs w:val="18"/>
          <w:color w:val="auto"/>
        </w:rPr>
        <w:t>including, for the avoidance of doubt any future member of management who is elected, appointed or hired when the Permitted Holders (excluding such future Person) have the right or the ability by voting power, contract or otherwise to elect or designate for election at least a majority of the Board of Directors of the Parent Borrower.</w:t>
      </w:r>
    </w:p>
    <w:p>
      <w:pPr>
        <w:spacing w:after="0" w:line="199" w:lineRule="exact"/>
        <w:rPr>
          <w:sz w:val="20"/>
          <w:szCs w:val="20"/>
          <w:color w:val="auto"/>
        </w:rPr>
      </w:pPr>
    </w:p>
    <w:p>
      <w:pPr>
        <w:jc w:val="both"/>
        <w:ind w:left="8"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have the meaning assigned to such term in Regulation U of the Board of Governors of the United States Federal Reserve System, or any successor thereto.</w:t>
      </w:r>
    </w:p>
    <w:p>
      <w:pPr>
        <w:spacing w:after="0" w:line="199" w:lineRule="exact"/>
        <w:rPr>
          <w:sz w:val="20"/>
          <w:szCs w:val="20"/>
          <w:color w:val="auto"/>
        </w:rPr>
      </w:pPr>
    </w:p>
    <w:p>
      <w:pPr>
        <w:jc w:val="both"/>
        <w:ind w:left="8"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Capitalization</w:t>
      </w:r>
      <w:r>
        <w:rPr>
          <w:rFonts w:ascii="Arial" w:cs="Arial" w:eastAsia="Arial" w:hAnsi="Arial"/>
          <w:sz w:val="16"/>
          <w:szCs w:val="16"/>
          <w:color w:val="auto"/>
        </w:rPr>
        <w:t xml:space="preserve">” means an amount equal to (i) the total number of issued and outstanding shares of common Equity Interests of the Parent Borrower on the date of the declaration of a Restricted Payment permitted pursuant to Section 7.06(b)(viii)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arithmetic</w:t>
      </w:r>
    </w:p>
    <w:p>
      <w:pPr>
        <w:spacing w:after="0" w:line="1" w:lineRule="exact"/>
        <w:rPr>
          <w:sz w:val="20"/>
          <w:szCs w:val="20"/>
          <w:color w:val="auto"/>
        </w:rPr>
      </w:pPr>
    </w:p>
    <w:p>
      <w:pPr>
        <w:jc w:val="both"/>
        <w:ind w:left="8" w:right="40"/>
        <w:spacing w:after="0" w:line="239" w:lineRule="auto"/>
        <w:rPr>
          <w:sz w:val="20"/>
          <w:szCs w:val="20"/>
          <w:color w:val="auto"/>
        </w:rPr>
      </w:pPr>
      <w:r>
        <w:rPr>
          <w:rFonts w:ascii="Arial" w:cs="Arial" w:eastAsia="Arial" w:hAnsi="Arial"/>
          <w:sz w:val="17"/>
          <w:szCs w:val="17"/>
          <w:color w:val="auto"/>
        </w:rPr>
        <w:t>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85"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has the meaning specified in the definition of “Swap Contract.”</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 and adverse effect on the business, financial condition or results of operations of the Parent</w:t>
      </w:r>
    </w:p>
    <w:p>
      <w:pPr>
        <w:spacing w:after="0" w:line="14" w:lineRule="exact"/>
        <w:rPr>
          <w:sz w:val="20"/>
          <w:szCs w:val="20"/>
          <w:color w:val="auto"/>
        </w:rPr>
      </w:pPr>
    </w:p>
    <w:p>
      <w:pPr>
        <w:jc w:val="both"/>
        <w:ind w:left="8" w:right="20"/>
        <w:spacing w:after="0" w:line="218" w:lineRule="auto"/>
        <w:rPr>
          <w:sz w:val="20"/>
          <w:szCs w:val="20"/>
          <w:color w:val="auto"/>
        </w:rPr>
      </w:pPr>
      <w:r>
        <w:rPr>
          <w:rFonts w:ascii="Arial" w:cs="Arial" w:eastAsia="Arial" w:hAnsi="Arial"/>
          <w:sz w:val="18"/>
          <w:szCs w:val="18"/>
          <w:color w:val="auto"/>
        </w:rPr>
        <w:t>Borrower and its Restricted Subsidiaries, taken as a whole, (b) a material and adverse effect on the rights or remedies, taken as a whole, of the Administrative Agent or any Lender under the Loan Documents or (c) a material and adverse effect on the ability of the Loan Parties, taken as a whole, to perform their material payment obligations under the Loan Documents.</w:t>
      </w:r>
    </w:p>
    <w:p>
      <w:pPr>
        <w:spacing w:after="0" w:line="199" w:lineRule="exact"/>
        <w:rPr>
          <w:sz w:val="20"/>
          <w:szCs w:val="20"/>
          <w:color w:val="auto"/>
        </w:rPr>
      </w:pPr>
    </w:p>
    <w:p>
      <w:pPr>
        <w:jc w:val="both"/>
        <w:ind w:left="8"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Domestic Subsidiary</w:t>
      </w:r>
      <w:r>
        <w:rPr>
          <w:rFonts w:ascii="Arial" w:cs="Arial" w:eastAsia="Arial" w:hAnsi="Arial"/>
          <w:sz w:val="16"/>
          <w:szCs w:val="16"/>
          <w:color w:val="auto"/>
        </w:rPr>
        <w:t>” means, at any date of determination, each of the Domestic Subsidiaries of the Parent Borrower (a) whose total assets (when consolidated with the total assets of each of its Restricted Subsidiaries) at the last day of the most recent Test Period were equal to or</w:t>
      </w:r>
    </w:p>
    <w:p>
      <w:pPr>
        <w:spacing w:after="0" w:line="1" w:lineRule="exact"/>
        <w:rPr>
          <w:sz w:val="20"/>
          <w:szCs w:val="20"/>
          <w:color w:val="auto"/>
        </w:rPr>
      </w:pPr>
    </w:p>
    <w:p>
      <w:pPr>
        <w:jc w:val="both"/>
        <w:ind w:left="8"/>
        <w:spacing w:after="0" w:line="233" w:lineRule="auto"/>
        <w:rPr>
          <w:sz w:val="20"/>
          <w:szCs w:val="20"/>
          <w:color w:val="auto"/>
        </w:rPr>
      </w:pPr>
      <w:r>
        <w:rPr>
          <w:rFonts w:ascii="Arial" w:cs="Arial" w:eastAsia="Arial" w:hAnsi="Arial"/>
          <w:sz w:val="16"/>
          <w:szCs w:val="16"/>
          <w:color w:val="auto"/>
        </w:rPr>
        <w:t xml:space="preserve">greater than 3.75% of Total Assets at such date or (b) whose gross revenues (when consolidated with the gross revenues of each of its Restricted Subsidiaries) for such Test Period were equal to or greater than 3.75% of the consolidated gross revenues of the Parent Borrower and the Restricted Subsidiaries for such period, in each case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and from time to time after the Closing Date, for the purposes of Section 6.11, Domestic Subsidiaries not meeting the thresholds set forth in clauses (a) or (b) that are not Guarantors or</w:t>
      </w:r>
    </w:p>
    <w:p>
      <w:pPr>
        <w:spacing w:after="0" w:line="1"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previously designated as a Material Domestic Subsidiary pursuant to clause (i) below comprise in the aggregate more than 7.50% of Total Assets as of the end of the most recently ended fiscal quarter of the Parent Borrower for which financial statements have been delivered pursuant to Section 6.01 or more than 7.50% of the consolidated gross revenues of the Parent Borrower and the Restricted Subsidiaries for such Test Period, then the Parent</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Borrower shall, not later than forty-five (45) days after the date by which financial statements for such quarter are required to be delivered pursuant to this Agreement (or such longer period as the Administrative Agent may agree in its reasonable discretion), (i) designate in writing to the Administrative Agent one or more of such Domestic Subsidiaries as “Material Domestic Subsidiaries” to the extent required such that the foregoing condition ceases</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be true and (ii) comply with the provisions of Section 6.11 applicable to such Subsidiary.</w:t>
      </w:r>
    </w:p>
    <w:p>
      <w:pPr>
        <w:sectPr>
          <w:pgSz w:w="11900" w:h="16838" w:orient="portrait"/>
          <w:cols w:equalWidth="0" w:num="1">
            <w:col w:w="10928"/>
          </w:cols>
          <w:pgMar w:left="472" w:top="1440" w:right="499" w:bottom="1440" w:gutter="0" w:footer="0" w:header="0"/>
        </w:sectPr>
      </w:pPr>
    </w:p>
    <w:bookmarkStart w:id="89" w:name="page90"/>
    <w:bookmarkEnd w:id="89"/>
    <w:p>
      <w:pPr>
        <w:spacing w:after="0" w:line="207"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Foreign Subsidiary</w:t>
      </w:r>
      <w:r>
        <w:rPr>
          <w:rFonts w:ascii="Arial" w:cs="Arial" w:eastAsia="Arial" w:hAnsi="Arial"/>
          <w:sz w:val="16"/>
          <w:szCs w:val="16"/>
          <w:color w:val="auto"/>
        </w:rPr>
        <w:t>” means, at any date of determination, each of the Foreign Subsidiaries of the Parent Borrower (a) whose total assets (when consolidated with the total assets of each of its Restricted Subsidiaries) at the last day of the most recent Test Period were equal to or greater than 3.75% of Total Assets at such date or (b) whose gross revenues (when consolidated with the gross revenues of each of its Restricted</w:t>
      </w:r>
    </w:p>
    <w:p>
      <w:pPr>
        <w:spacing w:after="0" w:line="1"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 xml:space="preserve">Subsidiaries) for such Test Period were equal to or greater than 3.75% of the consolidated gross revenues of the Parent Borrower and the Restricted Subsidiaries for such period, in each case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the purposes of the provisions of the definition of “Collateral and Guarantee Requirement” that if, at any time and from time to time after the Closing Date, Foreign Subsidiaries not meeting the</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thresholds set forth in clauses (a) or (b) and not otherwise previously designated as a Material Foreign Subsidiary pursuant to clause (i) below comprise in the aggregate more than 7.50% of Total Assets as of the end of the most recently ended fiscal quarter of the Parent Borrower for which financial statements have been delivered pursuant to Section 6.01 or more than 7.50% of the consolidated gross revenues of the Parent Borrower and the</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Restricted Subsidiaries for such Test Period, then the Parent Borrower shall, not later than forty-five (45) days after the date by which financial statements for such quarter are required to be delivered pursuant to this Agreement (or such longer period as the Administrative Agent may agree in its reasonable discretion), designate in writing to the Administrative Agent one or more of such Foreign Subsidiaries as “Material Foreign Subsidiaries” to</w:t>
      </w:r>
    </w:p>
    <w:p>
      <w:pPr>
        <w:spacing w:after="0" w:line="2"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extent required such that the foregoing condition ceases to be true.</w:t>
      </w:r>
    </w:p>
    <w:p>
      <w:pPr>
        <w:spacing w:after="0" w:line="192" w:lineRule="exact"/>
        <w:rPr>
          <w:sz w:val="20"/>
          <w:szCs w:val="20"/>
          <w:color w:val="auto"/>
        </w:rPr>
      </w:pPr>
    </w:p>
    <w:p>
      <w:pPr>
        <w:jc w:val="both"/>
        <w:ind w:left="9"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IP</w:t>
      </w:r>
      <w:r>
        <w:rPr>
          <w:rFonts w:ascii="Arial" w:cs="Arial" w:eastAsia="Arial" w:hAnsi="Arial"/>
          <w:sz w:val="18"/>
          <w:szCs w:val="18"/>
          <w:color w:val="auto"/>
        </w:rPr>
        <w:t>” means intellectual property owned by the Loan Parties that, if disposed, would reasonably be expected to result in a Material Adverse Effect.</w:t>
      </w:r>
    </w:p>
    <w:p>
      <w:pPr>
        <w:spacing w:after="0" w:line="190" w:lineRule="exact"/>
        <w:rPr>
          <w:sz w:val="20"/>
          <w:szCs w:val="20"/>
          <w:color w:val="auto"/>
        </w:rPr>
      </w:pPr>
    </w:p>
    <w:p>
      <w:pPr>
        <w:jc w:val="both"/>
        <w:ind w:left="9" w:right="2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means information which is (a) not publicly available (or could not be derived from publicly available information) and (b) material (as reasonably determined by the Administrative Borrower) with respect to the Parent Borrower and its Subsidiaries or their respective securities for purposes of United States federal and state securities laws.</w:t>
      </w:r>
    </w:p>
    <w:p>
      <w:pPr>
        <w:spacing w:after="0" w:line="198" w:lineRule="exact"/>
        <w:rPr>
          <w:sz w:val="20"/>
          <w:szCs w:val="20"/>
          <w:color w:val="auto"/>
        </w:rPr>
      </w:pPr>
    </w:p>
    <w:p>
      <w:pPr>
        <w:jc w:val="both"/>
        <w:ind w:left="9"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means any Material Domestic Subsidiary or any Material Foreign Subsidiary. For the avoidance of doubt, no formal designation of a Material Subsidiary (other than for purposes of Section 6.11 and complying with the provisions of the definition of “Collateral and Guarantee Requirement” in each case, as set forth in the definitions of Material Domestic Subsidiary and Material Foreign Subsidiary) shall be</w:t>
      </w:r>
    </w:p>
    <w:p>
      <w:pPr>
        <w:spacing w:after="0" w:line="1" w:lineRule="exact"/>
        <w:rPr>
          <w:sz w:val="20"/>
          <w:szCs w:val="20"/>
          <w:color w:val="auto"/>
        </w:rPr>
      </w:pPr>
    </w:p>
    <w:p>
      <w:pPr>
        <w:ind w:left="9"/>
        <w:spacing w:after="0"/>
        <w:rPr>
          <w:sz w:val="20"/>
          <w:szCs w:val="20"/>
          <w:color w:val="auto"/>
        </w:rPr>
      </w:pPr>
      <w:r>
        <w:rPr>
          <w:rFonts w:ascii="Arial" w:cs="Arial" w:eastAsia="Arial" w:hAnsi="Arial"/>
          <w:sz w:val="18"/>
          <w:szCs w:val="18"/>
          <w:color w:val="auto"/>
        </w:rPr>
        <w:t>required.</w:t>
      </w:r>
    </w:p>
    <w:p>
      <w:pPr>
        <w:spacing w:after="0" w:line="18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(i) with respect to the Term B Loans, the seventh anniversary of the Closing Date,</w:t>
      </w:r>
    </w:p>
    <w:p>
      <w:pPr>
        <w:jc w:val="both"/>
        <w:ind w:left="9" w:right="20" w:hanging="9"/>
        <w:spacing w:after="0" w:line="216" w:lineRule="auto"/>
        <w:tabs>
          <w:tab w:leader="none" w:pos="51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with respect to any Class of Extended Term Loans or Extended Revolving Credit Commitments, the final maturity date as specified in the applicable Extension Amendment, (iv) with respect to any Refinancing Term Loans or Refinancing Revolving Credit Commitments, the final maturity date as specified in the applicable Refinancing Amendment, (v) with respect to any Incremental Loans or Incremental Revolving Credit Commitments, the final maturity date as specified in the applicable Incremental Amendment and (vi) with respect to any Replacement Term Loans, the final maturity date as specified in the applicable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if such day is not a Business Day, the Maturity Date shall be the Business Day immediately succeeding such day.</w:t>
      </w:r>
    </w:p>
    <w:p>
      <w:pPr>
        <w:spacing w:after="0" w:line="307"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specified in Section 10.10. “</w:t>
      </w:r>
      <w:r>
        <w:rPr>
          <w:rFonts w:ascii="Arial" w:cs="Arial" w:eastAsia="Arial" w:hAnsi="Arial"/>
          <w:sz w:val="18"/>
          <w:szCs w:val="18"/>
          <w:b w:val="1"/>
          <w:bCs w:val="1"/>
          <w:color w:val="auto"/>
        </w:rPr>
        <w:t>MFN Adjustment</w:t>
      </w:r>
      <w:r>
        <w:rPr>
          <w:rFonts w:ascii="Arial" w:cs="Arial" w:eastAsia="Arial" w:hAnsi="Arial"/>
          <w:sz w:val="18"/>
          <w:szCs w:val="18"/>
          <w:color w:val="auto"/>
        </w:rPr>
        <w:t>” has the meaning</w:t>
      </w:r>
    </w:p>
    <w:p>
      <w:pPr>
        <w:spacing w:after="0" w:line="229" w:lineRule="exact"/>
        <w:rPr>
          <w:sz w:val="20"/>
          <w:szCs w:val="20"/>
          <w:color w:val="auto"/>
        </w:rPr>
      </w:pPr>
    </w:p>
    <w:p>
      <w:pPr>
        <w:ind w:left="689"/>
        <w:spacing w:after="0"/>
        <w:rPr>
          <w:sz w:val="20"/>
          <w:szCs w:val="20"/>
          <w:color w:val="auto"/>
        </w:rPr>
      </w:pPr>
      <w:r>
        <w:rPr>
          <w:rFonts w:ascii="Arial" w:cs="Arial" w:eastAsia="Arial" w:hAnsi="Arial"/>
          <w:sz w:val="18"/>
          <w:szCs w:val="18"/>
          <w:color w:val="auto"/>
        </w:rPr>
        <w:t>set forth in Section 2.14(e).</w:t>
      </w:r>
    </w:p>
    <w:p>
      <w:pPr>
        <w:spacing w:after="0" w:line="113"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any employee benefit plan of the type described in Section 4001(a)(3) of ERISA and subject to Title IV of</w:t>
      </w:r>
    </w:p>
    <w:p>
      <w:pPr>
        <w:spacing w:after="0" w:line="14" w:lineRule="exact"/>
        <w:rPr>
          <w:sz w:val="20"/>
          <w:szCs w:val="20"/>
          <w:color w:val="auto"/>
        </w:rPr>
      </w:pPr>
    </w:p>
    <w:p>
      <w:pPr>
        <w:ind w:left="9" w:right="20"/>
        <w:spacing w:after="0" w:line="226" w:lineRule="auto"/>
        <w:rPr>
          <w:sz w:val="20"/>
          <w:szCs w:val="20"/>
          <w:color w:val="auto"/>
        </w:rPr>
      </w:pPr>
      <w:r>
        <w:rPr>
          <w:rFonts w:ascii="Arial" w:cs="Arial" w:eastAsia="Arial" w:hAnsi="Arial"/>
          <w:sz w:val="18"/>
          <w:szCs w:val="18"/>
          <w:color w:val="auto"/>
        </w:rPr>
        <w:t>ERISA, to which a Loan Party or any ERISA Affiliate makes or is obligated to make contributions, or during the preceding six plan years, has made or been obligated to make contributions.</w:t>
      </w:r>
    </w:p>
    <w:p>
      <w:pPr>
        <w:spacing w:after="0" w:line="184" w:lineRule="exact"/>
        <w:rPr>
          <w:sz w:val="20"/>
          <w:szCs w:val="20"/>
          <w:color w:val="auto"/>
        </w:rPr>
      </w:pPr>
    </w:p>
    <w:p>
      <w:pPr>
        <w:ind w:left="9"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with respect to any Person, the net income (loss) of such Person, determined in accordance with GAAP and before any reduction in respect of Preferred Stock dividends.</w:t>
      </w:r>
    </w:p>
    <w:p>
      <w:pPr>
        <w:sectPr>
          <w:pgSz w:w="11900" w:h="16838" w:orient="portrait"/>
          <w:cols w:equalWidth="0" w:num="1">
            <w:col w:w="10909"/>
          </w:cols>
          <w:pgMar w:left="471" w:top="1440" w:right="519" w:bottom="1440" w:gutter="0" w:footer="0" w:header="0"/>
        </w:sectPr>
      </w:pPr>
    </w:p>
    <w:bookmarkStart w:id="90" w:name="page91"/>
    <w:bookmarkEnd w:id="90"/>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means:</w:t>
      </w:r>
    </w:p>
    <w:p>
      <w:pPr>
        <w:spacing w:after="0" w:line="229" w:lineRule="exact"/>
        <w:rPr>
          <w:sz w:val="20"/>
          <w:szCs w:val="20"/>
          <w:color w:val="auto"/>
        </w:rPr>
      </w:pPr>
    </w:p>
    <w:p>
      <w:pPr>
        <w:jc w:val="both"/>
        <w:ind w:firstLine="647"/>
        <w:spacing w:after="0"/>
        <w:tabs>
          <w:tab w:leader="none" w:pos="1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Asset Sale Prepayment Percentage of the cash proceeds actually received by the Parent Borrower or any of the Restricted Subsidiaries (including any cash payments received by way of deferred payment of principal pursuant to a note or installment receivable or purchase price adjustment receivable or otherwise and including casualty insurance settlements and condemnation awards, but in each case only as and when received) from any Disposition or Casualty Event, net of (i) out-of-pocket fees and expenses actually incurred in connection therewith (including attorneys’ fees, accountants’ fees, investment banking fees, survey costs, title insurance premiums, and related search and recording charges, transfer taxes, deed or mortgage recording taxes, other customary expenses and brokerage, consultant and other customary fees and expenses actually incurred in connection therewith), (ii) the principal amount of any Indebtedness (other than Indebtedness owed to a Borrower Party) that is secured by a Lien (other than a Lien on Term Loan Priority Collateral that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is junior to the Liens on the Term Loan Priority Collateral securing the Obligations) on the asset subject to such Disposition or Casualty Event and that is required to be repaid in connection with such Disposition or Casualty Event (including ABL Priority Collateral required to repay ABL Obligations but other than Indebtedness under the Loan Documents), together with any applicable premium, penalty, interest, breakage costs and other similar amounts, (iii) in the case of any Disposition or Casualty Event by a non-wholly-owned Restricted Subsidiary, the pro rata portion of the Net Proceeds thereof (calculated without regard to this clause (iii)) attributable to minority interests and not available for distribution to or for the account of the Parent Borrower or a wholly-owned Restricted Subsidiary as a result thereof, (iv) Taxes paid or reasonably estimated to be payable, directly or indirectly, as a result thereof (including Taxes that are or would be imposed on the distribution or repatriation of any such Net Proceeds), (v) the amount of any reasonable reserve established in accordance with GAAP against any adjustment to the sale price or any liabilities (other than any taxes deducted pursuant to clause (iv) above) (x) related to any of the applicable assets and (y) retained by the Parent Borrower or any of the Restricted Subsidiaries including, without limitation, pension and other post-employment benefit liabilities and liabilities related to environmental matters or against any indemnification obligations and (vi) any funded escrow established pursuant to the documents evidencing any such sale or disposition to secure any indemnification obligations or adjustments to the purchase price associated with any such sale or disposition (provided that to the extent that any amounts are released from such escrow to the Parent Borrower or a Restricted Subsidiary, such amounts net of any related expenses shall constitute Net Proceeds);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the option of the Borrowers, the Parent Borrower may use all or any portion of such proceeds to acquire, maintain,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 improve, upgrade, replace or repair assets used or useful in the business of the Parent Borrower or any of its Restricted Subsidiaries or to make Permitted Acquisitions or any acquisition of all or substantially all the assets of, or all or a portion of the Equity Interests in, a Person or division or line of business of a Person (or any subsequent investment made in a Person, division or line of business previously acquired), in each case within 18 months of such receipt, and such proceeds shall not constitute Net Proceeds except to the extent not, within 18 months of such receipt, so used or contractually committed to be so used (it being understood that if any portion of such proceeds are not so used within such 18 month period but within such 18-month period are contractually committed to be used, then upon the termination of such contract or if such Net Proceeds are not so used within such 18-month period or, if later, 180 days from the entry into such contractual commitment, then such remaining portion shall constitute Net Proceeds as of the date of such termination or expiry without giving effect to this proviso (such period, the “</w:t>
      </w:r>
      <w:r>
        <w:rPr>
          <w:rFonts w:ascii="Arial" w:cs="Arial" w:eastAsia="Arial" w:hAnsi="Arial"/>
          <w:sz w:val="16"/>
          <w:szCs w:val="16"/>
          <w:b w:val="1"/>
          <w:bCs w:val="1"/>
          <w:color w:val="auto"/>
        </w:rPr>
        <w:t>Reinvestment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proceeds realized in a single transaction or series of related transactions shall constitute Net Proceeds unless (x) such Net Proceeds resulting therefrom shall exceed $20,000,000 or (y) in any fiscal year, the aggregate Net Proceeds resulting therefrom shall exceed $40,000,000 in such fiscal year (and thereafter only net cash proceeds in excess of such amount shall constitute Net Proceeds under this clause (a)); and</w:t>
      </w:r>
    </w:p>
    <w:p>
      <w:pPr>
        <w:spacing w:after="0" w:line="278" w:lineRule="exact"/>
        <w:rPr>
          <w:rFonts w:ascii="Arial" w:cs="Arial" w:eastAsia="Arial" w:hAnsi="Arial"/>
          <w:sz w:val="16"/>
          <w:szCs w:val="16"/>
          <w:color w:val="auto"/>
        </w:rPr>
      </w:pPr>
    </w:p>
    <w:p>
      <w:pPr>
        <w:jc w:val="both"/>
        <w:ind w:right="40" w:firstLine="648"/>
        <w:spacing w:after="0" w:line="267"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100% of the cash proceeds from the incurrence, issuance or sale by the Parent Borrower or any of the Restricted Subsidiaries of any Indebtedness, or any sale or issuance of Qualified Equity Interests by the Parent Borrower or any direct or indirect parent of the Parent Borrower, net of all taxes paid or reasonably estimated to be payable as a result thereof and fees (including investment banking fees,</w:t>
      </w:r>
    </w:p>
    <w:p>
      <w:pPr>
        <w:sectPr>
          <w:pgSz w:w="11900" w:h="16838" w:orient="portrait"/>
          <w:cols w:equalWidth="0" w:num="1">
            <w:col w:w="10280"/>
          </w:cols>
          <w:pgMar w:left="1120" w:top="1440" w:right="499" w:bottom="1440" w:gutter="0" w:footer="0" w:header="0"/>
        </w:sectPr>
      </w:pPr>
    </w:p>
    <w:bookmarkStart w:id="91" w:name="page92"/>
    <w:bookmarkEnd w:id="91"/>
    <w:p>
      <w:pPr>
        <w:spacing w:after="0" w:line="211" w:lineRule="exact"/>
        <w:rPr>
          <w:sz w:val="20"/>
          <w:szCs w:val="20"/>
          <w:color w:val="auto"/>
        </w:rPr>
      </w:pPr>
    </w:p>
    <w:p>
      <w:pPr>
        <w:jc w:val="both"/>
        <w:ind w:left="640" w:right="20"/>
        <w:spacing w:after="0" w:line="241" w:lineRule="auto"/>
        <w:rPr>
          <w:sz w:val="20"/>
          <w:szCs w:val="20"/>
          <w:color w:val="auto"/>
        </w:rPr>
      </w:pPr>
      <w:r>
        <w:rPr>
          <w:rFonts w:ascii="Arial" w:cs="Arial" w:eastAsia="Arial" w:hAnsi="Arial"/>
          <w:sz w:val="16"/>
          <w:szCs w:val="16"/>
          <w:color w:val="auto"/>
        </w:rPr>
        <w:t xml:space="preserve">underwriting fees and discounts), commissions, costs and other expenses, in each case incurred in connection with such incurrence, issuance or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sale or issuance of Qualified Equity Interests (other than in the form of Disqualified Equity Interests) by any direct or indirect parent of a Borrower, only the amount of cash from such sale or issuance of Qualified Equity Interests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contributed to the capital of a Borrower shall constitute the Net Proceeds of such sale or issuance.</w:t>
      </w:r>
    </w:p>
    <w:p>
      <w:pPr>
        <w:spacing w:after="0" w:line="19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For purposes of calculating the amount of Net Proceeds, fees, commissions and other costs and expenses payable to the Parent Borrower or any of its Restricted Subsidiaries shall be disregarded.</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Refinancing Revolving Credit Commitments</w:t>
      </w:r>
      <w:r>
        <w:rPr>
          <w:rFonts w:ascii="Arial" w:cs="Arial" w:eastAsia="Arial" w:hAnsi="Arial"/>
          <w:sz w:val="18"/>
          <w:szCs w:val="18"/>
          <w:color w:val="auto"/>
        </w:rPr>
        <w:t>” has the meaning specified in Section 2.15(a). “</w:t>
      </w:r>
      <w:r>
        <w:rPr>
          <w:rFonts w:ascii="Arial" w:cs="Arial" w:eastAsia="Arial" w:hAnsi="Arial"/>
          <w:sz w:val="18"/>
          <w:szCs w:val="18"/>
          <w:b w:val="1"/>
          <w:bCs w:val="1"/>
          <w:color w:val="auto"/>
        </w:rPr>
        <w:t>New Refinancing Term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Commitments</w:t>
      </w:r>
      <w:r>
        <w:rPr>
          <w:rFonts w:ascii="Arial" w:cs="Arial" w:eastAsia="Arial" w:hAnsi="Arial"/>
          <w:sz w:val="18"/>
          <w:szCs w:val="18"/>
          <w:color w:val="auto"/>
        </w:rPr>
        <w:t>” has the meaning specified in Section 2.15(a).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has the meaning specified in Section 3.07.</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a Lender that is not a Defaulting Lender. “</w:t>
      </w:r>
      <w:r>
        <w:rPr>
          <w:rFonts w:ascii="Arial" w:cs="Arial" w:eastAsia="Arial" w:hAnsi="Arial"/>
          <w:sz w:val="18"/>
          <w:szCs w:val="18"/>
          <w:b w:val="1"/>
          <w:bCs w:val="1"/>
          <w:color w:val="auto"/>
        </w:rPr>
        <w:t>Non-Loan Party</w:t>
      </w:r>
      <w:r>
        <w:rPr>
          <w:rFonts w:ascii="Arial" w:cs="Arial" w:eastAsia="Arial" w:hAnsi="Arial"/>
          <w:sz w:val="18"/>
          <w:szCs w:val="18"/>
          <w:color w:val="auto"/>
        </w:rPr>
        <w:t>” means any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Subsidiary that is not a Loan Party.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 Term Note or a Revolving Credit Note, as the context may require.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all advances to, and debts, liabilities, obligations, covenants and duties of, any Loan Party and its Restricted</w:t>
      </w:r>
    </w:p>
    <w:p>
      <w:pPr>
        <w:spacing w:after="0" w:line="1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Subsidiaries arising under any Loan Document or otherwise with respect to any Loan or Letter of Credit, whether direct or indirect (including those acquired by assumption), absolute or contingent, due or to become due, now existing or hereafter arising and including interest, fees and other amounts that accrue after the commencement by or against any Loan Party or Restricted Subsidiary of any proceeding under any Debtor Relief Laws naming</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such Person as the debtor in such proceeding, regardless of whether such interest, fees and other amounts are allowed claims in such proceeding;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the Obligations shall exclude all Excluded Swap Obligations and (ii) in no event shall “Obligations” include any obligations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Loan Party arising under any Secured Hedge Agreement. Without limiting the generality of the foregoing, the Obligations of the Loan Parties under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Loan Documents (and their Restricted Subsidiaries to the extent they have obligations under the Loan Documents) include the obligation (including guarantee obligations) to pay principal, interest, Letter of Credit fees, reimbursement obligations, charges, expenses, fees, Attorney Costs, indemnities and other amounts payable by any Loan Party under any Loan Document (including any reimbursement obligations in respect of any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foregoing that the Administrative Agent has paid or advanced on behalf of such Loan Party pursuant to the terms of the Loan Documents).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specified in Section 5.18(c).</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Amount</w:t>
      </w:r>
      <w:r>
        <w:rPr>
          <w:rFonts w:ascii="Arial" w:cs="Arial" w:eastAsia="Arial" w:hAnsi="Arial"/>
          <w:sz w:val="18"/>
          <w:szCs w:val="18"/>
          <w:color w:val="auto"/>
        </w:rPr>
        <w:t>” has the meaning specified in Section 2.05(a)(v)(D)(1). “</w:t>
      </w:r>
      <w:r>
        <w:rPr>
          <w:rFonts w:ascii="Arial" w:cs="Arial" w:eastAsia="Arial" w:hAnsi="Arial"/>
          <w:sz w:val="18"/>
          <w:szCs w:val="18"/>
          <w:b w:val="1"/>
          <w:bCs w:val="1"/>
          <w:color w:val="auto"/>
        </w:rPr>
        <w:t>Offered Discount</w:t>
      </w:r>
      <w:r>
        <w:rPr>
          <w:rFonts w:ascii="Arial" w:cs="Arial" w:eastAsia="Arial" w:hAnsi="Arial"/>
          <w:sz w:val="18"/>
          <w:szCs w:val="18"/>
          <w:color w:val="auto"/>
        </w:rPr>
        <w:t>” has the meaning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2.05(a)(v)(D)(1). “</w:t>
      </w:r>
      <w:r>
        <w:rPr>
          <w:rFonts w:ascii="Arial" w:cs="Arial" w:eastAsia="Arial" w:hAnsi="Arial"/>
          <w:sz w:val="18"/>
          <w:szCs w:val="18"/>
          <w:b w:val="1"/>
          <w:bCs w:val="1"/>
          <w:color w:val="auto"/>
        </w:rPr>
        <w:t>OID</w:t>
      </w:r>
      <w:r>
        <w:rPr>
          <w:rFonts w:ascii="Arial" w:cs="Arial" w:eastAsia="Arial" w:hAnsi="Arial"/>
          <w:sz w:val="18"/>
          <w:szCs w:val="18"/>
          <w:color w:val="auto"/>
        </w:rPr>
        <w:t>” means original issue discount.</w:t>
      </w:r>
    </w:p>
    <w:p>
      <w:pPr>
        <w:spacing w:after="0" w:line="1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 Documents</w:t>
      </w:r>
      <w:r>
        <w:rPr>
          <w:rFonts w:ascii="Arial" w:cs="Arial" w:eastAsia="Arial" w:hAnsi="Arial"/>
          <w:sz w:val="16"/>
          <w:szCs w:val="16"/>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ectPr>
          <w:pgSz w:w="11900" w:h="16838" w:orient="portrait"/>
          <w:cols w:equalWidth="0" w:num="1">
            <w:col w:w="10900"/>
          </w:cols>
          <w:pgMar w:left="480" w:top="1440" w:right="519" w:bottom="1440" w:gutter="0" w:footer="0" w:header="0"/>
        </w:sectPr>
      </w:pPr>
    </w:p>
    <w:bookmarkStart w:id="92" w:name="page93"/>
    <w:bookmarkEnd w:id="92"/>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Closing Date</w:t>
      </w:r>
      <w:r>
        <w:rPr>
          <w:rFonts w:ascii="Arial" w:cs="Arial" w:eastAsia="Arial" w:hAnsi="Arial"/>
          <w:sz w:val="18"/>
          <w:szCs w:val="18"/>
          <w:color w:val="auto"/>
        </w:rPr>
        <w:t>” means August 6, 2019.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has the meaning specified in Section 2.05(b)(vi).</w:t>
      </w:r>
    </w:p>
    <w:p>
      <w:pPr>
        <w:spacing w:after="0" w:line="225"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Other Rate Early Opt-in</w:t>
      </w:r>
      <w:r>
        <w:rPr>
          <w:rFonts w:ascii="Arial" w:cs="Arial" w:eastAsia="Arial" w:hAnsi="Arial"/>
          <w:sz w:val="18"/>
          <w:szCs w:val="18"/>
          <w:color w:val="FF0000"/>
          <w:strike w:val="1"/>
        </w:rPr>
        <w:t>” means the Administrative Agent and the Administrative Borrower have elected to replace LIBOR with a Benchmark Replacement other than a SOFR-based rate pursuant to (1) an Early Opt-in Election and (2) Section 3.03(c)(ii) and paragraph (2) of the definition of “Benchmark Replacement”.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specified in Section 3.01(b).</w:t>
      </w:r>
    </w:p>
    <w:p>
      <w:pPr>
        <w:spacing w:after="0" w:line="225"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Amount</w:t>
      </w:r>
      <w:r>
        <w:rPr>
          <w:rFonts w:ascii="Arial" w:cs="Arial" w:eastAsia="Arial" w:hAnsi="Arial"/>
          <w:sz w:val="18"/>
          <w:szCs w:val="18"/>
          <w:color w:val="auto"/>
        </w:rPr>
        <w:t>” means with respect to the Term Loans and Revolving Credit Loans on any date, the outstanding principal Dollar amount thereof after giving effect to any borrowings and prepayments or repayments of Term Loans and Revolving Credit Loans, as the case may be, occurring on such date.</w:t>
      </w:r>
    </w:p>
    <w:p>
      <w:pPr>
        <w:spacing w:after="0" w:line="198"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 the Wall Person</w:t>
      </w:r>
      <w:r>
        <w:rPr>
          <w:rFonts w:ascii="Arial" w:cs="Arial" w:eastAsia="Arial" w:hAnsi="Arial"/>
          <w:sz w:val="16"/>
          <w:szCs w:val="16"/>
          <w:color w:val="auto"/>
        </w:rPr>
        <w:t xml:space="preserve"> ” means any directors, officers or senior employees of any Agent or Agent-Related Person or any of their Affiliates who are required, in accordance with industry regulations, or the applicable Agent or such Affiliate’s internal policies and procedures to act in a supervisory or managerial capacity and the applicable Agent’s and such Affiliates’ internal legal, compliance, risk management, conflicts clearance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support personnel and credit and investment committee members.</w:t>
      </w:r>
    </w:p>
    <w:p>
      <w:pPr>
        <w:spacing w:after="0" w:line="192"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means, for any day, the greater of the Federal Funds Rate and an overnight rate determined by the Administrative Agent in accordance with banking industry rules on interbank compensation.</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Borrower</w:t>
      </w:r>
      <w:r>
        <w:rPr>
          <w:rFonts w:ascii="Arial" w:cs="Arial" w:eastAsia="Arial" w:hAnsi="Arial"/>
          <w:sz w:val="16"/>
          <w:szCs w:val="16"/>
          <w:color w:val="auto"/>
        </w:rPr>
        <w:t>” has the meaning specified in the introductory paragraph to this Agreement. “</w:t>
      </w:r>
      <w:r>
        <w:rPr>
          <w:rFonts w:ascii="Arial" w:cs="Arial" w:eastAsia="Arial" w:hAnsi="Arial"/>
          <w:sz w:val="16"/>
          <w:szCs w:val="16"/>
          <w:b w:val="1"/>
          <w:bCs w:val="1"/>
          <w:color w:val="auto"/>
        </w:rPr>
        <w:t>Participant</w:t>
      </w:r>
      <w:r>
        <w:rPr>
          <w:rFonts w:ascii="Arial" w:cs="Arial" w:eastAsia="Arial" w:hAnsi="Arial"/>
          <w:sz w:val="16"/>
          <w:szCs w:val="16"/>
          <w:color w:val="auto"/>
        </w:rPr>
        <w:t>” has the meaning specified in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10.07(e).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specified in Section 10.07(e). “</w:t>
      </w:r>
      <w:r>
        <w:rPr>
          <w:rFonts w:ascii="Arial" w:cs="Arial" w:eastAsia="Arial" w:hAnsi="Arial"/>
          <w:sz w:val="18"/>
          <w:szCs w:val="18"/>
          <w:b w:val="1"/>
          <w:bCs w:val="1"/>
          <w:color w:val="auto"/>
        </w:rPr>
        <w:t>Participating Lender</w:t>
      </w:r>
      <w:r>
        <w:rPr>
          <w:rFonts w:ascii="Arial" w:cs="Arial" w:eastAsia="Arial" w:hAnsi="Arial"/>
          <w:sz w:val="18"/>
          <w:szCs w:val="18"/>
          <w:color w:val="auto"/>
        </w:rPr>
        <w:t>” has the meaning</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2.05(a)(v)(C)(2). “</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1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Pension Plan</w:t>
      </w:r>
      <w:r>
        <w:rPr>
          <w:rFonts w:ascii="Arial" w:cs="Arial" w:eastAsia="Arial" w:hAnsi="Arial"/>
          <w:sz w:val="16"/>
          <w:szCs w:val="16"/>
          <w:color w:val="auto"/>
        </w:rPr>
        <w:t>” means any “employee pension benefit plan” (as such term is defined in Section 3(2) of ERISA), other than a Multiemployer Plan, that is subject to Title IV of ERISA or Section 412 of the Code or Section 302 of ERISA and is sponsored or maintained by any Loan Party or any ERISA Affiliate or to which any Loan Party or any ERISA Affiliate contributes or has an obligation to contribute, or in the case of a multiple employer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 other plan described in Section 4064(a) of ERISA, has made contributions at any time during the immediately preceding five (5) plan years.</w:t>
      </w:r>
    </w:p>
    <w:p>
      <w:pPr>
        <w:spacing w:after="0" w:line="217"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any Investment of the type described in clause (3) of the definition of “Permitted Investments” or any acquisition of assets constituting a business unit, book of business, line of business or division of, or all or substantially all of the assets of another Person or any Equity Interests in a Person that becomes a Restricted Subsidiary, in each case, to the extent constituting a Permitted Investment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permitted under Section 7.06.</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Holder</w:t>
      </w:r>
      <w:r>
        <w:rPr>
          <w:rFonts w:ascii="Arial" w:cs="Arial" w:eastAsia="Arial" w:hAnsi="Arial"/>
          <w:sz w:val="16"/>
          <w:szCs w:val="16"/>
          <w:color w:val="auto"/>
        </w:rPr>
        <w:t>” means any of (i) any Management Stockholder, (ii) any Permitted Transferee of any of the foregoing Persons and (iii) any “group” (within the meaning of Section 13(d) or Section 14(d) of the Exchange Act as in effect on the Closing Date) of which any of the foregoing</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are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such “group” and without giving effect to the existence of such “group” or any other “group,” such Persons specified in clauses (i) or (ii) above, collectively, have beneficial ownership, directly or indirectly, of more than 50%</w:t>
      </w:r>
    </w:p>
    <w:p>
      <w:pPr>
        <w:sectPr>
          <w:pgSz w:w="11900" w:h="16838" w:orient="portrait"/>
          <w:cols w:equalWidth="0" w:num="1">
            <w:col w:w="10920"/>
          </w:cols>
          <w:pgMar w:left="480" w:top="1440" w:right="499" w:bottom="1440" w:gutter="0" w:footer="0" w:header="0"/>
        </w:sectPr>
      </w:pPr>
    </w:p>
    <w:bookmarkStart w:id="93" w:name="page94"/>
    <w:bookmarkEnd w:id="93"/>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of the aggregate ordinary voting power represented by the issued and outstanding Equity Interests of the Parent Borrower held by such “group”.</w:t>
      </w:r>
    </w:p>
    <w:p>
      <w:pPr>
        <w:spacing w:after="0" w:line="2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229" w:lineRule="exact"/>
        <w:rPr>
          <w:sz w:val="20"/>
          <w:szCs w:val="20"/>
          <w:color w:val="auto"/>
        </w:rPr>
      </w:pPr>
    </w:p>
    <w:p>
      <w:pPr>
        <w:jc w:val="both"/>
        <w:ind w:left="640" w:right="20" w:firstLine="648"/>
        <w:spacing w:after="0" w:line="216" w:lineRule="auto"/>
        <w:tabs>
          <w:tab w:leader="none" w:pos="17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any Investment by the Parent Borrower or any of its Restricted Subsidiaries in the Parent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Investment by the Loan Parties in Non-Loan Parties pursuant to this clause (1) shall be (x) made in the ordinary course of business or (y) otherwise, shall not exceed an aggregate amount equal to the greater of (x) $90,000,000 and (y) 35.0% of Trailing Four Quarter Consolidated EBITDA (with the amount of each Investment and Consolidated EBITDA being measured at the time such Investment is made and without giving effect to subsequent changes in value, but subject to adjustment as set forth in the definition of Investment);</w:t>
      </w:r>
    </w:p>
    <w:p>
      <w:pPr>
        <w:spacing w:after="0" w:line="205" w:lineRule="exact"/>
        <w:rPr>
          <w:rFonts w:ascii="Arial" w:cs="Arial" w:eastAsia="Arial" w:hAnsi="Arial"/>
          <w:sz w:val="18"/>
          <w:szCs w:val="18"/>
          <w:color w:val="auto"/>
        </w:rPr>
      </w:pPr>
    </w:p>
    <w:p>
      <w:pPr>
        <w:ind w:left="1800" w:hanging="512"/>
        <w:spacing w:after="0"/>
        <w:tabs>
          <w:tab w:leader="none" w:pos="1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Investment in assets that were cash, Cash Equivalents or Investment Grade Securities when such Investment was made;</w:t>
      </w:r>
    </w:p>
    <w:p>
      <w:pPr>
        <w:spacing w:after="0" w:line="248" w:lineRule="exact"/>
        <w:rPr>
          <w:rFonts w:ascii="Arial" w:cs="Arial" w:eastAsia="Arial" w:hAnsi="Arial"/>
          <w:sz w:val="16"/>
          <w:szCs w:val="16"/>
          <w:color w:val="auto"/>
        </w:rPr>
      </w:pPr>
    </w:p>
    <w:p>
      <w:pPr>
        <w:jc w:val="both"/>
        <w:ind w:left="640" w:firstLine="648"/>
        <w:spacing w:after="0" w:line="223" w:lineRule="auto"/>
        <w:tabs>
          <w:tab w:leader="none" w:pos="17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Investment by the Parent Borrower or any of its Restricted Subsidiaries in a Person (including, to the extent constituting an Investment in assets of a Person that represents substantially all of its assets or a division, business unit, book of business, line of business or product line of such Person) that is engaged (directly or through entities that will be Restricted Subsidiaries) in a business permitted pursuant to Section 7.07, in each case, if as a result of such Investment:</w:t>
      </w:r>
    </w:p>
    <w:p>
      <w:pPr>
        <w:spacing w:after="0" w:line="189" w:lineRule="exact"/>
        <w:rPr>
          <w:rFonts w:ascii="Arial" w:cs="Arial" w:eastAsia="Arial" w:hAnsi="Arial"/>
          <w:sz w:val="18"/>
          <w:szCs w:val="18"/>
          <w:color w:val="auto"/>
        </w:rPr>
      </w:pPr>
    </w:p>
    <w:p>
      <w:pPr>
        <w:ind w:left="2580" w:hanging="556"/>
        <w:spacing w:after="0"/>
        <w:tabs>
          <w:tab w:leader="none" w:pos="25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such Person becomes a Restricted Subsidiary; or</w:t>
      </w:r>
    </w:p>
    <w:p>
      <w:pPr>
        <w:spacing w:after="0" w:line="225" w:lineRule="exact"/>
        <w:rPr>
          <w:rFonts w:ascii="Arial" w:cs="Arial" w:eastAsia="Arial" w:hAnsi="Arial"/>
          <w:sz w:val="18"/>
          <w:szCs w:val="18"/>
          <w:color w:val="auto"/>
        </w:rPr>
      </w:pPr>
    </w:p>
    <w:p>
      <w:pPr>
        <w:jc w:val="both"/>
        <w:ind w:left="1280" w:firstLine="694"/>
        <w:spacing w:after="0" w:line="223" w:lineRule="auto"/>
        <w:tabs>
          <w:tab w:leader="none" w:pos="2432"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such Person, in one transaction or a series of related transactions, is amalgamated, merged or consolidated with (to the extent such Person is a Restricted Subsidiary), merged or consolidated into, or transfers or conveys substantially all of its assets (or such division, line of business, book of business, business unit or product line) to, or is liquidated into, the Parent Borrower or any of its Restricted Subsidiaries;</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 xml:space="preserve">and, in each case, any Investment held by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Investment was not acquired by such Person in</w:t>
      </w:r>
    </w:p>
    <w:p>
      <w:pPr>
        <w:spacing w:after="0" w:line="10" w:lineRule="exact"/>
        <w:rPr>
          <w:sz w:val="20"/>
          <w:szCs w:val="20"/>
          <w:color w:val="auto"/>
        </w:rPr>
      </w:pPr>
    </w:p>
    <w:p>
      <w:pPr>
        <w:jc w:val="both"/>
        <w:ind w:left="640" w:right="20"/>
        <w:spacing w:after="0" w:line="234" w:lineRule="auto"/>
        <w:rPr>
          <w:sz w:val="20"/>
          <w:szCs w:val="20"/>
          <w:color w:val="auto"/>
        </w:rPr>
      </w:pPr>
      <w:r>
        <w:rPr>
          <w:rFonts w:ascii="Arial" w:cs="Arial" w:eastAsia="Arial" w:hAnsi="Arial"/>
          <w:sz w:val="16"/>
          <w:szCs w:val="16"/>
          <w:color w:val="auto"/>
        </w:rPr>
        <w:t xml:space="preserve">contemplation of such amalgamation, merger, consolidation, transfer, conveyance or liquidation;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Investments by Loan Parties pursuant to this clause (3) in assets (other than Equity Interests) that are not (or do not become at the time of such acquisition) directly owned by a Loan Party or in Equity Interests of Persons that do not become Loan Parties, shall not exceed the</w:t>
      </w:r>
    </w:p>
    <w:p>
      <w:pPr>
        <w:spacing w:after="0" w:line="2" w:lineRule="exact"/>
        <w:rPr>
          <w:sz w:val="20"/>
          <w:szCs w:val="20"/>
          <w:color w:val="auto"/>
        </w:rPr>
      </w:pPr>
    </w:p>
    <w:p>
      <w:pPr>
        <w:jc w:val="both"/>
        <w:ind w:left="640" w:right="20"/>
        <w:spacing w:after="0" w:line="234" w:lineRule="auto"/>
        <w:rPr>
          <w:sz w:val="20"/>
          <w:szCs w:val="20"/>
          <w:color w:val="auto"/>
        </w:rPr>
      </w:pPr>
      <w:r>
        <w:rPr>
          <w:rFonts w:ascii="Arial" w:cs="Arial" w:eastAsia="Arial" w:hAnsi="Arial"/>
          <w:sz w:val="16"/>
          <w:szCs w:val="16"/>
          <w:color w:val="auto"/>
        </w:rPr>
        <w:t xml:space="preserve">greater of $40,000,000 and 15.0% of Trailing Four Quarter Consolidated EBITDA;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 if any acquisition of Equity Interests made pursuant to this clause (3) is in connection with a Permitted Acquisition of a Person (or Persons) pursuant to which greater than 60% of the Consolidated EBITDA attributable to such Person (or Persons) is directly generated by such Person (or Persons) that become Guarantors,</w:t>
      </w:r>
    </w:p>
    <w:p>
      <w:pPr>
        <w:spacing w:after="0" w:line="2" w:lineRule="exact"/>
        <w:rPr>
          <w:sz w:val="20"/>
          <w:szCs w:val="20"/>
          <w:color w:val="auto"/>
        </w:rPr>
      </w:pPr>
    </w:p>
    <w:p>
      <w:pPr>
        <w:jc w:val="both"/>
        <w:ind w:left="640" w:right="20"/>
        <w:spacing w:after="0" w:line="231" w:lineRule="auto"/>
        <w:rPr>
          <w:sz w:val="20"/>
          <w:szCs w:val="20"/>
          <w:color w:val="auto"/>
        </w:rPr>
      </w:pPr>
      <w:r>
        <w:rPr>
          <w:rFonts w:ascii="Arial" w:cs="Arial" w:eastAsia="Arial" w:hAnsi="Arial"/>
          <w:sz w:val="17"/>
          <w:szCs w:val="17"/>
          <w:color w:val="auto"/>
        </w:rPr>
        <w:t xml:space="preserve">then the provisions set forth in this proviso shall not apply;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Investment made pursuant to this proviso is in Equity Interests of a Person that subsequently becomes a Loan Party, such Investment shall thereafter be deemed permitted under clause (1) (without giving effect to the proviso thereto) and shall not be included as having been made pursuant to this clause (3);</w:t>
      </w:r>
    </w:p>
    <w:p>
      <w:pPr>
        <w:spacing w:after="0" w:line="203" w:lineRule="exact"/>
        <w:rPr>
          <w:sz w:val="20"/>
          <w:szCs w:val="20"/>
          <w:color w:val="auto"/>
        </w:rPr>
      </w:pPr>
    </w:p>
    <w:p>
      <w:pPr>
        <w:ind w:left="640" w:right="20" w:firstLine="648"/>
        <w:spacing w:after="0" w:line="235" w:lineRule="auto"/>
        <w:tabs>
          <w:tab w:leader="none" w:pos="17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Investment in securities or other assets not constituting Cash Equivalents and received in connection with a Disposition made pursuant to Section 7.05 hereof;</w:t>
      </w:r>
    </w:p>
    <w:p>
      <w:pPr>
        <w:spacing w:after="0" w:line="202" w:lineRule="exact"/>
        <w:rPr>
          <w:rFonts w:ascii="Arial" w:cs="Arial" w:eastAsia="Arial" w:hAnsi="Arial"/>
          <w:sz w:val="18"/>
          <w:szCs w:val="18"/>
          <w:color w:val="auto"/>
        </w:rPr>
      </w:pPr>
    </w:p>
    <w:p>
      <w:pPr>
        <w:jc w:val="both"/>
        <w:ind w:left="640" w:right="20" w:firstLine="648"/>
        <w:spacing w:after="0" w:line="222" w:lineRule="auto"/>
        <w:tabs>
          <w:tab w:leader="none" w:pos="17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any Investment (a) made in connection with the Transactions; or (b) existing on the Closing Date or made pursuant to binding commitments in effect on the Closing Date, in each case under this clause (b) as listed under Schedule 1.01E, or an Investment consisting of any extension, modification, replacement, renewal or reinvestment of any such Investment or binding commitment existing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Investment or binding commitment may only be increased (i) as required by the terms of such Investment or binding commitment as in existence on the</w:t>
      </w:r>
    </w:p>
    <w:p>
      <w:pPr>
        <w:sectPr>
          <w:pgSz w:w="11900" w:h="16838" w:orient="portrait"/>
          <w:cols w:equalWidth="0" w:num="1">
            <w:col w:w="10900"/>
          </w:cols>
          <w:pgMar w:left="480" w:top="1440" w:right="519" w:bottom="1440" w:gutter="0" w:footer="0" w:header="0"/>
        </w:sectPr>
      </w:pPr>
    </w:p>
    <w:bookmarkStart w:id="94" w:name="page95"/>
    <w:bookmarkEnd w:id="94"/>
    <w:p>
      <w:pPr>
        <w:spacing w:after="0" w:line="21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Closing Date (including as a result of the accrual or accretion of interest or OID or the issuance of pay-in- kind securities) or (ii) as otherwise permitted under this Agreement;</w:t>
      </w:r>
    </w:p>
    <w:p>
      <w:pPr>
        <w:spacing w:after="0" w:line="202" w:lineRule="exact"/>
        <w:rPr>
          <w:sz w:val="20"/>
          <w:szCs w:val="20"/>
          <w:color w:val="auto"/>
        </w:rPr>
      </w:pPr>
    </w:p>
    <w:p>
      <w:pPr>
        <w:ind w:left="1300" w:hanging="65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Investment acquired by the Parent Borrower or any of its Restricted Subsidiaries:</w:t>
      </w:r>
    </w:p>
    <w:p>
      <w:pPr>
        <w:spacing w:after="0" w:line="225" w:lineRule="exact"/>
        <w:rPr>
          <w:rFonts w:ascii="Arial" w:cs="Arial" w:eastAsia="Arial" w:hAnsi="Arial"/>
          <w:sz w:val="18"/>
          <w:szCs w:val="18"/>
          <w:color w:val="auto"/>
        </w:rPr>
      </w:pPr>
    </w:p>
    <w:p>
      <w:pPr>
        <w:jc w:val="both"/>
        <w:ind w:left="640" w:right="40" w:firstLine="744"/>
        <w:spacing w:after="0" w:line="223" w:lineRule="auto"/>
        <w:tabs>
          <w:tab w:leader="none" w:pos="179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exchange for any other Investment, accounts receivable or endorsements for collection or deposit held by any the Parent Borrower or any such Restricted Subsidiary in connection with or as a result of a bankruptcy, workout, reorganization or recapitalization of, or settlement of delinquent accounts and disputes with or judgments against, the issuer of such other Investment or accounts receivable (including any trade creditor or customer); or</w:t>
      </w:r>
    </w:p>
    <w:p>
      <w:pPr>
        <w:spacing w:after="0" w:line="189" w:lineRule="exact"/>
        <w:rPr>
          <w:rFonts w:ascii="Arial" w:cs="Arial" w:eastAsia="Arial" w:hAnsi="Arial"/>
          <w:sz w:val="18"/>
          <w:szCs w:val="18"/>
          <w:color w:val="auto"/>
        </w:rPr>
      </w:pPr>
    </w:p>
    <w:p>
      <w:pPr>
        <w:ind w:left="1940" w:hanging="605"/>
        <w:spacing w:after="0"/>
        <w:tabs>
          <w:tab w:leader="none" w:pos="1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satisfaction of judgments against other Persons; or</w:t>
      </w:r>
    </w:p>
    <w:p>
      <w:pPr>
        <w:spacing w:after="0" w:line="225" w:lineRule="exact"/>
        <w:rPr>
          <w:rFonts w:ascii="Arial" w:cs="Arial" w:eastAsia="Arial" w:hAnsi="Arial"/>
          <w:sz w:val="18"/>
          <w:szCs w:val="18"/>
          <w:color w:val="auto"/>
        </w:rPr>
      </w:pPr>
    </w:p>
    <w:p>
      <w:pPr>
        <w:ind w:left="640" w:right="40" w:firstLine="645"/>
        <w:spacing w:after="0" w:line="246" w:lineRule="auto"/>
        <w:tabs>
          <w:tab w:leader="none" w:pos="179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as a result of a foreclosure by the Parent Borrower or any of its Restricted Subsidiaries with respect to any secured Investment or other transfer of title with respect to any secured Investment in default; or</w:t>
      </w:r>
    </w:p>
    <w:p>
      <w:pPr>
        <w:spacing w:after="0" w:line="196" w:lineRule="exact"/>
        <w:rPr>
          <w:rFonts w:ascii="Arial" w:cs="Arial" w:eastAsia="Arial" w:hAnsi="Arial"/>
          <w:sz w:val="18"/>
          <w:szCs w:val="18"/>
          <w:color w:val="auto"/>
        </w:rPr>
      </w:pPr>
    </w:p>
    <w:p>
      <w:pPr>
        <w:ind w:left="1800" w:hanging="504"/>
        <w:spacing w:after="0"/>
        <w:tabs>
          <w:tab w:leader="none" w:pos="18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as a result of the settlement, compromise or resolution of litigation, arbitration or other disputes with Persons who are</w:t>
      </w:r>
    </w:p>
    <w:p>
      <w:pPr>
        <w:spacing w:after="0" w:line="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not Affiliates;</w:t>
      </w:r>
    </w:p>
    <w:p>
      <w:pPr>
        <w:spacing w:after="0" w:line="209" w:lineRule="exact"/>
        <w:rPr>
          <w:rFonts w:ascii="Arial" w:cs="Arial" w:eastAsia="Arial" w:hAnsi="Arial"/>
          <w:sz w:val="16"/>
          <w:szCs w:val="16"/>
          <w:color w:val="auto"/>
        </w:rPr>
      </w:pPr>
    </w:p>
    <w:p>
      <w:pPr>
        <w:ind w:right="40" w:firstLine="648"/>
        <w:spacing w:after="0" w:line="235"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in Swap Contracts permitted under Section 7.03(f), Cash Management Services permitted under Section 7.03(l) and ABL Banking Services Obligations (as defined in the ABL Intercreditor Agreement);</w:t>
      </w:r>
    </w:p>
    <w:p>
      <w:pPr>
        <w:spacing w:after="0" w:line="202" w:lineRule="exact"/>
        <w:rPr>
          <w:rFonts w:ascii="Arial" w:cs="Arial" w:eastAsia="Arial" w:hAnsi="Arial"/>
          <w:sz w:val="18"/>
          <w:szCs w:val="18"/>
          <w:color w:val="auto"/>
        </w:rPr>
      </w:pPr>
    </w:p>
    <w:p>
      <w:pPr>
        <w:ind w:left="1300" w:hanging="65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distributions or payments of Securitization Fees;</w:t>
      </w:r>
    </w:p>
    <w:p>
      <w:pPr>
        <w:spacing w:after="0" w:line="225" w:lineRule="exact"/>
        <w:rPr>
          <w:rFonts w:ascii="Arial" w:cs="Arial" w:eastAsia="Arial" w:hAnsi="Arial"/>
          <w:sz w:val="18"/>
          <w:szCs w:val="18"/>
          <w:color w:val="auto"/>
        </w:rPr>
      </w:pPr>
    </w:p>
    <w:p>
      <w:pPr>
        <w:jc w:val="both"/>
        <w:ind w:right="40" w:firstLine="648"/>
        <w:spacing w:after="0" w:line="229"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(other than Disqualified Equity Interests) of the Parent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Equity Interests will not increase the amount available for Restricted Payments under Section 7.06(a)(iii) and may not be designated an Excluded Contribution;</w:t>
      </w:r>
    </w:p>
    <w:p>
      <w:pPr>
        <w:spacing w:after="0" w:line="204" w:lineRule="exact"/>
        <w:rPr>
          <w:rFonts w:ascii="Arial" w:cs="Arial" w:eastAsia="Arial" w:hAnsi="Arial"/>
          <w:sz w:val="18"/>
          <w:szCs w:val="18"/>
          <w:color w:val="auto"/>
        </w:rPr>
      </w:pPr>
    </w:p>
    <w:p>
      <w:pPr>
        <w:jc w:val="both"/>
        <w:ind w:right="20" w:firstLine="648"/>
        <w:spacing w:after="0" w:line="224"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guarantees of Indebtedness which guarantees are permitted under Section 7.03, performance guarantees, guarantees of obligations other than Indebtedness and Contingent Obligations incurred in the ordinary course of business and the creation of Liens on the assets of the Parent Borrower or any of its Restricted Subsidiaries in compliance with Section 7.01;</w:t>
      </w:r>
    </w:p>
    <w:p>
      <w:pPr>
        <w:spacing w:after="0" w:line="189" w:lineRule="exact"/>
        <w:rPr>
          <w:rFonts w:ascii="Arial" w:cs="Arial" w:eastAsia="Arial" w:hAnsi="Arial"/>
          <w:sz w:val="18"/>
          <w:szCs w:val="18"/>
          <w:color w:val="auto"/>
        </w:rPr>
      </w:pPr>
    </w:p>
    <w:p>
      <w:pPr>
        <w:ind w:right="20" w:firstLine="648"/>
        <w:spacing w:after="0" w:line="274" w:lineRule="auto"/>
        <w:tabs>
          <w:tab w:leader="none" w:pos="114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transaction to the extent it constitutes an Investment that is permitted by and made in accordance with the provisions of Section 7.08 (except transactions described in clauses (a), (b), (f), (g), (j), (n), (q), (s), (w), (y) and (z) of such Section);</w:t>
      </w:r>
    </w:p>
    <w:p>
      <w:pPr>
        <w:spacing w:after="0" w:line="174" w:lineRule="exact"/>
        <w:rPr>
          <w:rFonts w:ascii="Arial" w:cs="Arial" w:eastAsia="Arial" w:hAnsi="Arial"/>
          <w:sz w:val="17"/>
          <w:szCs w:val="17"/>
          <w:color w:val="auto"/>
        </w:rPr>
      </w:pPr>
    </w:p>
    <w:p>
      <w:pPr>
        <w:ind w:right="40" w:firstLine="648"/>
        <w:spacing w:after="0" w:line="235"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consisting of purchases or other acquisitions of inventory, supplies, services, material or equipment or the licensing or contribution of intellectual property pursuant to customary joint marketing arrangements with other Persons;</w:t>
      </w:r>
    </w:p>
    <w:p>
      <w:pPr>
        <w:spacing w:after="0" w:line="202" w:lineRule="exact"/>
        <w:rPr>
          <w:rFonts w:ascii="Arial" w:cs="Arial" w:eastAsia="Arial" w:hAnsi="Arial"/>
          <w:sz w:val="18"/>
          <w:szCs w:val="18"/>
          <w:color w:val="auto"/>
        </w:rPr>
      </w:pPr>
    </w:p>
    <w:p>
      <w:pPr>
        <w:jc w:val="both"/>
        <w:ind w:firstLine="648"/>
        <w:spacing w:after="0" w:line="229" w:lineRule="auto"/>
        <w:tabs>
          <w:tab w:leader="none" w:pos="11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Investments taken together with all other Investments made pursuant to this clause (13) (without giving effect to the sale of an Unrestricted Subsidiary to the extent the proceeds of such sale do not consist of, or have not been subsequently sold or transferred for, cash, Cash Equivalents or marketable securities) not to exceed the sum of (I) the greater of (x) $130,000,000 and (y) 50.0% of Trailing Four Quarter Consolidated EBITDA and (II) unused amounts under clause (26) below and Section 7.06(b)(xxiii) (with the amount of each Investment and Trailing Four Quarter Consolidated EBITDA being measured at the time such Investment is made and without giving effect to subsequent changes in value but subject to adjustment as set forth in the definition of Investment);</w:t>
      </w:r>
    </w:p>
    <w:p>
      <w:pPr>
        <w:sectPr>
          <w:pgSz w:w="11900" w:h="16838" w:orient="portrait"/>
          <w:cols w:equalWidth="0" w:num="1">
            <w:col w:w="10280"/>
          </w:cols>
          <w:pgMar w:left="1120" w:top="1440" w:right="499" w:bottom="1440" w:gutter="0" w:footer="0" w:header="0"/>
        </w:sectPr>
      </w:pPr>
    </w:p>
    <w:bookmarkStart w:id="95" w:name="page96"/>
    <w:bookmarkEnd w:id="95"/>
    <w:p>
      <w:pPr>
        <w:spacing w:after="0" w:line="211" w:lineRule="exact"/>
        <w:rPr>
          <w:sz w:val="20"/>
          <w:szCs w:val="20"/>
          <w:color w:val="auto"/>
        </w:rPr>
      </w:pPr>
    </w:p>
    <w:p>
      <w:pPr>
        <w:jc w:val="both"/>
        <w:ind w:right="40" w:firstLine="648"/>
        <w:spacing w:after="0" w:line="224"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in, or by, a Securitization Subsidiary that, in the good faith determination of the Administrative Borrower are necessary or advisable to effect any Qualified Securitization Financing or any purchases of Securitization Assets pursuant to a Securitization Repurchase Obligation in connection with a Qualified Securitization Financing;</w:t>
      </w:r>
    </w:p>
    <w:p>
      <w:pPr>
        <w:spacing w:after="0" w:line="203" w:lineRule="exact"/>
        <w:rPr>
          <w:rFonts w:ascii="Arial" w:cs="Arial" w:eastAsia="Arial" w:hAnsi="Arial"/>
          <w:sz w:val="18"/>
          <w:szCs w:val="18"/>
          <w:color w:val="auto"/>
        </w:rPr>
      </w:pPr>
    </w:p>
    <w:p>
      <w:pPr>
        <w:ind w:right="40" w:firstLine="648"/>
        <w:spacing w:after="0" w:line="216"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loans and advances to, or guarantees of Indebtedness of, any future, present or former officers, directors, employees, independent contractors, consultants, advisors, service providers and members of management (or their Controlled Investment Affiliates or Immediate Family Members) of the Parent Borrower or any of its Restricted Subsidiaries in an aggregate amount not to exceed the greater of $19,000,000 and 7.50% of Trailing Four Quarter Consolidated EBITDA (with the amount of each Investment being measured at the time such Investment is made and without giving effect to subsequent changes in value, but subject to adjustment as set forth in the definition of Investment);</w:t>
      </w:r>
    </w:p>
    <w:p>
      <w:pPr>
        <w:spacing w:after="0" w:line="205" w:lineRule="exact"/>
        <w:rPr>
          <w:rFonts w:ascii="Arial" w:cs="Arial" w:eastAsia="Arial" w:hAnsi="Arial"/>
          <w:sz w:val="18"/>
          <w:szCs w:val="18"/>
          <w:color w:val="auto"/>
        </w:rPr>
      </w:pPr>
    </w:p>
    <w:p>
      <w:pPr>
        <w:jc w:val="both"/>
        <w:ind w:firstLine="648"/>
        <w:spacing w:after="0" w:line="242" w:lineRule="auto"/>
        <w:tabs>
          <w:tab w:leader="none" w:pos="11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loans and advances to or notes received from (i) employees, directors, officers, independent contractors, members of management, managers, advisors, service providers and consultants of the Parent Borrower or any of its Restricted Subsidiaries for business-related travel expenses, entertainment expenses, moving expenses and other similar expenses or payroll advances, in each case incurred in the ordinary course of business or consistent with past practices or (ii) future, present and former employees, directors, officers, independent contractors, members of management, managers, advisors, service providers and consultants of the Parent Borrower or any of its Restricted Subsidiaries and, in each of the cases in clause (ii), their Controlled Investment Affiliates and Immediate Family Members, to fund such Person’s purchase of Equity Interests of the Parent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loans or advances are made in cash, the amount of such loans and advances used to acquire such Equity Interest shall be contributed to such Borrower in cash as common equity;</w:t>
      </w:r>
    </w:p>
    <w:p>
      <w:pPr>
        <w:spacing w:after="0" w:line="189" w:lineRule="exact"/>
        <w:rPr>
          <w:rFonts w:ascii="Arial" w:cs="Arial" w:eastAsia="Arial" w:hAnsi="Arial"/>
          <w:sz w:val="16"/>
          <w:szCs w:val="16"/>
          <w:color w:val="auto"/>
        </w:rPr>
      </w:pPr>
    </w:p>
    <w:p>
      <w:pPr>
        <w:ind w:left="1160" w:hanging="512"/>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advances, loans or extensions of trade credit in the ordinary course of business by the Parent Borrower or any of its Restricted</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09" w:lineRule="exact"/>
        <w:rPr>
          <w:rFonts w:ascii="Arial" w:cs="Arial" w:eastAsia="Arial" w:hAnsi="Arial"/>
          <w:sz w:val="16"/>
          <w:szCs w:val="16"/>
          <w:color w:val="auto"/>
        </w:rPr>
      </w:pPr>
    </w:p>
    <w:p>
      <w:pPr>
        <w:ind w:right="40" w:firstLine="648"/>
        <w:spacing w:after="0" w:line="235"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w:t>
      </w:r>
    </w:p>
    <w:p>
      <w:pPr>
        <w:spacing w:after="0" w:line="202" w:lineRule="exact"/>
        <w:rPr>
          <w:rFonts w:ascii="Arial" w:cs="Arial" w:eastAsia="Arial" w:hAnsi="Arial"/>
          <w:sz w:val="18"/>
          <w:szCs w:val="18"/>
          <w:color w:val="auto"/>
        </w:rPr>
      </w:pPr>
    </w:p>
    <w:p>
      <w:pPr>
        <w:ind w:left="1160" w:hanging="512"/>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w:t>
      </w:r>
    </w:p>
    <w:p>
      <w:pPr>
        <w:spacing w:after="0" w:line="225" w:lineRule="exact"/>
        <w:rPr>
          <w:rFonts w:ascii="Arial" w:cs="Arial" w:eastAsia="Arial" w:hAnsi="Arial"/>
          <w:sz w:val="18"/>
          <w:szCs w:val="18"/>
          <w:color w:val="auto"/>
        </w:rPr>
      </w:pPr>
    </w:p>
    <w:p>
      <w:pPr>
        <w:ind w:left="1160" w:hanging="512"/>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Investments made in the ordinary course of business in connection with obtaining, maintaining or renewing client contacts;</w:t>
      </w:r>
    </w:p>
    <w:p>
      <w:pPr>
        <w:spacing w:after="0" w:line="248" w:lineRule="exact"/>
        <w:rPr>
          <w:rFonts w:ascii="Arial" w:cs="Arial" w:eastAsia="Arial" w:hAnsi="Arial"/>
          <w:sz w:val="16"/>
          <w:szCs w:val="16"/>
          <w:color w:val="auto"/>
        </w:rPr>
      </w:pPr>
    </w:p>
    <w:p>
      <w:pPr>
        <w:ind w:right="40" w:firstLine="648"/>
        <w:spacing w:after="0" w:line="274" w:lineRule="auto"/>
        <w:tabs>
          <w:tab w:leader="none" w:pos="1152"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Investments in prepaid expenses, negotiable instruments held for collection and lease, utility and workers compensation, performance and similar deposits entered into as a result of the operations of the business in the ordinary course of business;</w:t>
      </w:r>
    </w:p>
    <w:p>
      <w:pPr>
        <w:spacing w:after="0" w:line="161" w:lineRule="exact"/>
        <w:rPr>
          <w:rFonts w:ascii="Arial" w:cs="Arial" w:eastAsia="Arial" w:hAnsi="Arial"/>
          <w:sz w:val="17"/>
          <w:szCs w:val="17"/>
          <w:color w:val="auto"/>
        </w:rPr>
      </w:pPr>
    </w:p>
    <w:p>
      <w:pPr>
        <w:ind w:right="20" w:firstLine="648"/>
        <w:spacing w:after="0" w:line="235"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Article 4 customary trade arrangements with customers consistent with industry practices;</w:t>
      </w:r>
    </w:p>
    <w:p>
      <w:pPr>
        <w:spacing w:after="0" w:line="202" w:lineRule="exact"/>
        <w:rPr>
          <w:rFonts w:ascii="Arial" w:cs="Arial" w:eastAsia="Arial" w:hAnsi="Arial"/>
          <w:sz w:val="18"/>
          <w:szCs w:val="18"/>
          <w:color w:val="auto"/>
        </w:rPr>
      </w:pPr>
    </w:p>
    <w:p>
      <w:pPr>
        <w:jc w:val="both"/>
        <w:ind w:right="40" w:firstLine="648"/>
        <w:spacing w:after="0" w:line="223"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Investment by any Captive Insurance Subsidiary in connection with its provision of insurance to the Parent Borrower or any of its Subsidiaries, which Investment is made in the ordinary course of business of such Captive Insurance Subsidiary, or by reason of applicable law, rule, regulation or order, or that is required or approved by any regulatory authority having jurisdiction over such Captive Insurance Subsidiary or its respective business, as applicable;</w:t>
      </w:r>
    </w:p>
    <w:p>
      <w:pPr>
        <w:spacing w:after="0" w:line="189" w:lineRule="exact"/>
        <w:rPr>
          <w:rFonts w:ascii="Arial" w:cs="Arial" w:eastAsia="Arial" w:hAnsi="Arial"/>
          <w:sz w:val="18"/>
          <w:szCs w:val="18"/>
          <w:color w:val="auto"/>
        </w:rPr>
      </w:pPr>
    </w:p>
    <w:p>
      <w:pPr>
        <w:ind w:right="40" w:firstLine="648"/>
        <w:spacing w:after="0" w:line="235"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consisting of promissory notes and other deferred payment obligations and noncash consideration delivered as the purchase consideration for a Disposition permitted by Section 7.05;</w:t>
      </w:r>
    </w:p>
    <w:p>
      <w:pPr>
        <w:sectPr>
          <w:pgSz w:w="11900" w:h="16838" w:orient="portrait"/>
          <w:cols w:equalWidth="0" w:num="1">
            <w:col w:w="10280"/>
          </w:cols>
          <w:pgMar w:left="1120" w:top="1440" w:right="499" w:bottom="1440" w:gutter="0" w:footer="0" w:header="0"/>
        </w:sectPr>
      </w:pPr>
    </w:p>
    <w:bookmarkStart w:id="96" w:name="page97"/>
    <w:bookmarkEnd w:id="96"/>
    <w:p>
      <w:pPr>
        <w:spacing w:after="0" w:line="211" w:lineRule="exact"/>
        <w:rPr>
          <w:sz w:val="20"/>
          <w:szCs w:val="20"/>
          <w:color w:val="auto"/>
        </w:rPr>
      </w:pPr>
    </w:p>
    <w:p>
      <w:pPr>
        <w:jc w:val="both"/>
        <w:ind w:right="20" w:firstLine="647"/>
        <w:spacing w:after="0" w:line="254" w:lineRule="auto"/>
        <w:tabs>
          <w:tab w:leader="none" w:pos="1153" w:val="left"/>
        </w:tabs>
        <w:numPr>
          <w:ilvl w:val="1"/>
          <w:numId w:val="72"/>
        </w:numPr>
        <w:rPr>
          <w:rFonts w:ascii="Arial" w:cs="Arial" w:eastAsia="Arial" w:hAnsi="Arial"/>
          <w:sz w:val="16"/>
          <w:szCs w:val="16"/>
          <w:color w:val="auto"/>
        </w:rPr>
      </w:pPr>
      <w:r>
        <w:rPr>
          <w:rFonts w:ascii="Arial" w:cs="Arial" w:eastAsia="Arial" w:hAnsi="Arial"/>
          <w:sz w:val="16"/>
          <w:szCs w:val="16"/>
          <w:color w:val="auto"/>
        </w:rPr>
        <w:t>loans and advances to any direct or indirect shareholder of the Parent Borrower in lieu of and not in excess of the amount of (after giving effect to any other loans, advances or Restricted Payments in respect thereof) Restricted Payments to the extent permitted to be made in cash to such shareholder in accordance with Section 7.06, such Investment being treated for purposes of the applicable clause of Section 7.06 at the time such loan or advance is made, including any limitations, as if a Restricted Payment made pursuant to such clause;</w:t>
      </w:r>
    </w:p>
    <w:p>
      <w:pPr>
        <w:spacing w:after="0" w:line="179" w:lineRule="exact"/>
        <w:rPr>
          <w:rFonts w:ascii="Arial" w:cs="Arial" w:eastAsia="Arial" w:hAnsi="Arial"/>
          <w:sz w:val="16"/>
          <w:szCs w:val="16"/>
          <w:color w:val="auto"/>
        </w:rPr>
      </w:pPr>
    </w:p>
    <w:p>
      <w:pPr>
        <w:jc w:val="both"/>
        <w:ind w:firstLine="647"/>
        <w:spacing w:after="0" w:line="239" w:lineRule="auto"/>
        <w:tabs>
          <w:tab w:leader="none" w:pos="1153"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any investment in a joint venture or other business permitted pursuant to Section 7.07 taken together with all other Investments made pursuant to this clause (26) (without giving effect to the sale of an Unrestricted Subsidiary to the extent the proceeds of such sale do not consist of, or have not been subsequently sold or transferred for, cash, Cash Equivalents or marketable securities) that are at that time outstanding, not to exceed the greater of (x) $90,000,000 and (y) 35.0% of Trailing Four Quarter Consolidated EBITDA (with the amount of each Investment being measured at the time made and without giving effect to subsequent changes in value, but subject to adjustment as set forth in the definition of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made pursuant to this proviso is in Equity Interests of a Person that subsequently becomes a Loan Party, such Investment shall thereafter be deemed permitted under clause</w:t>
      </w:r>
    </w:p>
    <w:p>
      <w:pPr>
        <w:spacing w:after="0" w:line="2" w:lineRule="exact"/>
        <w:rPr>
          <w:rFonts w:ascii="Arial" w:cs="Arial" w:eastAsia="Arial" w:hAnsi="Arial"/>
          <w:sz w:val="16"/>
          <w:szCs w:val="16"/>
          <w:color w:val="auto"/>
        </w:rPr>
      </w:pPr>
    </w:p>
    <w:p>
      <w:pPr>
        <w:ind w:left="260" w:hanging="260"/>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giving effect to the proviso thereto) and shall not be included as having been made pursuant to this clause (26);</w:t>
      </w:r>
    </w:p>
    <w:p>
      <w:pPr>
        <w:spacing w:after="0" w:line="209" w:lineRule="exact"/>
        <w:rPr>
          <w:rFonts w:ascii="Arial" w:cs="Arial" w:eastAsia="Arial" w:hAnsi="Arial"/>
          <w:sz w:val="18"/>
          <w:szCs w:val="18"/>
          <w:color w:val="auto"/>
        </w:rPr>
      </w:pPr>
    </w:p>
    <w:p>
      <w:pPr>
        <w:ind w:right="20" w:firstLine="648"/>
        <w:spacing w:after="0" w:line="235" w:lineRule="auto"/>
        <w:tabs>
          <w:tab w:leader="none" w:pos="1152"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Investments in deposit accounts, securities accounts and commodities accounts maintained by any Borrower or any Restricted Subsidiary, so long as such accounts are used only to maintain cash and Cash Equivalents;</w:t>
      </w:r>
    </w:p>
    <w:p>
      <w:pPr>
        <w:spacing w:after="0" w:line="202" w:lineRule="exact"/>
        <w:rPr>
          <w:rFonts w:ascii="Arial" w:cs="Arial" w:eastAsia="Arial" w:hAnsi="Arial"/>
          <w:sz w:val="18"/>
          <w:szCs w:val="18"/>
          <w:color w:val="auto"/>
        </w:rPr>
      </w:pPr>
    </w:p>
    <w:p>
      <w:pPr>
        <w:jc w:val="both"/>
        <w:ind w:right="20" w:firstLine="648"/>
        <w:spacing w:after="0" w:line="248" w:lineRule="auto"/>
        <w:tabs>
          <w:tab w:leader="none" w:pos="1152"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Investments constituting promissory notes issued by any employee or independent contractors of the Parent Borrower or any of its Restricted Subsidiaries in connection with any Permitted Acquisition permitted under this Agreement of a Person that becomes a Restricted Subsidiary as a result thereof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by the Parent Borrower or any of its Restricted Subsidiaries in which such employee or independent contractor purchases Equity Interests of the Target, which purchase is financed with funds loaned or advanced by the Parent Borrower or any of its Restricted Subsidiaries to such employee in connection with such Permitted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8.01(f)</w:t>
      </w:r>
      <w:r>
        <w:rPr>
          <w:rFonts w:ascii="Arial" w:cs="Arial" w:eastAsia="Arial" w:hAnsi="Arial"/>
          <w:sz w:val="16"/>
          <w:szCs w:val="16"/>
          <w:color w:val="auto"/>
        </w:rPr>
        <w:t xml:space="preserve"> (with respect to the Parent Borrower) has occurred and is continuing or would result therefrom;</w:t>
      </w:r>
    </w:p>
    <w:p>
      <w:pPr>
        <w:spacing w:after="0" w:line="182" w:lineRule="exact"/>
        <w:rPr>
          <w:rFonts w:ascii="Arial" w:cs="Arial" w:eastAsia="Arial" w:hAnsi="Arial"/>
          <w:sz w:val="16"/>
          <w:szCs w:val="16"/>
          <w:color w:val="auto"/>
        </w:rPr>
      </w:pPr>
    </w:p>
    <w:p>
      <w:pPr>
        <w:jc w:val="both"/>
        <w:ind w:right="20" w:firstLine="648"/>
        <w:spacing w:after="0" w:line="229" w:lineRule="auto"/>
        <w:tabs>
          <w:tab w:leader="none" w:pos="1152" w:val="left"/>
        </w:tabs>
        <w:numPr>
          <w:ilvl w:val="1"/>
          <w:numId w:val="73"/>
        </w:numPr>
        <w:rPr>
          <w:rFonts w:ascii="Arial" w:cs="Arial" w:eastAsia="Arial" w:hAnsi="Arial"/>
          <w:sz w:val="18"/>
          <w:szCs w:val="18"/>
          <w:color w:val="auto"/>
        </w:rPr>
      </w:pPr>
      <w:r>
        <w:rPr>
          <w:rFonts w:ascii="Arial" w:cs="Arial" w:eastAsia="Arial" w:hAnsi="Arial"/>
          <w:sz w:val="18"/>
          <w:szCs w:val="18"/>
          <w:color w:val="auto"/>
        </w:rPr>
        <w:t>loans and advances to employees or independent contractors of the Parent Borrower or any of its Restricted Subsidiaries so long as such loan or advance (x) constitutes an advance of one-time payment for the purpose of recruitment or retention or (y) is made for the purposes of funding of capital expenditures in the ordinary course of business;</w:t>
      </w:r>
    </w:p>
    <w:p>
      <w:pPr>
        <w:spacing w:after="0" w:line="190" w:lineRule="exact"/>
        <w:rPr>
          <w:rFonts w:ascii="Arial" w:cs="Arial" w:eastAsia="Arial" w:hAnsi="Arial"/>
          <w:sz w:val="18"/>
          <w:szCs w:val="18"/>
          <w:color w:val="auto"/>
        </w:rPr>
      </w:pPr>
    </w:p>
    <w:p>
      <w:pPr>
        <w:ind w:right="20" w:firstLine="648"/>
        <w:spacing w:after="0" w:line="235" w:lineRule="auto"/>
        <w:tabs>
          <w:tab w:leader="none" w:pos="1152"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Investments consisting of cash earnest money deposits in connection with a Permitted Acquisition or other Investment permitted hereunder;</w:t>
      </w:r>
    </w:p>
    <w:p>
      <w:pPr>
        <w:spacing w:after="0" w:line="202" w:lineRule="exact"/>
        <w:rPr>
          <w:rFonts w:ascii="Arial" w:cs="Arial" w:eastAsia="Arial" w:hAnsi="Arial"/>
          <w:sz w:val="18"/>
          <w:szCs w:val="18"/>
          <w:color w:val="auto"/>
        </w:rPr>
      </w:pPr>
    </w:p>
    <w:p>
      <w:pPr>
        <w:ind w:right="20" w:firstLine="648"/>
        <w:spacing w:after="0" w:line="246" w:lineRule="auto"/>
        <w:tabs>
          <w:tab w:leader="none" w:pos="1152" w:val="left"/>
        </w:tabs>
        <w:numPr>
          <w:ilvl w:val="1"/>
          <w:numId w:val="73"/>
        </w:numPr>
        <w:rPr>
          <w:rFonts w:ascii="Arial" w:cs="Arial" w:eastAsia="Arial" w:hAnsi="Arial"/>
          <w:sz w:val="18"/>
          <w:szCs w:val="18"/>
          <w:color w:val="auto"/>
        </w:rPr>
      </w:pPr>
      <w:r>
        <w:rPr>
          <w:rFonts w:ascii="Arial" w:cs="Arial" w:eastAsia="Arial" w:hAnsi="Arial"/>
          <w:sz w:val="18"/>
          <w:szCs w:val="18"/>
          <w:color w:val="auto"/>
        </w:rPr>
        <w:t>Loans repurchased by the Parent Borrower or a Restricted Subsidiary pursuant to and in accordance with the terms of this Agreement so long as such Loans are immediately cancelled;</w:t>
      </w:r>
    </w:p>
    <w:p>
      <w:pPr>
        <w:spacing w:after="0" w:line="196" w:lineRule="exact"/>
        <w:rPr>
          <w:rFonts w:ascii="Arial" w:cs="Arial" w:eastAsia="Arial" w:hAnsi="Arial"/>
          <w:sz w:val="18"/>
          <w:szCs w:val="18"/>
          <w:color w:val="auto"/>
        </w:rPr>
      </w:pPr>
    </w:p>
    <w:p>
      <w:pPr>
        <w:ind w:left="1160" w:hanging="512"/>
        <w:spacing w:after="0"/>
        <w:tabs>
          <w:tab w:leader="none" w:pos="11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Investments so long as the Total Net Leverage Ratio (determined on a Pro Forma Basis) is no greater than 5.00 to 1.00;</w:t>
      </w:r>
    </w:p>
    <w:p>
      <w:pPr>
        <w:spacing w:after="0" w:line="236" w:lineRule="exact"/>
        <w:rPr>
          <w:rFonts w:ascii="Arial" w:cs="Arial" w:eastAsia="Arial" w:hAnsi="Arial"/>
          <w:sz w:val="17"/>
          <w:szCs w:val="17"/>
          <w:color w:val="auto"/>
        </w:rPr>
      </w:pPr>
    </w:p>
    <w:p>
      <w:pPr>
        <w:ind w:left="1300" w:hanging="652"/>
        <w:spacing w:after="0"/>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Investments made in connection with a Permitted Reorganization; and</w:t>
      </w:r>
    </w:p>
    <w:p>
      <w:pPr>
        <w:spacing w:after="0" w:line="225" w:lineRule="exact"/>
        <w:rPr>
          <w:rFonts w:ascii="Arial" w:cs="Arial" w:eastAsia="Arial" w:hAnsi="Arial"/>
          <w:sz w:val="18"/>
          <w:szCs w:val="18"/>
          <w:color w:val="auto"/>
        </w:rPr>
      </w:pPr>
    </w:p>
    <w:p>
      <w:pPr>
        <w:ind w:right="20" w:firstLine="648"/>
        <w:spacing w:after="0" w:line="289" w:lineRule="auto"/>
        <w:tabs>
          <w:tab w:leader="none" w:pos="1152"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Investments in any Person to which any Borrower or any Restricted Subsidiary outsources operational activities or otherwise related to the outsourcing of operational activities in the ordinary course of business in an aggregate amount not to exceed $2,500,000.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Junior Secured Refinancing Debt</w:t>
      </w:r>
      <w:r>
        <w:rPr>
          <w:rFonts w:ascii="Arial" w:cs="Arial" w:eastAsia="Arial" w:hAnsi="Arial"/>
          <w:sz w:val="18"/>
          <w:szCs w:val="18"/>
          <w:color w:val="auto"/>
        </w:rPr>
        <w:t>” has the meaning specified in Section 2.15(h)(i).</w:t>
      </w:r>
    </w:p>
    <w:p>
      <w:pPr>
        <w:sectPr>
          <w:pgSz w:w="11900" w:h="16838" w:orient="portrait"/>
          <w:cols w:equalWidth="0" w:num="1">
            <w:col w:w="10260"/>
          </w:cols>
          <w:pgMar w:left="1120" w:top="1440" w:right="519" w:bottom="1440" w:gutter="0" w:footer="0" w:header="0"/>
        </w:sectPr>
      </w:pPr>
    </w:p>
    <w:bookmarkStart w:id="97" w:name="page98"/>
    <w:bookmarkEnd w:id="97"/>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Pari Passu Secured Refinancing Debt</w:t>
      </w:r>
      <w:r>
        <w:rPr>
          <w:rFonts w:ascii="Arial" w:cs="Arial" w:eastAsia="Arial" w:hAnsi="Arial"/>
          <w:sz w:val="18"/>
          <w:szCs w:val="18"/>
          <w:color w:val="auto"/>
        </w:rPr>
        <w:t>” has the meaning specified in Section 2.15(h)(i).</w:t>
      </w:r>
    </w:p>
    <w:p>
      <w:pPr>
        <w:spacing w:after="0" w:line="2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Ratio Debt</w:t>
      </w:r>
      <w:r>
        <w:rPr>
          <w:rFonts w:ascii="Arial" w:cs="Arial" w:eastAsia="Arial" w:hAnsi="Arial"/>
          <w:sz w:val="16"/>
          <w:szCs w:val="16"/>
          <w:color w:val="auto"/>
        </w:rPr>
        <w:t>” means Indebtedness (including Acquired Indebtedness) incurred or assumed, or shares of Disqualified Equity Interests issued, by the Parent Borrower or any of its Restricted Subsidiaries or shares of Preferred Stock issued by any Restricted Subsidiary if and to the extent that (i) in the case of Indebtedness secured by any Applicable Lien, the First Lien Net Leverage Ratio would have been no greater than 4.50</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1.00, (ii) in the case of Indebtedness secured by Liens on the Collateral (other than Applicable Liens), the Senior Secured Net Leverage Ratio would have been no greater than 5.75 to 1.00, or (iii) in the case of Indebtedness that is unsecured, the Fixed Charge Coverage Ratio would have been no less than 2.00 to 1.00, in each case, determined on a Pro Forma Basis with respect to the most recently ended Test Period preceding the date on which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is incurred or assumed or such Disqualified Equity Interests or Preferred Stock is issued (or, in the case of Indebtedness under Designated Revolving Commitments, on the date such Designated Revolving Commitments are established after giving Pro Forma Effect to the incurrence of the entire committed amount of Indebtedness thereunder, in which case such committed amount under such Designated Revolving Commitments may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thereafter be borrowed and reborrowed, in whole or in part, from time to time, without further compliance with Section 7.03);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Non-Loan Parties may not incur, assume, issue or guarantee Indebtedness or issue Disqualified Equity Interests or Preferred Stock the primary obligations under which is outstanding in reliance on this definition or Section 7.03(w) (to the extent initially incurred, issued or assumed under Section 7.03(s)) if, after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giving Pro Forma Effect to such incurrence, issuance, guarantee or assumption, the aggregate principal amount of Indebtedness, Disqualified Equity Interests and Preferred Stock of Non-Loan Parties the primary obligations under which are outstanding in reliance on Section 7.03(s) or Section 7.03(w) (to the extent initially incurred, issued or assumed under Section 7.03(s)) together with the aggregate principal amount of Indebtedness,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Disqualified Equity Interests and Preferred Stock of Non-Loan Parties the primary obligations under which are outstanding in reliance on (I) Section 7.03(g) or Section 7.03(w) (to the extent initially incurred, issued or assumed under Section 7.03(g)) and (II) Section 7.03(aa) or Section 7.03(w) (to the extent initially incurred, issued or assumed under Section 7.03(aa)), would exceed the greater of (x) $65,000,000 and (y) 25.0% of Trailing Four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Quarter Consolidated EBITDA, in each case determined at such time of incurrence, issuance, guarantee or assumption, </w:t>
      </w:r>
      <w:r>
        <w:rPr>
          <w:rFonts w:ascii="Arial" w:cs="Arial" w:eastAsia="Arial" w:hAnsi="Arial"/>
          <w:sz w:val="16"/>
          <w:szCs w:val="16"/>
          <w:i w:val="1"/>
          <w:iCs w:val="1"/>
          <w:color w:val="auto"/>
        </w:rPr>
        <w:t>plus</w:t>
      </w:r>
      <w:r>
        <w:rPr>
          <w:rFonts w:ascii="Arial" w:cs="Arial" w:eastAsia="Arial" w:hAnsi="Arial"/>
          <w:sz w:val="16"/>
          <w:szCs w:val="16"/>
          <w:color w:val="auto"/>
        </w:rPr>
        <w:t>, in the event of any extension, replacement, refinancing, renewal or defeasance of such Indebtedness, Disqualified Equity Interests or Preferred Stock pursuant to Section 7.03(s) or 7.03(w), the amount of any Refinancing Indebtedness incurred pursuant to Section 7.03(s) or 7.03(w) to finance (x) tender premium or</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penalty or premium required to be paid under the terms of the instrument or documents governing such Indebtedness, Disqualified Equity Interests or Preferred Stock and any defeasance costs and (y) any fees and expenses (including OID, upfront fees or similar fees) incurred in connection with the issuance of such new Indebtedness, Disqualified Equity Interests or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that any Indebtedness incurred by any Loan Party pursuant to this definition (other than (I) any Permitted Ratio Debt consisting of a customary bridge facility so long as the long-term Indebtedness into</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which such customary bridge facility is to be converted satisfies this criteria and (II) any Permitted Ratio Debt in an aggregate amount not to exceed the then available Inside Maturity Basket), as of the relevant closing date, shall not have a final scheduled maturity date earlier than the Maturity Date of Term B Loans and shall have a Weighted Average Life to Maturity not shorter than the remaining Weighted Average Life to Maturity of the Term 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Loans (prior to any extension thereto).</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Reorganization”</w:t>
      </w:r>
      <w:r>
        <w:rPr>
          <w:rFonts w:ascii="Arial" w:cs="Arial" w:eastAsia="Arial" w:hAnsi="Arial"/>
          <w:sz w:val="16"/>
          <w:szCs w:val="16"/>
          <w:color w:val="auto"/>
        </w:rPr>
        <w:t xml:space="preserve"> means any re-organization or other similar activities among the Parent Borrower and its Restricted Subsidiaries</w:t>
      </w:r>
    </w:p>
    <w:p>
      <w:pPr>
        <w:spacing w:after="0" w:line="25"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related to Tax planning and re-organization, so long as, after giving effect thereto, (a) the Loan Parties are in compliance with the Collateral and Guarantee Requirement and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6.13</w:t>
      </w:r>
      <w:r>
        <w:rPr>
          <w:rFonts w:ascii="Arial" w:cs="Arial" w:eastAsia="Arial" w:hAnsi="Arial"/>
          <w:sz w:val="16"/>
          <w:szCs w:val="16"/>
          <w:color w:val="auto"/>
        </w:rPr>
        <w:t>, (b) taken as a whole, the value of the Collateral securing the Obligations and the Guarantees by the Guarantors of the Obligations are not materially reduced, (c) the Liens in favor of the Administrative Agent for the benefit of the Secured Parties under</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the Collateral Documents are not materially impaired and (d) no Unrestricted Subsidiaries are formed except as otherwise permitted under this Agreement (other than pursuant to this term).</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Repricing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Transferees”</w:t>
      </w:r>
      <w:r>
        <w:rPr>
          <w:rFonts w:ascii="Arial" w:cs="Arial" w:eastAsia="Arial" w:hAnsi="Arial"/>
          <w:sz w:val="16"/>
          <w:szCs w:val="16"/>
          <w:color w:val="auto"/>
        </w:rPr>
        <w:t xml:space="preserve"> means, in the case of any Management Stockholder, (i) his or her executor, administrator, testamentary trustee,</w:t>
      </w:r>
    </w:p>
    <w:p>
      <w:pPr>
        <w:spacing w:after="0" w:line="25"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legatee or beneficiaries, (ii) his or her spouse (or former spouse), parents, siblings, members of his or her immediate family (including adopted children and step children) and/or direct lineal</w:t>
      </w:r>
    </w:p>
    <w:p>
      <w:pPr>
        <w:sectPr>
          <w:pgSz w:w="11900" w:h="16838" w:orient="portrait"/>
          <w:cols w:equalWidth="0" w:num="1">
            <w:col w:w="10920"/>
          </w:cols>
          <w:pgMar w:left="480" w:top="1440" w:right="499" w:bottom="1440" w:gutter="0" w:footer="0" w:header="0"/>
        </w:sectPr>
      </w:pPr>
    </w:p>
    <w:bookmarkStart w:id="98" w:name="page99"/>
    <w:bookmarkEnd w:id="98"/>
    <w:p>
      <w:pPr>
        <w:spacing w:after="0" w:line="21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descendants or (iii) a trust, the beneficiaries of which, or a corporation or partnership, the stockholders or partners of which, include only a Management Stockholder and his or her spouse (or former spouse), parents, siblings, members of his or her immediate family (including adopted children) and/or direct lineal descendants.</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has the meaning specified in Section 2.15(h)(i).</w:t>
      </w:r>
    </w:p>
    <w:p>
      <w:pPr>
        <w:spacing w:after="0" w:line="225"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any “employee benefit plan” (as such term is defined in Section 3(3) of ERISA) established or maintained by any Loan Party</w:t>
      </w:r>
    </w:p>
    <w:p>
      <w:pPr>
        <w:spacing w:after="0" w:line="25"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(for any current or former employee or other service provider to any Loan Party) or, with respect to any such plan that is subject to Section 412 of the Code or Title IV of ERISA, any ERISA Affiliate.</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means IntraLinks, IntraAgency, SYNDTRAK or another similar electronic system. “</w:t>
      </w:r>
      <w:r>
        <w:rPr>
          <w:rFonts w:ascii="Arial" w:cs="Arial" w:eastAsia="Arial" w:hAnsi="Arial"/>
          <w:sz w:val="18"/>
          <w:szCs w:val="18"/>
          <w:b w:val="1"/>
          <w:bCs w:val="1"/>
          <w:color w:val="auto"/>
        </w:rPr>
        <w:t>Pledged Debt</w:t>
      </w:r>
      <w:r>
        <w:rPr>
          <w:rFonts w:ascii="Arial" w:cs="Arial" w:eastAsia="Arial" w:hAnsi="Arial"/>
          <w:sz w:val="18"/>
          <w:szCs w:val="18"/>
          <w:color w:val="auto"/>
        </w:rPr>
        <w:t>” has the meaning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the Security Agreement.</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Equity</w:t>
      </w:r>
      <w:r>
        <w:rPr>
          <w:rFonts w:ascii="Arial" w:cs="Arial" w:eastAsia="Arial" w:hAnsi="Arial"/>
          <w:sz w:val="18"/>
          <w:szCs w:val="18"/>
          <w:color w:val="auto"/>
        </w:rPr>
        <w:t>” has the meaning specified in the Security Agreement.</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means any Equity Interest with preferential rights of payment of dividends upon liquidation, dissolution or winding up to shares of Equity Interests of any other class of such Person.</w:t>
      </w:r>
    </w:p>
    <w:p>
      <w:pPr>
        <w:spacing w:after="0" w:line="17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Previously Absent Financial Maintenance Covenant</w:t>
      </w:r>
      <w:r>
        <w:rPr>
          <w:rFonts w:ascii="Arial" w:cs="Arial" w:eastAsia="Arial" w:hAnsi="Arial"/>
          <w:sz w:val="16"/>
          <w:szCs w:val="16"/>
          <w:color w:val="auto"/>
        </w:rPr>
        <w:t>” means, at any time (x) any financial maintenance covenant that is not included in this Agreement at such time and (y) any financial maintenance covenant that is included in this Agreement at such time but with covenant levels and</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component definitions (to the extent relating to such financial maintenance covenant) in this Agreement that are less restrictive on the Parent Borrower and their Restricted Subsidiaries than those in the applicable Incremental Amendment, Refinancing Amendment, Extension Amendment or amendment in respect of Replacement Term Loans or any documents relating to Refinancing Term Loans or Refinancing Revolving Credit Commitments,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Incremental Equivalent Debt or Refinancing Indebtedness.</w:t>
      </w:r>
    </w:p>
    <w:p>
      <w:pPr>
        <w:spacing w:after="0" w:line="192"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Balance Sheet</w:t>
      </w:r>
      <w:r>
        <w:rPr>
          <w:rFonts w:ascii="Arial" w:cs="Arial" w:eastAsia="Arial" w:hAnsi="Arial"/>
          <w:sz w:val="18"/>
          <w:szCs w:val="18"/>
          <w:color w:val="auto"/>
        </w:rPr>
        <w:t>” means a pro forma consolidated balance sheet of the Company as of March 31, 2019, prepared after giving effect to the Transactions as if the Transactions had occurred as of such date.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and “</w:t>
      </w:r>
      <w:r>
        <w:rPr>
          <w:rFonts w:ascii="Arial" w:cs="Arial" w:eastAsia="Arial" w:hAnsi="Arial"/>
          <w:sz w:val="17"/>
          <w:szCs w:val="17"/>
          <w:b w:val="1"/>
          <w:bCs w:val="1"/>
          <w:color w:val="auto"/>
        </w:rPr>
        <w:t>Pro Forma Effect</w:t>
      </w:r>
      <w:r>
        <w:rPr>
          <w:rFonts w:ascii="Arial" w:cs="Arial" w:eastAsia="Arial" w:hAnsi="Arial"/>
          <w:sz w:val="17"/>
          <w:szCs w:val="17"/>
          <w:color w:val="auto"/>
        </w:rPr>
        <w:t>” means, with respect to compliance with any test or covenant or calculation of any ratio</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hereunder, the determination or calculation of such test, covenant or ratio (including in connection with Specified Transactions) in accordance with Section 1.08.</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means, with respect to each Lender, at any time a fraction (expressed as a percentage, carried out to the ninth decimal</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Revolving Credit Commitments of any Class,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has the meaning specified in Section 10.05. “</w:t>
      </w:r>
      <w:r>
        <w:rPr>
          <w:rFonts w:ascii="Arial" w:cs="Arial" w:eastAsia="Arial" w:hAnsi="Arial"/>
          <w:sz w:val="18"/>
          <w:szCs w:val="18"/>
          <w:b w:val="1"/>
          <w:bCs w:val="1"/>
          <w:color w:val="auto"/>
        </w:rPr>
        <w:t>Proceeds</w:t>
      </w:r>
      <w:r>
        <w:rPr>
          <w:rFonts w:ascii="Arial" w:cs="Arial" w:eastAsia="Arial" w:hAnsi="Arial"/>
          <w:sz w:val="18"/>
          <w:szCs w:val="18"/>
          <w:color w:val="auto"/>
        </w:rPr>
        <w:t>” has the meaning specified in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Security Agreement. “</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specified in Section 6.01(c).</w:t>
      </w:r>
    </w:p>
    <w:p>
      <w:pPr>
        <w:sectPr>
          <w:pgSz w:w="11900" w:h="16838" w:orient="portrait"/>
          <w:cols w:equalWidth="0" w:num="1">
            <w:col w:w="10900"/>
          </w:cols>
          <w:pgMar w:left="480" w:top="1440" w:right="519" w:bottom="1440" w:gutter="0" w:footer="0" w:header="0"/>
        </w:sectPr>
      </w:pPr>
    </w:p>
    <w:bookmarkStart w:id="99" w:name="page100"/>
    <w:bookmarkEnd w:id="99"/>
    <w:p>
      <w:pPr>
        <w:spacing w:after="0" w:line="20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specified in Section 6.02. “</w:t>
      </w:r>
      <w:r>
        <w:rPr>
          <w:rFonts w:ascii="Arial" w:cs="Arial" w:eastAsia="Arial" w:hAnsi="Arial"/>
          <w:sz w:val="18"/>
          <w:szCs w:val="18"/>
          <w:b w:val="1"/>
          <w:bCs w:val="1"/>
          <w:color w:val="auto"/>
        </w:rPr>
        <w:t>QFC</w:t>
      </w:r>
      <w:r>
        <w:rPr>
          <w:rFonts w:ascii="Arial" w:cs="Arial" w:eastAsia="Arial" w:hAnsi="Arial"/>
          <w:sz w:val="18"/>
          <w:szCs w:val="18"/>
          <w:color w:val="auto"/>
        </w:rPr>
        <w:t>” has the meaning specified in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10.22(b).</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 Credit Support</w:t>
      </w:r>
      <w:r>
        <w:rPr>
          <w:rFonts w:ascii="Arial" w:cs="Arial" w:eastAsia="Arial" w:hAnsi="Arial"/>
          <w:sz w:val="18"/>
          <w:szCs w:val="18"/>
          <w:color w:val="auto"/>
        </w:rPr>
        <w:t>” has the meaning specified in Section 10.22.</w:t>
      </w:r>
    </w:p>
    <w:p>
      <w:pPr>
        <w:spacing w:after="0" w:line="239"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ECP Guarantor</w:t>
      </w:r>
      <w:r>
        <w:rPr>
          <w:rFonts w:ascii="Arial" w:cs="Arial" w:eastAsia="Arial" w:hAnsi="Arial"/>
          <w:sz w:val="17"/>
          <w:szCs w:val="17"/>
          <w:color w:val="auto"/>
        </w:rPr>
        <w:t>” means, in respect of any Swap Obligation, each Loan Party that at the time the relevant guarantee or grant of the relevant security interest becomes effective with respect to such Swap Obligation constitutes an “eligible contract participant” under the</w:t>
      </w:r>
    </w:p>
    <w:p>
      <w:pPr>
        <w:jc w:val="both"/>
        <w:ind w:right="40"/>
        <w:spacing w:after="0" w:line="226" w:lineRule="auto"/>
        <w:rPr>
          <w:sz w:val="20"/>
          <w:szCs w:val="20"/>
          <w:color w:val="auto"/>
        </w:rPr>
      </w:pPr>
      <w:r>
        <w:rPr>
          <w:rFonts w:ascii="Arial" w:cs="Arial" w:eastAsia="Arial" w:hAnsi="Arial"/>
          <w:sz w:val="18"/>
          <w:szCs w:val="18"/>
          <w:color w:val="auto"/>
        </w:rPr>
        <w:t>Commodity Exchange Act or any regulations promulgated thereunder and can cause another person to qualify as an “eligible contract participant” at such time by entering into a keepwell under Section 1a(18)(A)(v)(II) of the Commodity Exchange Act.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Equity Interests</w:t>
      </w:r>
      <w:r>
        <w:rPr>
          <w:rFonts w:ascii="Arial" w:cs="Arial" w:eastAsia="Arial" w:hAnsi="Arial"/>
          <w:sz w:val="17"/>
          <w:szCs w:val="17"/>
          <w:color w:val="auto"/>
        </w:rPr>
        <w:t>” means any Equity Interests that are not Disqualified Equity Interests. “</w:t>
      </w:r>
      <w:r>
        <w:rPr>
          <w:rFonts w:ascii="Arial" w:cs="Arial" w:eastAsia="Arial" w:hAnsi="Arial"/>
          <w:sz w:val="17"/>
          <w:szCs w:val="17"/>
          <w:b w:val="1"/>
          <w:bCs w:val="1"/>
          <w:color w:val="auto"/>
        </w:rPr>
        <w:t>Qualified Primary Equity Offering</w:t>
      </w:r>
      <w:r>
        <w:rPr>
          <w:rFonts w:ascii="Arial" w:cs="Arial" w:eastAsia="Arial" w:hAnsi="Arial"/>
          <w:sz w:val="17"/>
          <w:szCs w:val="17"/>
          <w:color w:val="auto"/>
        </w:rPr>
        <w:t>”</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means the issuance by the Parent Borrower of its common Equity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Interests in an underwritten primary public offering (other than a public offering pursuant to a registration statement on Form S-8) pursuant to an</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effective registration statement filed with the U.S. Securities and Exchange Commission in accordance with the Securities Act (whether alone or in connection with a secondary public offering).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Securitization Financing</w:t>
      </w:r>
      <w:r>
        <w:rPr>
          <w:rFonts w:ascii="Arial" w:cs="Arial" w:eastAsia="Arial" w:hAnsi="Arial"/>
          <w:sz w:val="17"/>
          <w:szCs w:val="17"/>
          <w:color w:val="auto"/>
        </w:rPr>
        <w:t>” means any Securitization Financing of a Securitization Subsidiary that meets the following</w:t>
      </w:r>
    </w:p>
    <w:p>
      <w:pPr>
        <w:spacing w:after="0" w:line="14" w:lineRule="exact"/>
        <w:rPr>
          <w:sz w:val="20"/>
          <w:szCs w:val="20"/>
          <w:color w:val="auto"/>
        </w:rPr>
      </w:pPr>
    </w:p>
    <w:p>
      <w:pPr>
        <w:jc w:val="both"/>
        <w:ind w:right="40"/>
        <w:spacing w:after="0" w:line="221" w:lineRule="auto"/>
        <w:rPr>
          <w:sz w:val="20"/>
          <w:szCs w:val="20"/>
          <w:color w:val="auto"/>
        </w:rPr>
      </w:pPr>
      <w:r>
        <w:rPr>
          <w:rFonts w:ascii="Arial" w:cs="Arial" w:eastAsia="Arial" w:hAnsi="Arial"/>
          <w:sz w:val="17"/>
          <w:szCs w:val="17"/>
          <w:color w:val="auto"/>
        </w:rPr>
        <w:t>conditions: (a) such Qualified Securitization Financing (including financing terms, covenants, termination events and other provisions) is in the aggregate economically fair and reasonable to the Parent Borrower and the Securitization Subsidiary and (b) all sales and/or contributions of Securitization Assets and related assets to the Securitization Subsidiary are made at fair market value. The grant of a security interest in any</w:t>
      </w:r>
    </w:p>
    <w:p>
      <w:pPr>
        <w:jc w:val="both"/>
        <w:ind w:right="40"/>
        <w:spacing w:after="0" w:line="239" w:lineRule="auto"/>
        <w:rPr>
          <w:sz w:val="20"/>
          <w:szCs w:val="20"/>
          <w:color w:val="auto"/>
        </w:rPr>
      </w:pPr>
      <w:r>
        <w:rPr>
          <w:rFonts w:ascii="Arial" w:cs="Arial" w:eastAsia="Arial" w:hAnsi="Arial"/>
          <w:sz w:val="17"/>
          <w:szCs w:val="17"/>
          <w:color w:val="auto"/>
        </w:rPr>
        <w:t>Securitization Assets of the Parent Borrower or any of the Restricted Subsidiaries (other than a Securitization Subsidiary) to secure Indebtedness under this Agreement prior to engaging in any Securitization Financing shall not be deemed a Qualified Securitization Financing.</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has the meaning specified in Section 2.05(a)(v)(D)(3).</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 means the unaudited consolidated statement of operations of the Parent Borrower for the fiscal quarters ending March 31, 2021 and June 30, 2021 and the related unaudited consolidated balance sheet as of the end of such fiscal quarters.</w:t>
      </w:r>
    </w:p>
    <w:p>
      <w:pPr>
        <w:spacing w:after="0" w:line="15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 means, collectively, all right, title and interest (including any leasehold, mineral or other estate) in and to any and all parcels of or interests in real property owned or leased by any Person, whether by lease, license or other means, together with, in each case, all easements,</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hereditaments and appurtenances relating thereto, all improvements and appurtenant fixtures and equipment, all general intangibles and contract rights and other property and rights incidental to the ownership, lease or operation thereof.</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Debt</w:t>
      </w:r>
      <w:r>
        <w:rPr>
          <w:rFonts w:ascii="Arial" w:cs="Arial" w:eastAsia="Arial" w:hAnsi="Arial"/>
          <w:sz w:val="18"/>
          <w:szCs w:val="18"/>
          <w:color w:val="auto"/>
        </w:rPr>
        <w:t>” has the meaning specified in Section 2.15(a). “</w:t>
      </w:r>
      <w:r>
        <w:rPr>
          <w:rFonts w:ascii="Arial" w:cs="Arial" w:eastAsia="Arial" w:hAnsi="Arial"/>
          <w:sz w:val="18"/>
          <w:szCs w:val="18"/>
          <w:b w:val="1"/>
          <w:bCs w:val="1"/>
          <w:color w:val="auto"/>
        </w:rPr>
        <w:t>Refinanced Loans</w:t>
      </w:r>
      <w:r>
        <w:rPr>
          <w:rFonts w:ascii="Arial" w:cs="Arial" w:eastAsia="Arial" w:hAnsi="Arial"/>
          <w:sz w:val="18"/>
          <w:szCs w:val="18"/>
          <w:color w:val="auto"/>
        </w:rPr>
        <w:t>” has the meaning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2.15(h)(i). “</w:t>
      </w:r>
      <w:r>
        <w:rPr>
          <w:rFonts w:ascii="Arial" w:cs="Arial" w:eastAsia="Arial" w:hAnsi="Arial"/>
          <w:sz w:val="18"/>
          <w:szCs w:val="18"/>
          <w:b w:val="1"/>
          <w:bCs w:val="1"/>
          <w:color w:val="auto"/>
        </w:rPr>
        <w:t>Refinancing Amendment</w:t>
      </w:r>
      <w:r>
        <w:rPr>
          <w:rFonts w:ascii="Arial" w:cs="Arial" w:eastAsia="Arial" w:hAnsi="Arial"/>
          <w:sz w:val="18"/>
          <w:szCs w:val="18"/>
          <w:color w:val="auto"/>
        </w:rPr>
        <w:t>” has the meaning specified in Section 2.15(f).</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Commitments</w:t>
      </w:r>
      <w:r>
        <w:rPr>
          <w:rFonts w:ascii="Arial" w:cs="Arial" w:eastAsia="Arial" w:hAnsi="Arial"/>
          <w:sz w:val="18"/>
          <w:szCs w:val="18"/>
          <w:color w:val="auto"/>
        </w:rPr>
        <w:t>” has the meaning specified in Section 2.15(a).</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Equivalent Debt</w:t>
      </w:r>
      <w:r>
        <w:rPr>
          <w:rFonts w:ascii="Arial" w:cs="Arial" w:eastAsia="Arial" w:hAnsi="Arial"/>
          <w:sz w:val="18"/>
          <w:szCs w:val="18"/>
          <w:color w:val="auto"/>
        </w:rPr>
        <w:t>” has the meaning specified in Section 2.15(h)(i).</w:t>
      </w:r>
    </w:p>
    <w:p>
      <w:pPr>
        <w:sectPr>
          <w:pgSz w:w="11900" w:h="16838" w:orient="portrait"/>
          <w:cols w:equalWidth="0" w:num="1">
            <w:col w:w="10920"/>
          </w:cols>
          <w:pgMar w:left="480" w:top="1440" w:right="499" w:bottom="1440" w:gutter="0" w:footer="0" w:header="0"/>
        </w:sectPr>
      </w:pPr>
    </w:p>
    <w:bookmarkStart w:id="100" w:name="page101"/>
    <w:bookmarkEnd w:id="100"/>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Facility Closing Date</w:t>
      </w:r>
      <w:r>
        <w:rPr>
          <w:rFonts w:ascii="Arial" w:cs="Arial" w:eastAsia="Arial" w:hAnsi="Arial"/>
          <w:sz w:val="18"/>
          <w:szCs w:val="18"/>
          <w:color w:val="auto"/>
        </w:rPr>
        <w:t>” has the meaning specified in Section 2.15(d). “</w:t>
      </w:r>
      <w:r>
        <w:rPr>
          <w:rFonts w:ascii="Arial" w:cs="Arial" w:eastAsia="Arial" w:hAnsi="Arial"/>
          <w:sz w:val="18"/>
          <w:szCs w:val="18"/>
          <w:b w:val="1"/>
          <w:bCs w:val="1"/>
          <w:color w:val="auto"/>
        </w:rPr>
        <w:t>Refinancing Lenders</w:t>
      </w:r>
      <w:r>
        <w:rPr>
          <w:rFonts w:ascii="Arial" w:cs="Arial" w:eastAsia="Arial" w:hAnsi="Arial"/>
          <w:sz w:val="18"/>
          <w:szCs w:val="18"/>
          <w:color w:val="auto"/>
        </w:rPr>
        <w:t>” has the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2.15(c). “</w:t>
      </w:r>
      <w:r>
        <w:rPr>
          <w:rFonts w:ascii="Arial" w:cs="Arial" w:eastAsia="Arial" w:hAnsi="Arial"/>
          <w:sz w:val="18"/>
          <w:szCs w:val="18"/>
          <w:b w:val="1"/>
          <w:bCs w:val="1"/>
          <w:color w:val="auto"/>
        </w:rPr>
        <w:t>Refinancing Loan</w:t>
      </w:r>
      <w:r>
        <w:rPr>
          <w:rFonts w:ascii="Arial" w:cs="Arial" w:eastAsia="Arial" w:hAnsi="Arial"/>
          <w:sz w:val="18"/>
          <w:szCs w:val="18"/>
          <w:color w:val="auto"/>
        </w:rPr>
        <w:t>” has the meaning specified in Section 2.15(b).</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Loan Request</w:t>
      </w:r>
      <w:r>
        <w:rPr>
          <w:rFonts w:ascii="Arial" w:cs="Arial" w:eastAsia="Arial" w:hAnsi="Arial"/>
          <w:sz w:val="18"/>
          <w:szCs w:val="18"/>
          <w:color w:val="auto"/>
        </w:rPr>
        <w:t>” has the meaning specified in Section 2.15(a).</w:t>
      </w:r>
    </w:p>
    <w:p>
      <w:pPr>
        <w:spacing w:after="0" w:line="239"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Indebtedness</w:t>
      </w:r>
      <w:r>
        <w:rPr>
          <w:rFonts w:ascii="Arial" w:cs="Arial" w:eastAsia="Arial" w:hAnsi="Arial"/>
          <w:sz w:val="16"/>
          <w:szCs w:val="16"/>
          <w:color w:val="auto"/>
        </w:rPr>
        <w:t>” means (x) Indebtedness incurred by the Parent Borrower or any of its Restricted Subsidiaries, (y) Disqualified Equity Interests issued by the Parent Borrower or any of its Restricted Subsidiaries or (z) Preferred Stock issued by any Restricted Subsidiary, which, in each case, serves to extend, replace, refund, refinance, renew or defease any Indebtedness, Disqualified Equity Interests or Preferred Stock, so long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196" w:lineRule="exact"/>
        <w:rPr>
          <w:sz w:val="20"/>
          <w:szCs w:val="20"/>
          <w:color w:val="auto"/>
        </w:rPr>
      </w:pPr>
    </w:p>
    <w:p>
      <w:pPr>
        <w:jc w:val="both"/>
        <w:ind w:left="640" w:firstLine="647"/>
        <w:spacing w:after="0" w:line="226" w:lineRule="auto"/>
        <w:tabs>
          <w:tab w:leader="none" w:pos="179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new Indebtedness, the amount of such new Preferred Stock or the liquidation preference of such new Disqualified Equity Interests does not exceed the principal amount of (or accreted value, if applicable), plus any accrued and unpaid interest on, the Indebtedness, the amount of, plus any accrued and unpaid dividends on, the Preferred Stock, or the liquidation preference of, plus any accrued and unpaid dividends on, the Disqualified Equity Interests, being so extended, replaced, refunded, refinanced, renewed or defeased (such Indebtedness or Disqualified Equity Interests or Preferred Stock,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Refinanced Debt</w:t>
      </w:r>
      <w:r>
        <w:rPr>
          <w:rFonts w:ascii="Arial" w:cs="Arial" w:eastAsia="Arial" w:hAnsi="Arial"/>
          <w:sz w:val="17"/>
          <w:szCs w:val="17"/>
          <w:color w:val="auto"/>
        </w:rPr>
        <w:t>”), plus an amount equal to any existing commitments unutilized under such Applicable Refinanced Debt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permanently terminated at the time of incurrence of such Refinancing Indebtedness plus the amount of any tender premium or penalty or premium required to be paid under the terms of the instrument or documents governing such Applicable Refinanced Debt and any defeasance costs and any fees and expenses (including original issue discount, upfront fees or similar fees) incurred in connection with the issuance of such new Indebtedness, Preferred Stock or Disqualified Equity Interests or the extension, replacement, refunding, refinancing, renewal or defeasance of such Applicable Refinanced Debt;</w:t>
      </w:r>
    </w:p>
    <w:p>
      <w:pPr>
        <w:spacing w:after="0" w:line="202" w:lineRule="exact"/>
        <w:rPr>
          <w:rFonts w:ascii="Arial" w:cs="Arial" w:eastAsia="Arial" w:hAnsi="Arial"/>
          <w:sz w:val="17"/>
          <w:szCs w:val="17"/>
          <w:color w:val="auto"/>
        </w:rPr>
      </w:pPr>
    </w:p>
    <w:p>
      <w:pPr>
        <w:jc w:val="both"/>
        <w:ind w:left="640" w:right="20" w:firstLine="648"/>
        <w:spacing w:after="0" w:line="267" w:lineRule="auto"/>
        <w:tabs>
          <w:tab w:leader="none" w:pos="17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incurred pursuant to the then available Inside Maturity Basket, such Refinancing Indebtedness has a Weighted Average Life to Maturity at the time such Refinancing Indebtedness is incurred which is not less than the remaining Weighted Average Life to Maturity of the Indebtedness, Disqualified Equity Interests or Preferred Stock being extended, replaced, refunded, refinanced, renewed or defeased;</w:t>
      </w:r>
    </w:p>
    <w:p>
      <w:pPr>
        <w:spacing w:after="0" w:line="168" w:lineRule="exact"/>
        <w:rPr>
          <w:rFonts w:ascii="Arial" w:cs="Arial" w:eastAsia="Arial" w:hAnsi="Arial"/>
          <w:sz w:val="16"/>
          <w:szCs w:val="16"/>
          <w:color w:val="auto"/>
        </w:rPr>
      </w:pPr>
    </w:p>
    <w:p>
      <w:pPr>
        <w:jc w:val="both"/>
        <w:ind w:left="640" w:right="40" w:firstLine="648"/>
        <w:spacing w:after="0" w:line="267" w:lineRule="auto"/>
        <w:tabs>
          <w:tab w:leader="none" w:pos="17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incurred pursuant to the then available Inside Maturity Basket, such Refinancing Indebtedness has a final scheduled maturity date equal to or later than the final scheduled maturity date of the Indebtedness, Preferred Stock or Disqualified Equity Interests being so extended, replaced, refunded, refinanced, renewed or defeased (or, if earlier, the date that is 91 days after the Latest Maturity Date);</w:t>
      </w:r>
    </w:p>
    <w:p>
      <w:pPr>
        <w:spacing w:after="0" w:line="168" w:lineRule="exact"/>
        <w:rPr>
          <w:rFonts w:ascii="Arial" w:cs="Arial" w:eastAsia="Arial" w:hAnsi="Arial"/>
          <w:sz w:val="16"/>
          <w:szCs w:val="16"/>
          <w:color w:val="auto"/>
        </w:rPr>
      </w:pPr>
    </w:p>
    <w:p>
      <w:pPr>
        <w:jc w:val="both"/>
        <w:ind w:left="640" w:right="40" w:firstLine="648"/>
        <w:spacing w:after="0" w:line="248" w:lineRule="auto"/>
        <w:tabs>
          <w:tab w:leader="none" w:pos="17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the extent such Refinancing Indebtedness extends, replaces, refunds, refinances, renews or defeases (i) Subordinated Indebtedness (other than Subordinated Indebtedness assumed or acquired in a Permitted Acquisition or any other acquisition and, in each case, not created in contemplation thereof) such Refinancing Indebtedness is subordinated to the Obligations at least to the same extent as the Indebtedness being extended, replaced, refunded, refinanced, renewed or defeased or (ii) Disqualified Equity Interests or Preferred Stock, such Refinancing Indebtedness must be Disqualified Equity Interests or Preferred Stock, respectively;</w:t>
      </w:r>
    </w:p>
    <w:p>
      <w:pPr>
        <w:spacing w:after="0" w:line="196" w:lineRule="exact"/>
        <w:rPr>
          <w:rFonts w:ascii="Arial" w:cs="Arial" w:eastAsia="Arial" w:hAnsi="Arial"/>
          <w:sz w:val="16"/>
          <w:szCs w:val="16"/>
          <w:color w:val="auto"/>
        </w:rPr>
      </w:pPr>
    </w:p>
    <w:p>
      <w:pPr>
        <w:ind w:left="1800" w:hanging="512"/>
        <w:spacing w:after="0"/>
        <w:tabs>
          <w:tab w:leader="none" w:pos="1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Applicable Refinanced Debt was unsecured, any Refinancing Indebtedness in respect thereof shall be unsecured; and</w:t>
      </w:r>
    </w:p>
    <w:p>
      <w:pPr>
        <w:spacing w:after="0" w:line="248" w:lineRule="exact"/>
        <w:rPr>
          <w:rFonts w:ascii="Arial" w:cs="Arial" w:eastAsia="Arial" w:hAnsi="Arial"/>
          <w:sz w:val="16"/>
          <w:szCs w:val="16"/>
          <w:color w:val="auto"/>
        </w:rPr>
      </w:pPr>
    </w:p>
    <w:p>
      <w:pPr>
        <w:ind w:left="640" w:right="40" w:firstLine="648"/>
        <w:spacing w:after="0" w:line="235" w:lineRule="auto"/>
        <w:tabs>
          <w:tab w:leader="none" w:pos="17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than any Person that is required to be an obligor or guarantor on the Applicable Refinanced Debt permitted under Section 7.03, no Person shall be an obligor or guarantor on any</w:t>
      </w:r>
    </w:p>
    <w:p>
      <w:pPr>
        <w:sectPr>
          <w:pgSz w:w="11900" w:h="16838" w:orient="portrait"/>
          <w:cols w:equalWidth="0" w:num="1">
            <w:col w:w="10920"/>
          </w:cols>
          <w:pgMar w:left="480" w:top="1440" w:right="499" w:bottom="1440" w:gutter="0" w:footer="0" w:header="0"/>
        </w:sectPr>
      </w:pPr>
    </w:p>
    <w:bookmarkStart w:id="101" w:name="page102"/>
    <w:bookmarkEnd w:id="101"/>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Refinancing Indebtedness in respect thereof unless such Person is a Borrower or a Guarantor of the Obligations;</w:t>
      </w:r>
    </w:p>
    <w:p>
      <w:pPr>
        <w:spacing w:after="0" w:line="225"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clauses (b) and (c) of this definition will not apply to any extension, replacement, refunding, refinancing, renewal or defeasance</w:t>
      </w:r>
      <w:r>
        <w:rPr>
          <w:rFonts w:ascii="Arial" w:cs="Arial" w:eastAsia="Arial" w:hAnsi="Arial"/>
          <w:sz w:val="16"/>
          <w:szCs w:val="16"/>
          <w:i w:val="1"/>
          <w:iCs w:val="1"/>
          <w:color w:val="auto"/>
        </w:rPr>
        <w:t xml:space="preserve"> </w:t>
      </w:r>
      <w:r>
        <w:rPr>
          <w:rFonts w:ascii="Arial" w:cs="Arial" w:eastAsia="Arial" w:hAnsi="Arial"/>
          <w:sz w:val="16"/>
          <w:szCs w:val="16"/>
          <w:color w:val="auto"/>
        </w:rPr>
        <w:t>of any Indebtedness other than Indebtedness incurred under Sections 7.03(m)(ii), (p), (s) or (t), (w) (to the extent originally Refinancing Indebtedness in respect of the foregoing) or (z), any Subordinated Indebtedness (other than Subordinated Indebtedness assumed or acquired in a Permitted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Acquisition or any other acquisition and, in each case, not created in contemplation thereof), Disqualified Equity Interests and Preferred Stock.</w:t>
      </w:r>
    </w:p>
    <w:p>
      <w:pPr>
        <w:spacing w:after="0" w:line="3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Revolving Credit Commitments</w:t>
      </w:r>
      <w:r>
        <w:rPr>
          <w:rFonts w:ascii="Arial" w:cs="Arial" w:eastAsia="Arial" w:hAnsi="Arial"/>
          <w:sz w:val="18"/>
          <w:szCs w:val="18"/>
          <w:color w:val="auto"/>
        </w:rPr>
        <w:t>” has the meaning specified in Section 2.15(a). “</w:t>
      </w:r>
      <w:r>
        <w:rPr>
          <w:rFonts w:ascii="Arial" w:cs="Arial" w:eastAsia="Arial" w:hAnsi="Arial"/>
          <w:sz w:val="18"/>
          <w:szCs w:val="18"/>
          <w:b w:val="1"/>
          <w:bCs w:val="1"/>
          <w:color w:val="auto"/>
        </w:rPr>
        <w:t>Refinancing Revolving Credit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Lender</w:t>
      </w:r>
      <w:r>
        <w:rPr>
          <w:rFonts w:ascii="Arial" w:cs="Arial" w:eastAsia="Arial" w:hAnsi="Arial"/>
          <w:sz w:val="17"/>
          <w:szCs w:val="17"/>
          <w:color w:val="auto"/>
        </w:rPr>
        <w:t>” has the meaning specified in Section 2.15(c). “</w:t>
      </w:r>
      <w:r>
        <w:rPr>
          <w:rFonts w:ascii="Arial" w:cs="Arial" w:eastAsia="Arial" w:hAnsi="Arial"/>
          <w:sz w:val="17"/>
          <w:szCs w:val="17"/>
          <w:b w:val="1"/>
          <w:bCs w:val="1"/>
          <w:color w:val="auto"/>
        </w:rPr>
        <w:t>Refinancing Revolving Loan</w:t>
      </w:r>
      <w:r>
        <w:rPr>
          <w:rFonts w:ascii="Arial" w:cs="Arial" w:eastAsia="Arial" w:hAnsi="Arial"/>
          <w:sz w:val="17"/>
          <w:szCs w:val="17"/>
          <w:color w:val="auto"/>
        </w:rPr>
        <w:t>” has the meaning specified in Section 2.15(b).</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Commitments</w:t>
      </w:r>
      <w:r>
        <w:rPr>
          <w:rFonts w:ascii="Arial" w:cs="Arial" w:eastAsia="Arial" w:hAnsi="Arial"/>
          <w:sz w:val="18"/>
          <w:szCs w:val="18"/>
          <w:color w:val="auto"/>
        </w:rPr>
        <w:t>” has the meaning specified in Section 2.15(a). “</w:t>
      </w:r>
      <w:r>
        <w:rPr>
          <w:rFonts w:ascii="Arial" w:cs="Arial" w:eastAsia="Arial" w:hAnsi="Arial"/>
          <w:sz w:val="18"/>
          <w:szCs w:val="18"/>
          <w:b w:val="1"/>
          <w:bCs w:val="1"/>
          <w:color w:val="auto"/>
        </w:rPr>
        <w:t>Refinancing Term Lender</w:t>
      </w:r>
      <w:r>
        <w:rPr>
          <w:rFonts w:ascii="Arial" w:cs="Arial" w:eastAsia="Arial" w:hAnsi="Arial"/>
          <w:sz w:val="18"/>
          <w:szCs w:val="18"/>
          <w:color w:val="auto"/>
        </w:rPr>
        <w:t>” has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specified in Section 2.15(c). “</w:t>
      </w:r>
      <w:r>
        <w:rPr>
          <w:rFonts w:ascii="Arial" w:cs="Arial" w:eastAsia="Arial" w:hAnsi="Arial"/>
          <w:sz w:val="18"/>
          <w:szCs w:val="18"/>
          <w:b w:val="1"/>
          <w:bCs w:val="1"/>
          <w:color w:val="auto"/>
        </w:rPr>
        <w:t>Refinancing Term Loan</w:t>
      </w:r>
      <w:r>
        <w:rPr>
          <w:rFonts w:ascii="Arial" w:cs="Arial" w:eastAsia="Arial" w:hAnsi="Arial"/>
          <w:sz w:val="18"/>
          <w:szCs w:val="18"/>
          <w:color w:val="auto"/>
        </w:rPr>
        <w:t>” has the meaning specified in Section 2.15(b).</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has the meaning specified in Section 7.06(b)(ii). “</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specified in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10.07(d).</w:t>
      </w:r>
    </w:p>
    <w:p>
      <w:pPr>
        <w:spacing w:after="0" w:line="100"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Equivalent Notes</w:t>
      </w:r>
      <w:r>
        <w:rPr>
          <w:rFonts w:ascii="Arial" w:cs="Arial" w:eastAsia="Arial" w:hAnsi="Arial"/>
          <w:sz w:val="18"/>
          <w:szCs w:val="18"/>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Period</w:t>
      </w:r>
      <w:r>
        <w:rPr>
          <w:rFonts w:ascii="Arial" w:cs="Arial" w:eastAsia="Arial" w:hAnsi="Arial"/>
          <w:sz w:val="18"/>
          <w:szCs w:val="18"/>
          <w:color w:val="auto"/>
        </w:rPr>
        <w:t>” has the meaning specified in the definition of “Net Proceeds.” “</w:t>
      </w:r>
      <w:r>
        <w:rPr>
          <w:rFonts w:ascii="Arial" w:cs="Arial" w:eastAsia="Arial" w:hAnsi="Arial"/>
          <w:sz w:val="18"/>
          <w:szCs w:val="18"/>
          <w:b w:val="1"/>
          <w:bCs w:val="1"/>
          <w:color w:val="auto"/>
        </w:rPr>
        <w:t>Rejection Notice</w:t>
      </w:r>
      <w:r>
        <w:rPr>
          <w:rFonts w:ascii="Arial" w:cs="Arial" w:eastAsia="Arial" w:hAnsi="Arial"/>
          <w:sz w:val="18"/>
          <w:szCs w:val="18"/>
          <w:color w:val="auto"/>
        </w:rPr>
        <w:t>” has the meaning</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2.05(b)(vii).</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“Related Indemnified Person” </w:t>
      </w:r>
      <w:r>
        <w:rPr>
          <w:rFonts w:ascii="Arial" w:cs="Arial" w:eastAsia="Arial" w:hAnsi="Arial"/>
          <w:sz w:val="16"/>
          <w:szCs w:val="16"/>
          <w:color w:val="auto"/>
        </w:rPr>
        <w:t>of an Indemnitee means (1) any Controlling Person or Controlled Affiliate of such Person, (2)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or employees of such Indemnitee or any of its Controlling Persons or Controlled Affiliates and (3) the respective agents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representatives of such Indemnitee or any of its Controlling Persons or Controlled Affiliates, in the case of this clause (3), acting on behalf of or at the instructions of such Indemnitee, such Controlling Person or such Controlled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to a Controlled Affiliate, director, officer or employee in this definition pertains to a Controlled Affiliate, director, officer or employee involved in the negotiation, syndication,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or enforcement of this Agreement and the Facilities.</w:t>
      </w:r>
    </w:p>
    <w:p>
      <w:pPr>
        <w:spacing w:after="0" w:line="19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trustees, shareholders, agents, representatives and advisors of such Person and of such Person’s Affiliates.</w:t>
      </w:r>
    </w:p>
    <w:p>
      <w:pPr>
        <w:spacing w:after="0" w:line="19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seepage, pumping, pouring, emitting, emptying, discharging, injecting, escaping, leaching, dumping, disposing, depositing, dispersing or migrating in, into, onto or through the Environment.</w:t>
      </w:r>
    </w:p>
    <w:p>
      <w:pPr>
        <w:sectPr>
          <w:pgSz w:w="11900" w:h="16838" w:orient="portrait"/>
          <w:cols w:equalWidth="0" w:num="1">
            <w:col w:w="10920"/>
          </w:cols>
          <w:pgMar w:left="480" w:top="1440" w:right="499" w:bottom="1440" w:gutter="0" w:footer="0" w:header="0"/>
        </w:sectPr>
      </w:pPr>
    </w:p>
    <w:bookmarkStart w:id="102" w:name="page103"/>
    <w:bookmarkEnd w:id="102"/>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Released Guarantor</w:t>
      </w:r>
      <w:r>
        <w:rPr>
          <w:rFonts w:ascii="Arial" w:cs="Arial" w:eastAsia="Arial" w:hAnsi="Arial"/>
          <w:sz w:val="18"/>
          <w:szCs w:val="18"/>
          <w:color w:val="auto"/>
        </w:rPr>
        <w:t>” has the meaning specified in Section 11.09.</w:t>
      </w:r>
    </w:p>
    <w:p>
      <w:pPr>
        <w:spacing w:after="0" w:line="225"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Term Loans</w:t>
      </w:r>
      <w:r>
        <w:rPr>
          <w:rFonts w:ascii="Arial" w:cs="Arial" w:eastAsia="Arial" w:hAnsi="Arial"/>
          <w:sz w:val="18"/>
          <w:szCs w:val="18"/>
          <w:color w:val="auto"/>
        </w:rPr>
        <w:t>” has the meaning specified in Section 10.01. “</w:t>
      </w:r>
      <w:r>
        <w:rPr>
          <w:rFonts w:ascii="Arial" w:cs="Arial" w:eastAsia="Arial" w:hAnsi="Arial"/>
          <w:sz w:val="18"/>
          <w:szCs w:val="18"/>
          <w:b w:val="1"/>
          <w:bCs w:val="1"/>
          <w:color w:val="auto"/>
        </w:rPr>
        <w:t>Replacement Term Loans</w:t>
      </w:r>
      <w:r>
        <w:rPr>
          <w:rFonts w:ascii="Arial" w:cs="Arial" w:eastAsia="Arial" w:hAnsi="Arial"/>
          <w:sz w:val="18"/>
          <w:szCs w:val="18"/>
          <w:color w:val="auto"/>
        </w:rPr>
        <w:t>” has the meaning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10.01.</w:t>
      </w:r>
    </w:p>
    <w:p>
      <w:pPr>
        <w:spacing w:after="0" w:line="100"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or the regulations issued thereunder, other than events for which the otherwise applicable notice period has been waived by regulation or otherwise by the PBGC.</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has the meaning specified in Section 10.08.</w:t>
      </w:r>
    </w:p>
    <w:p>
      <w:pPr>
        <w:spacing w:after="0" w:line="2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Repricing Transaction</w:t>
      </w:r>
      <w:r>
        <w:rPr>
          <w:rFonts w:ascii="Arial" w:cs="Arial" w:eastAsia="Arial" w:hAnsi="Arial"/>
          <w:sz w:val="16"/>
          <w:szCs w:val="16"/>
          <w:color w:val="auto"/>
        </w:rPr>
        <w:t>” means (i) any prepayment, repayment, refinancing, substitution, replacement or conversion of all or a portion of the Term B Loans with the proceeds of, or any conversion of Term B Loans into, any new or replacement tranche of broadly syndicated senior secured first lien term loans, the primary purpose of which is to reduce the All-In Yield applicable to the Term B Loans so prepaid, prepaid, refinanced, substituted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replaced or converted (as determined by the Administrative Borrower in good faith), (ii) any amendment to this Agreement the primary purpose of which is to reduce the All-In Yield applicable to the Term B Loans (as determined by the Administrative Borrower in good faith) or (iii) any Lender is replaced pursuant to Section 3.07 as a result of its failure to consent to an amendment, amendment and restatement or other modification of the Term B</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Loans the primary purpose of which is to reduce the All-In Yield then in effect for the Term B Loans, in each case of clauses (i) through (iii) excluding any such reduction in All-In Yield in connection with any Transformative Acquisition or “change of control” transaction.</w:t>
      </w:r>
    </w:p>
    <w:p>
      <w:pPr>
        <w:spacing w:after="0" w:line="198"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means with respect to a Borrowing, continuation or conversion of Term Loans or Revolving Credit Loans, a Committed Loan Notice.</w:t>
      </w:r>
    </w:p>
    <w:p>
      <w:pPr>
        <w:spacing w:after="0" w:line="19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Class Lenders</w:t>
      </w:r>
      <w:r>
        <w:rPr>
          <w:rFonts w:ascii="Arial" w:cs="Arial" w:eastAsia="Arial" w:hAnsi="Arial"/>
          <w:sz w:val="16"/>
          <w:szCs w:val="16"/>
          <w:color w:val="auto"/>
        </w:rPr>
        <w:t>” means, as of any date of determination, with respect to one or more Facilities, Lenders having more than 50% of the sum of (a) the Total Outstandings under such Facility or Facilities and (b) the aggregate unused Commitments under such Facility or Facilities;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unused Commitments of, and the portion of the Total Outstandings under such Facility or Facilities held, or deemed held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 shall be excluded for purposes of making a determination of the Required Class Lenders.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as of any date of determination, Lenders having more than 50% of the sum of the (a) Total Outstandings, (b)</w:t>
      </w:r>
    </w:p>
    <w:p>
      <w:pPr>
        <w:spacing w:after="0" w:line="25"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 xml:space="preserve">aggregate unused Term Commitments and (c) aggregate unused Revolving Credit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unused Term Commitment and unused Revolving Credit Commitment of, and the portion of the Total Outstandings held, or deemed held by, any Defaulting Lender shall be excluded for purposes of making a determination of Required Lenders.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“Rescindable Amount” </w:t>
      </w:r>
      <w:r>
        <w:rPr>
          <w:rFonts w:ascii="Arial" w:cs="Arial" w:eastAsia="Arial" w:hAnsi="Arial"/>
          <w:sz w:val="18"/>
          <w:szCs w:val="18"/>
          <w:color w:val="auto"/>
        </w:rPr>
        <w:t>has the meaning defined in Section 2.12(b)(ii).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the chief executive officer, president, vice president, chief financial officer, chief operating officer, chief administrative officer, secretary or assistant secretary, controller, treasurer or assistant treasurer or other similar officer or Person performing similar functions of a Loan Party and, solely for purposes of notices given pursuant to Article II, any other officer or employee of the applicable Loan Party so</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designated by any of the foregoing officers in a notice to the Administrative Agent or any other officer or employee of the applicable Loan Party designated in or pursuant to an agreement between the applicable Loan Party and the Administrative</w:t>
      </w:r>
    </w:p>
    <w:p>
      <w:pPr>
        <w:sectPr>
          <w:pgSz w:w="11900" w:h="16838" w:orient="portrait"/>
          <w:cols w:equalWidth="0" w:num="1">
            <w:col w:w="10920"/>
          </w:cols>
          <w:pgMar w:left="480" w:top="1440" w:right="499" w:bottom="1440" w:gutter="0" w:footer="0" w:header="0"/>
        </w:sectPr>
      </w:pPr>
    </w:p>
    <w:bookmarkStart w:id="103" w:name="page104"/>
    <w:bookmarkEnd w:id="103"/>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refer to a Responsible Officer of the Administrative Borrower.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Cash</w:t>
      </w:r>
      <w:r>
        <w:rPr>
          <w:rFonts w:ascii="Arial" w:cs="Arial" w:eastAsia="Arial" w:hAnsi="Arial"/>
          <w:sz w:val="16"/>
          <w:szCs w:val="16"/>
          <w:color w:val="auto"/>
        </w:rPr>
        <w:t xml:space="preserve">” means cash and Cash Equivalents which are listed as “Restricted” on the consolidated statement of financial condition of the Parent Borrower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(i) cash and Cash Equivalents restricted under the Loan Documents, the ABL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Financing Documents, or any other agreement, document or instrument evidencing Indebtedness that is secured by Liens on the Collateral that rank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or junior to the Liens on the Collateral securing the Obligations or the ABL Obligations shall not be deemed to be “Restricted Cash”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such restrictions and (ii) cash and Cash Equivalents maintained by any Foreign Subsidiary that is subject to minority shareholder approval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before being distributed to the Parent Borrower (a “</w:t>
      </w:r>
      <w:r>
        <w:rPr>
          <w:rFonts w:ascii="Arial" w:cs="Arial" w:eastAsia="Arial" w:hAnsi="Arial"/>
          <w:sz w:val="18"/>
          <w:szCs w:val="18"/>
          <w:b w:val="1"/>
          <w:bCs w:val="1"/>
          <w:color w:val="auto"/>
        </w:rPr>
        <w:t>Shareholder Restriction</w:t>
      </w:r>
      <w:r>
        <w:rPr>
          <w:rFonts w:ascii="Arial" w:cs="Arial" w:eastAsia="Arial" w:hAnsi="Arial"/>
          <w:sz w:val="18"/>
          <w:szCs w:val="18"/>
          <w:color w:val="auto"/>
        </w:rPr>
        <w:t>”) shall not be deemed to be “Restricted Cash” as a result of such Shareholder Restriction.</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means an Investment other than a Permitted Investment. “</w:t>
      </w:r>
      <w:r>
        <w:rPr>
          <w:rFonts w:ascii="Arial" w:cs="Arial" w:eastAsia="Arial" w:hAnsi="Arial"/>
          <w:sz w:val="18"/>
          <w:szCs w:val="18"/>
          <w:b w:val="1"/>
          <w:bCs w:val="1"/>
          <w:color w:val="auto"/>
        </w:rPr>
        <w:t>Restricted Payment</w:t>
      </w:r>
      <w:r>
        <w:rPr>
          <w:rFonts w:ascii="Arial" w:cs="Arial" w:eastAsia="Arial" w:hAnsi="Arial"/>
          <w:sz w:val="18"/>
          <w:szCs w:val="18"/>
          <w:color w:val="auto"/>
        </w:rPr>
        <w:t>” has the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specified in Section 7.06(a).</w:t>
      </w:r>
    </w:p>
    <w:p>
      <w:pPr>
        <w:spacing w:after="0" w:line="100"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xml:space="preserve">” means any Subsidiary of the Parent Borrower other than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 Unrestricted Subsidiary ceasing to be an Unrestricted Subsidiary, such Subsidiary shall be included in the definition of “Restricted Subsidiary.”</w:t>
      </w:r>
    </w:p>
    <w:p>
      <w:pPr>
        <w:spacing w:after="0" w:line="19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Returns</w:t>
      </w:r>
      <w:r>
        <w:rPr>
          <w:rFonts w:ascii="Arial" w:cs="Arial" w:eastAsia="Arial" w:hAnsi="Arial"/>
          <w:sz w:val="16"/>
          <w:szCs w:val="16"/>
          <w:color w:val="auto"/>
        </w:rPr>
        <w:t xml:space="preserve"> ” means, with respect to any Investment, any dividends, distributions, interest, fees, premium, return of capital, repayment of principal, income, profits (from a Disposition or otherwise) and other amounts received or realized by a Borrower or a Restricted Subsidiary in respect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such Investment.</w:t>
      </w:r>
    </w:p>
    <w:p>
      <w:pPr>
        <w:spacing w:after="0" w:line="3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Revolver Extension Request</w:t>
      </w:r>
      <w:r>
        <w:rPr>
          <w:rFonts w:ascii="Arial" w:cs="Arial" w:eastAsia="Arial" w:hAnsi="Arial"/>
          <w:sz w:val="18"/>
          <w:szCs w:val="18"/>
          <w:color w:val="auto"/>
        </w:rPr>
        <w:t>” has the meaning provided in Section 2.16(b). “</w:t>
      </w:r>
      <w:r>
        <w:rPr>
          <w:rFonts w:ascii="Arial" w:cs="Arial" w:eastAsia="Arial" w:hAnsi="Arial"/>
          <w:sz w:val="18"/>
          <w:szCs w:val="18"/>
          <w:b w:val="1"/>
          <w:bCs w:val="1"/>
          <w:color w:val="auto"/>
        </w:rPr>
        <w:t>Revolver Extension Series</w:t>
      </w:r>
      <w:r>
        <w:rPr>
          <w:rFonts w:ascii="Arial" w:cs="Arial" w:eastAsia="Arial" w:hAnsi="Arial"/>
          <w:sz w:val="18"/>
          <w:szCs w:val="18"/>
          <w:color w:val="auto"/>
        </w:rPr>
        <w:t>” has the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provided in Section 2.16(b). “</w:t>
      </w:r>
      <w:r>
        <w:rPr>
          <w:rFonts w:ascii="Arial" w:cs="Arial" w:eastAsia="Arial" w:hAnsi="Arial"/>
          <w:sz w:val="18"/>
          <w:szCs w:val="18"/>
          <w:b w:val="1"/>
          <w:bCs w:val="1"/>
          <w:color w:val="auto"/>
        </w:rPr>
        <w:t>Revolving Commitment Increase</w:t>
      </w:r>
      <w:r>
        <w:rPr>
          <w:rFonts w:ascii="Arial" w:cs="Arial" w:eastAsia="Arial" w:hAnsi="Arial"/>
          <w:sz w:val="18"/>
          <w:szCs w:val="18"/>
          <w:color w:val="auto"/>
        </w:rPr>
        <w:t>” has the meaning specified in Section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2.14(a).</w:t>
      </w:r>
    </w:p>
    <w:p>
      <w:pPr>
        <w:spacing w:after="0" w:line="100"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Borrowing</w:t>
      </w:r>
      <w:r>
        <w:rPr>
          <w:rFonts w:ascii="Arial" w:cs="Arial" w:eastAsia="Arial" w:hAnsi="Arial"/>
          <w:sz w:val="18"/>
          <w:szCs w:val="18"/>
          <w:color w:val="auto"/>
        </w:rPr>
        <w:t xml:space="preserve">” means a borrowing consisting of Revolving Credit Loans of the same Class and Type and, in the case of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having the same Interest Period made by each of the Revolving Credit Lenders.</w:t>
      </w:r>
    </w:p>
    <w:p>
      <w:pPr>
        <w:spacing w:after="0" w:line="19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w:t>
      </w:r>
      <w:r>
        <w:rPr>
          <w:rFonts w:ascii="Arial" w:cs="Arial" w:eastAsia="Arial" w:hAnsi="Arial"/>
          <w:sz w:val="18"/>
          <w:szCs w:val="18"/>
          <w:color w:val="auto"/>
        </w:rPr>
        <w:t>” means, collectively, Incremental Revolving Credit Commitments, Extended Revolving Credit Commitments and Refinancing Revolving Credit Commitments, if any.</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Exposure</w:t>
      </w:r>
      <w:r>
        <w:rPr>
          <w:rFonts w:ascii="Arial" w:cs="Arial" w:eastAsia="Arial" w:hAnsi="Arial"/>
          <w:sz w:val="17"/>
          <w:szCs w:val="17"/>
          <w:color w:val="auto"/>
        </w:rPr>
        <w:t>” means, as to each Revolving Credit Lender, the Outstanding Amount of such Revolving Credit Lender’s</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Revolving Credit Loans and its Pro Rata Share or other applicable share provided for under the applicable Revolving Credit Facility of any letter of credit obligations or swing line loan obligations at such time.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at any time, the aggregate amount of the Revolving Credit Commitments at such time.</w:t>
      </w:r>
    </w:p>
    <w:p>
      <w:pPr>
        <w:spacing w:after="0" w:line="22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means, at any time, any Lender that has a Revolving Credit Commitment at such time or, if Revolving Credit Commitments have terminated, Revolving Credit Exposure.</w:t>
      </w:r>
    </w:p>
    <w:p>
      <w:pPr>
        <w:sectPr>
          <w:pgSz w:w="11900" w:h="16838" w:orient="portrait"/>
          <w:cols w:equalWidth="0" w:num="1">
            <w:col w:w="10900"/>
          </w:cols>
          <w:pgMar w:left="480" w:top="1440" w:right="519" w:bottom="1440" w:gutter="0" w:footer="0" w:header="0"/>
        </w:sectPr>
      </w:pPr>
    </w:p>
    <w:bookmarkStart w:id="104" w:name="page105"/>
    <w:bookmarkEnd w:id="104"/>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Loans</w:t>
      </w:r>
      <w:r>
        <w:rPr>
          <w:rFonts w:ascii="Arial" w:cs="Arial" w:eastAsia="Arial" w:hAnsi="Arial"/>
          <w:sz w:val="18"/>
          <w:szCs w:val="18"/>
          <w:color w:val="auto"/>
        </w:rPr>
        <w:t>” means any Incremental Revolving Loan, any Refinancing Revolving Loan or any Extended Revolving Credit Loans, as the context may require.</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Note</w:t>
      </w:r>
      <w:r>
        <w:rPr>
          <w:rFonts w:ascii="Arial" w:cs="Arial" w:eastAsia="Arial" w:hAnsi="Arial"/>
          <w:sz w:val="16"/>
          <w:szCs w:val="16"/>
          <w:color w:val="auto"/>
        </w:rPr>
        <w:t>” means a promissory note of the Borrowers payable to any Revolving Credit Lender or its registered assigns evidencing the aggregate Indebtedness of the Borrowers to such Revolving Credit Lender resulting from the Revolving Credit Loans made by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Lender to the Borrowers.</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subsidiary of S&amp;P Global Inc., and any successor</w:t>
      </w:r>
    </w:p>
    <w:p>
      <w:pPr>
        <w:spacing w:after="0"/>
        <w:rPr>
          <w:sz w:val="20"/>
          <w:szCs w:val="20"/>
          <w:color w:val="auto"/>
        </w:rPr>
      </w:pPr>
      <w:r>
        <w:rPr>
          <w:rFonts w:ascii="Arial" w:cs="Arial" w:eastAsia="Arial" w:hAnsi="Arial"/>
          <w:sz w:val="18"/>
          <w:szCs w:val="18"/>
          <w:color w:val="auto"/>
        </w:rPr>
        <w:t>thereto.</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immediately available funds.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3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“Second Amendment” </w:t>
      </w:r>
      <w:r>
        <w:rPr>
          <w:rFonts w:ascii="Arial" w:cs="Arial" w:eastAsia="Arial" w:hAnsi="Arial"/>
          <w:sz w:val="16"/>
          <w:szCs w:val="16"/>
          <w:color w:val="auto"/>
        </w:rPr>
        <w:t>means that certain second amendment and amendment and restatement agreement to the Original Credit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October 27, 2021 among the Parent Borrower, the Guarantors party thereto, the Administrative Agent and each Lender party thereto.</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Lien Intercreditor Agreement</w:t>
      </w:r>
      <w:r>
        <w:rPr>
          <w:rFonts w:ascii="Arial" w:cs="Arial" w:eastAsia="Arial" w:hAnsi="Arial"/>
          <w:sz w:val="16"/>
          <w:szCs w:val="16"/>
          <w:color w:val="auto"/>
        </w:rPr>
        <w:t xml:space="preserve">” means either (a) an intercreditor agreement,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hereto or (b) a</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customary intercreditor agreement in form and substance reasonably acceptable to the Administrative Agent and the Administrative Borrower, which agreement shall provide that the Liens on the Collateral securing such Indebtedness shall rank junior to the Lien on the Collateral securing the Obligations under this Agreement, in each case with such modifications thereto as the Administrative Agent and the Administrative Borrower may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Obligations</w:t>
      </w:r>
      <w:r>
        <w:rPr>
          <w:rFonts w:ascii="Arial" w:cs="Arial" w:eastAsia="Arial" w:hAnsi="Arial"/>
          <w:sz w:val="18"/>
          <w:szCs w:val="18"/>
          <w:color w:val="auto"/>
        </w:rPr>
        <w:t>” means the “Second Lien Obligations” as defined in the ABL Intercreditor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Hedge Agreement</w:t>
      </w:r>
      <w:r>
        <w:rPr>
          <w:rFonts w:ascii="Arial" w:cs="Arial" w:eastAsia="Arial" w:hAnsi="Arial"/>
          <w:sz w:val="16"/>
          <w:szCs w:val="16"/>
          <w:color w:val="auto"/>
        </w:rPr>
        <w:t>” means any Swap Contract permitted under Article VII that is entered into by and between any Borrower or</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Restricted Subsidiary and any Hedge Bank to the extent designated by the Administrative Borrower and such Hedge Bank as a “Secured Hedge Agreement” in writing to the Administrative Agent; provided, that no such Swap Contract shall be designated as, or shall constitute, a Secured Hedge Agreement if such Swap Contract constitutes a “Secured Hedge Agreement” (as defined in the ABL Credit Agreement). The designation of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Secured Hedge Agreement shall not create in favor of such Hedge Bank any rights in connection with the management or release of Collateral or of the obligations of any Guarantor under the Loan Documents.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means all obligations owing to any Hedge Bank by any Borrower or any Restricted Subsidiary under any Secured Hedge Agreement.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collectively, the Obligations and the Secured Hedge Obligations.</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collectively, the Administrative Agent, the Arranger, the Lenders, the Hedge Banks and each co-agent or sub-agent appointed by the Administrative Agent from time to time pursuant to Section 9.05.</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Securitization Assets</w:t>
      </w:r>
      <w:r>
        <w:rPr>
          <w:rFonts w:ascii="Arial" w:cs="Arial" w:eastAsia="Arial" w:hAnsi="Arial"/>
          <w:sz w:val="17"/>
          <w:szCs w:val="17"/>
          <w:color w:val="auto"/>
        </w:rPr>
        <w:t>” means (a) the accounts receivable, royalty or other revenue streams and other rights to payment subject to a Qualified Securitization Financing and the proceeds thereof and (b) contract rights, lockbox accounts and records with respect to such accounts</w:t>
      </w:r>
    </w:p>
    <w:p>
      <w:pPr>
        <w:spacing w:after="0"/>
        <w:rPr>
          <w:sz w:val="20"/>
          <w:szCs w:val="20"/>
          <w:color w:val="auto"/>
        </w:rPr>
      </w:pPr>
      <w:r>
        <w:rPr>
          <w:rFonts w:ascii="Arial" w:cs="Arial" w:eastAsia="Arial" w:hAnsi="Arial"/>
          <w:sz w:val="18"/>
          <w:szCs w:val="18"/>
          <w:color w:val="auto"/>
        </w:rPr>
        <w:t>receivable and any other assets customarily transferred together with accounts receivable in a securitization financing.</w:t>
      </w:r>
    </w:p>
    <w:p>
      <w:pPr>
        <w:sectPr>
          <w:pgSz w:w="11900" w:h="16838" w:orient="portrait"/>
          <w:cols w:equalWidth="0" w:num="1">
            <w:col w:w="10880"/>
          </w:cols>
          <w:pgMar w:left="480" w:top="1440" w:right="539" w:bottom="1440" w:gutter="0" w:footer="0" w:header="0"/>
        </w:sectPr>
      </w:pPr>
    </w:p>
    <w:bookmarkStart w:id="105" w:name="page106"/>
    <w:bookmarkEnd w:id="105"/>
    <w:p>
      <w:pPr>
        <w:spacing w:after="0" w:line="20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Financing.</w:t>
      </w:r>
    </w:p>
    <w:p>
      <w:pPr>
        <w:spacing w:after="0" w:line="19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Securitization Financing</w:t>
      </w:r>
      <w:r>
        <w:rPr>
          <w:rFonts w:ascii="Arial" w:cs="Arial" w:eastAsia="Arial" w:hAnsi="Arial"/>
          <w:sz w:val="16"/>
          <w:szCs w:val="16"/>
          <w:color w:val="auto"/>
        </w:rPr>
        <w:t>” means any transaction or series of transactions that may be entered into by the Parent Borrower or any of its Subsidiaries pursuant to which the Parent Borrower or any of its Subsidiaries may sell, convey or otherwise transfer to (a) a Securitization Subsidiary (in the case of a transfer by the Parent Borrower or any of its Subsidiaries) or (b) any other Person (in the case of a transfer by a Securitization</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Subsidiary), or may grant a security interest in, any Securitization Assets of the Parent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granted in connection with asset securitization transactions involving Securitization Assets.</w:t>
      </w:r>
    </w:p>
    <w:p>
      <w:pPr>
        <w:spacing w:after="0" w:line="19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Securitization Repurchase Obligation</w:t>
      </w:r>
      <w:r>
        <w:rPr>
          <w:rFonts w:ascii="Arial" w:cs="Arial" w:eastAsia="Arial" w:hAnsi="Arial"/>
          <w:sz w:val="16"/>
          <w:szCs w:val="16"/>
          <w:color w:val="auto"/>
        </w:rPr>
        <w:t>” means any obligation of a seller of Securitization Assets in a Qualified Securitization Financing to repurchase such assets arising as a result of a beach of a Standard Securitization Undertaking, including as a result of a receivable or portion thereof</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becoming subject to any asserted defense, dispute, offset or counterclaim of any kind as a result of any action taken by, any failure to take action by or any other event relating to the seller.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Securitization Subsidiary</w:t>
      </w:r>
      <w:r>
        <w:rPr>
          <w:rFonts w:ascii="Arial" w:cs="Arial" w:eastAsia="Arial" w:hAnsi="Arial"/>
          <w:sz w:val="17"/>
          <w:szCs w:val="17"/>
          <w:color w:val="auto"/>
        </w:rPr>
        <w:t>” means a wholly-owned Subsidiary of the Parent Borrower (or another Person formed for the purposes of</w:t>
      </w:r>
    </w:p>
    <w:p>
      <w:pPr>
        <w:spacing w:after="0" w:line="1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engaging in a Qualified Securitization Financing in which the Parent Borrower or any Subsidiary of the Parent Borrower makes an investment and to which the Parent Borrower or any Subsidiary of the Parent Borrower transfers Securitization Assets and related assets) that engages in no activities other than in connection with the financing of Securitization Assets of the Parent Borrower or its Subsidiaries, all proceeds thereof and all rights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(contingent and other), collateral and other assets relating thereto, and any business or activities incidental or related to such business, and which is designated by the Board of Directors of the Administrative Borrower or such other Person (as provided below) as a Securitization Subsidiary and (a) no portion of the Indebtedness or any other obligations (contingent or otherwise) of which (i) is guaranteed by the Parent Borrower or any other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Subsidiary of the Parent Borrower, other than another Securitization Subsidiary (excluding guarantees of obligations (other than the principal of, and interest on, Indebtedness) pursuant to Standard Securitization Undertakings or Limited Originator Recourse), (ii) is recourse to or obligates the Parent Borrower or any other Subsidiary of the Parent Borrower, other than another Securitization Subsidiary, in any way other than pursuant to Standard</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Securitization Undertakings or Limited Originator Recourse or (iii) subjects any property or asset of any the Parent Borrower or any other Subsidiary of the Parent Borrower, other than another Securitization Subsidiary, directly or indirectly, contingently or otherwise, to the satisfaction thereof, other than pursuant to Standard Securitization Undertakings or Limited Originator Recourse, (b) with which none of the Parent Borrower or any other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Subsidiary of the Parent Borrower, other than another Securitization Subsidiary, has any material contract, agreement, arrangement or understanding other than on terms which the Administrative Borrower reasonably believes to be no less favorable to the Parent Borrower or such Subsidiary than those that might be obtained at the time from Persons that are not Affiliates of the Parent Borrower and (c) to which none of the Parent Borrower or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any other Subsidiary of the Parent Borrower, other than another Securitization Subsidiary, has any obligation to maintain or preserve such entity’s financial condition or cause such entity to achieve certain levels of operating results. Any such designation by the Board of Directors of the Administrative Borrower or such other Person shall be evidenced to the Administrative Agent by delivery to the Administrative Agent of a certified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copy of the resolution of the Board of Directors of the Administrative Borrower or such other Person giving effect to such designation and a certificate executed by a Responsible Officer certifying that such designation complied with the foregoing conditions.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means a security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w:t>
      </w:r>
      <w:r>
        <w:rPr>
          <w:rFonts w:ascii="Arial" w:cs="Arial" w:eastAsia="Arial" w:hAnsi="Arial"/>
          <w:sz w:val="18"/>
          <w:szCs w:val="18"/>
          <w:b w:val="1"/>
          <w:bCs w:val="1"/>
          <w:color w:val="auto"/>
        </w:rPr>
        <w:t>Security Agreement Supplement</w:t>
      </w:r>
      <w:r>
        <w:rPr>
          <w:rFonts w:ascii="Arial" w:cs="Arial" w:eastAsia="Arial" w:hAnsi="Arial"/>
          <w:sz w:val="18"/>
          <w:szCs w:val="18"/>
          <w:color w:val="auto"/>
        </w:rPr>
        <w: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has the meaning specified in the Security Agreement.</w:t>
      </w:r>
    </w:p>
    <w:p>
      <w:pPr>
        <w:sectPr>
          <w:pgSz w:w="11900" w:h="16838" w:orient="portrait"/>
          <w:cols w:equalWidth="0" w:num="1">
            <w:col w:w="10920"/>
          </w:cols>
          <w:pgMar w:left="480" w:top="1440" w:right="499" w:bottom="1440" w:gutter="0" w:footer="0" w:header="0"/>
        </w:sectPr>
      </w:pPr>
    </w:p>
    <w:bookmarkStart w:id="106" w:name="page107"/>
    <w:bookmarkEnd w:id="106"/>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Representative</w:t>
      </w:r>
      <w:r>
        <w:rPr>
          <w:rFonts w:ascii="Arial" w:cs="Arial" w:eastAsia="Arial" w:hAnsi="Arial"/>
          <w:sz w:val="17"/>
          <w:szCs w:val="17"/>
          <w:color w:val="auto"/>
        </w:rPr>
        <w:t>” means, with respect to any series of secured or subordinated Indebtedness permitted to be incurred under this Agreement,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9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Net Leverage Ratio</w:t>
      </w:r>
      <w:r>
        <w:rPr>
          <w:rFonts w:ascii="Arial" w:cs="Arial" w:eastAsia="Arial" w:hAnsi="Arial"/>
          <w:sz w:val="18"/>
          <w:szCs w:val="18"/>
          <w:color w:val="auto"/>
        </w:rPr>
        <w:t>” means, with respect to any Test Period, the ratio of (a) Consolidated Senior Secured Net Debt as of the last day of such Test Period to (b) Consolidated EBITDA of the Parent Borrower for such Test Period.</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SOFR Early Opt-in</w:t>
      </w:r>
      <w:r>
        <w:rPr>
          <w:rFonts w:ascii="Arial" w:cs="Arial" w:eastAsia="Arial" w:hAnsi="Arial"/>
          <w:sz w:val="18"/>
          <w:szCs w:val="18"/>
          <w:color w:val="FF0000"/>
          <w:strike w:val="1"/>
        </w:rPr>
        <w:t>” means the Administrative Agent and the Administrative Borrower have elected to replace LIBOR pursuant to (1) an Early Opt-in Election and (2) Section 3.03(c)(i) and paragraph (1) of the definition of “Benchmark Replacement”.</w:t>
      </w:r>
    </w:p>
    <w:p>
      <w:pPr>
        <w:spacing w:after="0" w:line="257" w:lineRule="exact"/>
        <w:rPr>
          <w:sz w:val="20"/>
          <w:szCs w:val="20"/>
          <w:color w:val="auto"/>
        </w:rPr>
      </w:pPr>
    </w:p>
    <w:p>
      <w:pPr>
        <w:ind w:right="920" w:firstLine="648"/>
        <w:spacing w:after="0" w:line="237" w:lineRule="auto"/>
        <w:rPr>
          <w:sz w:val="20"/>
          <w:szCs w:val="20"/>
          <w:color w:val="auto"/>
        </w:rPr>
      </w:pPr>
      <w:r>
        <w:rPr>
          <w:rFonts w:ascii="Arial" w:cs="Arial" w:eastAsia="Arial" w:hAnsi="Arial"/>
          <w:sz w:val="18"/>
          <w:szCs w:val="18"/>
          <w:u w:val="single" w:color="auto"/>
          <w:color w:val="0E32E1"/>
        </w:rPr>
        <w:t>“</w:t>
      </w:r>
      <w:r>
        <w:rPr>
          <w:rFonts w:ascii="Arial" w:cs="Arial" w:eastAsia="Arial" w:hAnsi="Arial"/>
          <w:sz w:val="18"/>
          <w:szCs w:val="18"/>
          <w:b w:val="1"/>
          <w:bCs w:val="1"/>
          <w:u w:val="single" w:color="auto"/>
          <w:color w:val="0E32E1"/>
        </w:rPr>
        <w:t>SOFR</w:t>
      </w:r>
      <w:r>
        <w:rPr>
          <w:rFonts w:ascii="Arial" w:cs="Arial" w:eastAsia="Arial" w:hAnsi="Arial"/>
          <w:sz w:val="18"/>
          <w:szCs w:val="18"/>
          <w:u w:val="single" w:color="auto"/>
          <w:color w:val="0E32E1"/>
        </w:rPr>
        <w:t>” means the Secured Overnight Financing Rate as administered by the Federal Reserve Bank of New York (or a successor administrator).</w:t>
      </w:r>
    </w:p>
    <w:p>
      <w:pPr>
        <w:spacing w:after="0" w:line="200" w:lineRule="exact"/>
        <w:rPr>
          <w:sz w:val="20"/>
          <w:szCs w:val="20"/>
          <w:color w:val="auto"/>
        </w:rPr>
      </w:pPr>
    </w:p>
    <w:p>
      <w:pPr>
        <w:spacing w:after="0" w:line="242" w:lineRule="exact"/>
        <w:rPr>
          <w:sz w:val="20"/>
          <w:szCs w:val="20"/>
          <w:color w:val="auto"/>
        </w:rPr>
      </w:pPr>
    </w:p>
    <w:p>
      <w:pPr>
        <w:ind w:left="20" w:right="180" w:firstLine="648"/>
        <w:spacing w:after="0" w:line="294" w:lineRule="auto"/>
        <w:rPr>
          <w:sz w:val="20"/>
          <w:szCs w:val="20"/>
          <w:color w:val="auto"/>
        </w:rPr>
      </w:pPr>
      <w:r>
        <w:rPr>
          <w:rFonts w:ascii="Arial" w:cs="Arial" w:eastAsia="Arial" w:hAnsi="Arial"/>
          <w:sz w:val="16"/>
          <w:szCs w:val="16"/>
          <w:u w:val="single" w:color="auto"/>
          <w:color w:val="0E32E1"/>
        </w:rPr>
        <w:t>“</w:t>
      </w:r>
      <w:r>
        <w:rPr>
          <w:rFonts w:ascii="Arial" w:cs="Arial" w:eastAsia="Arial" w:hAnsi="Arial"/>
          <w:sz w:val="16"/>
          <w:szCs w:val="16"/>
          <w:b w:val="1"/>
          <w:bCs w:val="1"/>
          <w:u w:val="single" w:color="auto"/>
          <w:color w:val="0E32E1"/>
        </w:rPr>
        <w:t>SOFR Adjustment</w:t>
      </w:r>
      <w:r>
        <w:rPr>
          <w:rFonts w:ascii="Arial" w:cs="Arial" w:eastAsia="Arial" w:hAnsi="Arial"/>
          <w:sz w:val="16"/>
          <w:szCs w:val="16"/>
          <w:u w:val="single" w:color="auto"/>
          <w:color w:val="0E32E1"/>
        </w:rPr>
        <w:t>” means (i) 0.11448% (11.448 basis points) for an Interest Period of one month’s duration, (ii) 0.26161% (26.161 basis points) for an Interest Period of three months’ duration and (iii) 0.42826% (42.826 basis points) for an Interest Period of six months’ duration.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 Proration</w:t>
      </w:r>
      <w:r>
        <w:rPr>
          <w:rFonts w:ascii="Arial" w:cs="Arial" w:eastAsia="Arial" w:hAnsi="Arial"/>
          <w:sz w:val="18"/>
          <w:szCs w:val="18"/>
          <w:color w:val="auto"/>
        </w:rPr>
        <w:t>” has the meaning specified in Section 2.05(a)(v)(D)(3).</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Solicited Discounted Prepayment Amount</w:t>
      </w:r>
      <w:r>
        <w:rPr>
          <w:rFonts w:ascii="Arial" w:cs="Arial" w:eastAsia="Arial" w:hAnsi="Arial"/>
          <w:sz w:val="16"/>
          <w:szCs w:val="16"/>
          <w:color w:val="auto"/>
        </w:rPr>
        <w:t>” has the meaning specified in Section 2.05(a)(v)(D)(1). “</w:t>
      </w:r>
      <w:r>
        <w:rPr>
          <w:rFonts w:ascii="Arial" w:cs="Arial" w:eastAsia="Arial" w:hAnsi="Arial"/>
          <w:sz w:val="16"/>
          <w:szCs w:val="16"/>
          <w:b w:val="1"/>
          <w:bCs w:val="1"/>
          <w:color w:val="auto"/>
        </w:rPr>
        <w:t>Solicited Discounted Prepayment</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means a written notice of the Administrative Borrower of</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Solicited Discounted Prepayment Offers made pursuant to Section 2.05(a)(v)(D) substantially in the form of </w:t>
      </w:r>
      <w:r>
        <w:rPr>
          <w:rFonts w:ascii="Arial" w:cs="Arial" w:eastAsia="Arial" w:hAnsi="Arial"/>
          <w:sz w:val="18"/>
          <w:szCs w:val="18"/>
          <w:u w:val="single" w:color="auto"/>
          <w:color w:val="auto"/>
        </w:rPr>
        <w:t>Exhibit E-6</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Discounted Prepayment Offer</w:t>
      </w:r>
      <w:r>
        <w:rPr>
          <w:rFonts w:ascii="Arial" w:cs="Arial" w:eastAsia="Arial" w:hAnsi="Arial"/>
          <w:sz w:val="18"/>
          <w:szCs w:val="18"/>
          <w:color w:val="auto"/>
        </w:rPr>
        <w:t xml:space="preserve">” means the irrevocable written offer by each Lender, substantially in the form of </w:t>
      </w:r>
      <w:r>
        <w:rPr>
          <w:rFonts w:ascii="Arial" w:cs="Arial" w:eastAsia="Arial" w:hAnsi="Arial"/>
          <w:sz w:val="18"/>
          <w:szCs w:val="18"/>
          <w:u w:val="single" w:color="auto"/>
          <w:color w:val="auto"/>
        </w:rPr>
        <w:t>Exhibit E-7</w:t>
      </w:r>
      <w:r>
        <w:rPr>
          <w:rFonts w:ascii="Arial" w:cs="Arial" w:eastAsia="Arial" w:hAnsi="Arial"/>
          <w:sz w:val="18"/>
          <w:szCs w:val="18"/>
          <w:color w:val="auto"/>
        </w:rPr>
        <w:t>, submitted following the Administrative Agent’s receipt of a Solicited Discounted Prepayment Notice.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Discounted Prepayment Response Date</w:t>
      </w:r>
      <w:r>
        <w:rPr>
          <w:rFonts w:ascii="Arial" w:cs="Arial" w:eastAsia="Arial" w:hAnsi="Arial"/>
          <w:sz w:val="18"/>
          <w:szCs w:val="18"/>
          <w:color w:val="auto"/>
        </w:rPr>
        <w:t>” has the meaning specified in Section 2.05(a)(v)(D)(1).</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xml:space="preserve"> ” mean, with respect to the Parent Borrower and its Subsidiaries on the Closing Date, after giving effect to the Transactions and the incurrence of the indebtedness and obligations being incurred in connection therewith, that on such date (a) the sum of the debt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(including contingent liabilities) of the Parent Borrower and its Subsidiaries, taken as a whole, does not exceed the present fair saleable value (on a going concern basis) of the assets of the Parent Borrower and its Subsidiaries, taken as a whole; (b) the capital of the Parent Borrower and its Subsidiaries, taken as a whole, is not unreasonably small in relation to the business of the Parent Borrower and its Subsidiaries, taken as a whole,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contemplated as of the Closing Date; and (c) the Parent Borrower and its Subsidiaries, taken as a whole, do not intend to incur, or believe that they will incur, debts including current obligations beyond their ability to pay such debts as they mature in the ordinary course of business. For the purposes hereof, the amount of any contingent liability at any time shall be computed as the amount that, in light of all of the facts and circumstances existing at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has the meaning specified in Section 10.07(h).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w:t>
      </w:r>
      <w:r>
        <w:rPr>
          <w:rFonts w:ascii="Arial" w:cs="Arial" w:eastAsia="Arial" w:hAnsi="Arial"/>
          <w:sz w:val="18"/>
          <w:szCs w:val="18"/>
          <w:color w:val="auto"/>
        </w:rPr>
        <w:t>” has the meaning specified in Section 2.05(a)(v)(B)(1).</w:t>
      </w:r>
    </w:p>
    <w:p>
      <w:pPr>
        <w:sectPr>
          <w:pgSz w:w="11900" w:h="16838" w:orient="portrait"/>
          <w:cols w:equalWidth="0" w:num="1">
            <w:col w:w="10880"/>
          </w:cols>
          <w:pgMar w:left="480" w:top="1440" w:right="539" w:bottom="1440" w:gutter="0" w:footer="0" w:header="0"/>
        </w:sectPr>
      </w:pPr>
    </w:p>
    <w:bookmarkStart w:id="107" w:name="page108"/>
    <w:bookmarkEnd w:id="107"/>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 Prepayment Amount</w:t>
      </w:r>
      <w:r>
        <w:rPr>
          <w:rFonts w:ascii="Arial" w:cs="Arial" w:eastAsia="Arial" w:hAnsi="Arial"/>
          <w:sz w:val="18"/>
          <w:szCs w:val="18"/>
          <w:color w:val="auto"/>
        </w:rPr>
        <w:t>” has the meaning specified in Section 2.05(a)(v)(B)(1).</w:t>
      </w:r>
    </w:p>
    <w:p>
      <w:pPr>
        <w:spacing w:after="0" w:line="225" w:lineRule="exact"/>
        <w:rPr>
          <w:sz w:val="20"/>
          <w:szCs w:val="20"/>
          <w:color w:val="auto"/>
        </w:rPr>
      </w:pPr>
    </w:p>
    <w:p>
      <w:pPr>
        <w:jc w:val="both"/>
        <w:ind w:right="1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 Prepayment Notice</w:t>
      </w:r>
      <w:r>
        <w:rPr>
          <w:rFonts w:ascii="Arial" w:cs="Arial" w:eastAsia="Arial" w:hAnsi="Arial"/>
          <w:sz w:val="18"/>
          <w:szCs w:val="18"/>
          <w:color w:val="auto"/>
        </w:rPr>
        <w:t xml:space="preserve">” means a written notice of the Borrower Offer of Specified Discount Prepayment made pursuant to Section 2.05(a)(v)(B) substantially in the form of </w:t>
      </w:r>
      <w:r>
        <w:rPr>
          <w:rFonts w:ascii="Arial" w:cs="Arial" w:eastAsia="Arial" w:hAnsi="Arial"/>
          <w:sz w:val="18"/>
          <w:szCs w:val="18"/>
          <w:u w:val="single" w:color="auto"/>
          <w:color w:val="auto"/>
        </w:rPr>
        <w:t>Exhibit E-8</w:t>
      </w:r>
      <w:r>
        <w:rPr>
          <w:rFonts w:ascii="Arial" w:cs="Arial" w:eastAsia="Arial" w:hAnsi="Arial"/>
          <w:sz w:val="18"/>
          <w:szCs w:val="18"/>
          <w:color w:val="auto"/>
        </w:rPr>
        <w:t xml:space="preserve"> .</w:t>
      </w:r>
    </w:p>
    <w:p>
      <w:pPr>
        <w:spacing w:after="0" w:line="199" w:lineRule="exact"/>
        <w:rPr>
          <w:sz w:val="20"/>
          <w:szCs w:val="20"/>
          <w:color w:val="auto"/>
        </w:rPr>
      </w:pPr>
    </w:p>
    <w:p>
      <w:pPr>
        <w:jc w:val="both"/>
        <w:ind w:right="1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 Prepayment Response</w:t>
      </w:r>
      <w:r>
        <w:rPr>
          <w:rFonts w:ascii="Arial" w:cs="Arial" w:eastAsia="Arial" w:hAnsi="Arial"/>
          <w:sz w:val="18"/>
          <w:szCs w:val="18"/>
          <w:color w:val="auto"/>
        </w:rPr>
        <w:t xml:space="preserve">” means the irrevocable written response by each Lender, substantially in the form of </w:t>
      </w:r>
      <w:r>
        <w:rPr>
          <w:rFonts w:ascii="Arial" w:cs="Arial" w:eastAsia="Arial" w:hAnsi="Arial"/>
          <w:sz w:val="18"/>
          <w:szCs w:val="18"/>
          <w:u w:val="single" w:color="auto"/>
          <w:color w:val="auto"/>
        </w:rPr>
        <w:t>Exhibit E-9</w:t>
      </w:r>
      <w:r>
        <w:rPr>
          <w:rFonts w:ascii="Arial" w:cs="Arial" w:eastAsia="Arial" w:hAnsi="Arial"/>
          <w:sz w:val="18"/>
          <w:szCs w:val="18"/>
          <w:color w:val="auto"/>
        </w:rPr>
        <w:t>, to a Specified Discount Prepayment Notice.</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Discount Prepayment Response Date</w:t>
      </w:r>
      <w:r>
        <w:rPr>
          <w:rFonts w:ascii="Arial" w:cs="Arial" w:eastAsia="Arial" w:hAnsi="Arial"/>
          <w:sz w:val="16"/>
          <w:szCs w:val="16"/>
          <w:color w:val="auto"/>
        </w:rPr>
        <w:t>” has the meaning specified in Section 2.05(a)(v)(B)(1). “</w:t>
      </w:r>
      <w:r>
        <w:rPr>
          <w:rFonts w:ascii="Arial" w:cs="Arial" w:eastAsia="Arial" w:hAnsi="Arial"/>
          <w:sz w:val="16"/>
          <w:szCs w:val="16"/>
          <w:b w:val="1"/>
          <w:bCs w:val="1"/>
          <w:color w:val="auto"/>
        </w:rPr>
        <w:t>Specified Discount Proration</w:t>
      </w:r>
      <w:r>
        <w:rPr>
          <w:rFonts w:ascii="Arial" w:cs="Arial" w:eastAsia="Arial" w:hAnsi="Arial"/>
          <w:sz w:val="16"/>
          <w:szCs w:val="16"/>
          <w:color w:val="auto"/>
        </w:rPr>
        <w:t>” has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specified in Section 2.05(a)(v)(B)(3).</w:t>
      </w:r>
    </w:p>
    <w:p>
      <w:pPr>
        <w:spacing w:after="0" w:line="100" w:lineRule="exact"/>
        <w:rPr>
          <w:sz w:val="20"/>
          <w:szCs w:val="20"/>
          <w:color w:val="auto"/>
        </w:rPr>
      </w:pPr>
    </w:p>
    <w:p>
      <w:pPr>
        <w:jc w:val="both"/>
        <w:ind w:right="1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Junior Financing Obligations</w:t>
      </w:r>
      <w:r>
        <w:rPr>
          <w:rFonts w:ascii="Arial" w:cs="Arial" w:eastAsia="Arial" w:hAnsi="Arial"/>
          <w:sz w:val="18"/>
          <w:szCs w:val="18"/>
          <w:color w:val="auto"/>
        </w:rPr>
        <w:t>” means any obligations in respect of any Junior Financing in respect of which any Loan Party is an obligor in a principal amount in excess of the Threshold Amount.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Post-Closing Undertaking</w:t>
      </w:r>
      <w:r>
        <w:rPr>
          <w:rFonts w:ascii="Arial" w:cs="Arial" w:eastAsia="Arial" w:hAnsi="Arial"/>
          <w:sz w:val="18"/>
          <w:szCs w:val="18"/>
          <w:color w:val="auto"/>
        </w:rPr>
        <w:t>” has the meaning specified in Section 6.18.</w:t>
      </w:r>
    </w:p>
    <w:p>
      <w:pPr>
        <w:spacing w:after="0" w:line="225"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Representations</w:t>
      </w:r>
      <w:r>
        <w:rPr>
          <w:rFonts w:ascii="Arial" w:cs="Arial" w:eastAsia="Arial" w:hAnsi="Arial"/>
          <w:sz w:val="16"/>
          <w:szCs w:val="16"/>
          <w:color w:val="auto"/>
        </w:rPr>
        <w:t>” means those representations and warranties made by the Loan Parties in Sections 5.01(a) (only with respect to organizational existence of the Loan Parties), 5.01(b), 5.02(a), 5.02(b)(i) (limited to any contravention arising out of the execution, delivery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the Loan Documents), 5.04, 5.12, 5.16, 5.18(a)(ii), 5.18(b), 5.18(c)(ii) and 5.19 (subject to the proviso at the end of Section 4.01(a)).</w:t>
      </w:r>
    </w:p>
    <w:p>
      <w:pPr>
        <w:spacing w:after="0" w:line="215" w:lineRule="exact"/>
        <w:rPr>
          <w:sz w:val="20"/>
          <w:szCs w:val="20"/>
          <w:color w:val="auto"/>
        </w:rPr>
      </w:pPr>
    </w:p>
    <w:p>
      <w:pPr>
        <w:jc w:val="both"/>
        <w:ind w:right="140"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Transaction</w:t>
      </w:r>
      <w:r>
        <w:rPr>
          <w:rFonts w:ascii="Arial" w:cs="Arial" w:eastAsia="Arial" w:hAnsi="Arial"/>
          <w:sz w:val="17"/>
          <w:szCs w:val="17"/>
          <w:color w:val="auto"/>
        </w:rPr>
        <w:t>” means (a) the Transactions, (b) any designation of operations or assets of the Parent Borrower or any of its Restricted Subsidiaries as discontinued operations (as defined under GAAP), (c) any Investment that results in a Person becoming a Restricted</w:t>
      </w:r>
    </w:p>
    <w:p>
      <w:pPr>
        <w:jc w:val="both"/>
        <w:ind w:right="140"/>
        <w:spacing w:after="0" w:line="234" w:lineRule="auto"/>
        <w:rPr>
          <w:sz w:val="20"/>
          <w:szCs w:val="20"/>
          <w:color w:val="auto"/>
        </w:rPr>
      </w:pPr>
      <w:r>
        <w:rPr>
          <w:rFonts w:ascii="Arial" w:cs="Arial" w:eastAsia="Arial" w:hAnsi="Arial"/>
          <w:sz w:val="16"/>
          <w:szCs w:val="16"/>
          <w:color w:val="auto"/>
        </w:rPr>
        <w:t>Subsidiary, (d) any designation of a Subsidiary as a Restricted Subsidiary or an Unrestricted Subsidiary, (e) any Permitted Acquisition, (f) any Disposition that results in a Restricted Subsidiary ceasing to be a Subsidiary of the Parent Borrower or any Disposition of a business unit, line of business, book of business or division of the Parent Borrower or any of its Restricted Subsidiaries, in each case whether by merger, consolidation,</w:t>
      </w:r>
    </w:p>
    <w:p>
      <w:pPr>
        <w:spacing w:after="0" w:line="2"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amalgamation or otherwise or (g) any incurrence or repayment of Indebtedness (other than Indebtedness incurred or repaid under any revolving credit facility or line of credit in the ordinary course of business for working capital purposes), a Restricted Payment, Incremental Revolving Credit Commitment, Incremental Revolving Loan or Incremental Term Loan, in each case, that by the terms of this Agreement requires a financial ratio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test to be calculated on a “Pro Forma Basis” or after giving “Pro Forma Effect.”</w:t>
      </w:r>
    </w:p>
    <w:p>
      <w:pPr>
        <w:spacing w:after="0" w:line="192" w:lineRule="exact"/>
        <w:rPr>
          <w:sz w:val="20"/>
          <w:szCs w:val="20"/>
          <w:color w:val="auto"/>
        </w:rPr>
      </w:pPr>
    </w:p>
    <w:p>
      <w:pPr>
        <w:jc w:val="both"/>
        <w:ind w:right="1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Securitization Undertakings</w:t>
      </w:r>
      <w:r>
        <w:rPr>
          <w:rFonts w:ascii="Arial" w:cs="Arial" w:eastAsia="Arial" w:hAnsi="Arial"/>
          <w:sz w:val="18"/>
          <w:szCs w:val="18"/>
          <w:color w:val="auto"/>
        </w:rPr>
        <w:t>” means representations, warranties, covenants and indemnities entered into by a Borrower or any Subsidiary of a Borrower that are customary in a Securitization Financing.</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Submitted Amount</w:t>
      </w:r>
      <w:r>
        <w:rPr>
          <w:rFonts w:ascii="Arial" w:cs="Arial" w:eastAsia="Arial" w:hAnsi="Arial"/>
          <w:sz w:val="18"/>
          <w:szCs w:val="18"/>
          <w:color w:val="auto"/>
        </w:rPr>
        <w:t>” has the meaning specified in Section 2.05(a)(v)(C)(1). “</w:t>
      </w:r>
      <w:r>
        <w:rPr>
          <w:rFonts w:ascii="Arial" w:cs="Arial" w:eastAsia="Arial" w:hAnsi="Arial"/>
          <w:sz w:val="18"/>
          <w:szCs w:val="18"/>
          <w:b w:val="1"/>
          <w:bCs w:val="1"/>
          <w:color w:val="auto"/>
        </w:rPr>
        <w:t>Submitted Discount</w:t>
      </w:r>
      <w:r>
        <w:rPr>
          <w:rFonts w:ascii="Arial" w:cs="Arial" w:eastAsia="Arial" w:hAnsi="Arial"/>
          <w:sz w:val="18"/>
          <w:szCs w:val="18"/>
          <w:color w:val="auto"/>
        </w:rPr>
        <w:t>” has the meaning</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specified in Section 2.05(a)(v)(C)(1). “</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with respect to the Obligations,</w:t>
      </w:r>
    </w:p>
    <w:p>
      <w:pPr>
        <w:spacing w:after="0" w:line="108" w:lineRule="exact"/>
        <w:rPr>
          <w:sz w:val="20"/>
          <w:szCs w:val="20"/>
          <w:color w:val="auto"/>
        </w:rPr>
      </w:pPr>
    </w:p>
    <w:p>
      <w:pPr>
        <w:ind w:left="1800" w:hanging="512"/>
        <w:spacing w:after="0"/>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Indebtedness of any Borrower which is by its terms junior in right of payment to the Obligations, and</w:t>
      </w:r>
    </w:p>
    <w:p>
      <w:pPr>
        <w:spacing w:after="0" w:line="221" w:lineRule="exact"/>
        <w:rPr>
          <w:rFonts w:ascii="Arial" w:cs="Arial" w:eastAsia="Arial" w:hAnsi="Arial"/>
          <w:sz w:val="18"/>
          <w:szCs w:val="18"/>
          <w:color w:val="auto"/>
        </w:rPr>
      </w:pPr>
    </w:p>
    <w:p>
      <w:pPr>
        <w:ind w:left="1800" w:hanging="512"/>
        <w:spacing w:after="0"/>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Indebtedness of any Guarantor which is by its terms junior in right of payment to the Guarantee of such entity of the</w:t>
      </w:r>
    </w:p>
    <w:p>
      <w:pPr>
        <w:ind w:left="640"/>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 Person means a corporation, partnership, joint venture, limited liability company or other business entity (excluding, for the</w:t>
      </w:r>
    </w:p>
    <w:p>
      <w:pPr>
        <w:spacing w:after="0" w:line="25" w:lineRule="exact"/>
        <w:rPr>
          <w:sz w:val="20"/>
          <w:szCs w:val="20"/>
          <w:color w:val="auto"/>
        </w:rPr>
      </w:pPr>
    </w:p>
    <w:p>
      <w:pPr>
        <w:jc w:val="both"/>
        <w:ind w:right="120"/>
        <w:spacing w:after="0" w:line="218" w:lineRule="auto"/>
        <w:rPr>
          <w:sz w:val="20"/>
          <w:szCs w:val="20"/>
          <w:color w:val="auto"/>
        </w:rPr>
      </w:pPr>
      <w:r>
        <w:rPr>
          <w:rFonts w:ascii="Arial" w:cs="Arial" w:eastAsia="Arial" w:hAnsi="Arial"/>
          <w:sz w:val="18"/>
          <w:szCs w:val="18"/>
          <w:color w:val="auto"/>
        </w:rPr>
        <w:t>avoidance of doubt, any charitable organizations and any other Person that meets the requirements of Section 501(c)(3) of the Code) of which (i) a majority of the shares of securities or other interests having ordinary voting power for the election of directors or other governing body (other than securities or</w:t>
      </w:r>
    </w:p>
    <w:p>
      <w:pPr>
        <w:sectPr>
          <w:pgSz w:w="11900" w:h="16838" w:orient="portrait"/>
          <w:cols w:equalWidth="0" w:num="1">
            <w:col w:w="11020"/>
          </w:cols>
          <w:pgMar w:left="480" w:top="1440" w:right="399" w:bottom="1440" w:gutter="0" w:footer="0" w:header="0"/>
        </w:sectPr>
      </w:pPr>
    </w:p>
    <w:bookmarkStart w:id="108" w:name="page109"/>
    <w:bookmarkEnd w:id="108"/>
    <w:p>
      <w:pPr>
        <w:spacing w:after="0" w:line="196"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interests having such power only by reason of the happening of a contingency) are at the time beneficially owned or</w:t>
      </w:r>
    </w:p>
    <w:p>
      <w:pPr>
        <w:ind w:left="8" w:right="20" w:hanging="8"/>
        <w:spacing w:after="0" w:line="239" w:lineRule="auto"/>
        <w:tabs>
          <w:tab w:leader="none" w:pos="297"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management of which is otherwise controlled, directly or indirectly, through one or more intermediaries, or both, by such Person. Unless otherwise specified, all references herein to a “Subsidiary” or to “Subsidiaries” shall refer to a Subsidiary or Subsidiaries of the Parent Borrower.</w:t>
      </w:r>
    </w:p>
    <w:p>
      <w:pPr>
        <w:spacing w:after="0" w:line="320"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Parent Borrower</w:t>
      </w:r>
      <w:r>
        <w:rPr>
          <w:rFonts w:ascii="Arial" w:cs="Arial" w:eastAsia="Arial" w:hAnsi="Arial"/>
          <w:sz w:val="18"/>
          <w:szCs w:val="18"/>
          <w:color w:val="auto"/>
        </w:rPr>
        <w:t>” has the meaning specified in Section 7.04(d). “</w:t>
      </w:r>
      <w:r>
        <w:rPr>
          <w:rFonts w:ascii="Arial" w:cs="Arial" w:eastAsia="Arial" w:hAnsi="Arial"/>
          <w:sz w:val="18"/>
          <w:szCs w:val="18"/>
          <w:b w:val="1"/>
          <w:bCs w:val="1"/>
          <w:color w:val="auto"/>
        </w:rPr>
        <w:t>Supported QFC</w:t>
      </w:r>
      <w:r>
        <w:rPr>
          <w:rFonts w:ascii="Arial" w:cs="Arial" w:eastAsia="Arial" w:hAnsi="Arial"/>
          <w:sz w:val="18"/>
          <w:szCs w:val="18"/>
          <w:color w:val="auto"/>
        </w:rPr>
        <w:t>” has the meaning</w:t>
      </w:r>
    </w:p>
    <w:p>
      <w:pPr>
        <w:spacing w:after="0" w:line="229" w:lineRule="exact"/>
        <w:rPr>
          <w:sz w:val="20"/>
          <w:szCs w:val="20"/>
          <w:color w:val="auto"/>
        </w:rPr>
      </w:pPr>
    </w:p>
    <w:p>
      <w:pPr>
        <w:ind w:left="648"/>
        <w:spacing w:after="0"/>
        <w:rPr>
          <w:sz w:val="20"/>
          <w:szCs w:val="20"/>
          <w:color w:val="auto"/>
        </w:rPr>
      </w:pPr>
      <w:r>
        <w:rPr>
          <w:rFonts w:ascii="Arial" w:cs="Arial" w:eastAsia="Arial" w:hAnsi="Arial"/>
          <w:sz w:val="18"/>
          <w:szCs w:val="18"/>
          <w:color w:val="auto"/>
        </w:rPr>
        <w:t>specified in Section 10.22.</w:t>
      </w:r>
    </w:p>
    <w:p>
      <w:pPr>
        <w:spacing w:after="0" w:line="100" w:lineRule="exact"/>
        <w:rPr>
          <w:sz w:val="20"/>
          <w:szCs w:val="20"/>
          <w:color w:val="auto"/>
        </w:rPr>
      </w:pPr>
    </w:p>
    <w:p>
      <w:pPr>
        <w:ind w:left="8"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w:t>
      </w:r>
      <w:r>
        <w:rPr>
          <w:rFonts w:ascii="Arial" w:cs="Arial" w:eastAsia="Arial" w:hAnsi="Arial"/>
          <w:sz w:val="18"/>
          <w:szCs w:val="18"/>
          <w:color w:val="auto"/>
        </w:rPr>
        <w:t xml:space="preserve"> means any agreement, contract, or transaction that constitutes a “swap” within the meaning of section 1a(47) of the Commodity Exchange Act.</w:t>
      </w:r>
    </w:p>
    <w:p>
      <w:pPr>
        <w:spacing w:after="0" w:line="199" w:lineRule="exact"/>
        <w:rPr>
          <w:sz w:val="20"/>
          <w:szCs w:val="20"/>
          <w:color w:val="auto"/>
        </w:rPr>
      </w:pPr>
    </w:p>
    <w:p>
      <w:pPr>
        <w:jc w:val="both"/>
        <w:ind w:left="8" w:firstLine="648"/>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w:t>
      </w:r>
    </w:p>
    <w:p>
      <w:pPr>
        <w:jc w:val="both"/>
        <w:ind w:left="8"/>
        <w:spacing w:after="0" w:line="234" w:lineRule="auto"/>
        <w:rPr>
          <w:sz w:val="20"/>
          <w:szCs w:val="20"/>
          <w:color w:val="auto"/>
        </w:rPr>
      </w:pPr>
      <w:r>
        <w:rPr>
          <w:rFonts w:ascii="Arial" w:cs="Arial" w:eastAsia="Arial" w:hAnsi="Arial"/>
          <w:sz w:val="16"/>
          <w:szCs w:val="16"/>
          <w:color w:val="auto"/>
        </w:rPr>
        <w:t>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w:t>
      </w:r>
    </w:p>
    <w:p>
      <w:pPr>
        <w:spacing w:after="0" w:line="2"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93" w:lineRule="exact"/>
        <w:rPr>
          <w:sz w:val="20"/>
          <w:szCs w:val="20"/>
          <w:color w:val="auto"/>
        </w:rPr>
      </w:pPr>
    </w:p>
    <w:p>
      <w:pPr>
        <w:jc w:val="both"/>
        <w:ind w:left="8"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xml:space="preserve"> means, with respect to any Guarantor, any obligation to pay or perform under any agreement, contract or transaction that constitutes a “swap” within the meaning of section 1a(47) of the Commodity Exchange Act.</w:t>
      </w:r>
    </w:p>
    <w:p>
      <w:pPr>
        <w:spacing w:after="0" w:line="199" w:lineRule="exact"/>
        <w:rPr>
          <w:sz w:val="20"/>
          <w:szCs w:val="20"/>
          <w:color w:val="auto"/>
        </w:rPr>
      </w:pPr>
    </w:p>
    <w:p>
      <w:pPr>
        <w:jc w:val="both"/>
        <w:ind w:left="8" w:right="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w:t>
      </w:r>
    </w:p>
    <w:p>
      <w:pPr>
        <w:spacing w:after="0" w:line="1"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17"/>
          <w:szCs w:val="17"/>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5"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w:t>
      </w:r>
      <w:r>
        <w:rPr>
          <w:rFonts w:ascii="Arial" w:cs="Arial" w:eastAsia="Arial" w:hAnsi="Arial"/>
          <w:sz w:val="18"/>
          <w:szCs w:val="18"/>
          <w:color w:val="auto"/>
        </w:rPr>
        <w:t>” means BofA Securities, Inc., in its capacity as syndication agent under this Agreement.</w:t>
      </w:r>
    </w:p>
    <w:p>
      <w:pPr>
        <w:spacing w:after="0" w:line="225" w:lineRule="exact"/>
        <w:rPr>
          <w:sz w:val="20"/>
          <w:szCs w:val="20"/>
          <w:color w:val="auto"/>
        </w:rPr>
      </w:pPr>
    </w:p>
    <w:p>
      <w:pPr>
        <w:jc w:val="both"/>
        <w:ind w:left="8"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all present or future taxes, duties, levies, imposts, assessments or withholdings imposed by any Governmental Authority including interest, penalties and additions to tax.</w:t>
      </w:r>
    </w:p>
    <w:p>
      <w:pPr>
        <w:spacing w:after="0" w:line="199" w:lineRule="exact"/>
        <w:rPr>
          <w:sz w:val="20"/>
          <w:szCs w:val="20"/>
          <w:color w:val="auto"/>
        </w:rPr>
      </w:pPr>
    </w:p>
    <w:p>
      <w:pPr>
        <w:jc w:val="both"/>
        <w:ind w:left="8"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B Commitment</w:t>
      </w:r>
      <w:r>
        <w:rPr>
          <w:rFonts w:ascii="Arial" w:cs="Arial" w:eastAsia="Arial" w:hAnsi="Arial"/>
          <w:sz w:val="16"/>
          <w:szCs w:val="16"/>
          <w:color w:val="auto"/>
        </w:rPr>
        <w:t>” means, as to each Term Lender, its obligation to make a Term B Loan to the Borrowers pursuant to Section 2.01(a) in an aggregate amount not to exceed the amount set forth opposite such Lender’s name on Schedule 1.01A hereto under the caption “Term B</w:t>
      </w:r>
    </w:p>
    <w:p>
      <w:pPr>
        <w:spacing w:after="0" w:line="1" w:lineRule="exact"/>
        <w:rPr>
          <w:sz w:val="20"/>
          <w:szCs w:val="20"/>
          <w:color w:val="auto"/>
        </w:rPr>
      </w:pPr>
    </w:p>
    <w:p>
      <w:pPr>
        <w:jc w:val="both"/>
        <w:ind w:left="8" w:right="20"/>
        <w:spacing w:after="0" w:line="218" w:lineRule="auto"/>
        <w:rPr>
          <w:sz w:val="20"/>
          <w:szCs w:val="20"/>
          <w:color w:val="auto"/>
        </w:rPr>
      </w:pPr>
      <w:r>
        <w:rPr>
          <w:rFonts w:ascii="Arial" w:cs="Arial" w:eastAsia="Arial" w:hAnsi="Arial"/>
          <w:sz w:val="18"/>
          <w:szCs w:val="18"/>
          <w:color w:val="auto"/>
        </w:rPr>
        <w:t>Commitment” or in the Assignment and Assumption pursuant to which such Term Lender becomes a party hereto, as applicable, as such amount may be adjusted from time to time in accordance with this Agreement (including Sections 2.14 and 2.06). The initial aggregate amount of the Term B Commitments is $600,000,000.</w:t>
      </w:r>
    </w:p>
    <w:p>
      <w:pPr>
        <w:spacing w:after="0" w:line="199" w:lineRule="exact"/>
        <w:rPr>
          <w:sz w:val="20"/>
          <w:szCs w:val="20"/>
          <w:color w:val="auto"/>
        </w:rPr>
      </w:pPr>
    </w:p>
    <w:p>
      <w:pPr>
        <w:ind w:left="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Loans</w:t>
      </w:r>
      <w:r>
        <w:rPr>
          <w:rFonts w:ascii="Arial" w:cs="Arial" w:eastAsia="Arial" w:hAnsi="Arial"/>
          <w:sz w:val="18"/>
          <w:szCs w:val="18"/>
          <w:color w:val="auto"/>
        </w:rPr>
        <w:t>” means the term loans made by the Lenders on the Closing Date to the Borrowers pursuant to Section 2.01(a).</w:t>
      </w:r>
    </w:p>
    <w:p>
      <w:pPr>
        <w:sectPr>
          <w:pgSz w:w="11900" w:h="16838" w:orient="portrait"/>
          <w:cols w:equalWidth="0" w:num="1">
            <w:col w:w="10908"/>
          </w:cols>
          <w:pgMar w:left="472" w:top="1440" w:right="519" w:bottom="1440" w:gutter="0" w:footer="0" w:header="0"/>
        </w:sectPr>
      </w:pPr>
    </w:p>
    <w:bookmarkStart w:id="109" w:name="page110"/>
    <w:bookmarkEnd w:id="109"/>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xml:space="preserve">” means a borrowing consisting of Term Loans of the same Type and Class and, in the case of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Loans, having the same Interest Period, made by each of the Term Lenders pursuant to Section 2.01(a).</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Commitment</w:t>
      </w:r>
      <w:r>
        <w:rPr>
          <w:rFonts w:ascii="Arial" w:cs="Arial" w:eastAsia="Arial" w:hAnsi="Arial"/>
          <w:sz w:val="16"/>
          <w:szCs w:val="16"/>
          <w:color w:val="auto"/>
        </w:rPr>
        <w:t>” means, as to each Term Lender, its obligation to make Term Loans to the Borrowers hereunder, as such commitment</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may be (a) reduced from time to time pursuant to Section 2.06 and (b) reduced or increased from time to time pursuant to (i) assignments by or to such Term Lender pursuant to an Assignment and Assumption, (ii) an Incremental Amendment, (iii) a Refinancing Amendment or (iv) an Extension Amendment. The amount of each Term Lender’s Commitment is set forth on Schedule 1.01A hereto under the caption “Term B Commitment” or</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 the Assignment and Assumption, Incremental Amendment, Extension Amendment or Refinancing Amendment pursuant to which such Lender shall have assumed, increased or decreased its Term Commitment, as the case may be.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Lender</w:t>
      </w:r>
      <w:r>
        <w:rPr>
          <w:rFonts w:ascii="Arial" w:cs="Arial" w:eastAsia="Arial" w:hAnsi="Arial"/>
          <w:sz w:val="16"/>
          <w:szCs w:val="16"/>
          <w:color w:val="auto"/>
        </w:rPr>
        <w:t>” means, at any time, any Lender that has a Term Commitment or a Term Loan at such time. “</w:t>
      </w:r>
      <w:r>
        <w:rPr>
          <w:rFonts w:ascii="Arial" w:cs="Arial" w:eastAsia="Arial" w:hAnsi="Arial"/>
          <w:sz w:val="16"/>
          <w:szCs w:val="16"/>
          <w:b w:val="1"/>
          <w:bCs w:val="1"/>
          <w:color w:val="auto"/>
        </w:rPr>
        <w:t>Term Loan</w:t>
      </w:r>
      <w:r>
        <w:rPr>
          <w:rFonts w:ascii="Arial" w:cs="Arial" w:eastAsia="Arial" w:hAnsi="Arial"/>
          <w:sz w:val="16"/>
          <w:szCs w:val="16"/>
          <w:color w:val="auto"/>
        </w:rPr>
        <w:t>” means any Term B</w:t>
      </w:r>
    </w:p>
    <w:p>
      <w:pPr>
        <w:spacing w:after="0" w:line="320" w:lineRule="exact"/>
        <w:rPr>
          <w:sz w:val="20"/>
          <w:szCs w:val="20"/>
          <w:color w:val="auto"/>
        </w:rPr>
      </w:pPr>
    </w:p>
    <w:p>
      <w:pPr>
        <w:ind w:right="5120" w:firstLine="648"/>
        <w:spacing w:after="0" w:line="457" w:lineRule="auto"/>
        <w:rPr>
          <w:sz w:val="20"/>
          <w:szCs w:val="20"/>
          <w:color w:val="auto"/>
        </w:rPr>
      </w:pPr>
      <w:r>
        <w:rPr>
          <w:rFonts w:ascii="Arial" w:cs="Arial" w:eastAsia="Arial" w:hAnsi="Arial"/>
          <w:sz w:val="17"/>
          <w:szCs w:val="17"/>
          <w:color w:val="auto"/>
        </w:rPr>
        <w:t>Loan, Incremental Term Loan, Refinancing Term Loan, Extended Term Loan or Replacement Term Loan, as the context may require.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has the meaning provided in Section 2.16(a). “</w:t>
      </w:r>
      <w:r>
        <w:rPr>
          <w:rFonts w:ascii="Arial" w:cs="Arial" w:eastAsia="Arial" w:hAnsi="Arial"/>
          <w:sz w:val="18"/>
          <w:szCs w:val="18"/>
          <w:b w:val="1"/>
          <w:bCs w:val="1"/>
          <w:color w:val="auto"/>
        </w:rPr>
        <w:t>Term Loan Extension Series</w:t>
      </w:r>
      <w:r>
        <w:rPr>
          <w:rFonts w:ascii="Arial" w:cs="Arial" w:eastAsia="Arial" w:hAnsi="Arial"/>
          <w:sz w:val="18"/>
          <w:szCs w:val="18"/>
          <w:color w:val="auto"/>
        </w:rPr>
        <w:t>” has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provided in Section 2.16(a). “</w:t>
      </w:r>
      <w:r>
        <w:rPr>
          <w:rFonts w:ascii="Arial" w:cs="Arial" w:eastAsia="Arial" w:hAnsi="Arial"/>
          <w:sz w:val="18"/>
          <w:szCs w:val="18"/>
          <w:b w:val="1"/>
          <w:bCs w:val="1"/>
          <w:color w:val="auto"/>
        </w:rPr>
        <w:t>Term Loan Increase</w:t>
      </w:r>
      <w:r>
        <w:rPr>
          <w:rFonts w:ascii="Arial" w:cs="Arial" w:eastAsia="Arial" w:hAnsi="Arial"/>
          <w:sz w:val="18"/>
          <w:szCs w:val="18"/>
          <w:color w:val="auto"/>
        </w:rPr>
        <w:t>” has the meaning specified in Section 2.14(a).</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Priority Collateral</w:t>
      </w:r>
      <w:r>
        <w:rPr>
          <w:rFonts w:ascii="Arial" w:cs="Arial" w:eastAsia="Arial" w:hAnsi="Arial"/>
          <w:sz w:val="18"/>
          <w:szCs w:val="18"/>
          <w:color w:val="auto"/>
        </w:rPr>
        <w:t>” means the “Term Loan Priority Collateral” as defined in the ABL Intercreditor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Note</w:t>
      </w:r>
      <w:r>
        <w:rPr>
          <w:rFonts w:ascii="Arial" w:cs="Arial" w:eastAsia="Arial" w:hAnsi="Arial"/>
          <w:sz w:val="16"/>
          <w:szCs w:val="16"/>
          <w:color w:val="auto"/>
        </w:rPr>
        <w:t>” means a promissory note of the Borrowers payable to any Term Lender or its registered assigns, in substantially the form of</w:t>
      </w:r>
    </w:p>
    <w:p>
      <w:pPr>
        <w:spacing w:after="0" w:line="25"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hereto, evidencing the aggregate Indebtedness of the Borrowers to such Term Lender resulting from the Term Loans made by such Term Lender.</w:t>
      </w:r>
    </w:p>
    <w:p>
      <w:pPr>
        <w:spacing w:after="0" w:line="19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SOFR</w:t>
      </w:r>
      <w:r>
        <w:rPr>
          <w:rFonts w:ascii="Arial" w:cs="Arial" w:eastAsia="Arial" w:hAnsi="Arial"/>
          <w:sz w:val="16"/>
          <w:szCs w:val="16"/>
          <w:color w:val="auto"/>
        </w:rPr>
        <w:t>” means</w:t>
      </w:r>
      <w:r>
        <w:rPr>
          <w:rFonts w:ascii="Arial" w:cs="Arial" w:eastAsia="Arial" w:hAnsi="Arial"/>
          <w:sz w:val="16"/>
          <w:szCs w:val="16"/>
          <w:color w:val="FF0000"/>
          <w:strike w:val="1"/>
        </w:rPr>
        <w:t>, for the applicable corresponding tenor (or if any Available Tenor of a Benchmark does not correspond to an Available</w:t>
      </w:r>
      <w:r>
        <w:rPr>
          <w:rFonts w:ascii="Arial" w:cs="Arial" w:eastAsia="Arial" w:hAnsi="Arial"/>
          <w:sz w:val="16"/>
          <w:szCs w:val="16"/>
          <w:color w:val="auto"/>
        </w:rPr>
        <w:t xml:space="preserve"> </w:t>
      </w:r>
      <w:r>
        <w:rPr>
          <w:rFonts w:ascii="Arial" w:cs="Arial" w:eastAsia="Arial" w:hAnsi="Arial"/>
          <w:sz w:val="16"/>
          <w:szCs w:val="16"/>
          <w:color w:val="FF0000"/>
          <w:strike w:val="1"/>
        </w:rPr>
        <w:t>Tenor for the applicable Benchmark Replacement, the closest corresponding Available Tenor and if such Available Tenor corresponds equally to two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Available Tenors of the applicable Benchmark Replacement, the corresponding tenor of the shorter duration shall be applied),:</w:t>
      </w:r>
    </w:p>
    <w:p>
      <w:pPr>
        <w:spacing w:after="0" w:line="200" w:lineRule="exact"/>
        <w:rPr>
          <w:sz w:val="20"/>
          <w:szCs w:val="20"/>
          <w:color w:val="auto"/>
        </w:rPr>
      </w:pPr>
    </w:p>
    <w:p>
      <w:pPr>
        <w:spacing w:after="0" w:line="320" w:lineRule="exact"/>
        <w:rPr>
          <w:sz w:val="20"/>
          <w:szCs w:val="20"/>
          <w:color w:val="auto"/>
        </w:rPr>
      </w:pPr>
    </w:p>
    <w:p>
      <w:pPr>
        <w:jc w:val="both"/>
        <w:ind w:left="640" w:right="20" w:firstLine="810"/>
        <w:spacing w:after="0" w:line="222" w:lineRule="auto"/>
        <w:tabs>
          <w:tab w:leader="none" w:pos="1792" w:val="left"/>
        </w:tabs>
        <w:numPr>
          <w:ilvl w:val="0"/>
          <w:numId w:val="77"/>
        </w:numPr>
        <w:rPr>
          <w:rFonts w:ascii="Arial" w:cs="Arial" w:eastAsia="Arial" w:hAnsi="Arial"/>
          <w:sz w:val="18"/>
          <w:szCs w:val="18"/>
          <w:u w:val="single" w:color="auto"/>
          <w:color w:val="0E32E1"/>
        </w:rPr>
      </w:pPr>
      <w:r>
        <w:rPr>
          <w:rFonts w:ascii="Arial" w:cs="Arial" w:eastAsia="Arial" w:hAnsi="Arial"/>
          <w:sz w:val="18"/>
          <w:szCs w:val="18"/>
          <w:u w:val="single" w:color="auto"/>
          <w:color w:val="0E32E1"/>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271" w:lineRule="exact"/>
        <w:rPr>
          <w:rFonts w:ascii="Arial" w:cs="Arial" w:eastAsia="Arial" w:hAnsi="Arial"/>
          <w:sz w:val="18"/>
          <w:szCs w:val="18"/>
          <w:u w:val="single" w:color="auto"/>
          <w:color w:val="0E32E1"/>
        </w:rPr>
      </w:pPr>
    </w:p>
    <w:p>
      <w:pPr>
        <w:jc w:val="both"/>
        <w:ind w:left="640" w:firstLine="810"/>
        <w:spacing w:after="0" w:line="254" w:lineRule="auto"/>
        <w:tabs>
          <w:tab w:leader="none" w:pos="1792" w:val="left"/>
        </w:tabs>
        <w:numPr>
          <w:ilvl w:val="0"/>
          <w:numId w:val="77"/>
        </w:numPr>
        <w:rPr>
          <w:rFonts w:ascii="Arial" w:cs="Arial" w:eastAsia="Arial" w:hAnsi="Arial"/>
          <w:sz w:val="16"/>
          <w:szCs w:val="16"/>
          <w:u w:val="single" w:color="auto"/>
          <w:color w:val="0E32E1"/>
        </w:rPr>
      </w:pPr>
      <w:r>
        <w:rPr>
          <w:rFonts w:ascii="Arial" w:cs="Arial" w:eastAsia="Arial" w:hAnsi="Arial"/>
          <w:sz w:val="16"/>
          <w:szCs w:val="16"/>
          <w:u w:val="single" w:color="auto"/>
          <w:color w:val="0E32E1"/>
        </w:rPr>
        <w:t>for any interest calculation with respect to a Base Rate Loan on any date, the rate per annum equal to the Term SOFR Screen Rate two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 in each case, plus the SOFR Adjustment for such term;</w:t>
      </w:r>
    </w:p>
    <w:p>
      <w:pPr>
        <w:sectPr>
          <w:pgSz w:w="11900" w:h="16838" w:orient="portrait"/>
          <w:cols w:equalWidth="0" w:num="1">
            <w:col w:w="10900"/>
          </w:cols>
          <w:pgMar w:left="480" w:top="1440" w:right="519" w:bottom="1440" w:gutter="0" w:footer="0" w:header="0"/>
        </w:sectPr>
      </w:pPr>
    </w:p>
    <w:bookmarkStart w:id="110" w:name="page111"/>
    <w:bookmarkEnd w:id="110"/>
    <w:p>
      <w:pPr>
        <w:spacing w:after="0" w:line="211" w:lineRule="exact"/>
        <w:rPr>
          <w:sz w:val="20"/>
          <w:szCs w:val="20"/>
          <w:color w:val="auto"/>
        </w:rPr>
      </w:pPr>
    </w:p>
    <w:p>
      <w:pPr>
        <w:ind w:left="720" w:right="100" w:firstLine="810"/>
        <w:spacing w:after="0" w:line="235" w:lineRule="auto"/>
        <w:rPr>
          <w:sz w:val="20"/>
          <w:szCs w:val="20"/>
          <w:color w:val="auto"/>
        </w:rPr>
      </w:pPr>
      <w:r>
        <w:rPr>
          <w:rFonts w:ascii="Arial" w:cs="Arial" w:eastAsia="Arial" w:hAnsi="Arial"/>
          <w:sz w:val="18"/>
          <w:szCs w:val="18"/>
          <w:i w:val="1"/>
          <w:iCs w:val="1"/>
          <w:u w:val="single" w:color="auto"/>
          <w:color w:val="0E32E1"/>
        </w:rPr>
        <w:t xml:space="preserve">provided </w:t>
      </w:r>
      <w:r>
        <w:rPr>
          <w:rFonts w:ascii="Arial" w:cs="Arial" w:eastAsia="Arial" w:hAnsi="Arial"/>
          <w:sz w:val="18"/>
          <w:szCs w:val="18"/>
          <w:u w:val="single" w:color="auto"/>
          <w:color w:val="0E32E1"/>
        </w:rPr>
        <w:t>that if the Term SOFR determined in accordance with either of the foregoing provisions (a) or (b) of this definition would</w:t>
      </w:r>
      <w:r>
        <w:rPr>
          <w:rFonts w:ascii="Arial" w:cs="Arial" w:eastAsia="Arial" w:hAnsi="Arial"/>
          <w:sz w:val="18"/>
          <w:szCs w:val="18"/>
          <w:i w:val="1"/>
          <w:iCs w:val="1"/>
          <w:u w:val="single" w:color="auto"/>
          <w:color w:val="0E32E1"/>
        </w:rPr>
        <w:t xml:space="preserve"> </w:t>
      </w:r>
      <w:r>
        <w:rPr>
          <w:rFonts w:ascii="Arial" w:cs="Arial" w:eastAsia="Arial" w:hAnsi="Arial"/>
          <w:sz w:val="18"/>
          <w:szCs w:val="18"/>
          <w:u w:val="single" w:color="auto"/>
          <w:color w:val="0E32E1"/>
        </w:rPr>
        <w:t>otherwise be less than 0.50%, the Term SOFR shall be deemed 0.50% for purposes of this Agreement.</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E32E1"/>
        </w:rPr>
        <w:t>“</w:t>
      </w:r>
      <w:r>
        <w:rPr>
          <w:rFonts w:ascii="Arial" w:cs="Arial" w:eastAsia="Arial" w:hAnsi="Arial"/>
          <w:sz w:val="18"/>
          <w:szCs w:val="18"/>
          <w:b w:val="1"/>
          <w:bCs w:val="1"/>
          <w:u w:val="single" w:color="auto"/>
          <w:color w:val="0E32E1"/>
        </w:rPr>
        <w:t>Term SOFR Loan</w:t>
      </w:r>
      <w:r>
        <w:rPr>
          <w:rFonts w:ascii="Arial" w:cs="Arial" w:eastAsia="Arial" w:hAnsi="Arial"/>
          <w:sz w:val="18"/>
          <w:szCs w:val="18"/>
          <w:u w:val="single" w:color="auto"/>
          <w:color w:val="0E32E1"/>
        </w:rPr>
        <w:t>” means a Loan that bears interest at a rate based on clause (a) of the definition of Term SOFR.</w:t>
      </w:r>
    </w:p>
    <w:p>
      <w:pPr>
        <w:spacing w:after="0" w:line="306" w:lineRule="exact"/>
        <w:rPr>
          <w:sz w:val="20"/>
          <w:szCs w:val="20"/>
          <w:color w:val="auto"/>
        </w:rPr>
      </w:pPr>
    </w:p>
    <w:p>
      <w:pPr>
        <w:jc w:val="both"/>
        <w:ind w:left="80" w:right="80" w:firstLine="648"/>
        <w:spacing w:after="0" w:line="243"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Term SOFR Screen Rate</w:t>
      </w:r>
      <w:r>
        <w:rPr>
          <w:rFonts w:ascii="Arial" w:cs="Arial" w:eastAsia="Arial" w:hAnsi="Arial"/>
          <w:sz w:val="16"/>
          <w:szCs w:val="16"/>
          <w:u w:val="single" w:color="auto"/>
          <w:color w:val="0000FF"/>
        </w:rPr>
        <w:t>” means</w:t>
      </w:r>
      <w:r>
        <w:rPr>
          <w:rFonts w:ascii="Arial" w:cs="Arial" w:eastAsia="Arial" w:hAnsi="Arial"/>
          <w:sz w:val="16"/>
          <w:szCs w:val="16"/>
          <w:color w:val="0000FF"/>
        </w:rPr>
        <w:t xml:space="preserve"> </w:t>
      </w:r>
      <w:r>
        <w:rPr>
          <w:rFonts w:ascii="Arial" w:cs="Arial" w:eastAsia="Arial" w:hAnsi="Arial"/>
          <w:sz w:val="16"/>
          <w:szCs w:val="16"/>
          <w:color w:val="000000"/>
        </w:rPr>
        <w:t>the forward-looking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SOFR</w:t>
      </w:r>
      <w:r>
        <w:rPr>
          <w:rFonts w:ascii="Arial" w:cs="Arial" w:eastAsia="Arial" w:hAnsi="Arial"/>
          <w:sz w:val="16"/>
          <w:szCs w:val="16"/>
          <w:color w:val="0000FF"/>
        </w:rPr>
        <w:t xml:space="preserve"> </w:t>
      </w:r>
      <w:r>
        <w:rPr>
          <w:rFonts w:ascii="Arial" w:cs="Arial" w:eastAsia="Arial" w:hAnsi="Arial"/>
          <w:sz w:val="16"/>
          <w:szCs w:val="16"/>
          <w:color w:val="000000"/>
        </w:rPr>
        <w:t>term rate</w:t>
      </w:r>
      <w:r>
        <w:rPr>
          <w:rFonts w:ascii="Arial" w:cs="Arial" w:eastAsia="Arial" w:hAnsi="Arial"/>
          <w:sz w:val="16"/>
          <w:szCs w:val="16"/>
          <w:color w:val="0000FF"/>
        </w:rPr>
        <w:t xml:space="preserve"> </w:t>
      </w:r>
      <w:r>
        <w:rPr>
          <w:rFonts w:ascii="Arial" w:cs="Arial" w:eastAsia="Arial" w:hAnsi="Arial"/>
          <w:sz w:val="16"/>
          <w:szCs w:val="16"/>
          <w:color w:val="FF0000"/>
          <w:strike w:val="1"/>
        </w:rPr>
        <w:t>based on SOFR that has been selected or recommended by the</w:t>
      </w:r>
      <w:r>
        <w:rPr>
          <w:rFonts w:ascii="Arial" w:cs="Arial" w:eastAsia="Arial" w:hAnsi="Arial"/>
          <w:sz w:val="16"/>
          <w:szCs w:val="16"/>
          <w:color w:val="0000FF"/>
        </w:rPr>
        <w:t xml:space="preserve"> </w:t>
      </w:r>
      <w:r>
        <w:rPr>
          <w:rFonts w:ascii="Arial" w:cs="Arial" w:eastAsia="Arial" w:hAnsi="Arial"/>
          <w:sz w:val="16"/>
          <w:szCs w:val="16"/>
          <w:color w:val="FF0000"/>
          <w:strike w:val="1"/>
        </w:rPr>
        <w:t>Relevant Governmental Body.</w:t>
      </w:r>
      <w:r>
        <w:rPr>
          <w:rFonts w:ascii="Arial" w:cs="Arial" w:eastAsia="Arial" w:hAnsi="Arial"/>
          <w:sz w:val="16"/>
          <w:szCs w:val="16"/>
          <w:u w:val="single" w:color="auto"/>
          <w:color w:val="0E32E1"/>
          <w:strike w:val="1"/>
        </w:rPr>
        <w:t>administered by CME (or any successor administrator satisfactory to the Administrative Agent) and published on the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E32E1"/>
          <w:strike w:val="1"/>
        </w:rPr>
        <w:t>applicable Reuters screen page (or such other commercially available source providing such quotations as may be designated by the Administrative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E32E1"/>
        </w:rPr>
        <w:t>Agent from time to time).</w:t>
      </w:r>
    </w:p>
    <w:p>
      <w:pPr>
        <w:spacing w:after="0" w:line="200" w:lineRule="exact"/>
        <w:rPr>
          <w:sz w:val="20"/>
          <w:szCs w:val="20"/>
          <w:color w:val="auto"/>
        </w:rPr>
      </w:pPr>
    </w:p>
    <w:p>
      <w:pPr>
        <w:spacing w:after="0" w:line="235" w:lineRule="exact"/>
        <w:rPr>
          <w:sz w:val="20"/>
          <w:szCs w:val="20"/>
          <w:color w:val="auto"/>
        </w:rPr>
      </w:pPr>
    </w:p>
    <w:p>
      <w:pPr>
        <w:ind w:firstLine="729"/>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 Period</w:t>
      </w:r>
      <w:r>
        <w:rPr>
          <w:rFonts w:ascii="Arial" w:cs="Arial" w:eastAsia="Arial" w:hAnsi="Arial"/>
          <w:sz w:val="16"/>
          <w:szCs w:val="16"/>
          <w:color w:val="auto"/>
        </w:rPr>
        <w:t>” means, for any date of determination under this Agreement, the four consecutive fiscal quarters of the Parent Borrower most recently ended as of such date of determination for which financial statements are available, which in the case of Applicable ECF Percentage shall also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$50,000,000.</w:t>
      </w:r>
    </w:p>
    <w:p>
      <w:pPr>
        <w:spacing w:after="0" w:line="225" w:lineRule="exact"/>
        <w:rPr>
          <w:sz w:val="20"/>
          <w:szCs w:val="20"/>
          <w:color w:val="auto"/>
        </w:rPr>
      </w:pPr>
    </w:p>
    <w:p>
      <w:pPr>
        <w:jc w:val="both"/>
        <w:ind w:left="80" w:right="12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Assets</w:t>
      </w:r>
      <w:r>
        <w:rPr>
          <w:rFonts w:ascii="Arial" w:cs="Arial" w:eastAsia="Arial" w:hAnsi="Arial"/>
          <w:sz w:val="16"/>
          <w:szCs w:val="16"/>
          <w:color w:val="auto"/>
        </w:rPr>
        <w:t>” means the total assets of the Parent Borrower and the Restricted Subsidiaries on a consolidated basis in accordance with GAAP, as shown on the most recent balance sheet of the Parent Borrower delivered pursuant to Section 6.01(a) or (b) (and, in the case of any</w:t>
      </w:r>
    </w:p>
    <w:p>
      <w:pPr>
        <w:spacing w:after="0" w:line="1" w:lineRule="exact"/>
        <w:rPr>
          <w:sz w:val="20"/>
          <w:szCs w:val="20"/>
          <w:color w:val="auto"/>
        </w:rPr>
      </w:pPr>
    </w:p>
    <w:p>
      <w:pPr>
        <w:jc w:val="both"/>
        <w:ind w:left="80" w:right="120"/>
        <w:spacing w:after="0" w:line="218" w:lineRule="auto"/>
        <w:rPr>
          <w:sz w:val="20"/>
          <w:szCs w:val="20"/>
          <w:color w:val="auto"/>
        </w:rPr>
      </w:pPr>
      <w:r>
        <w:rPr>
          <w:rFonts w:ascii="Arial" w:cs="Arial" w:eastAsia="Arial" w:hAnsi="Arial"/>
          <w:sz w:val="18"/>
          <w:szCs w:val="18"/>
          <w:color w:val="auto"/>
        </w:rPr>
        <w:t>determination relating to any incurrence of Indebtedness or any Investment, Restricted Payment or Permitted Acquisition or other acquisition, on a Pro Forma Basis including any property or assets being acquired or disposed of in connection therewith) or, for the period prior to the time any such statements are so delivered pursuant to Section 6.01(a) or (b), the Pro Forma Balance Sheet.</w:t>
      </w:r>
    </w:p>
    <w:p>
      <w:pPr>
        <w:spacing w:after="0" w:line="199" w:lineRule="exact"/>
        <w:rPr>
          <w:sz w:val="20"/>
          <w:szCs w:val="20"/>
          <w:color w:val="auto"/>
        </w:rPr>
      </w:pPr>
    </w:p>
    <w:p>
      <w:pPr>
        <w:jc w:val="both"/>
        <w:ind w:left="80" w:right="1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Net Leverage Ratio</w:t>
      </w:r>
      <w:r>
        <w:rPr>
          <w:rFonts w:ascii="Arial" w:cs="Arial" w:eastAsia="Arial" w:hAnsi="Arial"/>
          <w:sz w:val="18"/>
          <w:szCs w:val="18"/>
          <w:color w:val="auto"/>
        </w:rPr>
        <w:t>” means, with respect to any Test Period, the ratio of (a) Consolidated Total Net Debt as of the last day of such Test Period to (b) Consolidated EBITDA of the Parent Borrower for such Test Period.</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Outstandings</w:t>
      </w:r>
      <w:r>
        <w:rPr>
          <w:rFonts w:ascii="Arial" w:cs="Arial" w:eastAsia="Arial" w:hAnsi="Arial"/>
          <w:sz w:val="18"/>
          <w:szCs w:val="18"/>
          <w:color w:val="auto"/>
        </w:rPr>
        <w:t>” means the aggregate Outstanding Amount of all Loans.</w:t>
      </w:r>
    </w:p>
    <w:p>
      <w:pPr>
        <w:spacing w:after="0" w:line="225" w:lineRule="exact"/>
        <w:rPr>
          <w:sz w:val="20"/>
          <w:szCs w:val="20"/>
          <w:color w:val="auto"/>
        </w:rPr>
      </w:pPr>
    </w:p>
    <w:p>
      <w:pPr>
        <w:jc w:val="both"/>
        <w:ind w:left="80" w:right="1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Trailing Four Quarter Consolidated EBITDA</w:t>
      </w:r>
      <w:r>
        <w:rPr>
          <w:rFonts w:ascii="Arial" w:cs="Arial" w:eastAsia="Arial" w:hAnsi="Arial"/>
          <w:sz w:val="18"/>
          <w:szCs w:val="18"/>
          <w:color w:val="auto"/>
        </w:rPr>
        <w:t xml:space="preserve">” means Consolidated EBITDA for the most recently ended Test Period (determined on a Pro Forma Basis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p>
    <w:p>
      <w:pPr>
        <w:spacing w:after="0" w:line="199" w:lineRule="exact"/>
        <w:rPr>
          <w:sz w:val="20"/>
          <w:szCs w:val="20"/>
          <w:color w:val="auto"/>
        </w:rPr>
      </w:pPr>
    </w:p>
    <w:p>
      <w:pPr>
        <w:jc w:val="both"/>
        <w:ind w:left="80" w:right="120" w:firstLine="648"/>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means any fees, premiums, expenses or other costs incurred or paid by the Parent Borrower or any of its Subsidiaries in connection with the Transactions (including fees and expenses in connection with hedging transactions and this Agreement, the other Loan Documents, the ABL Financing Documents, the Unsecured Financing Documents and the transactions contemplated hereby and thereby).</w:t>
      </w:r>
    </w:p>
    <w:p>
      <w:pPr>
        <w:spacing w:after="0" w:line="183" w:lineRule="exact"/>
        <w:rPr>
          <w:sz w:val="20"/>
          <w:szCs w:val="20"/>
          <w:color w:val="auto"/>
        </w:rPr>
      </w:pPr>
    </w:p>
    <w:p>
      <w:pPr>
        <w:jc w:val="both"/>
        <w:ind w:left="80" w:right="80" w:firstLine="648"/>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xml:space="preserve"> ” means, collectively, (a) the funding of the Term B Loans and the issuance of the Unsecured Notes on the Closing Date and the execution and delivery of Loan Documents, any amendment to the ABL Financing Documents and the execution and delivery of the Unsecured Financing Documents to be entered into on the Closing Date, (b) the payment of Transaction Expenses and (e) the Closing Date Refinancing.</w:t>
      </w:r>
    </w:p>
    <w:p>
      <w:pPr>
        <w:spacing w:after="0" w:line="183" w:lineRule="exact"/>
        <w:rPr>
          <w:sz w:val="20"/>
          <w:szCs w:val="20"/>
          <w:color w:val="auto"/>
        </w:rPr>
      </w:pPr>
    </w:p>
    <w:p>
      <w:pPr>
        <w:jc w:val="both"/>
        <w:ind w:left="80" w:right="12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Transformative Acquisition</w:t>
      </w:r>
      <w:r>
        <w:rPr>
          <w:rFonts w:ascii="Arial" w:cs="Arial" w:eastAsia="Arial" w:hAnsi="Arial"/>
          <w:sz w:val="16"/>
          <w:szCs w:val="16"/>
          <w:color w:val="auto"/>
        </w:rPr>
        <w:t>” means any acquisition by the Parent Borrower or any Restricted Subsidiary that (i) is not permitted by the terms of the Loan Documents immediately prior to the consummation of such acquisition, (ii) if permitted by the terms of the Loan Documents immediately prior to the consummation of such acquisition, would not provide the Parent Borrower and the other Restricted Subsidiaries with</w:t>
      </w:r>
    </w:p>
    <w:p>
      <w:pPr>
        <w:spacing w:after="0" w:line="1" w:lineRule="exact"/>
        <w:rPr>
          <w:sz w:val="20"/>
          <w:szCs w:val="20"/>
          <w:color w:val="auto"/>
        </w:rPr>
      </w:pPr>
    </w:p>
    <w:p>
      <w:pPr>
        <w:jc w:val="both"/>
        <w:ind w:left="80" w:right="120"/>
        <w:spacing w:after="0" w:line="234" w:lineRule="auto"/>
        <w:rPr>
          <w:sz w:val="20"/>
          <w:szCs w:val="20"/>
          <w:color w:val="auto"/>
        </w:rPr>
      </w:pPr>
      <w:r>
        <w:rPr>
          <w:rFonts w:ascii="Arial" w:cs="Arial" w:eastAsia="Arial" w:hAnsi="Arial"/>
          <w:sz w:val="16"/>
          <w:szCs w:val="16"/>
          <w:color w:val="auto"/>
        </w:rPr>
        <w:t>adequate flexibility under the Loan Documents for the continuation and/or expansion of their combined operations following such consummation, as determined by the Administrative Borrower acting in good faith based on projections of the combined business (and such projections shall have been delivered to the Administrative Agent) or (iii) results in a refinancing of the Term B Loans that involves an increase of such facility in connection with</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such acquisition.</w:t>
      </w:r>
    </w:p>
    <w:p>
      <w:pPr>
        <w:sectPr>
          <w:pgSz w:w="11900" w:h="16838" w:orient="portrait"/>
          <w:cols w:equalWidth="0" w:num="1">
            <w:col w:w="11080"/>
          </w:cols>
          <w:pgMar w:left="400" w:top="1440" w:right="419" w:bottom="1440" w:gutter="0" w:footer="0" w:header="0"/>
        </w:sectPr>
      </w:pPr>
    </w:p>
    <w:bookmarkStart w:id="111" w:name="page112"/>
    <w:bookmarkEnd w:id="111"/>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Capital Stock</w:t>
      </w:r>
      <w:r>
        <w:rPr>
          <w:rFonts w:ascii="Arial" w:cs="Arial" w:eastAsia="Arial" w:hAnsi="Arial"/>
          <w:sz w:val="18"/>
          <w:szCs w:val="18"/>
          <w:color w:val="auto"/>
        </w:rPr>
        <w:t>” has the meaning specified in Section 7.06(b)(ii).</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xml:space="preserve">” means, with respect to a Loan, its character as a Base Rate Loan or a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w:t>
      </w:r>
    </w:p>
    <w:p>
      <w:pPr>
        <w:spacing w:after="0" w:line="293" w:lineRule="exact"/>
        <w:rPr>
          <w:sz w:val="20"/>
          <w:szCs w:val="20"/>
          <w:color w:val="auto"/>
        </w:rPr>
      </w:pPr>
    </w:p>
    <w:p>
      <w:pPr>
        <w:ind w:left="80"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UK Financial Institution</w:t>
      </w:r>
      <w:r>
        <w:rPr>
          <w:rFonts w:ascii="Arial" w:cs="Arial" w:eastAsia="Arial" w:hAnsi="Arial"/>
          <w:sz w:val="16"/>
          <w:szCs w:val="16"/>
          <w:color w:val="auto"/>
        </w:rPr>
        <w:t>” means any BRRD Undertaking (as such term is defined under the PRA Rulebook (as amended from time to time) promulgated by the United Kingdom Prudential Regulation Authority) or any person subject to IFPRU 11.6 of the FCA Handbook (as amended</w:t>
      </w:r>
    </w:p>
    <w:p>
      <w:pPr>
        <w:spacing w:after="0" w:line="1" w:lineRule="exact"/>
        <w:rPr>
          <w:sz w:val="20"/>
          <w:szCs w:val="20"/>
          <w:color w:val="auto"/>
        </w:rPr>
      </w:pPr>
    </w:p>
    <w:p>
      <w:pPr>
        <w:ind w:left="80" w:right="40"/>
        <w:spacing w:after="0" w:line="226" w:lineRule="auto"/>
        <w:rPr>
          <w:sz w:val="20"/>
          <w:szCs w:val="20"/>
          <w:color w:val="auto"/>
        </w:rPr>
      </w:pPr>
      <w:r>
        <w:rPr>
          <w:rFonts w:ascii="Arial" w:cs="Arial" w:eastAsia="Arial" w:hAnsi="Arial"/>
          <w:sz w:val="18"/>
          <w:szCs w:val="18"/>
          <w:color w:val="auto"/>
        </w:rPr>
        <w:t>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ind w:left="80" w:right="4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90" w:lineRule="exact"/>
        <w:rPr>
          <w:sz w:val="20"/>
          <w:szCs w:val="20"/>
          <w:color w:val="auto"/>
        </w:rPr>
      </w:pPr>
    </w:p>
    <w:p>
      <w:pPr>
        <w:jc w:val="both"/>
        <w:ind w:left="8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(or similar code or statute) as the same may from time to time be in effect in the State of New York or the Uniform Commercial Code (or similar code or statute) of another jurisdiction, to the extent it may be required to perfect a security interest in or otherwise apply to any item or items of Collateral.</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States Tax Compliance Certificate</w:t>
      </w:r>
      <w:r>
        <w:rPr>
          <w:rFonts w:ascii="Arial" w:cs="Arial" w:eastAsia="Arial" w:hAnsi="Arial"/>
          <w:sz w:val="16"/>
          <w:szCs w:val="16"/>
          <w:color w:val="auto"/>
        </w:rPr>
        <w:t xml:space="preserve">” has the meaning specified in Section 3.01(d)(ii)(C) and is in substantially the form of </w:t>
      </w:r>
      <w:r>
        <w:rPr>
          <w:rFonts w:ascii="Arial" w:cs="Arial" w:eastAsia="Arial" w:hAnsi="Arial"/>
          <w:sz w:val="16"/>
          <w:szCs w:val="16"/>
          <w:u w:val="single" w:color="auto"/>
          <w:color w:val="auto"/>
        </w:rPr>
        <w:t>Exhibit I</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hereto.</w:t>
      </w:r>
    </w:p>
    <w:p>
      <w:pPr>
        <w:spacing w:after="0" w:line="205" w:lineRule="exact"/>
        <w:rPr>
          <w:sz w:val="20"/>
          <w:szCs w:val="20"/>
          <w:color w:val="auto"/>
        </w:rPr>
      </w:pPr>
    </w:p>
    <w:p>
      <w:pPr>
        <w:jc w:val="both"/>
        <w:ind w:left="80"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 any Subsidiary of the Parent Borrower designated by the Board of Directors of the Administrative Borrower as an Unrestricted Subsidiary pursuant to Section 6.14 subsequent to the Closing Date.</w:t>
      </w:r>
    </w:p>
    <w:p>
      <w:pPr>
        <w:spacing w:after="0" w:line="199" w:lineRule="exact"/>
        <w:rPr>
          <w:sz w:val="20"/>
          <w:szCs w:val="20"/>
          <w:color w:val="auto"/>
        </w:rPr>
      </w:pPr>
    </w:p>
    <w:p>
      <w:pPr>
        <w:jc w:val="both"/>
        <w:ind w:left="80"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Unsecured Financing Documents</w:t>
      </w:r>
      <w:r>
        <w:rPr>
          <w:rFonts w:ascii="Arial" w:cs="Arial" w:eastAsia="Arial" w:hAnsi="Arial"/>
          <w:sz w:val="16"/>
          <w:szCs w:val="16"/>
          <w:color w:val="auto"/>
        </w:rPr>
        <w:t>” means the Unsecured Notes, the Unsecured Notes Indenture, the other “Notes Documents” (or such comparable term) as defined in the Unsecured Notes Indenture and each of the other agreements, documents and instruments providing for or evidencing any of the obligations thereunder, and any other document or instrument executed or delivered at any time in connection with the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Unsecured Notes, to the extent such are effective at the relevant time, as each may be refinanced from time to time.</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Unsecured Notes</w:t>
      </w:r>
      <w:r>
        <w:rPr>
          <w:rFonts w:ascii="Arial" w:cs="Arial" w:eastAsia="Arial" w:hAnsi="Arial"/>
          <w:sz w:val="17"/>
          <w:szCs w:val="17"/>
          <w:color w:val="auto"/>
        </w:rPr>
        <w:t>” means the Parent Borrower’s 4</w:t>
      </w:r>
      <w:r>
        <w:rPr>
          <w:rFonts w:ascii="Arial" w:cs="Arial" w:eastAsia="Arial" w:hAnsi="Arial"/>
          <w:sz w:val="22"/>
          <w:szCs w:val="22"/>
          <w:color w:val="auto"/>
          <w:vertAlign w:val="superscript"/>
        </w:rPr>
        <w:t>3</w:t>
      </w:r>
      <w:r>
        <w:rPr>
          <w:rFonts w:ascii="Arial" w:cs="Arial" w:eastAsia="Arial" w:hAnsi="Arial"/>
          <w:sz w:val="17"/>
          <w:szCs w:val="17"/>
          <w:color w:val="auto"/>
        </w:rPr>
        <w:t>⁄</w:t>
      </w:r>
      <w:r>
        <w:rPr>
          <w:rFonts w:ascii="Arial" w:cs="Arial" w:eastAsia="Arial" w:hAnsi="Arial"/>
          <w:sz w:val="10"/>
          <w:szCs w:val="10"/>
          <w:color w:val="auto"/>
        </w:rPr>
        <w:t>8</w:t>
      </w:r>
      <w:r>
        <w:rPr>
          <w:rFonts w:ascii="Arial" w:cs="Arial" w:eastAsia="Arial" w:hAnsi="Arial"/>
          <w:sz w:val="17"/>
          <w:szCs w:val="17"/>
          <w:color w:val="auto"/>
        </w:rPr>
        <w:t>% Senior Notes issued on the Closing Date under the Unsecured Notes Indenture.</w:t>
      </w:r>
    </w:p>
    <w:p>
      <w:pPr>
        <w:spacing w:after="0" w:line="194" w:lineRule="exact"/>
        <w:rPr>
          <w:sz w:val="20"/>
          <w:szCs w:val="20"/>
          <w:color w:val="auto"/>
        </w:rPr>
      </w:pPr>
    </w:p>
    <w:p>
      <w:pPr>
        <w:jc w:val="both"/>
        <w:ind w:left="80"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Notes Indenture</w:t>
      </w:r>
      <w:r>
        <w:rPr>
          <w:rFonts w:ascii="Arial" w:cs="Arial" w:eastAsia="Arial" w:hAnsi="Arial"/>
          <w:sz w:val="18"/>
          <w:szCs w:val="18"/>
          <w:color w:val="auto"/>
        </w:rPr>
        <w:t>” means that certain Indenture, dated as of the date hereof, among the Parent Borrower, as issuer, and Ankura Trust Company, LLC, as trustee.</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6"/>
          <w:szCs w:val="16"/>
          <w:u w:val="single" w:color="auto"/>
          <w:color w:val="0E32E1"/>
        </w:rPr>
        <w:t>“</w:t>
      </w:r>
      <w:r>
        <w:rPr>
          <w:rFonts w:ascii="Arial" w:cs="Arial" w:eastAsia="Arial" w:hAnsi="Arial"/>
          <w:sz w:val="16"/>
          <w:szCs w:val="16"/>
          <w:b w:val="1"/>
          <w:bCs w:val="1"/>
          <w:u w:val="single" w:color="auto"/>
          <w:color w:val="0E32E1"/>
        </w:rPr>
        <w:t>U.S. Government Securities Business Day</w:t>
      </w:r>
      <w:r>
        <w:rPr>
          <w:rFonts w:ascii="Arial" w:cs="Arial" w:eastAsia="Arial" w:hAnsi="Arial"/>
          <w:sz w:val="16"/>
          <w:szCs w:val="16"/>
          <w:u w:val="single" w:color="auto"/>
          <w:color w:val="0E32E1"/>
        </w:rPr>
        <w:t>” means any Business Day, except any Business Day on which any of the Securities Industry</w:t>
      </w:r>
    </w:p>
    <w:p>
      <w:pPr>
        <w:spacing w:after="0" w:line="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u w:val="single" w:color="auto"/>
          <w:color w:val="0E32E1"/>
        </w:rPr>
        <w:t>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279" w:lineRule="exact"/>
        <w:rPr>
          <w:sz w:val="20"/>
          <w:szCs w:val="20"/>
          <w:color w:val="auto"/>
        </w:rPr>
      </w:pPr>
    </w:p>
    <w:p>
      <w:pPr>
        <w:ind w:left="80"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has the meaning specified in Section 10.22.</w:t>
      </w:r>
    </w:p>
    <w:p>
      <w:pPr>
        <w:spacing w:after="0" w:line="225" w:lineRule="exact"/>
        <w:rPr>
          <w:sz w:val="20"/>
          <w:szCs w:val="20"/>
          <w:color w:val="auto"/>
        </w:rPr>
      </w:pPr>
    </w:p>
    <w:p>
      <w:pPr>
        <w:ind w:left="80" w:right="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means, when applied to any Indebtedness at any date, the number of years obtained by dividing: (i) the sum of the products obtained by multiplying (a) the amount of each then remaining scheduled installment, sinking fund, serial maturity or other</w:t>
      </w:r>
    </w:p>
    <w:p>
      <w:pPr>
        <w:spacing w:after="0" w:line="1" w:lineRule="exact"/>
        <w:rPr>
          <w:sz w:val="20"/>
          <w:szCs w:val="20"/>
          <w:color w:val="auto"/>
        </w:rPr>
      </w:pPr>
    </w:p>
    <w:p>
      <w:pPr>
        <w:ind w:left="80" w:right="40"/>
        <w:spacing w:after="0" w:line="226" w:lineRule="auto"/>
        <w:rPr>
          <w:sz w:val="20"/>
          <w:szCs w:val="20"/>
          <w:color w:val="auto"/>
        </w:rPr>
      </w:pPr>
      <w:r>
        <w:rPr>
          <w:rFonts w:ascii="Arial" w:cs="Arial" w:eastAsia="Arial" w:hAnsi="Arial"/>
          <w:sz w:val="18"/>
          <w:szCs w:val="18"/>
          <w:color w:val="auto"/>
        </w:rPr>
        <w:t>required scheduled payments of principal, including payment at final scheduled maturity, in respect thereof, by (b) the number of years (calculated to the</w:t>
      </w:r>
    </w:p>
    <w:p>
      <w:pPr>
        <w:sectPr>
          <w:pgSz w:w="11900" w:h="16838" w:orient="portrait"/>
          <w:cols w:equalWidth="0" w:num="1">
            <w:col w:w="11000"/>
          </w:cols>
          <w:pgMar w:left="400" w:top="1440" w:right="499" w:bottom="1440" w:gutter="0" w:footer="0" w:header="0"/>
        </w:sectPr>
      </w:pPr>
    </w:p>
    <w:bookmarkStart w:id="112" w:name="page113"/>
    <w:bookmarkEnd w:id="112"/>
    <w:p>
      <w:pPr>
        <w:spacing w:after="0" w:line="211"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 xml:space="preserve">nearest one-twelfth) that will elapse between such date and the making of such payment; by (ii) the then outstanding principal amount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AHYDO Payments and the effects of any prepayments or amortization made on such Indebtedness shall be disregarded in making such calculation.</w:t>
      </w:r>
    </w:p>
    <w:p>
      <w:pPr>
        <w:spacing w:after="0" w:line="199"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wholly-owned Subsidiaries of such Person.</w:t>
      </w:r>
    </w:p>
    <w:p>
      <w:pPr>
        <w:spacing w:after="0" w:line="198"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w:t>
      </w:r>
    </w:p>
    <w:p>
      <w:pPr>
        <w:spacing w:after="0" w:line="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 of that liability or any of the powers under that Bail-In Legislation that are related to or ancillary to any of those powers.</w:t>
      </w:r>
    </w:p>
    <w:p>
      <w:pPr>
        <w:spacing w:after="0" w:line="313" w:lineRule="exact"/>
        <w:rPr>
          <w:sz w:val="20"/>
          <w:szCs w:val="20"/>
          <w:color w:val="auto"/>
        </w:rPr>
      </w:pPr>
    </w:p>
    <w:p>
      <w:pPr>
        <w:ind w:left="640"/>
        <w:spacing w:after="0"/>
        <w:tabs>
          <w:tab w:leader="none" w:pos="48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Yen</w:t>
      </w:r>
      <w:r>
        <w:rPr>
          <w:rFonts w:ascii="Arial" w:cs="Arial" w:eastAsia="Arial" w:hAnsi="Arial"/>
          <w:sz w:val="18"/>
          <w:szCs w:val="18"/>
          <w:color w:val="auto"/>
        </w:rPr>
        <w:t xml:space="preserve">” means the lawful currency of Japan. </w:t>
      </w:r>
      <w:r>
        <w:rPr>
          <w:rFonts w:ascii="Arial" w:cs="Arial" w:eastAsia="Arial" w:hAnsi="Arial"/>
          <w:sz w:val="18"/>
          <w:szCs w:val="18"/>
          <w:color w:val="010000"/>
        </w:rPr>
        <w:t>Section 1.02</w:t>
      </w:r>
      <w:r>
        <w:rPr>
          <w:sz w:val="20"/>
          <w:szCs w:val="20"/>
          <w:color w:val="auto"/>
        </w:rPr>
        <w:tab/>
      </w:r>
      <w:r>
        <w:rPr>
          <w:rFonts w:ascii="Arial" w:cs="Arial" w:eastAsia="Arial" w:hAnsi="Arial"/>
          <w:sz w:val="16"/>
          <w:szCs w:val="16"/>
          <w:color w:val="auto"/>
        </w:rPr>
        <w:t>Other Interpretive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Provisions.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reference to this Agreement and each other Loan Document, unless otherwise specified herein or in such other Loan Document:</w:t>
      </w:r>
    </w:p>
    <w:p>
      <w:pPr>
        <w:spacing w:after="0" w:line="237" w:lineRule="exact"/>
        <w:rPr>
          <w:sz w:val="20"/>
          <w:szCs w:val="20"/>
          <w:color w:val="auto"/>
        </w:rPr>
      </w:pPr>
    </w:p>
    <w:p>
      <w:pPr>
        <w:ind w:left="1800" w:hanging="512"/>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left="640" w:right="40" w:firstLine="648"/>
        <w:spacing w:after="0" w:line="235" w:lineRule="auto"/>
        <w:tabs>
          <w:tab w:leader="none" w:pos="17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Loan Document shall refer to such Loan Document as a whole and not to any particular provision thereof.</w:t>
      </w:r>
    </w:p>
    <w:p>
      <w:pPr>
        <w:spacing w:after="0" w:line="202" w:lineRule="exact"/>
        <w:rPr>
          <w:rFonts w:ascii="Arial" w:cs="Arial" w:eastAsia="Arial" w:hAnsi="Arial"/>
          <w:sz w:val="18"/>
          <w:szCs w:val="18"/>
          <w:color w:val="auto"/>
        </w:rPr>
      </w:pPr>
    </w:p>
    <w:p>
      <w:pPr>
        <w:jc w:val="both"/>
        <w:ind w:left="640" w:right="40" w:firstLine="648"/>
        <w:spacing w:after="0" w:line="224" w:lineRule="auto"/>
        <w:tabs>
          <w:tab w:leader="none" w:pos="17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spacing w:after="0" w:line="203" w:lineRule="exact"/>
        <w:rPr>
          <w:rFonts w:ascii="Arial" w:cs="Arial" w:eastAsia="Arial" w:hAnsi="Arial"/>
          <w:sz w:val="18"/>
          <w:szCs w:val="18"/>
          <w:color w:val="auto"/>
        </w:rPr>
      </w:pPr>
    </w:p>
    <w:p>
      <w:pPr>
        <w:ind w:left="1940" w:hanging="652"/>
        <w:spacing w:after="0"/>
        <w:tabs>
          <w:tab w:leader="none" w:pos="1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left="1940" w:hanging="652"/>
        <w:spacing w:after="0"/>
        <w:tabs>
          <w:tab w:leader="none" w:pos="1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word “or” is not exclusive.</w:t>
      </w:r>
    </w:p>
    <w:p>
      <w:pPr>
        <w:spacing w:after="0" w:line="225" w:lineRule="exact"/>
        <w:rPr>
          <w:rFonts w:ascii="Arial" w:cs="Arial" w:eastAsia="Arial" w:hAnsi="Arial"/>
          <w:sz w:val="18"/>
          <w:szCs w:val="18"/>
          <w:color w:val="auto"/>
        </w:rPr>
      </w:pPr>
    </w:p>
    <w:p>
      <w:pPr>
        <w:ind w:left="640" w:right="40" w:firstLine="648"/>
        <w:spacing w:after="0" w:line="235" w:lineRule="auto"/>
        <w:tabs>
          <w:tab w:leader="none" w:pos="17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202" w:lineRule="exact"/>
        <w:rPr>
          <w:rFonts w:ascii="Arial" w:cs="Arial" w:eastAsia="Arial" w:hAnsi="Arial"/>
          <w:sz w:val="18"/>
          <w:szCs w:val="18"/>
          <w:color w:val="auto"/>
        </w:rPr>
      </w:pPr>
    </w:p>
    <w:p>
      <w:pPr>
        <w:ind w:left="640" w:firstLine="648"/>
        <w:spacing w:after="0" w:line="235" w:lineRule="auto"/>
        <w:tabs>
          <w:tab w:leader="none" w:pos="17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02" w:lineRule="exact"/>
        <w:rPr>
          <w:rFonts w:ascii="Arial" w:cs="Arial" w:eastAsia="Arial" w:hAnsi="Arial"/>
          <w:sz w:val="18"/>
          <w:szCs w:val="18"/>
          <w:color w:val="auto"/>
        </w:rPr>
      </w:pPr>
    </w:p>
    <w:p>
      <w:pPr>
        <w:ind w:left="640" w:firstLine="648"/>
        <w:spacing w:after="0" w:line="235" w:lineRule="auto"/>
        <w:tabs>
          <w:tab w:leader="none" w:pos="17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ectPr>
          <w:pgSz w:w="11900" w:h="16838" w:orient="portrait"/>
          <w:cols w:equalWidth="0" w:num="1">
            <w:col w:w="10920"/>
          </w:cols>
          <w:pgMar w:left="480" w:top="1440" w:right="499" w:bottom="1440" w:gutter="0" w:footer="0" w:header="0"/>
        </w:sectPr>
      </w:pPr>
    </w:p>
    <w:bookmarkStart w:id="113" w:name="page114"/>
    <w:bookmarkEnd w:id="113"/>
    <w:p>
      <w:pPr>
        <w:spacing w:after="0" w:line="211" w:lineRule="exact"/>
        <w:rPr>
          <w:sz w:val="20"/>
          <w:szCs w:val="20"/>
          <w:color w:val="auto"/>
        </w:rPr>
      </w:pPr>
    </w:p>
    <w:p>
      <w:pPr>
        <w:jc w:val="both"/>
        <w:ind w:firstLine="648"/>
        <w:spacing w:after="0" w:line="244" w:lineRule="auto"/>
        <w:tabs>
          <w:tab w:leader="none" w:pos="11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determining compliance with any Section of Article VII at any time, in the event that any Lien, Investment, Indebtedness (at the time of incurrence or upon application of all or a portion of the proceeds thereof as permitted under the Loan Documents), Disposition, Restricted Payment, Affiliate transaction, Contractual Obligation or prepayment of Indebtedness meets the criteria of one or more than one of the categories of transactions permitted pursuant to any clause of such Sections, such transaction (or portion thereof) at any time shall be permitted under one or more of such clauses as determined by the Administrative Borrower in its sole discretion at such time (or any later time from time to time, in each case, as determined by the Administrative Borrower in its sole discretion at such time) and thereafter may be reclassified by the Administrative Borrower in any manner not prohibited by this Agreement.</w:t>
      </w:r>
    </w:p>
    <w:p>
      <w:pPr>
        <w:spacing w:after="0" w:line="189" w:lineRule="exact"/>
        <w:rPr>
          <w:rFonts w:ascii="Arial" w:cs="Arial" w:eastAsia="Arial" w:hAnsi="Arial"/>
          <w:sz w:val="16"/>
          <w:szCs w:val="16"/>
          <w:color w:val="auto"/>
        </w:rPr>
      </w:pPr>
    </w:p>
    <w:p>
      <w:pPr>
        <w:ind w:right="40" w:firstLine="648"/>
        <w:spacing w:after="0" w:line="235"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words “asset” and “property” shall be construed as having the same meaning and effect and to refer to any and all tangible and intangible assets and properties, including cash, securities, accounts and contract rights.</w:t>
      </w:r>
    </w:p>
    <w:p>
      <w:pPr>
        <w:spacing w:after="0" w:line="202" w:lineRule="exact"/>
        <w:rPr>
          <w:rFonts w:ascii="Arial" w:cs="Arial" w:eastAsia="Arial" w:hAnsi="Arial"/>
          <w:sz w:val="18"/>
          <w:szCs w:val="18"/>
          <w:color w:val="auto"/>
        </w:rPr>
      </w:pPr>
    </w:p>
    <w:p>
      <w:pPr>
        <w:jc w:val="both"/>
        <w:ind w:right="40" w:firstLine="648"/>
        <w:spacing w:after="0" w:line="229"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references to any Person shall be constructed to include such Person’s successors and assigns (subject to any restriction on assignment set forth herein) and, in the case of any Governmental Authority, any other Governmental Authority that shall have succeeded to any or all of the functions thereof.</w:t>
      </w:r>
    </w:p>
    <w:p>
      <w:pPr>
        <w:spacing w:after="0" w:line="190" w:lineRule="exact"/>
        <w:rPr>
          <w:rFonts w:ascii="Arial" w:cs="Arial" w:eastAsia="Arial" w:hAnsi="Arial"/>
          <w:sz w:val="18"/>
          <w:szCs w:val="18"/>
          <w:color w:val="auto"/>
        </w:rPr>
      </w:pPr>
    </w:p>
    <w:p>
      <w:pPr>
        <w:ind w:left="1160" w:hanging="512"/>
        <w:spacing w:after="0"/>
        <w:tabs>
          <w:tab w:leader="none" w:pos="11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words “principal amount” shall include the liquidation preference of any Disqualified Equity Interests and Preferred</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195" w:lineRule="exact"/>
        <w:rPr>
          <w:rFonts w:ascii="Arial" w:cs="Arial" w:eastAsia="Arial" w:hAnsi="Arial"/>
          <w:sz w:val="17"/>
          <w:szCs w:val="17"/>
          <w:color w:val="auto"/>
        </w:rPr>
      </w:pPr>
    </w:p>
    <w:p>
      <w:pPr>
        <w:jc w:val="both"/>
        <w:ind w:right="40" w:firstLine="648"/>
        <w:spacing w:after="0" w:line="245" w:lineRule="auto"/>
        <w:tabs>
          <w:tab w:leader="none" w:pos="1152" w:val="left"/>
        </w:tabs>
        <w:numPr>
          <w:ilvl w:val="0"/>
          <w:numId w:val="79"/>
        </w:numPr>
        <w:rPr>
          <w:rFonts w:ascii="Arial" w:cs="Arial" w:eastAsia="Arial" w:hAnsi="Arial"/>
          <w:sz w:val="17"/>
          <w:szCs w:val="17"/>
          <w:color w:val="auto"/>
        </w:rPr>
      </w:pPr>
      <w:r>
        <w:rPr>
          <w:rFonts w:ascii="Arial" w:cs="Arial" w:eastAsia="Arial" w:hAnsi="Arial"/>
          <w:sz w:val="17"/>
          <w:szCs w:val="17"/>
          <w:color w:val="auto"/>
        </w:rPr>
        <w:t>For avoidance of doubt, except where the context shall otherwise require, any reference to any employee, director, officer, member of management, independent contractor, advisor, service provider or consultant shall refer to any future, current or former employee, director, officer, member of management, independent contractor, advisor, service provider or consultant.</w:t>
      </w:r>
    </w:p>
    <w:p>
      <w:pPr>
        <w:spacing w:after="0" w:line="184" w:lineRule="exact"/>
        <w:rPr>
          <w:rFonts w:ascii="Arial" w:cs="Arial" w:eastAsia="Arial" w:hAnsi="Arial"/>
          <w:sz w:val="17"/>
          <w:szCs w:val="17"/>
          <w:color w:val="auto"/>
        </w:rPr>
      </w:pPr>
    </w:p>
    <w:p>
      <w:pPr>
        <w:jc w:val="both"/>
        <w:ind w:right="40" w:firstLine="648"/>
        <w:spacing w:after="0" w:line="219"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references to “in the ordinary course of business” of any Borrower or any Subsidiary thereof means (i) in the ordinary course of business of, or in furtherance of an objective that is in the ordinary course of business of any Borrower or such Subsidiary, as applicable, (</w:t>
      </w:r>
      <w:r>
        <w:rPr>
          <w:rFonts w:ascii="Arial" w:cs="Arial" w:eastAsia="Arial" w:hAnsi="Arial"/>
          <w:sz w:val="18"/>
          <w:szCs w:val="18"/>
          <w:u w:val="single" w:color="auto"/>
          <w:color w:val="auto"/>
        </w:rPr>
        <w:t>ii</w:t>
      </w:r>
      <w:r>
        <w:rPr>
          <w:rFonts w:ascii="Arial" w:cs="Arial" w:eastAsia="Arial" w:hAnsi="Arial"/>
          <w:sz w:val="18"/>
          <w:szCs w:val="18"/>
          <w:color w:val="auto"/>
        </w:rPr>
        <w:t>) customary and usual in the industry or industries of the Borrowers and their Subsidiaries in the United States or any other jurisdiction in which the Borrowers or any Subsidiary does business, as applicable, or (</w:t>
      </w:r>
      <w:r>
        <w:rPr>
          <w:rFonts w:ascii="Arial" w:cs="Arial" w:eastAsia="Arial" w:hAnsi="Arial"/>
          <w:sz w:val="18"/>
          <w:szCs w:val="18"/>
          <w:u w:val="single" w:color="auto"/>
          <w:color w:val="auto"/>
        </w:rPr>
        <w:t>iii</w:t>
      </w:r>
      <w:r>
        <w:rPr>
          <w:rFonts w:ascii="Arial" w:cs="Arial" w:eastAsia="Arial" w:hAnsi="Arial"/>
          <w:sz w:val="18"/>
          <w:szCs w:val="18"/>
          <w:color w:val="auto"/>
        </w:rPr>
        <w:t>) generally consistent with the past or current practice of the Borrowers or such Subsidiary, as applicable, or any similarly situated businesses in the United States or any other jurisdiction in which the Borrowers or any Subsidiary does business, as applicable.</w:t>
      </w:r>
    </w:p>
    <w:p>
      <w:pPr>
        <w:spacing w:after="0" w:line="189" w:lineRule="exact"/>
        <w:rPr>
          <w:rFonts w:ascii="Arial" w:cs="Arial" w:eastAsia="Arial" w:hAnsi="Arial"/>
          <w:sz w:val="18"/>
          <w:szCs w:val="18"/>
          <w:color w:val="auto"/>
        </w:rPr>
      </w:pPr>
    </w:p>
    <w:p>
      <w:pPr>
        <w:ind w:left="1160" w:hanging="512"/>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references to “knowledge” of any Loan Party or any Restricted Subsidiary means the actual knowledge of a Responsible</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Officer.</w:t>
      </w:r>
    </w:p>
    <w:p>
      <w:pPr>
        <w:spacing w:after="0" w:line="222" w:lineRule="exact"/>
        <w:rPr>
          <w:rFonts w:ascii="Arial" w:cs="Arial" w:eastAsia="Arial" w:hAnsi="Arial"/>
          <w:sz w:val="16"/>
          <w:szCs w:val="16"/>
          <w:color w:val="auto"/>
        </w:rPr>
      </w:pPr>
    </w:p>
    <w:p>
      <w:pPr>
        <w:jc w:val="both"/>
        <w:ind w:right="40" w:firstLine="648"/>
        <w:spacing w:after="0" w:line="224"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certifications to be made hereunder by an officer or representative of a Loan Party shall be made by such person in his or her capacity solely as an officer or a representative of such Loan Party, on such Loan Party’s behalf and not in such Person’s individual capacity.</w:t>
      </w:r>
    </w:p>
    <w:p>
      <w:pPr>
        <w:spacing w:after="0" w:line="203" w:lineRule="exact"/>
        <w:rPr>
          <w:rFonts w:ascii="Arial" w:cs="Arial" w:eastAsia="Arial" w:hAnsi="Arial"/>
          <w:sz w:val="18"/>
          <w:szCs w:val="18"/>
          <w:color w:val="auto"/>
        </w:rPr>
      </w:pPr>
    </w:p>
    <w:p>
      <w:pPr>
        <w:ind w:right="100" w:firstLine="648"/>
        <w:spacing w:after="0" w:line="230" w:lineRule="auto"/>
        <w:tabs>
          <w:tab w:leader="none" w:pos="1152"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 and to the extent any covenant in any Loan Document is applicable to such limited liability company immediately prior to such division, such covenant shall apply to any Person resulting from such division immediately after such division. For</w:t>
      </w:r>
    </w:p>
    <w:p>
      <w:pPr>
        <w:sectPr>
          <w:pgSz w:w="11900" w:h="16838" w:orient="portrait"/>
          <w:cols w:equalWidth="0" w:num="1">
            <w:col w:w="10280"/>
          </w:cols>
          <w:pgMar w:left="1120" w:top="1440" w:right="499" w:bottom="1440" w:gutter="0" w:footer="0" w:header="0"/>
        </w:sectPr>
      </w:pPr>
    </w:p>
    <w:bookmarkStart w:id="114" w:name="page115"/>
    <w:bookmarkEnd w:id="114"/>
    <w:p>
      <w:pPr>
        <w:spacing w:after="0" w:line="211" w:lineRule="exact"/>
        <w:rPr>
          <w:sz w:val="20"/>
          <w:szCs w:val="20"/>
          <w:color w:val="auto"/>
        </w:rPr>
      </w:pPr>
    </w:p>
    <w:p>
      <w:pPr>
        <w:ind w:left="640" w:right="20"/>
        <w:spacing w:after="0" w:line="235" w:lineRule="auto"/>
        <w:rPr>
          <w:sz w:val="20"/>
          <w:szCs w:val="20"/>
          <w:color w:val="auto"/>
        </w:rPr>
      </w:pPr>
      <w:r>
        <w:rPr>
          <w:rFonts w:ascii="Arial" w:cs="Arial" w:eastAsia="Arial" w:hAnsi="Arial"/>
          <w:sz w:val="18"/>
          <w:szCs w:val="18"/>
          <w:color w:val="auto"/>
        </w:rPr>
        <w:t>the avoidance of doubt, for purposes of Section 6.11, any Person resulting from such division of a Restricted Subsidiary constitutes a new Restricted Subsidiary that is created or acquired after the Closing Date.</w:t>
      </w:r>
    </w:p>
    <w:p>
      <w:pPr>
        <w:spacing w:after="0" w:line="18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1.03</w:t>
      </w:r>
      <w:r>
        <w:rPr>
          <w:sz w:val="20"/>
          <w:szCs w:val="20"/>
          <w:color w:val="auto"/>
        </w:rPr>
        <w:tab/>
      </w:r>
      <w:r>
        <w:rPr>
          <w:rFonts w:ascii="Arial" w:cs="Arial" w:eastAsia="Arial" w:hAnsi="Arial"/>
          <w:sz w:val="16"/>
          <w:szCs w:val="16"/>
          <w:color w:val="auto"/>
        </w:rPr>
        <w:t>Accounting Terms.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accounting terms not specifically or completely defined herein shall be construed in conformity with, and all financial data (including</w:t>
      </w:r>
    </w:p>
    <w:p>
      <w:pPr>
        <w:spacing w:after="0" w:line="10" w:lineRule="exact"/>
        <w:rPr>
          <w:sz w:val="20"/>
          <w:szCs w:val="20"/>
          <w:color w:val="auto"/>
        </w:rPr>
      </w:pPr>
    </w:p>
    <w:p>
      <w:pPr>
        <w:ind w:right="320"/>
        <w:spacing w:after="0" w:line="234" w:lineRule="auto"/>
        <w:rPr>
          <w:sz w:val="20"/>
          <w:szCs w:val="20"/>
          <w:color w:val="auto"/>
        </w:rPr>
      </w:pPr>
      <w:r>
        <w:rPr>
          <w:rFonts w:ascii="Arial" w:cs="Arial" w:eastAsia="Arial" w:hAnsi="Arial"/>
          <w:sz w:val="16"/>
          <w:szCs w:val="16"/>
          <w:color w:val="auto"/>
        </w:rPr>
        <w:t>financial ratios and other financial calculations) required to be submitted pursuant to this Agreement shall be prepared in conformity with, GAAP, except as otherwise specifically prescribed herein. Notwithstanding anything to the contrary contained herein, all such financial statements shall be prepared without giving effect to any election under FASB ASC 825 (or any similar accounting principle) permitting a Person to value its financial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liabilities at the fair value thereof. Notwithstanding any other provision contained herein, (a) any obligation of any Person that would have been treated as an operating lease for purposes of GAAP as of December 14, 2018 (whether or not such obligation was in effect on such date) shall be accounted for as an operating lease for purposes of this Agreement, notwithstanding any actual or proposed change in GAAP (whether on a prospective or retroactive</w:t>
      </w:r>
    </w:p>
    <w:p>
      <w:pPr>
        <w:spacing w:after="0" w:line="2"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basis) after such date and shall not be treated as Indebtedness, Attributable Indebtedness or a Capitalized Lease and (b) all terms of an accounting or financial nature used herein shall be construed, and all computations of amounts and ratios referred to herein shall be made, without giving effect to Statement of Financial Accounting Standards 141R or ASC 805 (or any other financial accounting standard having a similar result or effect).</w:t>
      </w:r>
    </w:p>
    <w:p>
      <w:pPr>
        <w:spacing w:after="0" w:line="19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1.04</w:t>
      </w:r>
      <w:r>
        <w:rPr>
          <w:sz w:val="20"/>
          <w:szCs w:val="20"/>
          <w:color w:val="auto"/>
        </w:rPr>
        <w:tab/>
      </w:r>
      <w:r>
        <w:rPr>
          <w:rFonts w:ascii="Arial" w:cs="Arial" w:eastAsia="Arial" w:hAnsi="Arial"/>
          <w:sz w:val="16"/>
          <w:szCs w:val="16"/>
          <w:color w:val="auto"/>
        </w:rPr>
        <w:t>Rounding.</w:t>
      </w:r>
    </w:p>
    <w:p>
      <w:pPr>
        <w:spacing w:after="0" w:line="22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Any financial ratios required to be maintained by the Parent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a rounding up if there is no nearest number).</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1.05</w:t>
      </w:r>
      <w:r>
        <w:rPr>
          <w:sz w:val="20"/>
          <w:szCs w:val="20"/>
          <w:color w:val="auto"/>
        </w:rPr>
        <w:tab/>
      </w:r>
      <w:r>
        <w:rPr>
          <w:rFonts w:ascii="Arial" w:cs="Arial" w:eastAsia="Arial" w:hAnsi="Arial"/>
          <w:sz w:val="16"/>
          <w:szCs w:val="16"/>
          <w:color w:val="auto"/>
        </w:rPr>
        <w:t>References to Agreements, Laws, Etc.</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Unless otherwise expressly provided herein, (a) references to Organization Documents, agreements (including the Loan Documents, the ABL Financing Documents and the Unsecured Financing Documents) and other Contractual Obligations shall be deemed to include all subsequent</w:t>
      </w:r>
    </w:p>
    <w:p>
      <w:pPr>
        <w:jc w:val="both"/>
        <w:ind w:right="20"/>
        <w:spacing w:after="0" w:line="234" w:lineRule="auto"/>
        <w:rPr>
          <w:sz w:val="20"/>
          <w:szCs w:val="20"/>
          <w:color w:val="auto"/>
        </w:rPr>
      </w:pPr>
      <w:r>
        <w:rPr>
          <w:rFonts w:ascii="Arial" w:cs="Arial" w:eastAsia="Arial" w:hAnsi="Arial"/>
          <w:sz w:val="16"/>
          <w:szCs w:val="16"/>
          <w:color w:val="auto"/>
        </w:rPr>
        <w:t>amendments, restatements, refinancings, extensions, supplements and other modifications thereto, but only to the extent that such amendments, restatements, refinancings, extensions, supplements and other modifications are not prohibited by any Loan Document; and (b) references to any Law shall include all statutory and regulatory provisions consolidating, amending, replacing, supplementing or interpreting such Law. Any term or section</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reference herein or in the other Loan Documents which refers to a defined term or section reference in any Organization Document, agreement, Contractual Obligation or Law shall be deemed to be a cross-reference to the same or comparable defined term or section reference, as applicable, in any such amendment, refinancing, restatement, renewal, restructuring, extension, supplement or other modification to such Organization Document,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Contractual Obligation or any such consolidation, amendment, replacement, supplement or interpretation of such Law.</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1.06</w:t>
      </w:r>
      <w:r>
        <w:rPr>
          <w:sz w:val="20"/>
          <w:szCs w:val="20"/>
          <w:color w:val="auto"/>
        </w:rPr>
        <w:tab/>
      </w:r>
      <w:r>
        <w:rPr>
          <w:rFonts w:ascii="Arial" w:cs="Arial" w:eastAsia="Arial" w:hAnsi="Arial"/>
          <w:sz w:val="16"/>
          <w:szCs w:val="16"/>
          <w:color w:val="auto"/>
        </w:rPr>
        <w:t>Times of Day.</w:t>
      </w:r>
    </w:p>
    <w:p>
      <w:pPr>
        <w:spacing w:after="0" w:line="22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Unless otherwise specified, all references herein to times of day shall be references to New York, New York time (daylight or standard, as applicable).</w:t>
      </w:r>
    </w:p>
    <w:p>
      <w:pPr>
        <w:spacing w:after="0" w:line="19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1.07</w:t>
      </w:r>
      <w:r>
        <w:rPr>
          <w:sz w:val="20"/>
          <w:szCs w:val="20"/>
          <w:color w:val="auto"/>
        </w:rPr>
        <w:tab/>
      </w:r>
      <w:r>
        <w:rPr>
          <w:rFonts w:ascii="Arial" w:cs="Arial" w:eastAsia="Arial" w:hAnsi="Arial"/>
          <w:sz w:val="16"/>
          <w:szCs w:val="16"/>
          <w:color w:val="auto"/>
        </w:rPr>
        <w:t>Timing of Payment or Performance.</w:t>
      </w:r>
    </w:p>
    <w:p>
      <w:pPr>
        <w:spacing w:after="0" w:line="22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Except as otherwise provided herein, when the payment of any obligation or the performance of any covenant, duty or obligation is stated to be due or performance required on a day which is not a Business Day, the</w:t>
      </w:r>
    </w:p>
    <w:p>
      <w:pPr>
        <w:sectPr>
          <w:pgSz w:w="11900" w:h="16838" w:orient="portrait"/>
          <w:cols w:equalWidth="0" w:num="1">
            <w:col w:w="10900"/>
          </w:cols>
          <w:pgMar w:left="480" w:top="1440" w:right="519" w:bottom="1440" w:gutter="0" w:footer="0" w:header="0"/>
        </w:sectPr>
      </w:pPr>
    </w:p>
    <w:bookmarkStart w:id="115" w:name="page116"/>
    <w:bookmarkEnd w:id="115"/>
    <w:p>
      <w:pPr>
        <w:spacing w:after="0" w:line="211" w:lineRule="exact"/>
        <w:rPr>
          <w:sz w:val="20"/>
          <w:szCs w:val="20"/>
          <w:color w:val="auto"/>
        </w:rPr>
      </w:pPr>
    </w:p>
    <w:p>
      <w:pPr>
        <w:ind w:left="9" w:right="100"/>
        <w:spacing w:after="0" w:line="235" w:lineRule="auto"/>
        <w:rPr>
          <w:sz w:val="20"/>
          <w:szCs w:val="20"/>
          <w:color w:val="auto"/>
        </w:rPr>
      </w:pPr>
      <w:r>
        <w:rPr>
          <w:rFonts w:ascii="Arial" w:cs="Arial" w:eastAsia="Arial" w:hAnsi="Arial"/>
          <w:sz w:val="18"/>
          <w:szCs w:val="18"/>
          <w:color w:val="auto"/>
        </w:rPr>
        <w:t>date of such payment (other than as described in the definition of Interest Period) or performance shall extend to the immediately succeeding Business Day.</w:t>
      </w:r>
    </w:p>
    <w:p>
      <w:pPr>
        <w:spacing w:after="0" w:line="202"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1.08</w:t>
      </w:r>
      <w:r>
        <w:rPr>
          <w:sz w:val="20"/>
          <w:szCs w:val="20"/>
          <w:color w:val="auto"/>
        </w:rPr>
        <w:tab/>
      </w:r>
      <w:r>
        <w:rPr>
          <w:rFonts w:ascii="Arial" w:cs="Arial" w:eastAsia="Arial" w:hAnsi="Arial"/>
          <w:sz w:val="16"/>
          <w:szCs w:val="16"/>
          <w:color w:val="auto"/>
        </w:rPr>
        <w:t>Pro Forma Calculations.</w:t>
      </w:r>
    </w:p>
    <w:p>
      <w:pPr>
        <w:spacing w:after="0" w:line="225" w:lineRule="exact"/>
        <w:rPr>
          <w:sz w:val="20"/>
          <w:szCs w:val="20"/>
          <w:color w:val="auto"/>
        </w:rPr>
      </w:pPr>
    </w:p>
    <w:p>
      <w:pPr>
        <w:jc w:val="both"/>
        <w:ind w:left="9" w:firstLine="640"/>
        <w:spacing w:after="0"/>
        <w:tabs>
          <w:tab w:leader="none" w:pos="1161" w:val="left"/>
        </w:tabs>
        <w:numPr>
          <w:ilvl w:val="2"/>
          <w:numId w:val="80"/>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herein, financial ratios and tests, including the Total Net Leverage Ratio, the Senior Secured Net Leverage Ratio, the First Lien Net Leverage Ratio, the Fixed Charge Coverage Ratio and compliance with covenants determined by reference to Consolidated EBITDA or Total Assets, shall be calculated in the manner prescribed by this Section 1.08;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clauses (b), (c), (d) or (e) of this Section 1.08, (A) when calculating any such ratio or test for purposes of the definition of “Applicable Rate”, the events described in this Section 1.08 that occurred subsequent to the end of the applicable Test Period shall not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and</w:t>
      </w:r>
    </w:p>
    <w:p>
      <w:pPr>
        <w:jc w:val="both"/>
        <w:ind w:left="9" w:hanging="8"/>
        <w:spacing w:after="0" w:line="241" w:lineRule="auto"/>
        <w:tabs>
          <w:tab w:leader="none" w:pos="2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when calculating any such ratio or test for purposes of the incurrence of any Indebtedness, cash and Cash Equivalents resulting from the incurrence of such Indebtedness shall be excluded from the pro forma calculation of any applicable ratio or test for purposes of determining net Indebtedness. In addition, whenever a financial ratio or test is to be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the reference to the “Test Period” for purposes of calculating such financial ratio or test shall be deemed to be a reference to, and shall be based on, the most recently ended Test Period for which internal financial statements of the Parent Borrower are available (as determined in good faith by the Administrative Borrower). For the avoidance of doubt, the provisions of the foregoing sentence shall not apply for purposes of calculating any such ratio or test for purposes of the definition of “Applicable Rate”, which shall be based on the financial statements delivered pursuant to Section 6.01(a) or (b), as applicable, for the relevant Test Period.</w:t>
      </w:r>
    </w:p>
    <w:p>
      <w:pPr>
        <w:spacing w:after="0" w:line="189" w:lineRule="exact"/>
        <w:rPr>
          <w:rFonts w:ascii="Arial" w:cs="Arial" w:eastAsia="Arial" w:hAnsi="Arial"/>
          <w:sz w:val="16"/>
          <w:szCs w:val="16"/>
          <w:color w:val="auto"/>
        </w:rPr>
      </w:pPr>
    </w:p>
    <w:p>
      <w:pPr>
        <w:jc w:val="both"/>
        <w:ind w:left="9" w:right="40" w:firstLine="639"/>
        <w:spacing w:after="0" w:line="248" w:lineRule="auto"/>
        <w:tabs>
          <w:tab w:leader="none" w:pos="1162" w:val="left"/>
        </w:tabs>
        <w:numPr>
          <w:ilvl w:val="2"/>
          <w:numId w:val="81"/>
        </w:numPr>
        <w:rPr>
          <w:rFonts w:ascii="Arial" w:cs="Arial" w:eastAsia="Arial" w:hAnsi="Arial"/>
          <w:sz w:val="16"/>
          <w:szCs w:val="16"/>
          <w:color w:val="010000"/>
        </w:rPr>
      </w:pPr>
      <w:r>
        <w:rPr>
          <w:rFonts w:ascii="Arial" w:cs="Arial" w:eastAsia="Arial" w:hAnsi="Arial"/>
          <w:sz w:val="16"/>
          <w:szCs w:val="16"/>
          <w:color w:val="auto"/>
        </w:rPr>
        <w:t>For purposes of calculating any financial ratio or test or compliance with any covenant determined by reference to Consolidated EBITDA or Total Assets, Specified Transactions (with any incurrence or repayment of any Indebtedness in connection therewith to be subject to clause</w:t>
      </w:r>
    </w:p>
    <w:p>
      <w:pPr>
        <w:jc w:val="both"/>
        <w:ind w:left="9" w:right="40" w:hanging="9"/>
        <w:spacing w:after="0"/>
        <w:tabs>
          <w:tab w:leader="none" w:pos="2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of this Section 1.08 (other than Indebtedness incurred or repaid under any revolving credit facility or line of credit)) that have been made (i) during the applicable Test Period or (ii) if applicable as described in clause (a) above, subsequent to such Test Period and prior to or simultaneously with the event for which the calculation of any such ratio is made shall be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assuming that all such Specified Transactions (and any increase or decrease in Consolidated EBITDA, Total Assets and the component financial definitions used therein attributable to any Specified Transaction) had occurred on the first day of the applicable Test Period (or, in the case of Total Assets, on the last day of the applicable Test Period). If since the beginning of any applicable Test Period any Person that subsequently became a Restricted Subsidiary or was merged, amalgamated or consolidated with or into the Parent Borrower or any of its Restricted Subsidiaries since the beginning of such Test Period shall have made any Specified Transaction that would have required adjustment pursuant to this Section 1.08, then such financial ratio or test (or Consolidated EBITDA or Total Assets) shall be calculated to give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in accordance with this Section 1.08.</w:t>
      </w:r>
    </w:p>
    <w:p>
      <w:pPr>
        <w:spacing w:after="0" w:line="191" w:lineRule="exact"/>
        <w:rPr>
          <w:rFonts w:ascii="Arial" w:cs="Arial" w:eastAsia="Arial" w:hAnsi="Arial"/>
          <w:sz w:val="16"/>
          <w:szCs w:val="16"/>
          <w:color w:val="auto"/>
        </w:rPr>
      </w:pPr>
    </w:p>
    <w:p>
      <w:pPr>
        <w:jc w:val="both"/>
        <w:ind w:left="9" w:right="40" w:firstLine="640"/>
        <w:spacing w:after="0" w:line="225" w:lineRule="auto"/>
        <w:tabs>
          <w:tab w:leader="none" w:pos="1161" w:val="left"/>
        </w:tabs>
        <w:numPr>
          <w:ilvl w:val="2"/>
          <w:numId w:val="82"/>
        </w:numPr>
        <w:rPr>
          <w:rFonts w:ascii="Arial" w:cs="Arial" w:eastAsia="Arial" w:hAnsi="Arial"/>
          <w:sz w:val="17"/>
          <w:szCs w:val="17"/>
          <w:color w:val="010000"/>
        </w:rPr>
      </w:pPr>
      <w:r>
        <w:rPr>
          <w:rFonts w:ascii="Arial" w:cs="Arial" w:eastAsia="Arial" w:hAnsi="Arial"/>
          <w:sz w:val="17"/>
          <w:szCs w:val="17"/>
          <w:color w:val="auto"/>
        </w:rPr>
        <w:t xml:space="preserve">Whenever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is to be given to the Transactions, a Specified Transaction or the implementation of an operational initiative or operational change,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calculations shall be made in good faith by a responsible financial or accounting officer of the Administrative Borrower and may include, for the avoidance of doubt, the amount of “run-rate” cost savings, operating expense reductions, operating initiatives, other operating improvements and synergies projected by the Administrative Borrower in good faith to be realized as a result of specified actions taken, committed to be taken or expected to be taken (in the good faith determination of the Administrative Borrower) (calculated on a pro forma basis as though such cost savings, operating expense reductions, operating initiatives, other operating improvements and synergies had been realized on the first day of such period and as if such cost savings, operating expense reductions and synergies were realized during the entirety of such period) and “</w:t>
      </w:r>
      <w:r>
        <w:rPr>
          <w:rFonts w:ascii="Arial" w:cs="Arial" w:eastAsia="Arial" w:hAnsi="Arial"/>
          <w:sz w:val="17"/>
          <w:szCs w:val="17"/>
          <w:b w:val="1"/>
          <w:bCs w:val="1"/>
          <w:color w:val="auto"/>
        </w:rPr>
        <w:t>run-rate</w:t>
      </w:r>
      <w:r>
        <w:rPr>
          <w:rFonts w:ascii="Arial" w:cs="Arial" w:eastAsia="Arial" w:hAnsi="Arial"/>
          <w:sz w:val="17"/>
          <w:szCs w:val="17"/>
          <w:color w:val="auto"/>
        </w:rPr>
        <w:t xml:space="preserve">” means the full recurring benefit for a period that is associated with any action taken, committed to be taken or with respect to which substantial steps have been taken or are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calculations of such financial ratios or tests and during any subsequent Test Period in which the effects thereof are expected to be realized relating to the Transactions, such Specified Transaction or such implementation of an operational initiative or operational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amounts are reasonably identifiable and factually supportable in the good faith judgment of the Administrative</w:t>
      </w:r>
    </w:p>
    <w:p>
      <w:pPr>
        <w:sectPr>
          <w:pgSz w:w="11900" w:h="16838" w:orient="portrait"/>
          <w:cols w:equalWidth="0" w:num="1">
            <w:col w:w="10929"/>
          </w:cols>
          <w:pgMar w:left="471" w:top="1440" w:right="499" w:bottom="1440" w:gutter="0" w:footer="0" w:header="0"/>
        </w:sectPr>
      </w:pPr>
    </w:p>
    <w:bookmarkStart w:id="116" w:name="page117"/>
    <w:bookmarkEnd w:id="116"/>
    <w:p>
      <w:pPr>
        <w:spacing w:after="0" w:line="211" w:lineRule="exact"/>
        <w:rPr>
          <w:sz w:val="20"/>
          <w:szCs w:val="20"/>
          <w:color w:val="auto"/>
        </w:rPr>
      </w:pPr>
    </w:p>
    <w:p>
      <w:pPr>
        <w:ind w:left="8" w:right="20"/>
        <w:spacing w:after="0" w:line="212" w:lineRule="auto"/>
        <w:rPr>
          <w:sz w:val="20"/>
          <w:szCs w:val="20"/>
          <w:color w:val="auto"/>
        </w:rPr>
      </w:pPr>
      <w:r>
        <w:rPr>
          <w:rFonts w:ascii="Arial" w:cs="Arial" w:eastAsia="Arial" w:hAnsi="Arial"/>
          <w:sz w:val="18"/>
          <w:szCs w:val="18"/>
          <w:color w:val="auto"/>
        </w:rPr>
        <w:t>Borrower, (B) except as set forth in the definition of Consolidated EBITDA, such actions are taken, committed to be taken or with respect to which substantial steps have been taken or are expected to be taken no later than twenty-four</w:t>
      </w:r>
    </w:p>
    <w:p>
      <w:pPr>
        <w:spacing w:after="0" w:line="1" w:lineRule="exact"/>
        <w:rPr>
          <w:sz w:val="20"/>
          <w:szCs w:val="20"/>
          <w:color w:val="auto"/>
        </w:rPr>
      </w:pPr>
    </w:p>
    <w:p>
      <w:pPr>
        <w:jc w:val="both"/>
        <w:ind w:left="8" w:right="40" w:hanging="8"/>
        <w:spacing w:after="0" w:line="227" w:lineRule="auto"/>
        <w:tabs>
          <w:tab w:leader="none" w:pos="362"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months after the date of the Transactions, such Specified Transaction or implementation of such operational initiative or operational change, (C) no amounts shall be added pursuant to this clause (c) to the extent duplicative of any amounts that are otherwise added back in computing Consolidated EBITDA (or any other components thereof), whether through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 or otherwise, with respect to such period, (D) it is understood and agreed that, subject to compliance with the other provisions of this Section 1.08(c), amounts to be included in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calculations pursuant to this Section 1.08(c) may be included in Test Periods in which the Specified Transaction to which such amounts relate to is no longer being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pursuant to Section 1.08(b) and (E) any increase in Consolidated EBITDA as a result of cost savings, operating expense reductions, operating initiatives, other operating improvements and synergies pursuant to this Section 1.08(c) (other than related to the Transactions) shall be subject to the limitation set forth in clause (a)(vii) of the definition of Consolidated EBITDA.</w:t>
      </w:r>
    </w:p>
    <w:p>
      <w:pPr>
        <w:spacing w:after="0" w:line="192" w:lineRule="exact"/>
        <w:rPr>
          <w:rFonts w:ascii="Arial" w:cs="Arial" w:eastAsia="Arial" w:hAnsi="Arial"/>
          <w:sz w:val="17"/>
          <w:szCs w:val="17"/>
          <w:color w:val="auto"/>
        </w:rPr>
      </w:pPr>
    </w:p>
    <w:p>
      <w:pPr>
        <w:jc w:val="both"/>
        <w:ind w:left="8" w:firstLine="639"/>
        <w:spacing w:after="0" w:line="225" w:lineRule="auto"/>
        <w:tabs>
          <w:tab w:leader="none" w:pos="1161" w:val="left"/>
        </w:tabs>
        <w:numPr>
          <w:ilvl w:val="1"/>
          <w:numId w:val="83"/>
        </w:numPr>
        <w:rPr>
          <w:rFonts w:ascii="Arial" w:cs="Arial" w:eastAsia="Arial" w:hAnsi="Arial"/>
          <w:sz w:val="17"/>
          <w:szCs w:val="17"/>
          <w:color w:val="010000"/>
        </w:rPr>
      </w:pPr>
      <w:r>
        <w:rPr>
          <w:rFonts w:ascii="Arial" w:cs="Arial" w:eastAsia="Arial" w:hAnsi="Arial"/>
          <w:sz w:val="17"/>
          <w:szCs w:val="17"/>
          <w:color w:val="auto"/>
        </w:rPr>
        <w:t>In the event that (w) the Parent Borrower or any of its Restricted Subsidiaries incurs (including by assumption or guarantees) or repays (including by redemption, repayment, amortization, retirement, discharge, defeasance or extinguishment) any Indebtedness (other than Indebtedness incurred or repaid under any revolving credit facility or line of credit), (x) the Parent Borrower or any of its Restricted Subsidiaries issues, repurchases or redeems Disqualified Equity Interests, (y) any Restricted Subsidiary issues, repurchases or redeems Preferred Stock or (z) any Borrower or any of its Restricted Subsidiaries establishes or eliminates (or designates or undesignates) any Designated Revolving Commitments,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Stock, in each case to the extent required, as if the same had occurred on the last day of the applicable Test Period (except in the case of the Fixed Charge Coverage Ratio (or similar ratio), in which case such incurrence, assumption, guarantee, redemption, repayment, retirement, discharge, defeasance or extinguishment of Indebtedness or such issuance, repurchase or redemption of Disqualified Equity Interests or Preferred Stock will be given effect, as if the same had occurred on the first day of the applicable Test Period) and for all purposes, such financial ratio or test shall be calculated giving pro forma effect to the full amount of any undrawn Designated Revolving Commitments as if such full amount of Indebtedness thereunder had been incurred thereunder throughout such period.</w:t>
      </w:r>
    </w:p>
    <w:p>
      <w:pPr>
        <w:spacing w:after="0" w:line="201" w:lineRule="exact"/>
        <w:rPr>
          <w:rFonts w:ascii="Arial" w:cs="Arial" w:eastAsia="Arial" w:hAnsi="Arial"/>
          <w:sz w:val="17"/>
          <w:szCs w:val="17"/>
          <w:color w:val="010000"/>
        </w:rPr>
      </w:pPr>
    </w:p>
    <w:p>
      <w:pPr>
        <w:jc w:val="both"/>
        <w:ind w:left="8" w:right="20" w:firstLine="639"/>
        <w:spacing w:after="0" w:line="215" w:lineRule="auto"/>
        <w:tabs>
          <w:tab w:leader="none" w:pos="1161"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 xml:space="preserve">If any Indebtedness bears a floating rate of interest and is being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 interest on such Indebtedness shall be calculated as if the rate in effect on the date of the event for which the calculation of the Fixed Charge Coverage Ratio (or similar ratio) is made had been the applicable rate for the entire period (taking into account any interest hedging arrangements applicable to such Indebtedness). Interest on a Capitalized Lease Obligation shall be deemed to accrue at an interest rate reasonably determined by a Financial Officer of the Administrative Borrower to be the rate of interest implicit in such Capitalized Lease Obligation in accordance with GAAP. Interest on Indebtedness that may optionally be determined at an interest rate based upon a factor of a prime or similar rate, </w:t>
      </w:r>
      <w:r>
        <w:rPr>
          <w:rFonts w:ascii="Arial" w:cs="Arial" w:eastAsia="Arial" w:hAnsi="Arial"/>
          <w:sz w:val="18"/>
          <w:szCs w:val="18"/>
          <w:color w:val="FF0000"/>
          <w:strike w:val="1"/>
        </w:rPr>
        <w:t>a Eurocurrency Rate interbank offered rate</w:t>
      </w:r>
      <w:r>
        <w:rPr>
          <w:rFonts w:ascii="Arial" w:cs="Arial" w:eastAsia="Arial" w:hAnsi="Arial"/>
          <w:sz w:val="18"/>
          <w:szCs w:val="18"/>
          <w:u w:val="single" w:color="auto"/>
          <w:color w:val="0000FF"/>
        </w:rPr>
        <w:t>Term SOFR</w:t>
      </w:r>
      <w:r>
        <w:rPr>
          <w:rFonts w:ascii="Arial" w:cs="Arial" w:eastAsia="Arial" w:hAnsi="Arial"/>
          <w:sz w:val="18"/>
          <w:szCs w:val="18"/>
          <w:color w:val="auto"/>
        </w:rPr>
        <w:t>, or other rate, shall be determined to have been based upon the rate actually chosen, or if none, then based upon such optional rate chosen as the Parent Borrower or such Restricted Subsidiaries may designate.</w:t>
      </w:r>
    </w:p>
    <w:p>
      <w:pPr>
        <w:spacing w:after="0" w:line="204" w:lineRule="exact"/>
        <w:rPr>
          <w:rFonts w:ascii="Arial" w:cs="Arial" w:eastAsia="Arial" w:hAnsi="Arial"/>
          <w:sz w:val="18"/>
          <w:szCs w:val="18"/>
          <w:color w:val="010000"/>
        </w:rPr>
      </w:pPr>
    </w:p>
    <w:p>
      <w:pPr>
        <w:jc w:val="both"/>
        <w:ind w:left="8" w:right="20" w:firstLine="640"/>
        <w:spacing w:after="0" w:line="244" w:lineRule="auto"/>
        <w:tabs>
          <w:tab w:leader="none" w:pos="1160" w:val="left"/>
        </w:tabs>
        <w:numPr>
          <w:ilvl w:val="1"/>
          <w:numId w:val="83"/>
        </w:numPr>
        <w:rPr>
          <w:rFonts w:ascii="Arial" w:cs="Arial" w:eastAsia="Arial" w:hAnsi="Arial"/>
          <w:sz w:val="16"/>
          <w:szCs w:val="16"/>
          <w:color w:val="010000"/>
        </w:rPr>
      </w:pPr>
      <w:r>
        <w:rPr>
          <w:rFonts w:ascii="Arial" w:cs="Arial" w:eastAsia="Arial" w:hAnsi="Arial"/>
          <w:sz w:val="16"/>
          <w:szCs w:val="16"/>
          <w:color w:val="auto"/>
        </w:rPr>
        <w:t>(I) In connection with the calculation of the Total Net Leverage Ratio, the Senior Secured Net Leverage Ratio, the First Lien Net Leverage Ratio or the Fixed Charge Coverage Ratio for purposes of incurring Indebtedness (including Preferred Stock) or Disqualified Equity Interests under this Agreement, no effect (pro forma or otherwise) shall be given to any Indebtedness (or Preferred Stock) or Disqualified Equity Interests being incurred (or commitments obtained) on the same date (or on a such other subsequent date which otherwise require Pro Forma Effect to be given to such incurrence (or obtaining of commitments)) pursuant to any fixed dollar basket or basket based on Consolidated EBITDA; and (II) in connection with the calculation of the Total Net Leverage Ratio, the Senior Secured Net Leverage Ratio, the First Lien Net Leverage Ratio or the Fixed Charge Coverage Ratio for purposes of incurring any Lien under this Agreement, no effect (pro forma or otherwise) shall be given to any Liens</w:t>
      </w:r>
    </w:p>
    <w:p>
      <w:pPr>
        <w:sectPr>
          <w:pgSz w:w="11900" w:h="16838" w:orient="portrait"/>
          <w:cols w:equalWidth="0" w:num="1">
            <w:col w:w="10928"/>
          </w:cols>
          <w:pgMar w:left="472" w:top="1440" w:right="499" w:bottom="1440" w:gutter="0" w:footer="0" w:header="0"/>
        </w:sectPr>
      </w:pPr>
    </w:p>
    <w:bookmarkStart w:id="117" w:name="page118"/>
    <w:bookmarkEnd w:id="117"/>
    <w:p>
      <w:pPr>
        <w:spacing w:after="0" w:line="211" w:lineRule="exact"/>
        <w:rPr>
          <w:sz w:val="20"/>
          <w:szCs w:val="20"/>
          <w:color w:val="auto"/>
        </w:rPr>
      </w:pPr>
    </w:p>
    <w:p>
      <w:pPr>
        <w:ind w:left="9"/>
        <w:spacing w:after="0" w:line="235" w:lineRule="auto"/>
        <w:rPr>
          <w:sz w:val="20"/>
          <w:szCs w:val="20"/>
          <w:color w:val="auto"/>
        </w:rPr>
      </w:pPr>
      <w:r>
        <w:rPr>
          <w:rFonts w:ascii="Arial" w:cs="Arial" w:eastAsia="Arial" w:hAnsi="Arial"/>
          <w:sz w:val="18"/>
          <w:szCs w:val="18"/>
          <w:color w:val="auto"/>
        </w:rPr>
        <w:t>being incurred on the same date (or on a such other subsequent date which otherwise require Pro Forma Effect to be given to such incurrence) pursuant to any fixed dollar basket or basket based on Consolidated EBITDA.</w:t>
      </w:r>
    </w:p>
    <w:p>
      <w:pPr>
        <w:spacing w:after="0" w:line="202" w:lineRule="exact"/>
        <w:rPr>
          <w:sz w:val="20"/>
          <w:szCs w:val="20"/>
          <w:color w:val="auto"/>
        </w:rPr>
      </w:pPr>
    </w:p>
    <w:p>
      <w:pPr>
        <w:jc w:val="both"/>
        <w:ind w:left="9" w:right="180" w:firstLine="640"/>
        <w:spacing w:after="0" w:line="213" w:lineRule="auto"/>
        <w:tabs>
          <w:tab w:leader="none" w:pos="1161"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Notwithstanding anything in this Agreement or any Loan Document to the contrary, when (a) determining compliance with any provision of this Agreement which requires the calculation of the Fixed Charge Coverage Ratio, the First Lien Net Leverage Ratio, the Senior Secured Net Leverage Ratio or the Total Net Leverage Ratio, (b) determining compliance with any provision of this Agreement which requires that no Default or Event of Default has occurred, is continuing or would result therefrom, (c) determining compliance with any provision of this Agreement which requires compliance with any representations and warranties set forth herein or</w:t>
      </w:r>
    </w:p>
    <w:p>
      <w:pPr>
        <w:spacing w:after="0" w:line="2" w:lineRule="exact"/>
        <w:rPr>
          <w:rFonts w:ascii="Arial" w:cs="Arial" w:eastAsia="Arial" w:hAnsi="Arial"/>
          <w:sz w:val="18"/>
          <w:szCs w:val="18"/>
          <w:color w:val="010000"/>
        </w:rPr>
      </w:pPr>
    </w:p>
    <w:p>
      <w:pPr>
        <w:jc w:val="both"/>
        <w:ind w:left="9" w:right="160" w:hanging="9"/>
        <w:spacing w:after="0"/>
        <w:tabs>
          <w:tab w:leader="none" w:pos="27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testing availability under baskets set forth in this Agreement (including baskets measured as a percentage of Consolidated EBITDA),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availability under any baskets shall, at the option of the Administrative Borrower (the Administrative Borrower’s election to exercise such option in connection with any Limited Condition Transaction, an “</w:t>
      </w:r>
      <w:r>
        <w:rPr>
          <w:rFonts w:ascii="Arial" w:cs="Arial" w:eastAsia="Arial" w:hAnsi="Arial"/>
          <w:sz w:val="16"/>
          <w:szCs w:val="16"/>
          <w:b w:val="1"/>
          <w:bCs w:val="1"/>
          <w:color w:val="auto"/>
        </w:rPr>
        <w:t>LCT Election</w:t>
      </w:r>
      <w:r>
        <w:rPr>
          <w:rFonts w:ascii="Arial" w:cs="Arial" w:eastAsia="Arial" w:hAnsi="Arial"/>
          <w:sz w:val="16"/>
          <w:szCs w:val="16"/>
          <w:color w:val="auto"/>
        </w:rPr>
        <w:t>”, which LCT Election may be in respect of one or more of clauses (a), (b), (c) and (d) above), be deemed to be the date the definitive agreements (or other relevant definitive documentation) for such Limited Condition Transaction are entered into (the “</w:t>
      </w:r>
      <w:r>
        <w:rPr>
          <w:rFonts w:ascii="Arial" w:cs="Arial" w:eastAsia="Arial" w:hAnsi="Arial"/>
          <w:sz w:val="16"/>
          <w:szCs w:val="16"/>
          <w:b w:val="1"/>
          <w:bCs w:val="1"/>
          <w:color w:val="auto"/>
        </w:rPr>
        <w:t>LCT Test Date</w:t>
      </w:r>
      <w:r>
        <w:rPr>
          <w:rFonts w:ascii="Arial" w:cs="Arial" w:eastAsia="Arial" w:hAnsi="Arial"/>
          <w:sz w:val="16"/>
          <w:szCs w:val="16"/>
          <w:color w:val="auto"/>
        </w:rPr>
        <w:t xml:space="preserve">”). If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such Limited Condition Transaction and the other transactions to be entered into in connection therewith (including any incurrence or issuance of Indebtedness, Disqualified Equity Interests or Preferred Stock and the use of proceeds thereof), with such ratios and other provisions calculated as if such Limited Condition Transaction or other transactions had occurred at the beginning of the most recent Test Period ending prior to the LCT Test Date for which internal financial statements are available (as determined in good faith by the Administrative Borrower), the Parent Borrower could have taken such action on the relevant LCT Test Date in compliance with the applicable ratios, default provisions or other provisions, such ratios, default provisions or other provisions shall be deemed to have been complied with on such date. For the avoidance of doubt, (i) if, following the LCT Test Date, any of such ratios, default provisions or other provisions are exceeded or breached as a result of fluctuations in such ratio (including due to fluctuations in Consolidated EBITDA or other components of such ratio (including due to fluctuations of the Target of any Limited Condition Transaction, including its cash and Cash Equivalents or the amount of such Indebtedness)) or other provisions at or prior to the consummation of the relevant Limited Condition Transaction, such ratios, default provisions or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or related Specified Transactions. If the Administrative Borrower has made an LCT Election for any Limited Condition Transaction, then in connection with any subsequent calculation of any ratio, basket availability or compliance with any other provision hereunder on or following the relevant LCT Test Date and prior to the earliest of the date on which such Limited Condition Transaction is consummated and the date that the definitive agreement for such Limited Condition Transaction is terminated or expires without consummation of such Limited Condition Transaction, any such ratio, basket or compliance with any other provision hereunder shall be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assuming such Limited Condition Transaction and other transactions in connection therewith (including any incurrence or issuance of Indebtedness, Disqualified Equity Interests or Preferred Stock, and the use of proceeds thereof) had been consummated on the LCT Test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any such calculation of the Fixed Charges Coverage Ratio, Fixed Charges will be calculated using an assumed interest rate for the Indebtedness to be incurred in connection with such Limited Condition Transaction based on the indicative interest margin contained in any financing commitment documentation with respect to such Indebtedness or, if no such indicative interest margin exists, as reasonably determined by the Administrative Borrower in good faith.</w:t>
      </w:r>
    </w:p>
    <w:p>
      <w:pPr>
        <w:spacing w:after="0" w:line="286"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1.09</w:t>
      </w:r>
      <w:r>
        <w:rPr>
          <w:sz w:val="20"/>
          <w:szCs w:val="20"/>
          <w:color w:val="auto"/>
        </w:rPr>
        <w:tab/>
      </w:r>
      <w:r>
        <w:rPr>
          <w:rFonts w:ascii="Arial" w:cs="Arial" w:eastAsia="Arial" w:hAnsi="Arial"/>
          <w:sz w:val="16"/>
          <w:szCs w:val="16"/>
          <w:color w:val="auto"/>
        </w:rPr>
        <w:t>Currency Generally.</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7"/>
          <w:szCs w:val="17"/>
          <w:color w:val="auto"/>
        </w:rPr>
        <w:t>For purposes of determining compliance with Sections 7.01, 7.03, 7.05, 7.06 and 7.13 and the definition of Permitted Investments with</w:t>
      </w:r>
    </w:p>
    <w:p>
      <w:pPr>
        <w:spacing w:after="0" w:line="10" w:lineRule="exact"/>
        <w:rPr>
          <w:sz w:val="20"/>
          <w:szCs w:val="20"/>
          <w:color w:val="auto"/>
        </w:rPr>
      </w:pPr>
    </w:p>
    <w:p>
      <w:pPr>
        <w:ind w:left="9" w:right="160"/>
        <w:spacing w:after="0" w:line="226" w:lineRule="auto"/>
        <w:rPr>
          <w:sz w:val="20"/>
          <w:szCs w:val="20"/>
          <w:color w:val="auto"/>
        </w:rPr>
      </w:pPr>
      <w:r>
        <w:rPr>
          <w:rFonts w:ascii="Arial" w:cs="Arial" w:eastAsia="Arial" w:hAnsi="Arial"/>
          <w:sz w:val="18"/>
          <w:szCs w:val="18"/>
          <w:color w:val="auto"/>
        </w:rPr>
        <w:t>respect to any amount of Indebtedness or Investment in a currency other than Dollars, no Default shall be deemed to have occurred solely as a result of changes in rates of currency exchange occurring after</w:t>
      </w:r>
    </w:p>
    <w:p>
      <w:pPr>
        <w:sectPr>
          <w:pgSz w:w="11900" w:h="16838" w:orient="portrait"/>
          <w:cols w:equalWidth="0" w:num="1">
            <w:col w:w="11069"/>
          </w:cols>
          <w:pgMar w:left="471" w:top="1440" w:right="359" w:bottom="1440" w:gutter="0" w:footer="0" w:header="0"/>
        </w:sectPr>
      </w:pPr>
    </w:p>
    <w:bookmarkStart w:id="118" w:name="page119"/>
    <w:bookmarkEnd w:id="118"/>
    <w:p>
      <w:pPr>
        <w:spacing w:after="0" w:line="211" w:lineRule="exact"/>
        <w:rPr>
          <w:sz w:val="20"/>
          <w:szCs w:val="20"/>
          <w:color w:val="auto"/>
        </w:rPr>
      </w:pPr>
    </w:p>
    <w:p>
      <w:pPr>
        <w:ind w:left="8" w:right="880"/>
        <w:spacing w:after="0" w:line="235" w:lineRule="auto"/>
        <w:rPr>
          <w:sz w:val="20"/>
          <w:szCs w:val="20"/>
          <w:color w:val="auto"/>
        </w:rPr>
      </w:pPr>
      <w:r>
        <w:rPr>
          <w:rFonts w:ascii="Arial" w:cs="Arial" w:eastAsia="Arial" w:hAnsi="Arial"/>
          <w:sz w:val="18"/>
          <w:szCs w:val="18"/>
          <w:color w:val="auto"/>
        </w:rPr>
        <w:t>the time such Indebtedness or Investment is incurred (so long as such Indebtedness or Investment, at the time incurred, made or acquired, was permitted hereunder).</w:t>
      </w:r>
    </w:p>
    <w:p>
      <w:pPr>
        <w:spacing w:after="0" w:line="202" w:lineRule="exact"/>
        <w:rPr>
          <w:sz w:val="20"/>
          <w:szCs w:val="20"/>
          <w:color w:val="auto"/>
        </w:rPr>
      </w:pPr>
    </w:p>
    <w:p>
      <w:pPr>
        <w:ind w:left="8" w:right="180" w:firstLine="648"/>
        <w:spacing w:after="0" w:line="248" w:lineRule="auto"/>
        <w:rPr>
          <w:sz w:val="20"/>
          <w:szCs w:val="20"/>
          <w:color w:val="auto"/>
        </w:rPr>
      </w:pPr>
      <w:r>
        <w:rPr>
          <w:rFonts w:ascii="Arial" w:cs="Arial" w:eastAsia="Arial" w:hAnsi="Arial"/>
          <w:sz w:val="16"/>
          <w:szCs w:val="16"/>
          <w:color w:val="auto"/>
        </w:rPr>
        <w:t>For purposes of determining the Senior Secured Net Leverage Ratio, the First Lien Net Leverage Ratio, the Total Net Leverage Ratio or any other leverage-based ratio or test under this Agreement, the amount of Indebtedness shall reflect the currency translation effects, determined in</w:t>
      </w:r>
    </w:p>
    <w:p>
      <w:pPr>
        <w:ind w:left="8" w:right="180"/>
        <w:spacing w:after="0" w:line="226" w:lineRule="auto"/>
        <w:rPr>
          <w:sz w:val="20"/>
          <w:szCs w:val="20"/>
          <w:color w:val="auto"/>
        </w:rPr>
      </w:pPr>
      <w:r>
        <w:rPr>
          <w:rFonts w:ascii="Arial" w:cs="Arial" w:eastAsia="Arial" w:hAnsi="Arial"/>
          <w:sz w:val="18"/>
          <w:szCs w:val="18"/>
          <w:color w:val="auto"/>
        </w:rPr>
        <w:t>accordance with GAAP, of Swap Contracts permitted hereunder for currency exchange risks with respect to the applicable currency in effect on the date of determination of the Dollar equivalent of such Indebtedness.</w:t>
      </w:r>
    </w:p>
    <w:p>
      <w:pPr>
        <w:spacing w:after="0" w:line="184" w:lineRule="exact"/>
        <w:rPr>
          <w:sz w:val="20"/>
          <w:szCs w:val="20"/>
          <w:color w:val="auto"/>
        </w:rPr>
      </w:pPr>
    </w:p>
    <w:p>
      <w:pPr>
        <w:jc w:val="center"/>
        <w:ind w:right="132"/>
        <w:spacing w:after="0"/>
        <w:rPr>
          <w:sz w:val="20"/>
          <w:szCs w:val="20"/>
          <w:color w:val="auto"/>
        </w:rPr>
      </w:pPr>
      <w:r>
        <w:rPr>
          <w:rFonts w:ascii="Arial" w:cs="Arial" w:eastAsia="Arial" w:hAnsi="Arial"/>
          <w:sz w:val="18"/>
          <w:szCs w:val="18"/>
          <w:b w:val="1"/>
          <w:bCs w:val="1"/>
          <w:color w:val="010000"/>
        </w:rPr>
        <w:t>ARTICLE II.</w:t>
      </w:r>
    </w:p>
    <w:p>
      <w:pPr>
        <w:spacing w:after="0" w:line="2" w:lineRule="exact"/>
        <w:rPr>
          <w:sz w:val="20"/>
          <w:szCs w:val="20"/>
          <w:color w:val="auto"/>
        </w:rPr>
      </w:pPr>
    </w:p>
    <w:p>
      <w:pPr>
        <w:jc w:val="center"/>
        <w:ind w:right="132"/>
        <w:spacing w:after="0"/>
        <w:rPr>
          <w:sz w:val="20"/>
          <w:szCs w:val="20"/>
          <w:color w:val="auto"/>
        </w:rPr>
      </w:pPr>
      <w:r>
        <w:rPr>
          <w:rFonts w:ascii="Arial" w:cs="Arial" w:eastAsia="Arial" w:hAnsi="Arial"/>
          <w:sz w:val="18"/>
          <w:szCs w:val="18"/>
          <w:b w:val="1"/>
          <w:bCs w:val="1"/>
          <w:u w:val="single" w:color="auto"/>
          <w:color w:val="auto"/>
        </w:rPr>
        <w:t>THE COMMITMENTS AND CREDIT EXTENSIONS</w:t>
      </w:r>
    </w:p>
    <w:p>
      <w:pPr>
        <w:spacing w:after="0" w:line="277"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2.01</w:t>
      </w:r>
      <w:r>
        <w:rPr>
          <w:sz w:val="20"/>
          <w:szCs w:val="20"/>
          <w:color w:val="auto"/>
        </w:rPr>
        <w:tab/>
      </w:r>
      <w:r>
        <w:rPr>
          <w:rFonts w:ascii="Arial" w:cs="Arial" w:eastAsia="Arial" w:hAnsi="Arial"/>
          <w:sz w:val="15"/>
          <w:szCs w:val="15"/>
          <w:color w:val="auto"/>
        </w:rPr>
        <w:t>The Loans.</w:t>
      </w:r>
    </w:p>
    <w:p>
      <w:pPr>
        <w:spacing w:after="0" w:line="225" w:lineRule="exact"/>
        <w:rPr>
          <w:sz w:val="20"/>
          <w:szCs w:val="20"/>
          <w:color w:val="auto"/>
        </w:rPr>
      </w:pPr>
    </w:p>
    <w:p>
      <w:pPr>
        <w:jc w:val="both"/>
        <w:ind w:left="8" w:right="180" w:firstLine="639"/>
        <w:spacing w:after="0" w:line="215" w:lineRule="auto"/>
        <w:tabs>
          <w:tab w:leader="none" w:pos="1161" w:val="left"/>
        </w:tabs>
        <w:numPr>
          <w:ilvl w:val="0"/>
          <w:numId w:val="86"/>
        </w:numPr>
        <w:rPr>
          <w:rFonts w:ascii="Arial" w:cs="Arial" w:eastAsia="Arial" w:hAnsi="Arial"/>
          <w:sz w:val="18"/>
          <w:szCs w:val="18"/>
          <w:color w:val="010000"/>
        </w:rPr>
      </w:pPr>
      <w:r>
        <w:rPr>
          <w:rFonts w:ascii="Arial" w:cs="Arial" w:eastAsia="Arial" w:hAnsi="Arial"/>
          <w:sz w:val="18"/>
          <w:szCs w:val="18"/>
          <w:i w:val="1"/>
          <w:iCs w:val="1"/>
          <w:color w:val="auto"/>
        </w:rPr>
        <w:t>The Term Borrowings</w:t>
      </w:r>
      <w:r>
        <w:rPr>
          <w:rFonts w:ascii="Arial" w:cs="Arial" w:eastAsia="Arial" w:hAnsi="Arial"/>
          <w:sz w:val="18"/>
          <w:szCs w:val="18"/>
          <w:color w:val="auto"/>
        </w:rPr>
        <w:t>. (i) Subject to the terms and conditions set forth herein and in the Second Amendment, each Term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severally agrees to make to the Parent Borrower on the Closing Date one or more loans denominated in Dollars in an aggregate amount not to exceed the amount of such Term Lender’s Term B Commitment; and (ii) subject to the terms and conditions set forth in any Incremental Amendment or Refinancing Amendment providing for, as applicable, the making, exchange, renewal, replacement or refinancing of Term Loans, each Term Lender party thereto severally agrees to, as applicable, make, exchange, renew or replace Term Loans on the date specified therein in an aggregate amount not to exceed the amount of such Term Lender’s applicable Term Commitment as set forth therein. Amounts borrowed, exchanged, renewed or replaced under this Section 2.01(a) and repaid or prepaid may not be reborrowed. Term Loans may be Base Rate Loans or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as further provided herein.</w:t>
      </w:r>
    </w:p>
    <w:p>
      <w:pPr>
        <w:spacing w:after="0" w:line="285" w:lineRule="exact"/>
        <w:rPr>
          <w:rFonts w:ascii="Arial" w:cs="Arial" w:eastAsia="Arial" w:hAnsi="Arial"/>
          <w:sz w:val="18"/>
          <w:szCs w:val="18"/>
          <w:color w:val="010000"/>
        </w:rPr>
      </w:pPr>
    </w:p>
    <w:p>
      <w:pPr>
        <w:ind w:left="1288" w:hanging="640"/>
        <w:spacing w:after="0"/>
        <w:tabs>
          <w:tab w:leader="none" w:pos="1288"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2.02</w:t>
      </w:r>
      <w:r>
        <w:rPr>
          <w:sz w:val="20"/>
          <w:szCs w:val="20"/>
          <w:color w:val="auto"/>
        </w:rPr>
        <w:tab/>
      </w:r>
      <w:r>
        <w:rPr>
          <w:rFonts w:ascii="Arial" w:cs="Arial" w:eastAsia="Arial" w:hAnsi="Arial"/>
          <w:sz w:val="16"/>
          <w:szCs w:val="16"/>
          <w:color w:val="auto"/>
        </w:rPr>
        <w:t>Borrowings, Conversions and Continuations of Loans.</w:t>
      </w:r>
    </w:p>
    <w:p>
      <w:pPr>
        <w:spacing w:after="0" w:line="225" w:lineRule="exact"/>
        <w:rPr>
          <w:sz w:val="20"/>
          <w:szCs w:val="20"/>
          <w:color w:val="auto"/>
        </w:rPr>
      </w:pPr>
    </w:p>
    <w:p>
      <w:pPr>
        <w:jc w:val="both"/>
        <w:ind w:left="8" w:right="180" w:firstLine="640"/>
        <w:spacing w:after="0" w:line="223" w:lineRule="auto"/>
        <w:tabs>
          <w:tab w:leader="none" w:pos="1160" w:val="left"/>
        </w:tabs>
        <w:numPr>
          <w:ilvl w:val="1"/>
          <w:numId w:val="87"/>
        </w:numPr>
        <w:rPr>
          <w:rFonts w:ascii="Arial" w:cs="Arial" w:eastAsia="Arial" w:hAnsi="Arial"/>
          <w:sz w:val="17"/>
          <w:szCs w:val="17"/>
          <w:color w:val="010000"/>
        </w:rPr>
      </w:pPr>
      <w:r>
        <w:rPr>
          <w:rFonts w:ascii="Arial" w:cs="Arial" w:eastAsia="Arial" w:hAnsi="Arial"/>
          <w:sz w:val="17"/>
          <w:szCs w:val="17"/>
          <w:color w:val="auto"/>
        </w:rPr>
        <w:t xml:space="preserve">Each Term Borrowing, each conversion of Term Loans from one Type to the other, and each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w:t>
      </w:r>
      <w:r>
        <w:rPr>
          <w:rFonts w:ascii="Arial" w:cs="Arial" w:eastAsia="Arial" w:hAnsi="Arial"/>
          <w:sz w:val="17"/>
          <w:szCs w:val="17"/>
          <w:color w:val="0000FF"/>
        </w:rPr>
        <w:t xml:space="preserve"> </w:t>
      </w:r>
      <w:r>
        <w:rPr>
          <w:rFonts w:ascii="Arial" w:cs="Arial" w:eastAsia="Arial" w:hAnsi="Arial"/>
          <w:sz w:val="17"/>
          <w:szCs w:val="17"/>
          <w:color w:val="000000"/>
        </w:rPr>
        <w:t>Loans shall be made upon the Administrative Borrower’s irrevocable notice to the Administrative Agent (</w:t>
      </w:r>
      <w:r>
        <w:rPr>
          <w:rFonts w:ascii="Arial" w:cs="Arial" w:eastAsia="Arial" w:hAnsi="Arial"/>
          <w:sz w:val="17"/>
          <w:szCs w:val="17"/>
          <w:i w:val="1"/>
          <w:iCs w:val="1"/>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 the notices in respect of</w:t>
      </w:r>
      <w:r>
        <w:rPr>
          <w:rFonts w:ascii="Arial" w:cs="Arial" w:eastAsia="Arial" w:hAnsi="Arial"/>
          <w:sz w:val="17"/>
          <w:szCs w:val="17"/>
          <w:color w:val="0000FF"/>
        </w:rPr>
        <w:t xml:space="preserve"> </w:t>
      </w:r>
      <w:r>
        <w:rPr>
          <w:rFonts w:ascii="Arial" w:cs="Arial" w:eastAsia="Arial" w:hAnsi="Arial"/>
          <w:sz w:val="17"/>
          <w:szCs w:val="17"/>
          <w:color w:val="000000"/>
        </w:rPr>
        <w:t xml:space="preserve">the initial Credit Extensions, or in connection with any Permitted Acquisition or other transaction permitted under this agreement, may be conditioned on the occurrence of the Closing Date or the occurrence of such Permitted Acquisition or other transaction, as applicable, so long as the Borrowers indemnify the Lenders for any amounts that would be payable under Section 3.05), which may be given by (A) telephone, or (B) a Committed Loan Notice;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any telephonic notice (which shall be accompanied by an electronic mail notice prior to funding) by the Administrative Borrower must be confirmed promptly by delivery to the Administrative Agent of a written Committed Loan Notice no later than the date of funding, appropriately completed and signed by a Responsible Officer of the Administrative Borrower. Each such Committed Loan Notice must be received by the Administrative Agent not later than 12:00 noon (x) </w:t>
      </w:r>
      <w:r>
        <w:rPr>
          <w:rFonts w:ascii="Arial" w:cs="Arial" w:eastAsia="Arial" w:hAnsi="Arial"/>
          <w:sz w:val="17"/>
          <w:szCs w:val="17"/>
          <w:color w:val="FF0000"/>
          <w:strike w:val="1"/>
        </w:rPr>
        <w:t>three</w:t>
      </w:r>
      <w:r>
        <w:rPr>
          <w:rFonts w:ascii="Arial" w:cs="Arial" w:eastAsia="Arial" w:hAnsi="Arial"/>
          <w:sz w:val="17"/>
          <w:szCs w:val="17"/>
          <w:u w:val="single" w:color="auto"/>
          <w:color w:val="0000FF"/>
        </w:rPr>
        <w:t>two</w:t>
      </w:r>
    </w:p>
    <w:p>
      <w:pPr>
        <w:spacing w:after="0" w:line="1" w:lineRule="exact"/>
        <w:rPr>
          <w:rFonts w:ascii="Arial" w:cs="Arial" w:eastAsia="Arial" w:hAnsi="Arial"/>
          <w:sz w:val="17"/>
          <w:szCs w:val="17"/>
          <w:color w:val="010000"/>
        </w:rPr>
      </w:pPr>
    </w:p>
    <w:p>
      <w:pPr>
        <w:ind w:left="8"/>
        <w:spacing w:after="0" w:line="221" w:lineRule="auto"/>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color w:val="FF0000"/>
          <w:strike w:val="1"/>
        </w:rPr>
        <w:t>3</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Business Days prior to the requested date of any Borrowing or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any conversion of Base Rate Loans to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or any Borrowing of, continuation of or conversion into Loans that are denominated in a currency other than Dollars pursuant to Section 2.02(a)(vi) below or (y) on the requested date of any Borrowing of Base Rate Loans. Except as provided in Section 2.14, 2.15 or 2.16, each Borrowing of, conversion to or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shall be in a minimum principal amount of $1,000,000, or a whole multiple of $500,000 in excess thereof. Except as provided in Section 2.14, 2.15 or 2.16, each Borrowing of or conversion to Base Rate Loans shall be in a minimum principal amount of $500,000 or a whole multiple of $100,000 in excess thereof. Each Committed Loan Notice (whether telephonic or written) shall specify (i) whether the Borrowers are requesting a Term Borrowing, a conversion of Term Loans from one Type to the other or a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w:t>
      </w:r>
    </w:p>
    <w:p>
      <w:pPr>
        <w:spacing w:after="0" w:line="4" w:lineRule="exact"/>
        <w:rPr>
          <w:rFonts w:ascii="Arial" w:cs="Arial" w:eastAsia="Arial" w:hAnsi="Arial"/>
          <w:sz w:val="17"/>
          <w:szCs w:val="17"/>
          <w:color w:val="010000"/>
        </w:rPr>
      </w:pPr>
    </w:p>
    <w:p>
      <w:pPr>
        <w:ind w:left="268" w:hanging="268"/>
        <w:spacing w:after="0"/>
        <w:tabs>
          <w:tab w:leader="none" w:pos="26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requested date of the Borrowing, conversion or continuation, as the case may be (which shall be a Business Day), (iii) the principal amount of</w:t>
      </w:r>
    </w:p>
    <w:p>
      <w:pPr>
        <w:spacing w:after="0" w:line="5" w:lineRule="exact"/>
        <w:rPr>
          <w:sz w:val="20"/>
          <w:szCs w:val="20"/>
          <w:color w:val="auto"/>
        </w:rPr>
      </w:pPr>
    </w:p>
    <w:p>
      <w:pPr>
        <w:jc w:val="both"/>
        <w:ind w:left="8" w:right="200"/>
        <w:spacing w:after="0" w:line="218" w:lineRule="auto"/>
        <w:rPr>
          <w:sz w:val="20"/>
          <w:szCs w:val="20"/>
          <w:color w:val="auto"/>
        </w:rPr>
      </w:pPr>
      <w:r>
        <w:rPr>
          <w:rFonts w:ascii="Arial" w:cs="Arial" w:eastAsia="Arial" w:hAnsi="Arial"/>
          <w:sz w:val="18"/>
          <w:szCs w:val="18"/>
          <w:color w:val="auto"/>
        </w:rPr>
        <w:t xml:space="preserve">Loans to be borrowed, converted or continued, (iv) the Class and Type of Loans to be borrowed or the Type of Loans to which existing Term Loans are to be converted, (v) if applicable, the duration of the Interest Period with respect thereto, (vi) with respect to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only,</w:t>
      </w:r>
    </w:p>
    <w:p>
      <w:pPr>
        <w:sectPr>
          <w:pgSz w:w="11900" w:h="16838" w:orient="portrait"/>
          <w:cols w:equalWidth="0" w:num="1">
            <w:col w:w="11088"/>
          </w:cols>
          <w:pgMar w:left="472" w:top="1440" w:right="339" w:bottom="1440" w:gutter="0" w:footer="0" w:header="0"/>
        </w:sectPr>
      </w:pPr>
    </w:p>
    <w:bookmarkStart w:id="119" w:name="page120"/>
    <w:bookmarkEnd w:id="119"/>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currency of Loans to be borrowed, converted or continued, (vii) the Parent Borrower or Subsidiary Borrower to which such Loan shall be made and</w:t>
      </w:r>
    </w:p>
    <w:p>
      <w:pPr>
        <w:spacing w:after="0" w:line="8" w:lineRule="exact"/>
        <w:rPr>
          <w:sz w:val="20"/>
          <w:szCs w:val="20"/>
          <w:color w:val="auto"/>
        </w:rPr>
      </w:pPr>
    </w:p>
    <w:p>
      <w:pPr>
        <w:jc w:val="both"/>
        <w:ind w:left="8" w:hanging="8"/>
        <w:spacing w:after="0" w:line="225" w:lineRule="auto"/>
        <w:tabs>
          <w:tab w:leader="none" w:pos="43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wire instructions of the account(s) to which funds are to be disbursed (it being understood, for the avoidance of doubt, that the amount to be disbursed to any particular account may be less than the minimum or multiple limitations set forth above so long as the aggregate amount to be disbursed to all such accounts pursuant to such Borrowing meets such minimums and multiples). If the Administrative Borrower fails to give a timely notice requesting a conversion or continuation, then the applicable Loans shall made or continued as the same Type of Loan, which if a </w:t>
      </w:r>
      <w:r>
        <w:rPr>
          <w:rFonts w:ascii="Arial" w:cs="Arial" w:eastAsia="Arial" w:hAnsi="Arial"/>
          <w:sz w:val="17"/>
          <w:szCs w:val="17"/>
          <w:color w:val="FF0000"/>
          <w:strike w:val="1"/>
        </w:rPr>
        <w:t>Eurocurrency</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 shall have a one month Interest Period. Any such automatic continuation of</w:t>
      </w:r>
      <w:r>
        <w:rPr>
          <w:rFonts w:ascii="Arial" w:cs="Arial" w:eastAsia="Arial" w:hAnsi="Arial"/>
          <w:sz w:val="17"/>
          <w:szCs w:val="17"/>
          <w:color w:val="FF0000"/>
        </w:rPr>
        <w:t xml:space="preserv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shall be</w:t>
      </w:r>
      <w:r>
        <w:rPr>
          <w:rFonts w:ascii="Arial" w:cs="Arial" w:eastAsia="Arial" w:hAnsi="Arial"/>
          <w:sz w:val="17"/>
          <w:szCs w:val="17"/>
          <w:color w:val="FF0000"/>
        </w:rPr>
        <w:t xml:space="preserve"> </w:t>
      </w:r>
      <w:r>
        <w:rPr>
          <w:rFonts w:ascii="Arial" w:cs="Arial" w:eastAsia="Arial" w:hAnsi="Arial"/>
          <w:sz w:val="17"/>
          <w:szCs w:val="17"/>
          <w:color w:val="000000"/>
        </w:rPr>
        <w:t xml:space="preserve">effective as of the last day of the Interest Period then in effect with respect to the applicable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If the Administrative Borrower requests a Borrowing of, conversion to, or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in any such Committed Loan Notice, but fails to specify an Interest Period, it will be deemed to have specified an Interest Period of one (1) month.</w:t>
      </w:r>
    </w:p>
    <w:p>
      <w:pPr>
        <w:spacing w:after="0" w:line="205" w:lineRule="exact"/>
        <w:rPr>
          <w:rFonts w:ascii="Arial" w:cs="Arial" w:eastAsia="Arial" w:hAnsi="Arial"/>
          <w:sz w:val="17"/>
          <w:szCs w:val="17"/>
          <w:color w:val="auto"/>
        </w:rPr>
      </w:pPr>
    </w:p>
    <w:p>
      <w:pPr>
        <w:jc w:val="both"/>
        <w:ind w:left="8" w:right="40" w:firstLine="640"/>
        <w:spacing w:after="0" w:line="226" w:lineRule="auto"/>
        <w:tabs>
          <w:tab w:leader="none" w:pos="1160" w:val="left"/>
        </w:tabs>
        <w:numPr>
          <w:ilvl w:val="1"/>
          <w:numId w:val="89"/>
        </w:numPr>
        <w:rPr>
          <w:rFonts w:ascii="Arial" w:cs="Arial" w:eastAsia="Arial" w:hAnsi="Arial"/>
          <w:sz w:val="17"/>
          <w:szCs w:val="17"/>
          <w:color w:val="010000"/>
        </w:rPr>
      </w:pPr>
      <w:r>
        <w:rPr>
          <w:rFonts w:ascii="Arial" w:cs="Arial" w:eastAsia="Arial" w:hAnsi="Arial"/>
          <w:sz w:val="17"/>
          <w:szCs w:val="17"/>
          <w:color w:val="auto"/>
        </w:rPr>
        <w:t xml:space="preserve">Following receipt of a Committed Loan Notice, the Administrative Agent shall promptly notify each Lender of the amount of its Pro Rata Share or other applicable share provided for under this Agreement of the applicable Class of Loans, and if no timely notice of a conversion or continuation is provided by the Administrative Borrower, the Administrative Agent shall notify each Lender of the details of any automatic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or continuation of Loans described in Section 2.02(a). In the case of each Borrowing, each Appropriate Lender shall make the amount of its Loan available to the Administrative Agent in Same Day Funds at the Administrative Agent’s Office not later than 2:00 p.m. on the Business Day specified in the applicable Committed Loan Notice. The Administrative Agent shall make all funds so received available to the Borrowers in like funds as received by the Administrative Agent either by (i) crediting the account(s) of the Borrowers on the books of the Administrative Agent with the amount of such funds or (ii) wire transfer of such funds, in each case in accordance with instructions provided by the Borrowers to (and reasonably acceptable to) the Administrative Agent.</w:t>
      </w:r>
    </w:p>
    <w:p>
      <w:pPr>
        <w:spacing w:after="0" w:line="206" w:lineRule="exact"/>
        <w:rPr>
          <w:rFonts w:ascii="Arial" w:cs="Arial" w:eastAsia="Arial" w:hAnsi="Arial"/>
          <w:sz w:val="17"/>
          <w:szCs w:val="17"/>
          <w:color w:val="010000"/>
        </w:rPr>
      </w:pPr>
    </w:p>
    <w:p>
      <w:pPr>
        <w:jc w:val="both"/>
        <w:ind w:left="8" w:right="40" w:firstLine="640"/>
        <w:spacing w:after="0" w:line="236" w:lineRule="auto"/>
        <w:tabs>
          <w:tab w:leader="none" w:pos="1160" w:val="left"/>
        </w:tabs>
        <w:numPr>
          <w:ilvl w:val="1"/>
          <w:numId w:val="89"/>
        </w:numPr>
        <w:rPr>
          <w:rFonts w:ascii="Arial" w:cs="Arial" w:eastAsia="Arial" w:hAnsi="Arial"/>
          <w:sz w:val="17"/>
          <w:szCs w:val="17"/>
          <w:color w:val="010000"/>
        </w:rPr>
      </w:pPr>
      <w:r>
        <w:rPr>
          <w:rFonts w:ascii="Arial" w:cs="Arial" w:eastAsia="Arial" w:hAnsi="Arial"/>
          <w:sz w:val="17"/>
          <w:szCs w:val="17"/>
          <w:color w:val="auto"/>
        </w:rPr>
        <w:t xml:space="preserve">Except as otherwise provided herein, a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may be continued or converted only on the last day of an Interest Period for such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unless the Borrowers pay the amount due, if any, under Section 3.05 in connection therewith. During the occurrence and during the continuation of an Event of Default, the Administrative Agent or the Required Lenders may require by notice to the Borrowers that no Loans may be converted to or continued as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w:t>
      </w:r>
    </w:p>
    <w:p>
      <w:pPr>
        <w:spacing w:after="0" w:line="270" w:lineRule="exact"/>
        <w:rPr>
          <w:rFonts w:ascii="Arial" w:cs="Arial" w:eastAsia="Arial" w:hAnsi="Arial"/>
          <w:sz w:val="17"/>
          <w:szCs w:val="17"/>
          <w:color w:val="010000"/>
        </w:rPr>
      </w:pPr>
    </w:p>
    <w:p>
      <w:pPr>
        <w:jc w:val="both"/>
        <w:ind w:left="8" w:right="40" w:firstLine="639"/>
        <w:spacing w:after="0" w:line="222" w:lineRule="auto"/>
        <w:tabs>
          <w:tab w:leader="none" w:pos="1161"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 xml:space="preserve">The Administrative Agent shall promptly notify the Borrowers and the Lenders of the interest rate applicable to any Interest Period for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upon determination of such interest rate. The determination of the</w:t>
      </w:r>
      <w:r>
        <w:rPr>
          <w:rFonts w:ascii="Arial" w:cs="Arial" w:eastAsia="Arial" w:hAnsi="Arial"/>
          <w:sz w:val="18"/>
          <w:szCs w:val="18"/>
          <w:color w:val="FF0000"/>
        </w:rPr>
        <w:t xml:space="preserv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by the</w:t>
      </w:r>
      <w:r>
        <w:rPr>
          <w:rFonts w:ascii="Arial" w:cs="Arial" w:eastAsia="Arial" w:hAnsi="Arial"/>
          <w:sz w:val="18"/>
          <w:szCs w:val="18"/>
          <w:color w:val="FF0000"/>
        </w:rPr>
        <w:t xml:space="preserve"> </w:t>
      </w:r>
      <w:r>
        <w:rPr>
          <w:rFonts w:ascii="Arial" w:cs="Arial" w:eastAsia="Arial" w:hAnsi="Arial"/>
          <w:sz w:val="18"/>
          <w:szCs w:val="18"/>
          <w:color w:val="000000"/>
        </w:rPr>
        <w:t>Administrative Agent shall be conclusive in the absence of manifest error. At any time that Base Rate Loans are outstanding, the Administrative Agent shall notify the Borrowers and the Lenders of any change in the Administrative Agent’s prime rate used in determining the Base Rate promptly following the public announcement of such change.</w:t>
      </w:r>
    </w:p>
    <w:p>
      <w:pPr>
        <w:spacing w:after="0" w:line="190" w:lineRule="exact"/>
        <w:rPr>
          <w:rFonts w:ascii="Arial" w:cs="Arial" w:eastAsia="Arial" w:hAnsi="Arial"/>
          <w:sz w:val="18"/>
          <w:szCs w:val="18"/>
          <w:color w:val="010000"/>
        </w:rPr>
      </w:pPr>
    </w:p>
    <w:p>
      <w:pPr>
        <w:jc w:val="both"/>
        <w:ind w:left="8" w:firstLine="640"/>
        <w:spacing w:after="0" w:line="229" w:lineRule="auto"/>
        <w:tabs>
          <w:tab w:leader="none" w:pos="1160"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After giving effect to all Term Borrowings, all conversions of Term Loans from one Type to the other, and all continuations of Term Loans as the same Type, there shall not be more than ten (10) Interest Periods in effect unless otherwise agreed between the Borrowers and the Administrative Agent.</w:t>
      </w:r>
    </w:p>
    <w:p>
      <w:pPr>
        <w:spacing w:after="0" w:line="190" w:lineRule="exact"/>
        <w:rPr>
          <w:rFonts w:ascii="Arial" w:cs="Arial" w:eastAsia="Arial" w:hAnsi="Arial"/>
          <w:sz w:val="18"/>
          <w:szCs w:val="18"/>
          <w:color w:val="010000"/>
        </w:rPr>
      </w:pPr>
    </w:p>
    <w:p>
      <w:pPr>
        <w:jc w:val="both"/>
        <w:ind w:left="8" w:right="20" w:firstLine="640"/>
        <w:spacing w:after="0" w:line="229" w:lineRule="auto"/>
        <w:tabs>
          <w:tab w:leader="none" w:pos="1160"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90" w:lineRule="exact"/>
        <w:rPr>
          <w:rFonts w:ascii="Arial" w:cs="Arial" w:eastAsia="Arial" w:hAnsi="Arial"/>
          <w:sz w:val="18"/>
          <w:szCs w:val="18"/>
          <w:color w:val="010000"/>
        </w:rPr>
      </w:pPr>
    </w:p>
    <w:p>
      <w:pPr>
        <w:jc w:val="both"/>
        <w:ind w:left="8" w:firstLine="640"/>
        <w:spacing w:after="0" w:line="232" w:lineRule="auto"/>
        <w:tabs>
          <w:tab w:leader="none" w:pos="1160" w:val="left"/>
        </w:tabs>
        <w:numPr>
          <w:ilvl w:val="1"/>
          <w:numId w:val="89"/>
        </w:numPr>
        <w:rPr>
          <w:rFonts w:ascii="Arial" w:cs="Arial" w:eastAsia="Arial" w:hAnsi="Arial"/>
          <w:sz w:val="17"/>
          <w:szCs w:val="17"/>
          <w:color w:val="010000"/>
        </w:rPr>
      </w:pPr>
      <w:r>
        <w:rPr>
          <w:rFonts w:ascii="Arial" w:cs="Arial" w:eastAsia="Arial" w:hAnsi="Arial"/>
          <w:sz w:val="17"/>
          <w:szCs w:val="17"/>
          <w:color w:val="auto"/>
        </w:rPr>
        <w:t>Unless the Administrative Agent shall have received notice from a Lender prior to the date of any Borrowing, or in the case of Base Rate Loans, prior to 1:00 p.m. on the date of such Borrowing, that such Lender will not make available to the Administrative Agent such Lender’s Pro Rata Share or other applicable share provided for under this Agreement of such Borrowing, the Administrative Agent may assume that such Lender has made such Pro Rata Share or other applicable share provided for under this Agreement available to the Administrative Agent on the date of such Borrowing in accordance with paragraph (b) above, and the Administrative Agent may, in reliance</w:t>
      </w:r>
    </w:p>
    <w:p>
      <w:pPr>
        <w:sectPr>
          <w:pgSz w:w="11900" w:h="16838" w:orient="portrait"/>
          <w:cols w:equalWidth="0" w:num="1">
            <w:col w:w="10928"/>
          </w:cols>
          <w:pgMar w:left="472" w:top="1440" w:right="499" w:bottom="1440" w:gutter="0" w:footer="0" w:header="0"/>
        </w:sectPr>
      </w:pPr>
    </w:p>
    <w:bookmarkStart w:id="120" w:name="page121"/>
    <w:bookmarkEnd w:id="120"/>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upon such assumption, make available to the Borrowers on such date a corresponding amount. If the Administrative Agent shall have so made funds available, then, to the extent that such Lender shall not have made such portion available to the Administrative Agent, each of such Lender and the Borrowers severally agree to repay to the Administrative Agent forthwith on demand such corresponding amount together with interest thereon, for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each day from the date such amount is made available to the Borrowers until the date such amount is repaid to the Administrative Agent at (i) in the case of the Borrowers, the interest rate applicable at the time to the Loans comprising such Borrowing and (ii) in the case of such Lender, the Overnight Rate plus any administrative, processing, or similar fees customarily charged by the Administrative Agent in accordance with the foregoing.</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 certificate of the Administrative Agent submitted to any Lender with respect to any amounts owing under this Section 2.02(g) shall be conclusive in the absence of manifest error. If the Borrowers and such Lender shall pay such interest to the Administrative Agent for the same or an overlapping period, the Administrative Agent shall promptly remit to the Borrowers the amount of such interest paid by the Borrowers for such period. If such</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spacing w:after="0" w:line="203" w:lineRule="exact"/>
        <w:rPr>
          <w:sz w:val="20"/>
          <w:szCs w:val="20"/>
          <w:color w:val="auto"/>
        </w:rPr>
      </w:pPr>
    </w:p>
    <w:p>
      <w:pPr>
        <w:jc w:val="both"/>
        <w:ind w:left="800" w:firstLine="650"/>
        <w:spacing w:after="0" w:line="223" w:lineRule="auto"/>
        <w:tabs>
          <w:tab w:leader="none" w:pos="1790"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Administrative Borrower, the Administrative Agent and such Lender.</w:t>
      </w:r>
    </w:p>
    <w:p>
      <w:pPr>
        <w:spacing w:after="0" w:line="18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2.03</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2.04</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5"/>
          <w:szCs w:val="15"/>
          <w:color w:val="auto"/>
        </w:rPr>
        <w:t>Prepayments.</w:t>
      </w:r>
    </w:p>
    <w:p>
      <w:pPr>
        <w:spacing w:after="0" w:line="225" w:lineRule="exact"/>
        <w:rPr>
          <w:sz w:val="20"/>
          <w:szCs w:val="20"/>
          <w:color w:val="auto"/>
        </w:rPr>
      </w:pPr>
    </w:p>
    <w:p>
      <w:pPr>
        <w:jc w:val="both"/>
        <w:ind w:right="20" w:firstLine="640"/>
        <w:spacing w:after="0" w:line="211" w:lineRule="auto"/>
        <w:tabs>
          <w:tab w:leader="none" w:pos="1152" w:val="left"/>
        </w:tabs>
        <w:numPr>
          <w:ilvl w:val="0"/>
          <w:numId w:val="91"/>
        </w:numPr>
        <w:rPr>
          <w:rFonts w:ascii="Arial" w:cs="Arial" w:eastAsia="Arial" w:hAnsi="Arial"/>
          <w:sz w:val="18"/>
          <w:szCs w:val="18"/>
          <w:color w:val="010000"/>
        </w:rPr>
      </w:pPr>
      <w:r>
        <w:rPr>
          <w:rFonts w:ascii="Arial" w:cs="Arial" w:eastAsia="Arial" w:hAnsi="Arial"/>
          <w:sz w:val="18"/>
          <w:szCs w:val="18"/>
          <w:i w:val="1"/>
          <w:iCs w:val="1"/>
          <w:color w:val="auto"/>
        </w:rPr>
        <w:t>Optional</w:t>
      </w:r>
      <w:r>
        <w:rPr>
          <w:rFonts w:ascii="Arial" w:cs="Arial" w:eastAsia="Arial" w:hAnsi="Arial"/>
          <w:sz w:val="18"/>
          <w:szCs w:val="18"/>
          <w:color w:val="auto"/>
        </w:rPr>
        <w:t>. (i) The Borrowers may, upon notice to the Administrative Agent by the Borrowers, at any time or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voluntarily prepay any Class or Classes of Term Loans and Revolving Credit Loans of any Class or Classes in whole or in part without premium or penalty (other than as required by Section 3.05 and except as provided in Section 2.05(a)(vi)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such notice must be received by the Administrative Agent not later than 11:30 a.m. (A) </w:t>
      </w:r>
      <w:r>
        <w:rPr>
          <w:rFonts w:ascii="Arial" w:cs="Arial" w:eastAsia="Arial" w:hAnsi="Arial"/>
          <w:sz w:val="18"/>
          <w:szCs w:val="18"/>
          <w:color w:val="FF0000"/>
          <w:strike w:val="1"/>
        </w:rPr>
        <w:t>three</w:t>
      </w:r>
      <w:r>
        <w:rPr>
          <w:rFonts w:ascii="Arial" w:cs="Arial" w:eastAsia="Arial" w:hAnsi="Arial"/>
          <w:sz w:val="18"/>
          <w:szCs w:val="18"/>
          <w:u w:val="single" w:color="auto"/>
          <w:color w:val="0000FF"/>
        </w:rPr>
        <w:t>two</w:t>
      </w:r>
      <w:r>
        <w:rPr>
          <w:rFonts w:ascii="Arial" w:cs="Arial" w:eastAsia="Arial" w:hAnsi="Arial"/>
          <w:sz w:val="18"/>
          <w:szCs w:val="18"/>
          <w:color w:val="auto"/>
        </w:rPr>
        <w:t xml:space="preserve"> (</w:t>
      </w:r>
      <w:r>
        <w:rPr>
          <w:rFonts w:ascii="Arial" w:cs="Arial" w:eastAsia="Arial" w:hAnsi="Arial"/>
          <w:sz w:val="18"/>
          <w:szCs w:val="18"/>
          <w:color w:val="FF0000"/>
          <w:strike w:val="1"/>
        </w:rPr>
        <w:t>3</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Business Days prior to any date of prepayment of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and (B) on the date of prepayment of Base Rate Loans; (2) any prepayment of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shall be in a minimum principal amount of $1,000,000, or a whole multiple of</w:t>
      </w:r>
    </w:p>
    <w:p>
      <w:pPr>
        <w:spacing w:after="0" w:line="4" w:lineRule="exact"/>
        <w:rPr>
          <w:rFonts w:ascii="Arial" w:cs="Arial" w:eastAsia="Arial" w:hAnsi="Arial"/>
          <w:sz w:val="18"/>
          <w:szCs w:val="18"/>
          <w:color w:val="010000"/>
        </w:rPr>
      </w:pPr>
    </w:p>
    <w:p>
      <w:pPr>
        <w:ind w:right="20"/>
        <w:spacing w:after="0" w:line="211" w:lineRule="auto"/>
        <w:rPr>
          <w:rFonts w:ascii="Arial" w:cs="Arial" w:eastAsia="Arial" w:hAnsi="Arial"/>
          <w:sz w:val="18"/>
          <w:szCs w:val="18"/>
          <w:color w:val="010000"/>
        </w:rPr>
      </w:pPr>
      <w:r>
        <w:rPr>
          <w:rFonts w:ascii="Arial" w:cs="Arial" w:eastAsia="Arial" w:hAnsi="Arial"/>
          <w:sz w:val="18"/>
          <w:szCs w:val="18"/>
          <w:color w:val="auto"/>
        </w:rPr>
        <w:t>$500,000 in excess thereof or, in each case, if less, the entire principal amount thereof then outstanding; and (3) any prepayment of Base Rate Loans shall be in a minimum principal amount of $500,000 or a whole multiple of</w:t>
      </w:r>
    </w:p>
    <w:p>
      <w:pPr>
        <w:jc w:val="both"/>
        <w:spacing w:after="0" w:line="223" w:lineRule="auto"/>
        <w:rPr>
          <w:rFonts w:ascii="Arial" w:cs="Arial" w:eastAsia="Arial" w:hAnsi="Arial"/>
          <w:sz w:val="18"/>
          <w:szCs w:val="18"/>
          <w:color w:val="010000"/>
        </w:rPr>
      </w:pPr>
      <w:r>
        <w:rPr>
          <w:rFonts w:ascii="Arial" w:cs="Arial" w:eastAsia="Arial" w:hAnsi="Arial"/>
          <w:sz w:val="17"/>
          <w:szCs w:val="17"/>
          <w:color w:val="auto"/>
        </w:rPr>
        <w:t xml:space="preserve">$100,000 in excess thereof or, in each case, if less,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Pro Rata Share or other applicable share provided for under this Agreement of such prepayment. If such notice is given by the Borrowers, the Borrowers shall make such prepayment and the payment amount specified in such notice shall be due and payable on the date specified therein. Any prepayment of a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shall be accompanied by all accrued interest thereon, together with any additional amounts required pursuant to Section 2.05(a)(vi) and Section 3.05. In the case of each prepayment of the Loans pursuant to this Section 2.05(a), the Borrowers may in its sole discretion select the Class or Classes of Borrowing or Borrowings (and the order of maturity of principal payments) to be repaid, and such payment shall be paid to the Appropriate Lenders in accordance with their respective Pro Rata Shares or other applicable share provided for under this Agreement. Notwithstanding anything to the contrary in this Agreement, (x) after any Extension, the Borrower may voluntarily prepay any Borrowing of any Class of non-extended Term Loans or non-extended Revolving Credit Loans (and terminate the related Revolving Credit Commitment) pursuant to which the related Extension Request was made without any obligation to prepay the corresponding Extended Term Loans or may voluntarily prepay any Borrowing of any Extended Term Loans or Extended Revolving Credit Loans (and terminate the related Extended Revolving Credit Commitment) pursuant to which the related Extension Request was</w:t>
      </w:r>
    </w:p>
    <w:p>
      <w:pPr>
        <w:sectPr>
          <w:pgSz w:w="11900" w:h="16838" w:orient="portrait"/>
          <w:cols w:equalWidth="0" w:num="1">
            <w:col w:w="10900"/>
          </w:cols>
          <w:pgMar w:left="480" w:top="1440" w:right="519" w:bottom="1440" w:gutter="0" w:footer="0" w:header="0"/>
        </w:sectPr>
      </w:pPr>
    </w:p>
    <w:bookmarkStart w:id="121" w:name="page122"/>
    <w:bookmarkEnd w:id="121"/>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made without any obligation to voluntarily prepay the corresponding non-extended Term Loans or non-extended Revolving Credit Loans and (y) after the incurrence or issuance of any Incremental Term Loans, Incremental Revolving Loans, Refinancing Term Loans, Refinancing Revolving Loans or Replacement Term Loans, the Borrower may voluntarily prepay (and terminate the related Commitment with respect to) any Borrowing of any Term B</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Loans or Revolving Credit Loans without any obligation to voluntarily prepay (or terminate the related Commitment with respect to) any Class of Incremental Term Loans, Incremental Revolving Loans, Refinancing Term Loans, Refinancing Revolving Loans or Replacement Term Loans, or may voluntarily prepay (and terminate the related Commitment with respect to) any Borrowing of any Class of Incremental Term Loans, Incremental</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Revolving Loans, Refinancing Term Loans, Refinancing Revolving Loans or Replacement Term Loans without any obligation to voluntarily prepay (or terminate the related Commitment with respect to) the Term B Loans, any other Term Loans or any Revolving Credit Loans; provided that any Incremental Loans effected as a Term Loan Increase or a Revolving Commitment Increase to any existing Class of Term Loans or Revolving Credit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Loans and such existing Class of Term Loans or Revolving Credit Loans, as applicable, shall in all events be voluntarily prepaid on a pro rata basis.</w:t>
      </w:r>
    </w:p>
    <w:p>
      <w:pPr>
        <w:spacing w:after="0" w:line="219" w:lineRule="exact"/>
        <w:rPr>
          <w:sz w:val="20"/>
          <w:szCs w:val="20"/>
          <w:color w:val="auto"/>
        </w:rPr>
      </w:pPr>
    </w:p>
    <w:p>
      <w:pPr>
        <w:ind w:left="1940" w:hanging="652"/>
        <w:spacing w:after="0"/>
        <w:tabs>
          <w:tab w:leader="none" w:pos="194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640" w:right="80" w:firstLine="648"/>
        <w:spacing w:after="0" w:line="219" w:lineRule="auto"/>
        <w:tabs>
          <w:tab w:leader="none" w:pos="1792"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Notwithstanding anything to the contrary contained in this Agreement, the Borrowers may rescind (or delay the date of prepayment identified in) any notice of prepayment under Section 2.05(a)(i) if such prepayment would have resulted from a refinancing of all or a portion of the applicable Facility or the occurrence of another event, which refinancing or other event shall not be consummated or shall otherwise be delayed; provided that the Borrowers shall pay to the applicable Lenders all amounts payable under Section 3.05 in connection with such rescission.</w:t>
      </w:r>
    </w:p>
    <w:p>
      <w:pPr>
        <w:spacing w:after="0" w:line="203" w:lineRule="exact"/>
        <w:rPr>
          <w:rFonts w:ascii="Arial" w:cs="Arial" w:eastAsia="Arial" w:hAnsi="Arial"/>
          <w:sz w:val="18"/>
          <w:szCs w:val="18"/>
          <w:color w:val="010000"/>
        </w:rPr>
      </w:pPr>
    </w:p>
    <w:p>
      <w:pPr>
        <w:jc w:val="both"/>
        <w:ind w:left="640" w:firstLine="648"/>
        <w:spacing w:after="0" w:line="217" w:lineRule="auto"/>
        <w:tabs>
          <w:tab w:leader="none" w:pos="1792"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Voluntary prepayments (including contributions, assignments, open market purchases or transfers of any Class of Term Loans to the Borrowers under Section 10.07(l), which shall be deemed voluntary prepayments of the principal amount of the applicable Term Loans for purposes of this paragraph) of any Class of Term Loans permitted hereunder shall be applied to the remaining scheduled installments of principal thereof pursuant to Section 2.07(a) in a manner determined at the discretion of the Borrowers and specified in the notice of prepayment (and absent such direction, in direct order of maturity); and, subject to the other limitations expressly set forth in this Agreement, the Borrowers may elect to apply voluntary prepayments of Term Loans to one or more Class or Classes of Term Loans selected by the Borrowers.</w:t>
      </w:r>
    </w:p>
    <w:p>
      <w:pPr>
        <w:spacing w:after="0" w:line="188" w:lineRule="exact"/>
        <w:rPr>
          <w:rFonts w:ascii="Arial" w:cs="Arial" w:eastAsia="Arial" w:hAnsi="Arial"/>
          <w:sz w:val="18"/>
          <w:szCs w:val="18"/>
          <w:color w:val="010000"/>
        </w:rPr>
      </w:pPr>
    </w:p>
    <w:p>
      <w:pPr>
        <w:jc w:val="both"/>
        <w:ind w:left="640" w:right="40" w:firstLine="648"/>
        <w:spacing w:after="0" w:line="236" w:lineRule="auto"/>
        <w:tabs>
          <w:tab w:leader="none" w:pos="1792" w:val="left"/>
        </w:tabs>
        <w:numPr>
          <w:ilvl w:val="0"/>
          <w:numId w:val="92"/>
        </w:numPr>
        <w:rPr>
          <w:rFonts w:ascii="Arial" w:cs="Arial" w:eastAsia="Arial" w:hAnsi="Arial"/>
          <w:sz w:val="17"/>
          <w:szCs w:val="17"/>
          <w:color w:val="010000"/>
        </w:rPr>
      </w:pPr>
      <w:r>
        <w:rPr>
          <w:rFonts w:ascii="Arial" w:cs="Arial" w:eastAsia="Arial" w:hAnsi="Arial"/>
          <w:sz w:val="17"/>
          <w:szCs w:val="17"/>
          <w:color w:val="auto"/>
        </w:rPr>
        <w:t xml:space="preserve">Notwithstanding anything in any Loan Document to the contrary, in addition to the terms set forth in </w:t>
      </w:r>
      <w:r>
        <w:rPr>
          <w:rFonts w:ascii="Arial" w:cs="Arial" w:eastAsia="Arial" w:hAnsi="Arial"/>
          <w:sz w:val="17"/>
          <w:szCs w:val="17"/>
          <w:u w:val="single" w:color="auto"/>
          <w:color w:val="auto"/>
        </w:rPr>
        <w:t>Sections 2.05(a)(i)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10.07</w:t>
      </w:r>
      <w:r>
        <w:rPr>
          <w:rFonts w:ascii="Arial" w:cs="Arial" w:eastAsia="Arial" w:hAnsi="Arial"/>
          <w:sz w:val="17"/>
          <w:szCs w:val="17"/>
          <w:color w:val="auto"/>
        </w:rPr>
        <w:t>, so long as no Event of Default has occurred and is continuing, any Borrower Party may (i) purchase outstanding Term Loans on a non-pro rata basis through open market purchases or (ii) prepay the outstanding Term Loans (which shall, for the avoidance of doubt, be automatically and permanently canceled immediately upon such prepayment), on the following basis:</w:t>
      </w:r>
    </w:p>
    <w:p>
      <w:pPr>
        <w:spacing w:after="0" w:line="203" w:lineRule="exact"/>
        <w:rPr>
          <w:rFonts w:ascii="Arial" w:cs="Arial" w:eastAsia="Arial" w:hAnsi="Arial"/>
          <w:sz w:val="17"/>
          <w:szCs w:val="17"/>
          <w:color w:val="010000"/>
        </w:rPr>
      </w:pPr>
    </w:p>
    <w:p>
      <w:pPr>
        <w:jc w:val="both"/>
        <w:ind w:left="1040" w:right="40" w:firstLine="654"/>
        <w:spacing w:after="0" w:line="219" w:lineRule="auto"/>
        <w:tabs>
          <w:tab w:leader="none" w:pos="2434"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Any Borrower Party shall have the right to make a voluntary prepayment of Term Loans at a discount to par pursuant to a Borrower Offer of Specified Discount Prepayment, Borrower Solicitation of Discount Range Prepayment Offers or Borrower Solicitation of Discounted Prepayment Offers (any such prepayment, the “</w:t>
      </w:r>
      <w:r>
        <w:rPr>
          <w:rFonts w:ascii="Arial" w:cs="Arial" w:eastAsia="Arial" w:hAnsi="Arial"/>
          <w:sz w:val="18"/>
          <w:szCs w:val="18"/>
          <w:b w:val="1"/>
          <w:bCs w:val="1"/>
          <w:color w:val="auto"/>
        </w:rPr>
        <w:t>Discounted Term Loan Prepayment</w:t>
      </w:r>
      <w:r>
        <w:rPr>
          <w:rFonts w:ascii="Arial" w:cs="Arial" w:eastAsia="Arial" w:hAnsi="Arial"/>
          <w:sz w:val="18"/>
          <w:szCs w:val="18"/>
          <w:color w:val="auto"/>
        </w:rPr>
        <w:t>”), in each case made in accordance with this Section 2.05(a)(v) and without premium or penalty (other than as required by Section 3.05 and except as provided in Section 2.05(a)(vi) below).</w:t>
      </w:r>
    </w:p>
    <w:p>
      <w:pPr>
        <w:spacing w:after="0" w:line="189" w:lineRule="exact"/>
        <w:rPr>
          <w:rFonts w:ascii="Arial" w:cs="Arial" w:eastAsia="Arial" w:hAnsi="Arial"/>
          <w:sz w:val="18"/>
          <w:szCs w:val="18"/>
          <w:color w:val="010000"/>
        </w:rPr>
      </w:pPr>
    </w:p>
    <w:p>
      <w:pPr>
        <w:jc w:val="both"/>
        <w:ind w:left="1040" w:right="20" w:firstLine="654"/>
        <w:spacing w:after="0" w:line="219" w:lineRule="auto"/>
        <w:tabs>
          <w:tab w:leader="none" w:pos="2434"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 xml:space="preserve">(1) Any Borrower Party may from time to time offer to make a Discounted Term Loan Prepayment by providing the Auction Agent with five (5) Business Days’ notice (or such shorter period as agreed by the Auction Agent) in the form of a Specified Discount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offer shall be made available, at the sole discretion of the applicable Borrower Party, to (x) each Term Lender and/or (y) each Term Lender with respect to any Class of Term Loans on an individual Class basis, (II) any such offer shall specify the aggregate principal amount offered to be prepaid (the “</w:t>
      </w:r>
      <w:r>
        <w:rPr>
          <w:rFonts w:ascii="Arial" w:cs="Arial" w:eastAsia="Arial" w:hAnsi="Arial"/>
          <w:sz w:val="18"/>
          <w:szCs w:val="18"/>
          <w:b w:val="1"/>
          <w:bCs w:val="1"/>
          <w:color w:val="auto"/>
        </w:rPr>
        <w:t>Specified Discount Prepayment Amount</w:t>
      </w:r>
      <w:r>
        <w:rPr>
          <w:rFonts w:ascii="Arial" w:cs="Arial" w:eastAsia="Arial" w:hAnsi="Arial"/>
          <w:sz w:val="18"/>
          <w:szCs w:val="18"/>
          <w:color w:val="auto"/>
        </w:rPr>
        <w:t>”) with respect to each</w:t>
      </w:r>
    </w:p>
    <w:p>
      <w:pPr>
        <w:sectPr>
          <w:pgSz w:w="11900" w:h="16838" w:orient="portrait"/>
          <w:cols w:equalWidth="0" w:num="1">
            <w:col w:w="10920"/>
          </w:cols>
          <w:pgMar w:left="480" w:top="1440" w:right="499" w:bottom="1440" w:gutter="0" w:footer="0" w:header="0"/>
        </w:sectPr>
      </w:pPr>
    </w:p>
    <w:bookmarkStart w:id="122" w:name="page123"/>
    <w:bookmarkEnd w:id="122"/>
    <w:p>
      <w:pPr>
        <w:spacing w:after="0" w:line="207" w:lineRule="exact"/>
        <w:rPr>
          <w:sz w:val="20"/>
          <w:szCs w:val="20"/>
          <w:color w:val="auto"/>
        </w:rPr>
      </w:pPr>
    </w:p>
    <w:p>
      <w:pPr>
        <w:jc w:val="both"/>
        <w:ind w:left="80" w:right="40"/>
        <w:spacing w:after="0" w:line="243" w:lineRule="auto"/>
        <w:rPr>
          <w:sz w:val="20"/>
          <w:szCs w:val="20"/>
          <w:color w:val="auto"/>
        </w:rPr>
      </w:pPr>
      <w:r>
        <w:rPr>
          <w:rFonts w:ascii="Arial" w:cs="Arial" w:eastAsia="Arial" w:hAnsi="Arial"/>
          <w:sz w:val="16"/>
          <w:szCs w:val="16"/>
          <w:color w:val="auto"/>
        </w:rPr>
        <w:t>applicable Class, the Class or Classes of Term Loans subject to such offer and the specific percentage discount to par (the “</w:t>
      </w:r>
      <w:r>
        <w:rPr>
          <w:rFonts w:ascii="Arial" w:cs="Arial" w:eastAsia="Arial" w:hAnsi="Arial"/>
          <w:sz w:val="16"/>
          <w:szCs w:val="16"/>
          <w:b w:val="1"/>
          <w:b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color w:val="auto"/>
        </w:rPr>
        <w:t>Discount</w:t>
      </w:r>
      <w:r>
        <w:rPr>
          <w:rFonts w:ascii="Arial" w:cs="Arial" w:eastAsia="Arial" w:hAnsi="Arial"/>
          <w:sz w:val="16"/>
          <w:szCs w:val="16"/>
          <w:color w:val="auto"/>
        </w:rPr>
        <w:t>”) of such Term Loans to be prepaid (it being understood that different Specified Discounts and/or Specified Discount</w:t>
      </w:r>
      <w:r>
        <w:rPr>
          <w:rFonts w:ascii="Arial" w:cs="Arial" w:eastAsia="Arial" w:hAnsi="Arial"/>
          <w:sz w:val="16"/>
          <w:szCs w:val="16"/>
          <w:b w:val="1"/>
          <w:bCs w:val="1"/>
          <w:color w:val="auto"/>
        </w:rPr>
        <w:t xml:space="preserve"> </w:t>
      </w:r>
      <w:r>
        <w:rPr>
          <w:rFonts w:ascii="Arial" w:cs="Arial" w:eastAsia="Arial" w:hAnsi="Arial"/>
          <w:sz w:val="16"/>
          <w:szCs w:val="16"/>
          <w:color w:val="auto"/>
        </w:rPr>
        <w:t>Prepayment Amounts may be offered with respect to different Classes of Term Loans and, in such event, each such offer will be treated</w:t>
      </w:r>
    </w:p>
    <w:p>
      <w:pPr>
        <w:spacing w:after="0" w:line="1" w:lineRule="exact"/>
        <w:rPr>
          <w:sz w:val="20"/>
          <w:szCs w:val="20"/>
          <w:color w:val="auto"/>
        </w:rPr>
      </w:pPr>
    </w:p>
    <w:p>
      <w:pPr>
        <w:jc w:val="both"/>
        <w:ind w:left="80" w:right="40"/>
        <w:spacing w:after="0" w:line="234" w:lineRule="auto"/>
        <w:rPr>
          <w:sz w:val="20"/>
          <w:szCs w:val="20"/>
          <w:color w:val="auto"/>
        </w:rPr>
      </w:pPr>
      <w:r>
        <w:rPr>
          <w:rFonts w:ascii="Arial" w:cs="Arial" w:eastAsia="Arial" w:hAnsi="Arial"/>
          <w:sz w:val="16"/>
          <w:szCs w:val="16"/>
          <w:color w:val="auto"/>
        </w:rPr>
        <w:t>as a separate offer pursuant to the terms of this Section 2.05(a)(v)(B)), (III) the Specified Discount Prepayment Amount shall be in an aggregate amount not less than $5,000,000 and whole increments of $1,000,000 in excess thereof and (IV) each such offer shall remain outstanding through the Specified Discount Prepayment Response Date. The Auction Agent will promptly provide each Appropriate</w:t>
      </w:r>
    </w:p>
    <w:p>
      <w:pPr>
        <w:spacing w:after="0" w:line="2" w:lineRule="exact"/>
        <w:rPr>
          <w:sz w:val="20"/>
          <w:szCs w:val="20"/>
          <w:color w:val="auto"/>
        </w:rPr>
      </w:pPr>
    </w:p>
    <w:p>
      <w:pPr>
        <w:jc w:val="both"/>
        <w:ind w:left="80" w:right="40"/>
        <w:spacing w:after="0" w:line="234" w:lineRule="auto"/>
        <w:rPr>
          <w:sz w:val="20"/>
          <w:szCs w:val="20"/>
          <w:color w:val="auto"/>
        </w:rPr>
      </w:pPr>
      <w:r>
        <w:rPr>
          <w:rFonts w:ascii="Arial" w:cs="Arial" w:eastAsia="Arial" w:hAnsi="Arial"/>
          <w:sz w:val="16"/>
          <w:szCs w:val="16"/>
          <w:color w:val="auto"/>
        </w:rPr>
        <w:t>Lender with a copy of such Specified Discount Prepayment Notice and a form of the Specified Discount Prepayment Response to be completed and returned by each such Term Lender to the Auction Agent (or its delegate) by no later than 5:00 p.m., on the third Business Day after the date of delivery of such notice to such Lenders (which date may be extended for a period not exceeding three (3)</w:t>
      </w:r>
    </w:p>
    <w:p>
      <w:pPr>
        <w:spacing w:after="0" w:line="2" w:lineRule="exact"/>
        <w:rPr>
          <w:sz w:val="20"/>
          <w:szCs w:val="20"/>
          <w:color w:val="auto"/>
        </w:rPr>
      </w:pPr>
    </w:p>
    <w:p>
      <w:pPr>
        <w:jc w:val="both"/>
        <w:ind w:left="80" w:right="40"/>
        <w:spacing w:after="0" w:line="226" w:lineRule="auto"/>
        <w:rPr>
          <w:sz w:val="20"/>
          <w:szCs w:val="20"/>
          <w:color w:val="auto"/>
        </w:rPr>
      </w:pPr>
      <w:r>
        <w:rPr>
          <w:rFonts w:ascii="Arial" w:cs="Arial" w:eastAsia="Arial" w:hAnsi="Arial"/>
          <w:sz w:val="18"/>
          <w:szCs w:val="18"/>
          <w:color w:val="auto"/>
        </w:rPr>
        <w:t>Business Days upon notice by the applicable Borrower Party to, and with the consent of, the Auction Agent) (the “</w:t>
      </w:r>
      <w:r>
        <w:rPr>
          <w:rFonts w:ascii="Arial" w:cs="Arial" w:eastAsia="Arial" w:hAnsi="Arial"/>
          <w:sz w:val="18"/>
          <w:szCs w:val="18"/>
          <w:b w:val="1"/>
          <w:bCs w:val="1"/>
          <w:color w:val="auto"/>
        </w:rPr>
        <w:t>Specified Discount</w:t>
      </w:r>
      <w:r>
        <w:rPr>
          <w:rFonts w:ascii="Arial" w:cs="Arial" w:eastAsia="Arial" w:hAnsi="Arial"/>
          <w:sz w:val="18"/>
          <w:szCs w:val="18"/>
          <w:color w:val="auto"/>
        </w:rPr>
        <w:t xml:space="preserve"> </w:t>
      </w:r>
      <w:r>
        <w:rPr>
          <w:rFonts w:ascii="Arial" w:cs="Arial" w:eastAsia="Arial" w:hAnsi="Arial"/>
          <w:sz w:val="18"/>
          <w:szCs w:val="18"/>
          <w:b w:val="1"/>
          <w:bCs w:val="1"/>
          <w:color w:val="auto"/>
        </w:rPr>
        <w:t>Prepayment Response Date</w:t>
      </w:r>
      <w:r>
        <w:rPr>
          <w:rFonts w:ascii="Arial" w:cs="Arial" w:eastAsia="Arial" w:hAnsi="Arial"/>
          <w:sz w:val="18"/>
          <w:szCs w:val="18"/>
          <w:color w:val="auto"/>
        </w:rPr>
        <w:t>”).</w:t>
      </w:r>
    </w:p>
    <w:p>
      <w:pPr>
        <w:spacing w:after="0" w:line="202" w:lineRule="exact"/>
        <w:rPr>
          <w:sz w:val="20"/>
          <w:szCs w:val="20"/>
          <w:color w:val="auto"/>
        </w:rPr>
      </w:pPr>
    </w:p>
    <w:p>
      <w:pPr>
        <w:jc w:val="both"/>
        <w:ind w:left="320" w:firstLine="656"/>
        <w:spacing w:after="0" w:line="227" w:lineRule="auto"/>
        <w:tabs>
          <w:tab w:leader="none" w:pos="1472" w:val="left"/>
        </w:tabs>
        <w:numPr>
          <w:ilvl w:val="1"/>
          <w:numId w:val="93"/>
        </w:numPr>
        <w:rPr>
          <w:rFonts w:ascii="Arial" w:cs="Arial" w:eastAsia="Arial" w:hAnsi="Arial"/>
          <w:sz w:val="17"/>
          <w:szCs w:val="17"/>
          <w:color w:val="010000"/>
        </w:rPr>
      </w:pPr>
      <w:r>
        <w:rPr>
          <w:rFonts w:ascii="Arial" w:cs="Arial" w:eastAsia="Arial" w:hAnsi="Arial"/>
          <w:sz w:val="17"/>
          <w:szCs w:val="17"/>
          <w:color w:val="auto"/>
        </w:rPr>
        <w:t>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w:t>
      </w:r>
      <w:r>
        <w:rPr>
          <w:rFonts w:ascii="Arial" w:cs="Arial" w:eastAsia="Arial" w:hAnsi="Arial"/>
          <w:sz w:val="17"/>
          <w:szCs w:val="17"/>
          <w:b w:val="1"/>
          <w:bCs w:val="1"/>
          <w:color w:val="auto"/>
        </w:rPr>
        <w:t>Discount Prepayment Accepting Lender</w:t>
      </w:r>
      <w:r>
        <w:rPr>
          <w:rFonts w:ascii="Arial" w:cs="Arial" w:eastAsia="Arial" w:hAnsi="Arial"/>
          <w:sz w:val="17"/>
          <w:szCs w:val="17"/>
          <w:color w:val="auto"/>
        </w:rPr>
        <w:t>”), the amount and the Classes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204" w:lineRule="exact"/>
        <w:rPr>
          <w:rFonts w:ascii="Arial" w:cs="Arial" w:eastAsia="Arial" w:hAnsi="Arial"/>
          <w:sz w:val="17"/>
          <w:szCs w:val="17"/>
          <w:color w:val="010000"/>
        </w:rPr>
      </w:pPr>
    </w:p>
    <w:p>
      <w:pPr>
        <w:jc w:val="both"/>
        <w:ind w:left="320" w:firstLine="656"/>
        <w:spacing w:after="0"/>
        <w:tabs>
          <w:tab w:leader="none" w:pos="1472" w:val="left"/>
        </w:tabs>
        <w:numPr>
          <w:ilvl w:val="1"/>
          <w:numId w:val="93"/>
        </w:numPr>
        <w:rPr>
          <w:rFonts w:ascii="Arial" w:cs="Arial" w:eastAsia="Arial" w:hAnsi="Arial"/>
          <w:sz w:val="16"/>
          <w:szCs w:val="16"/>
          <w:color w:val="010000"/>
        </w:rPr>
      </w:pPr>
      <w:r>
        <w:rPr>
          <w:rFonts w:ascii="Arial" w:cs="Arial" w:eastAsia="Arial" w:hAnsi="Arial"/>
          <w:sz w:val="16"/>
          <w:szCs w:val="16"/>
          <w:color w:val="auto"/>
        </w:rPr>
        <w:t xml:space="preserve">If there is at least one Discount Prepayment Accepting Lender, the relevant Borrower Party will make a prepayment of outstanding Term Loans pursuant to this paragraph (B) to each Discount Prepayment Accepting Lender on the Discounted Prepayment Effective Date in accordance with the respective outstanding amount and Classes of Term Loans specified in such Lender’s Specified Discount Prepayment Response given pursuant to subsection (2)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Borrower Party and subject to rounding requirements of the Auction Agent made in its reasonable discretion) will calculate such proration (the “</w:t>
      </w:r>
      <w:r>
        <w:rPr>
          <w:rFonts w:ascii="Arial" w:cs="Arial" w:eastAsia="Arial" w:hAnsi="Arial"/>
          <w:sz w:val="16"/>
          <w:szCs w:val="16"/>
          <w:b w:val="1"/>
          <w:bCs w:val="1"/>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the relevant Borrower Party of the respective Term Lenders’ responses to such offer, the Discounted Prepayment Effective Date, the aggregate principal amount of the Discounted Term Loan Prepayment and the Classes to be prepaid, (II) each Term Lender of the Discounted Prepayment Effective Date, and the aggregate principal amount and the Classes of Term Loans to be prepaid at the Specified Discount on such date and (III) each Discount Prepayment Accepting Lender of the Specified Discount Proration, if any, and confirmation of the principal amount, Class and Type of Term Loans of such Lender to be prepaid at the Specified Discount on such date. Each determination by the Auction Agent of the amounts stated in the foregoing notices to the Borrower Party and such Term Lenders shall be conclusive and binding for all purposes absent manifest error. The payment amount specified in such notice to the Borrower Party shall be due and payable by such Borrower Party on the Discounted Prepayment Effective Date in accordance with subsection (F) below (subject to subsection (J) below).</w:t>
      </w:r>
    </w:p>
    <w:p>
      <w:pPr>
        <w:spacing w:after="0" w:line="360" w:lineRule="exact"/>
        <w:rPr>
          <w:rFonts w:ascii="Arial" w:cs="Arial" w:eastAsia="Arial" w:hAnsi="Arial"/>
          <w:sz w:val="16"/>
          <w:szCs w:val="16"/>
          <w:color w:val="010000"/>
        </w:rPr>
      </w:pPr>
    </w:p>
    <w:p>
      <w:pPr>
        <w:ind w:left="80" w:right="160" w:firstLine="654"/>
        <w:spacing w:after="0" w:line="235" w:lineRule="auto"/>
        <w:tabs>
          <w:tab w:leader="none" w:pos="1474"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(1) Any Borrower Party may from time to time solicit Discount Range Prepayment Offers by providing the Auction Agent with five (5) Business Days’ notice (or such shorter period as</w:t>
      </w:r>
    </w:p>
    <w:p>
      <w:pPr>
        <w:sectPr>
          <w:pgSz w:w="11900" w:h="16838" w:orient="portrait"/>
          <w:cols w:equalWidth="0" w:num="1">
            <w:col w:w="9960"/>
          </w:cols>
          <w:pgMar w:left="1440" w:top="1440" w:right="499" w:bottom="1440" w:gutter="0" w:footer="0" w:header="0"/>
        </w:sectPr>
      </w:pPr>
    </w:p>
    <w:bookmarkStart w:id="123" w:name="page124"/>
    <w:bookmarkEnd w:id="123"/>
    <w:p>
      <w:pPr>
        <w:spacing w:after="0" w:line="211" w:lineRule="exact"/>
        <w:rPr>
          <w:sz w:val="20"/>
          <w:szCs w:val="20"/>
          <w:color w:val="auto"/>
        </w:rPr>
      </w:pPr>
    </w:p>
    <w:p>
      <w:pPr>
        <w:ind w:left="80" w:right="140"/>
        <w:spacing w:after="0" w:line="241" w:lineRule="auto"/>
        <w:rPr>
          <w:sz w:val="20"/>
          <w:szCs w:val="20"/>
          <w:color w:val="auto"/>
        </w:rPr>
      </w:pPr>
      <w:r>
        <w:rPr>
          <w:rFonts w:ascii="Arial" w:cs="Arial" w:eastAsia="Arial" w:hAnsi="Arial"/>
          <w:sz w:val="16"/>
          <w:szCs w:val="16"/>
          <w:color w:val="auto"/>
        </w:rPr>
        <w:t xml:space="preserve">agreed by the Auction Agent) in the form of a Discount Range Prepayment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solicitation shall be extended, at the sole discretion of such Borrower Party, to (x) each Term Lender and/or (y) each Term Lender with respect to any Class of Term Loans on an individual Class basis, (II) any such notice shall specify the maximum aggregate principal amount of the relevant</w:t>
      </w:r>
    </w:p>
    <w:p>
      <w:pPr>
        <w:spacing w:after="0" w:line="2" w:lineRule="exact"/>
        <w:rPr>
          <w:sz w:val="20"/>
          <w:szCs w:val="20"/>
          <w:color w:val="auto"/>
        </w:rPr>
      </w:pPr>
    </w:p>
    <w:p>
      <w:pPr>
        <w:ind w:left="80" w:right="80"/>
        <w:spacing w:after="0" w:line="234" w:lineRule="auto"/>
        <w:rPr>
          <w:sz w:val="20"/>
          <w:szCs w:val="20"/>
          <w:color w:val="auto"/>
        </w:rPr>
      </w:pPr>
      <w:r>
        <w:rPr>
          <w:rFonts w:ascii="Arial" w:cs="Arial" w:eastAsia="Arial" w:hAnsi="Arial"/>
          <w:sz w:val="16"/>
          <w:szCs w:val="16"/>
          <w:color w:val="auto"/>
        </w:rPr>
        <w:t>Term Loans (the “</w:t>
      </w:r>
      <w:r>
        <w:rPr>
          <w:rFonts w:ascii="Arial" w:cs="Arial" w:eastAsia="Arial" w:hAnsi="Arial"/>
          <w:sz w:val="16"/>
          <w:szCs w:val="16"/>
          <w:b w:val="1"/>
          <w:bCs w:val="1"/>
          <w:color w:val="auto"/>
        </w:rPr>
        <w:t>Discount Range Prepayment Amount</w:t>
      </w:r>
      <w:r>
        <w:rPr>
          <w:rFonts w:ascii="Arial" w:cs="Arial" w:eastAsia="Arial" w:hAnsi="Arial"/>
          <w:sz w:val="16"/>
          <w:szCs w:val="16"/>
          <w:color w:val="auto"/>
        </w:rPr>
        <w:t>”), the Class or Classes of Term Loans subject to such offer and the maximum and minimum percentage discounts to par (the “</w:t>
      </w:r>
      <w:r>
        <w:rPr>
          <w:rFonts w:ascii="Arial" w:cs="Arial" w:eastAsia="Arial" w:hAnsi="Arial"/>
          <w:sz w:val="16"/>
          <w:szCs w:val="16"/>
          <w:b w:val="1"/>
          <w:bCs w:val="1"/>
          <w:color w:val="auto"/>
        </w:rPr>
        <w:t>Discount Range</w:t>
      </w:r>
      <w:r>
        <w:rPr>
          <w:rFonts w:ascii="Arial" w:cs="Arial" w:eastAsia="Arial" w:hAnsi="Arial"/>
          <w:sz w:val="16"/>
          <w:szCs w:val="16"/>
          <w:color w:val="auto"/>
        </w:rPr>
        <w:t>”) of the principal amount of such Term Loans with respect to each relevant Class of Term Loans willing to be prepaid by such Borrower Party (it being understood that different Discount Ranges and/or</w:t>
      </w:r>
    </w:p>
    <w:p>
      <w:pPr>
        <w:spacing w:after="0" w:line="2" w:lineRule="exact"/>
        <w:rPr>
          <w:sz w:val="20"/>
          <w:szCs w:val="20"/>
          <w:color w:val="auto"/>
        </w:rPr>
      </w:pPr>
    </w:p>
    <w:p>
      <w:pPr>
        <w:jc w:val="both"/>
        <w:ind w:left="80" w:right="20"/>
        <w:spacing w:after="0" w:line="234" w:lineRule="auto"/>
        <w:rPr>
          <w:sz w:val="20"/>
          <w:szCs w:val="20"/>
          <w:color w:val="auto"/>
        </w:rPr>
      </w:pPr>
      <w:r>
        <w:rPr>
          <w:rFonts w:ascii="Arial" w:cs="Arial" w:eastAsia="Arial" w:hAnsi="Arial"/>
          <w:sz w:val="16"/>
          <w:szCs w:val="16"/>
          <w:color w:val="auto"/>
        </w:rPr>
        <w:t>Discount Range Prepayment Amounts may be offered with respect to different Classes of Term Loans and, in such event, each such offer will be treated as a separate offer pursuant to the terms of this Section 2.05(a)(v)(C)), (III) the Discount Range Prepayment Amount shall be in an aggregate amount not less than $5,000,000 and whole increments of $1,000,000 in excess thereof and (IV) each such</w:t>
      </w:r>
    </w:p>
    <w:p>
      <w:pPr>
        <w:spacing w:after="0" w:line="2" w:lineRule="exact"/>
        <w:rPr>
          <w:sz w:val="20"/>
          <w:szCs w:val="20"/>
          <w:color w:val="auto"/>
        </w:rPr>
      </w:pPr>
    </w:p>
    <w:p>
      <w:pPr>
        <w:ind w:left="80" w:right="20"/>
        <w:spacing w:after="0" w:line="234" w:lineRule="auto"/>
        <w:rPr>
          <w:sz w:val="20"/>
          <w:szCs w:val="20"/>
          <w:color w:val="auto"/>
        </w:rPr>
      </w:pPr>
      <w:r>
        <w:rPr>
          <w:rFonts w:ascii="Arial" w:cs="Arial" w:eastAsia="Arial" w:hAnsi="Arial"/>
          <w:sz w:val="16"/>
          <w:szCs w:val="16"/>
          <w:color w:val="auto"/>
        </w:rPr>
        <w:t>solicitation by a Borrower Party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on the</w:t>
      </w:r>
    </w:p>
    <w:p>
      <w:pPr>
        <w:spacing w:after="0" w:line="2" w:lineRule="exact"/>
        <w:rPr>
          <w:sz w:val="20"/>
          <w:szCs w:val="20"/>
          <w:color w:val="auto"/>
        </w:rPr>
      </w:pPr>
    </w:p>
    <w:p>
      <w:pPr>
        <w:ind w:left="80" w:right="160"/>
        <w:spacing w:after="0" w:line="233" w:lineRule="auto"/>
        <w:rPr>
          <w:sz w:val="20"/>
          <w:szCs w:val="20"/>
          <w:color w:val="auto"/>
        </w:rPr>
      </w:pPr>
      <w:r>
        <w:rPr>
          <w:rFonts w:ascii="Arial" w:cs="Arial" w:eastAsia="Arial" w:hAnsi="Arial"/>
          <w:sz w:val="16"/>
          <w:szCs w:val="16"/>
          <w:color w:val="auto"/>
        </w:rPr>
        <w:t>third Business Day after the date of delivery of such notice to such Lenders (which date may be extended for a period not exceeding three (3) Business Days upon notice by the applicable Borrower Party to, and with the consent of, the Auction Agent) (the “</w:t>
      </w:r>
      <w:r>
        <w:rPr>
          <w:rFonts w:ascii="Arial" w:cs="Arial" w:eastAsia="Arial" w:hAnsi="Arial"/>
          <w:sz w:val="16"/>
          <w:szCs w:val="16"/>
          <w:b w:val="1"/>
          <w:bCs w:val="1"/>
          <w:color w:val="auto"/>
        </w:rPr>
        <w:t>Discount</w:t>
      </w:r>
      <w:r>
        <w:rPr>
          <w:rFonts w:ascii="Arial" w:cs="Arial" w:eastAsia="Arial" w:hAnsi="Arial"/>
          <w:sz w:val="16"/>
          <w:szCs w:val="16"/>
          <w:color w:val="auto"/>
        </w:rPr>
        <w:t xml:space="preserve"> </w:t>
      </w:r>
      <w:r>
        <w:rPr>
          <w:rFonts w:ascii="Arial" w:cs="Arial" w:eastAsia="Arial" w:hAnsi="Arial"/>
          <w:sz w:val="16"/>
          <w:szCs w:val="16"/>
          <w:b w:val="1"/>
          <w:bCs w:val="1"/>
          <w:color w:val="auto"/>
        </w:rPr>
        <w:t>Range Prepayment Response Date”</w:t>
      </w:r>
      <w:r>
        <w:rPr>
          <w:rFonts w:ascii="Arial" w:cs="Arial" w:eastAsia="Arial" w:hAnsi="Arial"/>
          <w:sz w:val="16"/>
          <w:szCs w:val="16"/>
          <w:color w:val="auto"/>
        </w:rPr>
        <w:t>). Each Term Lender’s Discount Range Prepayment Offer shall be irrevocable and shall specify a</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 to par within the Discount Range (the “</w:t>
      </w:r>
      <w:r>
        <w:rPr>
          <w:rFonts w:ascii="Arial" w:cs="Arial" w:eastAsia="Arial" w:hAnsi="Arial"/>
          <w:sz w:val="16"/>
          <w:szCs w:val="16"/>
          <w:b w:val="1"/>
          <w:bCs w:val="1"/>
          <w:color w:val="auto"/>
        </w:rPr>
        <w:t>Submitted Discount</w:t>
      </w:r>
      <w:r>
        <w:rPr>
          <w:rFonts w:ascii="Arial" w:cs="Arial" w:eastAsia="Arial" w:hAnsi="Arial"/>
          <w:sz w:val="16"/>
          <w:szCs w:val="16"/>
          <w:color w:val="auto"/>
        </w:rPr>
        <w:t>”) at which such Lender is willing to allow prepayment of any or</w:t>
      </w:r>
    </w:p>
    <w:p>
      <w:pPr>
        <w:spacing w:after="0" w:line="1" w:lineRule="exact"/>
        <w:rPr>
          <w:sz w:val="20"/>
          <w:szCs w:val="20"/>
          <w:color w:val="auto"/>
        </w:rPr>
      </w:pPr>
    </w:p>
    <w:p>
      <w:pPr>
        <w:ind w:left="80" w:right="240"/>
        <w:spacing w:after="0" w:line="234" w:lineRule="auto"/>
        <w:rPr>
          <w:sz w:val="20"/>
          <w:szCs w:val="20"/>
          <w:color w:val="auto"/>
        </w:rPr>
      </w:pPr>
      <w:r>
        <w:rPr>
          <w:rFonts w:ascii="Arial" w:cs="Arial" w:eastAsia="Arial" w:hAnsi="Arial"/>
          <w:sz w:val="16"/>
          <w:szCs w:val="16"/>
          <w:color w:val="auto"/>
        </w:rPr>
        <w:t>all of its then outstanding Term Loans of the applicable Class or Classes and the maximum aggregate principal amount and Classes of such Lender’s Term Loans (the “</w:t>
      </w:r>
      <w:r>
        <w:rPr>
          <w:rFonts w:ascii="Arial" w:cs="Arial" w:eastAsia="Arial" w:hAnsi="Arial"/>
          <w:sz w:val="16"/>
          <w:szCs w:val="16"/>
          <w:b w:val="1"/>
          <w:bCs w:val="1"/>
          <w:color w:val="auto"/>
        </w:rPr>
        <w:t>Submitted Amount</w:t>
      </w:r>
      <w:r>
        <w:rPr>
          <w:rFonts w:ascii="Arial" w:cs="Arial" w:eastAsia="Arial" w:hAnsi="Arial"/>
          <w:sz w:val="16"/>
          <w:szCs w:val="16"/>
          <w:color w:val="auto"/>
        </w:rPr>
        <w:t>”) such Term Lender is willing to have prepaid at the Submitted Discount. Any Term Lender whose Discount Range Prepayment Offer is not received by the Auction Agent by the Discount Range Prepayment</w:t>
      </w:r>
    </w:p>
    <w:p>
      <w:pPr>
        <w:spacing w:after="0" w:line="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Response Date shall be deemed to have declined to accept a Discounted Term Loan Prepayment of any of its Term Loans at any discount to their par value within the Discount Range.</w:t>
      </w:r>
    </w:p>
    <w:p>
      <w:pPr>
        <w:spacing w:after="0" w:line="202" w:lineRule="exact"/>
        <w:rPr>
          <w:sz w:val="20"/>
          <w:szCs w:val="20"/>
          <w:color w:val="auto"/>
        </w:rPr>
      </w:pPr>
    </w:p>
    <w:p>
      <w:pPr>
        <w:jc w:val="both"/>
        <w:ind w:left="320" w:firstLine="655"/>
        <w:spacing w:after="0" w:line="225" w:lineRule="auto"/>
        <w:tabs>
          <w:tab w:leader="none" w:pos="1473"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The Auction Agent shall review all Discount Range Prepayment Offers received on or before the applicable Discount Range Prepayment Response Date and shall determine (in consultation with such Borrower Party and subject to rounding requirements of the Auction Agent made in its sole reasonable discretion) the Applicable Discount and Term Loans to be prepaid at such Applicable Discount in accordance with this subsection (C). The relevant Borrower Party agrees to accept on the Discount Range Prepayment Response Date all Discount Range Prepayment Offers received by the Auction Agent within the Discount Range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7"/>
          <w:szCs w:val="17"/>
          <w:b w:val="1"/>
          <w:bCs w:val="1"/>
          <w:color w:val="auto"/>
        </w:rPr>
        <w:t>Applicable Discount</w:t>
      </w:r>
      <w:r>
        <w:rPr>
          <w:rFonts w:ascii="Arial" w:cs="Arial" w:eastAsia="Arial" w:hAnsi="Arial"/>
          <w:sz w:val="17"/>
          <w:szCs w:val="17"/>
          <w:color w:val="auto"/>
        </w:rPr>
        <w:t>”)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Term Lender, a “</w:t>
      </w:r>
      <w:r>
        <w:rPr>
          <w:rFonts w:ascii="Arial" w:cs="Arial" w:eastAsia="Arial" w:hAnsi="Arial"/>
          <w:sz w:val="17"/>
          <w:szCs w:val="17"/>
          <w:b w:val="1"/>
          <w:bCs w:val="1"/>
          <w:color w:val="auto"/>
        </w:rPr>
        <w:t>Participating</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w:t>
      </w:r>
    </w:p>
    <w:p>
      <w:pPr>
        <w:spacing w:after="0" w:line="201" w:lineRule="exact"/>
        <w:rPr>
          <w:rFonts w:ascii="Arial" w:cs="Arial" w:eastAsia="Arial" w:hAnsi="Arial"/>
          <w:sz w:val="17"/>
          <w:szCs w:val="17"/>
          <w:color w:val="010000"/>
        </w:rPr>
      </w:pPr>
    </w:p>
    <w:p>
      <w:pPr>
        <w:jc w:val="both"/>
        <w:ind w:left="320" w:right="40" w:firstLine="656"/>
        <w:spacing w:after="0" w:line="219" w:lineRule="auto"/>
        <w:tabs>
          <w:tab w:leader="none" w:pos="147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 xml:space="preserve">If there is at least one Participating Lender, the relevant Borrower Party will prepay the respective outstanding Term Loans of each Participating Lender on the Discounted Prepayment Effective Date in the aggregate principal amount and of the Classes specified in such Lender’s Discount Range Prepayment Offer at the Applicable Discount;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Submitted Amount by all Participating Lenders offered at a discount to par greater than the Applicable Discount exceeds the Discount Range Prepayment Amount, prepayment of the</w:t>
      </w:r>
    </w:p>
    <w:p>
      <w:pPr>
        <w:sectPr>
          <w:pgSz w:w="11900" w:h="16838" w:orient="portrait"/>
          <w:cols w:equalWidth="0" w:num="1">
            <w:col w:w="9960"/>
          </w:cols>
          <w:pgMar w:left="1440" w:top="1440" w:right="499" w:bottom="1440" w:gutter="0" w:footer="0" w:header="0"/>
        </w:sectPr>
      </w:pPr>
    </w:p>
    <w:bookmarkStart w:id="124" w:name="page125"/>
    <w:bookmarkEnd w:id="124"/>
    <w:p>
      <w:pPr>
        <w:spacing w:after="0" w:line="211" w:lineRule="exact"/>
        <w:rPr>
          <w:sz w:val="20"/>
          <w:szCs w:val="20"/>
          <w:color w:val="auto"/>
        </w:rPr>
      </w:pPr>
    </w:p>
    <w:p>
      <w:pPr>
        <w:jc w:val="both"/>
        <w:ind w:left="320" w:right="20"/>
        <w:spacing w:after="0" w:line="241" w:lineRule="auto"/>
        <w:rPr>
          <w:sz w:val="20"/>
          <w:szCs w:val="20"/>
          <w:color w:val="auto"/>
        </w:rPr>
      </w:pPr>
      <w:r>
        <w:rPr>
          <w:rFonts w:ascii="Arial" w:cs="Arial" w:eastAsia="Arial" w:hAnsi="Arial"/>
          <w:sz w:val="16"/>
          <w:szCs w:val="16"/>
          <w:color w:val="auto"/>
        </w:rPr>
        <w:t xml:space="preserve">principal amount of the relevant Term Loans for those Participating Lenders whose Submitted Discount is a discount to par greater than or equal to the Applicable Discount (the “ </w:t>
      </w:r>
      <w:r>
        <w:rPr>
          <w:rFonts w:ascii="Arial" w:cs="Arial" w:eastAsia="Arial" w:hAnsi="Arial"/>
          <w:sz w:val="16"/>
          <w:szCs w:val="16"/>
          <w:b w:val="1"/>
          <w:bCs w:val="1"/>
          <w:color w:val="auto"/>
        </w:rPr>
        <w:t>Identified Participating Lenders</w:t>
      </w:r>
      <w:r>
        <w:rPr>
          <w:rFonts w:ascii="Arial" w:cs="Arial" w:eastAsia="Arial" w:hAnsi="Arial"/>
          <w:sz w:val="16"/>
          <w:szCs w:val="16"/>
          <w:color w:val="auto"/>
        </w:rPr>
        <w:t>”) shall be made pro rata among the Identified Participating Lenders in accordance with the Submitted Amount of each such Identified Participating Lender and the Auction Agent</w:t>
      </w:r>
    </w:p>
    <w:p>
      <w:pPr>
        <w:spacing w:after="0" w:line="2" w:lineRule="exact"/>
        <w:rPr>
          <w:sz w:val="20"/>
          <w:szCs w:val="20"/>
          <w:color w:val="auto"/>
        </w:rPr>
      </w:pPr>
    </w:p>
    <w:p>
      <w:pPr>
        <w:jc w:val="both"/>
        <w:ind w:left="320" w:right="20"/>
        <w:spacing w:after="0" w:line="234" w:lineRule="auto"/>
        <w:rPr>
          <w:sz w:val="20"/>
          <w:szCs w:val="20"/>
          <w:color w:val="auto"/>
        </w:rPr>
      </w:pPr>
      <w:r>
        <w:rPr>
          <w:rFonts w:ascii="Arial" w:cs="Arial" w:eastAsia="Arial" w:hAnsi="Arial"/>
          <w:sz w:val="16"/>
          <w:szCs w:val="16"/>
          <w:color w:val="auto"/>
        </w:rPr>
        <w:t>(in consultation with such Borrower Party and subject to rounding requirements of the Auction Agent made in its sole reasonable discretion) will calculate such proration (the “</w:t>
      </w:r>
      <w:r>
        <w:rPr>
          <w:rFonts w:ascii="Arial" w:cs="Arial" w:eastAsia="Arial" w:hAnsi="Arial"/>
          <w:sz w:val="16"/>
          <w:szCs w:val="16"/>
          <w:b w:val="1"/>
          <w:bCs w:val="1"/>
          <w:color w:val="auto"/>
        </w:rPr>
        <w:t>Discount Range Proration</w:t>
      </w:r>
      <w:r>
        <w:rPr>
          <w:rFonts w:ascii="Arial" w:cs="Arial" w:eastAsia="Arial" w:hAnsi="Arial"/>
          <w:sz w:val="16"/>
          <w:szCs w:val="16"/>
          <w:color w:val="auto"/>
        </w:rPr>
        <w:t>”). The Auction Agent shall promptly, and in any case within five (5) Business Days following the Discount Range Prepayment Response Date, notify (I) the relevant Borrower Party of</w:t>
      </w:r>
    </w:p>
    <w:p>
      <w:pPr>
        <w:spacing w:after="0" w:line="2" w:lineRule="exact"/>
        <w:rPr>
          <w:sz w:val="20"/>
          <w:szCs w:val="20"/>
          <w:color w:val="auto"/>
        </w:rPr>
      </w:pPr>
    </w:p>
    <w:p>
      <w:pPr>
        <w:jc w:val="both"/>
        <w:ind w:left="320" w:right="20"/>
        <w:spacing w:after="0" w:line="234" w:lineRule="auto"/>
        <w:rPr>
          <w:sz w:val="20"/>
          <w:szCs w:val="20"/>
          <w:color w:val="auto"/>
        </w:rPr>
      </w:pPr>
      <w:r>
        <w:rPr>
          <w:rFonts w:ascii="Arial" w:cs="Arial" w:eastAsia="Arial" w:hAnsi="Arial"/>
          <w:sz w:val="16"/>
          <w:szCs w:val="16"/>
          <w:color w:val="auto"/>
        </w:rPr>
        <w:t>the respective Term Lenders’ responses to such solicitation, the Discounted Prepayment Effective Date, the Applicable Discount, the aggregate principal amount of the Discounted Term Loan Prepayment and the Classes to be prepaid, (II) each Term Lender of the Discounted Prepayment Effective Date, the Applicable Discount, and the aggregate principal amount and Classes of Term Loans to</w:t>
      </w:r>
    </w:p>
    <w:p>
      <w:pPr>
        <w:spacing w:after="0" w:line="2" w:lineRule="exact"/>
        <w:rPr>
          <w:sz w:val="20"/>
          <w:szCs w:val="20"/>
          <w:color w:val="auto"/>
        </w:rPr>
      </w:pPr>
    </w:p>
    <w:p>
      <w:pPr>
        <w:jc w:val="both"/>
        <w:ind w:left="320" w:right="20"/>
        <w:spacing w:after="0" w:line="234" w:lineRule="auto"/>
        <w:rPr>
          <w:sz w:val="20"/>
          <w:szCs w:val="20"/>
          <w:color w:val="auto"/>
        </w:rPr>
      </w:pPr>
      <w:r>
        <w:rPr>
          <w:rFonts w:ascii="Arial" w:cs="Arial" w:eastAsia="Arial" w:hAnsi="Arial"/>
          <w:sz w:val="16"/>
          <w:szCs w:val="16"/>
          <w:color w:val="auto"/>
        </w:rPr>
        <w:t>be prepaid at the Applicable Discount on such date, (III) each Participating Lender of the aggregate principal amount and Classes of such Term Lender to be prepaid at the Applicable Discount on such date, and (IV) if applicable, each Identified Participating Lender of the Discount Range Proration. Each determination by the Auction Agent of the amounts stated in the foregoing notices to the</w:t>
      </w:r>
    </w:p>
    <w:p>
      <w:pPr>
        <w:spacing w:after="0" w:line="2" w:lineRule="exact"/>
        <w:rPr>
          <w:sz w:val="20"/>
          <w:szCs w:val="20"/>
          <w:color w:val="auto"/>
        </w:rPr>
      </w:pPr>
    </w:p>
    <w:p>
      <w:pPr>
        <w:jc w:val="both"/>
        <w:ind w:left="320" w:right="20"/>
        <w:spacing w:after="0" w:line="231" w:lineRule="auto"/>
        <w:rPr>
          <w:sz w:val="20"/>
          <w:szCs w:val="20"/>
          <w:color w:val="auto"/>
        </w:rPr>
      </w:pPr>
      <w:r>
        <w:rPr>
          <w:rFonts w:ascii="Arial" w:cs="Arial" w:eastAsia="Arial" w:hAnsi="Arial"/>
          <w:sz w:val="17"/>
          <w:szCs w:val="17"/>
          <w:color w:val="auto"/>
        </w:rPr>
        <w:t>relevant Borrower Party and Term Lenders shall be conclusive and binding for all purposes absent manifest error. The payment amount specified in such notice to the applicable Borrower Party shall be due and payable by such Borrower Party on the Discounted Prepayment Effective Date in accordance with subsection (F) below (subject to subsection (J) below).</w:t>
      </w:r>
    </w:p>
    <w:p>
      <w:pPr>
        <w:spacing w:after="0" w:line="203" w:lineRule="exact"/>
        <w:rPr>
          <w:sz w:val="20"/>
          <w:szCs w:val="20"/>
          <w:color w:val="auto"/>
        </w:rPr>
      </w:pPr>
    </w:p>
    <w:p>
      <w:pPr>
        <w:ind w:left="80" w:right="20" w:firstLine="654"/>
        <w:spacing w:after="0" w:line="241" w:lineRule="auto"/>
        <w:tabs>
          <w:tab w:leader="none" w:pos="1474" w:val="left"/>
        </w:tabs>
        <w:numPr>
          <w:ilvl w:val="1"/>
          <w:numId w:val="96"/>
        </w:numPr>
        <w:rPr>
          <w:rFonts w:ascii="Arial" w:cs="Arial" w:eastAsia="Arial" w:hAnsi="Arial"/>
          <w:sz w:val="16"/>
          <w:szCs w:val="16"/>
          <w:color w:val="010000"/>
        </w:rPr>
      </w:pPr>
      <w:r>
        <w:rPr>
          <w:rFonts w:ascii="Arial" w:cs="Arial" w:eastAsia="Arial" w:hAnsi="Arial"/>
          <w:sz w:val="16"/>
          <w:szCs w:val="16"/>
          <w:color w:val="auto"/>
        </w:rPr>
        <w:t xml:space="preserve">(1) Any Borrower Party may from time to time solicit Solicited Discounted Prepayment Offers by providing the Auction Agent with five (5) Business Days’ notice (or such shorter period as agreed by the Auction Agent) in the form of a Solicited Discounted Prepayment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solicitation shall be extended, at the sole discretion of such Borrower Party, to</w:t>
      </w:r>
    </w:p>
    <w:p>
      <w:pPr>
        <w:spacing w:after="0" w:line="1" w:lineRule="exact"/>
        <w:rPr>
          <w:rFonts w:ascii="Arial" w:cs="Arial" w:eastAsia="Arial" w:hAnsi="Arial"/>
          <w:sz w:val="16"/>
          <w:szCs w:val="16"/>
          <w:color w:val="010000"/>
        </w:rPr>
      </w:pPr>
    </w:p>
    <w:p>
      <w:pPr>
        <w:ind w:left="80" w:right="20" w:firstLine="6"/>
        <w:spacing w:after="0" w:line="234"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Term Lender and/or (y) each Lender with respect to any Class of Term Loans on an individual Class basis, (II) any such notice shall specify the maximum aggregate amount of the Term Loans (the “</w:t>
      </w:r>
      <w:r>
        <w:rPr>
          <w:rFonts w:ascii="Arial" w:cs="Arial" w:eastAsia="Arial" w:hAnsi="Arial"/>
          <w:sz w:val="16"/>
          <w:szCs w:val="16"/>
          <w:b w:val="1"/>
          <w:bCs w:val="1"/>
          <w:color w:val="auto"/>
        </w:rPr>
        <w:t>Solicited Discounted Prepayment Amount</w:t>
      </w:r>
      <w:r>
        <w:rPr>
          <w:rFonts w:ascii="Arial" w:cs="Arial" w:eastAsia="Arial" w:hAnsi="Arial"/>
          <w:sz w:val="16"/>
          <w:szCs w:val="16"/>
          <w:color w:val="auto"/>
        </w:rPr>
        <w:t>”) and the Class or Classes of Term Loans the applicable Borrower Party is willing to prepay at a discount (it being understood that different Solicited Discounted Prepayment Amounts may be offered with respect to different Classes of Term Loans and, in such event, each such offer will be treated as a separate offer pursuant to the terms of this Section 2.05(a)(v)(D)), (III) the Solicited Discounted Prepayment Amount shall be in an aggregate amount not less than $5,000,000 and whole increments of $1,000,000 in excess thereof and</w:t>
      </w:r>
    </w:p>
    <w:p>
      <w:pPr>
        <w:spacing w:after="0" w:line="4"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color w:val="auto"/>
        </w:rPr>
        <w:t>each such solicitation by a Borrower Party shall remain outstanding through the Solicited Discounted Prepayment Response</w:t>
      </w:r>
    </w:p>
    <w:p>
      <w:pPr>
        <w:spacing w:after="0" w:line="5" w:lineRule="exact"/>
        <w:rPr>
          <w:sz w:val="20"/>
          <w:szCs w:val="20"/>
          <w:color w:val="auto"/>
        </w:rPr>
      </w:pPr>
    </w:p>
    <w:p>
      <w:pPr>
        <w:jc w:val="both"/>
        <w:ind w:left="80"/>
        <w:spacing w:after="0" w:line="234" w:lineRule="auto"/>
        <w:rPr>
          <w:sz w:val="20"/>
          <w:szCs w:val="20"/>
          <w:color w:val="auto"/>
        </w:rPr>
      </w:pPr>
      <w:r>
        <w:rPr>
          <w:rFonts w:ascii="Arial" w:cs="Arial" w:eastAsia="Arial" w:hAnsi="Arial"/>
          <w:sz w:val="16"/>
          <w:szCs w:val="16"/>
          <w:color w:val="auto"/>
        </w:rPr>
        <w:t>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on the third Business Day after the date of delivery of such notice to such Term Lenders (which date may be</w:t>
      </w:r>
    </w:p>
    <w:p>
      <w:pPr>
        <w:spacing w:after="0" w:line="2" w:lineRule="exact"/>
        <w:rPr>
          <w:sz w:val="20"/>
          <w:szCs w:val="20"/>
          <w:color w:val="auto"/>
        </w:rPr>
      </w:pPr>
    </w:p>
    <w:p>
      <w:pPr>
        <w:jc w:val="both"/>
        <w:ind w:left="80"/>
        <w:spacing w:after="0" w:line="203" w:lineRule="auto"/>
        <w:rPr>
          <w:sz w:val="20"/>
          <w:szCs w:val="20"/>
          <w:color w:val="auto"/>
        </w:rPr>
      </w:pPr>
      <w:r>
        <w:rPr>
          <w:rFonts w:ascii="Arial" w:cs="Arial" w:eastAsia="Arial" w:hAnsi="Arial"/>
          <w:sz w:val="18"/>
          <w:szCs w:val="18"/>
          <w:color w:val="auto"/>
        </w:rPr>
        <w:t>extended for a period not exceeding three (3) Business Days upon notice by the Borrower Party to the Auction Agent) (the “</w:t>
      </w:r>
      <w:r>
        <w:rPr>
          <w:rFonts w:ascii="Arial" w:cs="Arial" w:eastAsia="Arial" w:hAnsi="Arial"/>
          <w:sz w:val="18"/>
          <w:szCs w:val="18"/>
          <w:b w:val="1"/>
          <w:bCs w:val="1"/>
          <w:color w:val="auto"/>
        </w:rPr>
        <w:t>Solicited</w:t>
      </w:r>
      <w:r>
        <w:rPr>
          <w:rFonts w:ascii="Arial" w:cs="Arial" w:eastAsia="Arial" w:hAnsi="Arial"/>
          <w:sz w:val="18"/>
          <w:szCs w:val="18"/>
          <w:color w:val="auto"/>
        </w:rPr>
        <w:t xml:space="preserve"> </w:t>
      </w:r>
      <w:r>
        <w:rPr>
          <w:rFonts w:ascii="Arial" w:cs="Arial" w:eastAsia="Arial" w:hAnsi="Arial"/>
          <w:sz w:val="18"/>
          <w:szCs w:val="18"/>
          <w:b w:val="1"/>
          <w:bCs w:val="1"/>
          <w:color w:val="auto"/>
        </w:rPr>
        <w:t>Discounted Prepayment Response Date</w:t>
      </w:r>
      <w:r>
        <w:rPr>
          <w:rFonts w:ascii="Arial" w:cs="Arial" w:eastAsia="Arial" w:hAnsi="Arial"/>
          <w:sz w:val="18"/>
          <w:szCs w:val="18"/>
          <w:color w:val="auto"/>
        </w:rPr>
        <w:t>”). Each Term Lender’s Solicited Discounted Prepayment Offer shall</w:t>
      </w:r>
    </w:p>
    <w:p>
      <w:pPr>
        <w:spacing w:after="0" w:line="1" w:lineRule="exact"/>
        <w:rPr>
          <w:sz w:val="20"/>
          <w:szCs w:val="20"/>
          <w:color w:val="auto"/>
        </w:rPr>
      </w:pPr>
    </w:p>
    <w:p>
      <w:pPr>
        <w:jc w:val="both"/>
        <w:ind w:left="80" w:firstLine="6"/>
        <w:spacing w:after="0" w:line="247"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be irrevocable, (y) remain outstanding until the Acceptance Date, and (z) specify both a discount to par (the “</w:t>
      </w:r>
      <w:r>
        <w:rPr>
          <w:rFonts w:ascii="Arial" w:cs="Arial" w:eastAsia="Arial" w:hAnsi="Arial"/>
          <w:sz w:val="16"/>
          <w:szCs w:val="16"/>
          <w:b w:val="1"/>
          <w:bCs w:val="1"/>
          <w:color w:val="auto"/>
        </w:rPr>
        <w:t>Offered Discount</w:t>
      </w:r>
      <w:r>
        <w:rPr>
          <w:rFonts w:ascii="Arial" w:cs="Arial" w:eastAsia="Arial" w:hAnsi="Arial"/>
          <w:sz w:val="16"/>
          <w:szCs w:val="16"/>
          <w:color w:val="auto"/>
        </w:rPr>
        <w:t>”) at which such Term Lender is willing to allow prepayment of its then outstanding Term Loans and the maximum aggregate principal amount and Classes of such Term Loans (the “</w:t>
      </w:r>
      <w:r>
        <w:rPr>
          <w:rFonts w:ascii="Arial" w:cs="Arial" w:eastAsia="Arial" w:hAnsi="Arial"/>
          <w:sz w:val="16"/>
          <w:szCs w:val="16"/>
          <w:b w:val="1"/>
          <w:bCs w:val="1"/>
          <w:color w:val="auto"/>
        </w:rPr>
        <w:t>Offered Amount</w:t>
      </w:r>
      <w:r>
        <w:rPr>
          <w:rFonts w:ascii="Arial" w:cs="Arial" w:eastAsia="Arial" w:hAnsi="Arial"/>
          <w:sz w:val="16"/>
          <w:szCs w:val="16"/>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84" w:lineRule="exact"/>
        <w:rPr>
          <w:rFonts w:ascii="Arial" w:cs="Arial" w:eastAsia="Arial" w:hAnsi="Arial"/>
          <w:sz w:val="16"/>
          <w:szCs w:val="16"/>
          <w:color w:val="auto"/>
        </w:rPr>
      </w:pPr>
    </w:p>
    <w:p>
      <w:pPr>
        <w:jc w:val="both"/>
        <w:ind w:left="320" w:firstLine="656"/>
        <w:spacing w:after="0" w:line="245" w:lineRule="auto"/>
        <w:tabs>
          <w:tab w:leader="none" w:pos="1472" w:val="left"/>
        </w:tabs>
        <w:numPr>
          <w:ilvl w:val="1"/>
          <w:numId w:val="98"/>
        </w:numPr>
        <w:rPr>
          <w:rFonts w:ascii="Arial" w:cs="Arial" w:eastAsia="Arial" w:hAnsi="Arial"/>
          <w:sz w:val="17"/>
          <w:szCs w:val="17"/>
          <w:color w:val="010000"/>
        </w:rPr>
      </w:pPr>
      <w:r>
        <w:rPr>
          <w:rFonts w:ascii="Arial" w:cs="Arial" w:eastAsia="Arial" w:hAnsi="Arial"/>
          <w:sz w:val="17"/>
          <w:szCs w:val="17"/>
          <w:color w:val="auto"/>
        </w:rPr>
        <w:t>The Auction Agent shall promptly provide the relevant Borrower Party with a copy of all Solicited Discounted Prepayment Offers received on or before the Solicited Discounted Prepayment Response Date. Such Borrower Party shall review all such Solicited Discounted Prepayment Offers and select the largest of the Offered Discounts specified by the relevant</w:t>
      </w:r>
    </w:p>
    <w:p>
      <w:pPr>
        <w:sectPr>
          <w:pgSz w:w="11900" w:h="16838" w:orient="portrait"/>
          <w:cols w:equalWidth="0" w:num="1">
            <w:col w:w="9960"/>
          </w:cols>
          <w:pgMar w:left="1440" w:top="1440" w:right="499" w:bottom="1440" w:gutter="0" w:footer="0" w:header="0"/>
        </w:sectPr>
      </w:pPr>
    </w:p>
    <w:bookmarkStart w:id="125" w:name="page126"/>
    <w:bookmarkEnd w:id="125"/>
    <w:p>
      <w:pPr>
        <w:spacing w:after="0" w:line="211" w:lineRule="exact"/>
        <w:rPr>
          <w:sz w:val="20"/>
          <w:szCs w:val="20"/>
          <w:color w:val="auto"/>
        </w:rPr>
      </w:pPr>
    </w:p>
    <w:p>
      <w:pPr>
        <w:jc w:val="both"/>
        <w:ind w:left="320" w:right="40"/>
        <w:spacing w:after="0" w:line="241" w:lineRule="auto"/>
        <w:rPr>
          <w:sz w:val="20"/>
          <w:szCs w:val="20"/>
          <w:color w:val="auto"/>
        </w:rPr>
      </w:pPr>
      <w:r>
        <w:rPr>
          <w:rFonts w:ascii="Arial" w:cs="Arial" w:eastAsia="Arial" w:hAnsi="Arial"/>
          <w:sz w:val="16"/>
          <w:szCs w:val="16"/>
          <w:color w:val="auto"/>
        </w:rPr>
        <w:t>responding Term Lenders in the Solicited Discounted Prepayment Offers that is acceptable to the Borrower Party in its sole discretion (the “</w:t>
      </w:r>
      <w:r>
        <w:rPr>
          <w:rFonts w:ascii="Arial" w:cs="Arial" w:eastAsia="Arial" w:hAnsi="Arial"/>
          <w:sz w:val="16"/>
          <w:szCs w:val="16"/>
          <w:b w:val="1"/>
          <w:bCs w:val="1"/>
          <w:color w:val="auto"/>
        </w:rPr>
        <w:t>Acceptable Discount</w:t>
      </w:r>
      <w:r>
        <w:rPr>
          <w:rFonts w:ascii="Arial" w:cs="Arial" w:eastAsia="Arial" w:hAnsi="Arial"/>
          <w:sz w:val="16"/>
          <w:szCs w:val="16"/>
          <w:color w:val="auto"/>
        </w:rPr>
        <w:t>”), if any. If the Borrower Party elects, in its sole discretion, to accept any Offered Discount as the Acceptable Discount, then as soon as practicable after the determination of the Acceptable Discount, but in no event later than by</w:t>
      </w:r>
    </w:p>
    <w:p>
      <w:pPr>
        <w:spacing w:after="0" w:line="2" w:lineRule="exact"/>
        <w:rPr>
          <w:sz w:val="20"/>
          <w:szCs w:val="20"/>
          <w:color w:val="auto"/>
        </w:rPr>
      </w:pPr>
    </w:p>
    <w:p>
      <w:pPr>
        <w:jc w:val="both"/>
        <w:ind w:left="320" w:right="40"/>
        <w:spacing w:after="0" w:line="234" w:lineRule="auto"/>
        <w:rPr>
          <w:sz w:val="20"/>
          <w:szCs w:val="20"/>
          <w:color w:val="auto"/>
        </w:rPr>
      </w:pPr>
      <w:r>
        <w:rPr>
          <w:rFonts w:ascii="Arial" w:cs="Arial" w:eastAsia="Arial" w:hAnsi="Arial"/>
          <w:sz w:val="16"/>
          <w:szCs w:val="16"/>
          <w:color w:val="auto"/>
        </w:rPr>
        <w:t xml:space="preserve">the third Business Day after the date of receipt by such Borrower Party from the Auction Agent of a copy of all Solicited Discounted Prepayment Offers pursuant to the first sentence of this subsection (2) (the “ </w:t>
      </w:r>
      <w:r>
        <w:rPr>
          <w:rFonts w:ascii="Arial" w:cs="Arial" w:eastAsia="Arial" w:hAnsi="Arial"/>
          <w:sz w:val="16"/>
          <w:szCs w:val="16"/>
          <w:b w:val="1"/>
          <w:bCs w:val="1"/>
          <w:color w:val="auto"/>
        </w:rPr>
        <w:t>Acceptance Date</w:t>
      </w:r>
      <w:r>
        <w:rPr>
          <w:rFonts w:ascii="Arial" w:cs="Arial" w:eastAsia="Arial" w:hAnsi="Arial"/>
          <w:sz w:val="16"/>
          <w:szCs w:val="16"/>
          <w:color w:val="auto"/>
        </w:rPr>
        <w:t>”), the Borrower Party shall submit an Acceptance and Prepayment Notice to the Auction Agent setting forth the Acceptable Discount. If the Auction Agent shall fail to</w:t>
      </w:r>
    </w:p>
    <w:p>
      <w:pPr>
        <w:spacing w:after="0" w:line="2" w:lineRule="exact"/>
        <w:rPr>
          <w:sz w:val="20"/>
          <w:szCs w:val="20"/>
          <w:color w:val="auto"/>
        </w:rPr>
      </w:pPr>
    </w:p>
    <w:p>
      <w:pPr>
        <w:jc w:val="both"/>
        <w:ind w:left="320" w:right="40"/>
        <w:spacing w:after="0" w:line="226" w:lineRule="auto"/>
        <w:rPr>
          <w:sz w:val="20"/>
          <w:szCs w:val="20"/>
          <w:color w:val="auto"/>
        </w:rPr>
      </w:pPr>
      <w:r>
        <w:rPr>
          <w:rFonts w:ascii="Arial" w:cs="Arial" w:eastAsia="Arial" w:hAnsi="Arial"/>
          <w:sz w:val="18"/>
          <w:szCs w:val="18"/>
          <w:color w:val="auto"/>
        </w:rPr>
        <w:t>receive an Acceptance and Prepayment Notice from the Borrower Party by the Acceptance Date, such Borrower Party shall be deemed to have rejected all Solicited Discounted Prepayment Offers.</w:t>
      </w:r>
    </w:p>
    <w:p>
      <w:pPr>
        <w:spacing w:after="0" w:line="188" w:lineRule="exact"/>
        <w:rPr>
          <w:sz w:val="20"/>
          <w:szCs w:val="20"/>
          <w:color w:val="auto"/>
        </w:rPr>
      </w:pPr>
    </w:p>
    <w:p>
      <w:pPr>
        <w:jc w:val="both"/>
        <w:ind w:left="320" w:firstLine="655"/>
        <w:spacing w:after="0"/>
        <w:tabs>
          <w:tab w:leader="none" w:pos="1473" w:val="left"/>
        </w:tabs>
        <w:numPr>
          <w:ilvl w:val="0"/>
          <w:numId w:val="99"/>
        </w:numPr>
        <w:rPr>
          <w:rFonts w:ascii="Arial" w:cs="Arial" w:eastAsia="Arial" w:hAnsi="Arial"/>
          <w:sz w:val="16"/>
          <w:szCs w:val="16"/>
          <w:color w:val="010000"/>
        </w:rPr>
      </w:pPr>
      <w:r>
        <w:rPr>
          <w:rFonts w:ascii="Arial" w:cs="Arial" w:eastAsia="Arial" w:hAnsi="Arial"/>
          <w:sz w:val="16"/>
          <w:szCs w:val="16"/>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6"/>
          <w:szCs w:val="16"/>
          <w:b w:val="1"/>
          <w:bCs w:val="1"/>
          <w:color w:val="auto"/>
        </w:rPr>
        <w:t>Discounted Prepayment Determination Date</w:t>
      </w:r>
      <w:r>
        <w:rPr>
          <w:rFonts w:ascii="Arial" w:cs="Arial" w:eastAsia="Arial" w:hAnsi="Arial"/>
          <w:sz w:val="16"/>
          <w:szCs w:val="16"/>
          <w:color w:val="auto"/>
        </w:rPr>
        <w:t>”), the Auction Agent will determine (with the consent of such Borrower Party and subject to rounding requirements of the Auction Agent made in its sole reasonable discretion) the aggregate principal amount and the Classes of Term Loans (the “</w:t>
      </w:r>
      <w:r>
        <w:rPr>
          <w:rFonts w:ascii="Arial" w:cs="Arial" w:eastAsia="Arial" w:hAnsi="Arial"/>
          <w:sz w:val="16"/>
          <w:szCs w:val="16"/>
          <w:b w:val="1"/>
          <w:bCs w:val="1"/>
          <w:color w:val="auto"/>
        </w:rPr>
        <w:t>Acceptable Prepayment Amount</w:t>
      </w:r>
      <w:r>
        <w:rPr>
          <w:rFonts w:ascii="Arial" w:cs="Arial" w:eastAsia="Arial" w:hAnsi="Arial"/>
          <w:sz w:val="16"/>
          <w:szCs w:val="16"/>
          <w:color w:val="auto"/>
        </w:rPr>
        <w:t>”) to be prepaid by the relevant Borrower Party at the Acceptable Discount in accordance with this Section 2.05(a)(v)(D). If the Borrower Party elects to accept any Acceptable Discount, then the Borrower Party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6"/>
          <w:szCs w:val="16"/>
          <w:b w:val="1"/>
          <w:bCs w:val="1"/>
          <w:color w:val="auto"/>
        </w:rPr>
        <w:t>Qualifying Lender</w:t>
      </w:r>
      <w:r>
        <w:rPr>
          <w:rFonts w:ascii="Arial" w:cs="Arial" w:eastAsia="Arial" w:hAnsi="Arial"/>
          <w:sz w:val="16"/>
          <w:szCs w:val="16"/>
          <w:color w:val="auto"/>
        </w:rPr>
        <w:t xml:space="preserve">”). The Borrower Party will prepay outstanding Term Loans pursuant to this subsection (D) to each Qualifying Lender in the aggregate principal amount and of the Classes specified in such Lender’s Solicited Discounted Prepayment Offer at the Acceptable Discount;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b w:val="1"/>
          <w:bCs w:val="1"/>
          <w:color w:val="auto"/>
        </w:rPr>
        <w:t>Identified Qualifying Lenders</w:t>
      </w:r>
      <w:r>
        <w:rPr>
          <w:rFonts w:ascii="Arial" w:cs="Arial" w:eastAsia="Arial" w:hAnsi="Arial"/>
          <w:sz w:val="16"/>
          <w:szCs w:val="16"/>
          <w:color w:val="auto"/>
        </w:rPr>
        <w:t>”) shall be made pro rata among the Identified Qualifying Lenders in accordance with the Offered Amount of each such Identified Qualifying Lender and the Auction Agent (in consultation with such Borrower Party and subject to rounding requirements of the Auction Agent made in its sole reasonable discretion) will calculate such proration (the “</w:t>
      </w:r>
      <w:r>
        <w:rPr>
          <w:rFonts w:ascii="Arial" w:cs="Arial" w:eastAsia="Arial" w:hAnsi="Arial"/>
          <w:sz w:val="16"/>
          <w:szCs w:val="16"/>
          <w:b w:val="1"/>
          <w:bCs w:val="1"/>
          <w:color w:val="auto"/>
        </w:rPr>
        <w:t>Solicited Discount Proration</w:t>
      </w:r>
      <w:r>
        <w:rPr>
          <w:rFonts w:ascii="Arial" w:cs="Arial" w:eastAsia="Arial" w:hAnsi="Arial"/>
          <w:sz w:val="16"/>
          <w:szCs w:val="16"/>
          <w:color w:val="auto"/>
        </w:rPr>
        <w:t>”). On or prior to the Discounted Prepayment Determination Date, the Auction Agent shall promptly notify (I) the relevant Borrower Party of the Discounted Prepayment Effective Date, the Acceptable Prepayment Amount comprising the Discounted Term Loan Prepayment and the Classes to be prepaid, (II) each Term Lender of the Discounted Prepayment Effective Date, the Acceptable Discount, the Acceptable Prepayment Amount of all Term Loans and the Classes to be prepaid at the Applicable Discount on such date, (III) each Qualifying Lender of the aggregate principal amount and the Classes of such Term Lender to be prepaid at the Acceptable Discount on such date, and (IV) if applicable, each Identified Qualifying Lender of the Solicited Discount Proration. Each determination by the Auction Agent of the amounts stated in the foregoing notices to such Borrower Party and Term Lenders shall be conclusive and binding for all purposes absent manifest error. The payment amount specified in such notice to such Borrower Party shall be due and payable by such Borrower Party on the Discounted Prepayment Effective Date in accordance with subsection (F) below (subject to subsection (J) below).</w:t>
      </w:r>
    </w:p>
    <w:p>
      <w:pPr>
        <w:sectPr>
          <w:pgSz w:w="11900" w:h="16838" w:orient="portrait"/>
          <w:cols w:equalWidth="0" w:num="1">
            <w:col w:w="9960"/>
          </w:cols>
          <w:pgMar w:left="1440" w:top="1440" w:right="499" w:bottom="1440" w:gutter="0" w:footer="0" w:header="0"/>
        </w:sectPr>
      </w:pPr>
    </w:p>
    <w:bookmarkStart w:id="126" w:name="page127"/>
    <w:bookmarkEnd w:id="126"/>
    <w:p>
      <w:pPr>
        <w:spacing w:after="0" w:line="211" w:lineRule="exact"/>
        <w:rPr>
          <w:sz w:val="20"/>
          <w:szCs w:val="20"/>
          <w:color w:val="auto"/>
        </w:rPr>
      </w:pPr>
    </w:p>
    <w:p>
      <w:pPr>
        <w:jc w:val="both"/>
        <w:ind w:left="80" w:right="20" w:firstLine="654"/>
        <w:spacing w:after="0" w:line="237" w:lineRule="auto"/>
        <w:tabs>
          <w:tab w:leader="none" w:pos="1474"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In connection with any Discounted Term Loan Prepayment, the Borrower Parties and the Term Lenders acknowledge and agree that the Auction Agent may require as a condition to any Discounted Term Loan Prepayment, the payment of customary, reasonable and documented fees and out-of-pocket expenses from a Borrower Party in connection therewith.</w:t>
      </w:r>
    </w:p>
    <w:p>
      <w:pPr>
        <w:spacing w:after="0" w:line="203" w:lineRule="exact"/>
        <w:rPr>
          <w:rFonts w:ascii="Arial" w:cs="Arial" w:eastAsia="Arial" w:hAnsi="Arial"/>
          <w:sz w:val="17"/>
          <w:szCs w:val="17"/>
          <w:color w:val="010000"/>
        </w:rPr>
      </w:pPr>
    </w:p>
    <w:p>
      <w:pPr>
        <w:jc w:val="both"/>
        <w:ind w:left="80" w:firstLine="654"/>
        <w:spacing w:after="0" w:line="237" w:lineRule="auto"/>
        <w:tabs>
          <w:tab w:leader="none" w:pos="1474"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If any Term Loan is prepaid in accordance with paragraphs (B) through (D) above, a Borrower Party shall prepay such Term Loans on the Discounted Prepayment Effective Date without premium or penalty (other than as required by Section 3.05 and except as provided in Section 2.05(a)(vi) below). The relevant Borrower Party shall make such prepayment to the Administrative Agent, for the account of the Discount Prepayment Accepting Lenders, Participating Lenders, or Qualifying Lenders, as applicable, at the Administrative Agent’s Office in immediately available funds not later than 1:00 p.m. on the Discounted Prepayment Effective Date and all such prepayments shall be applied to the relevant tranche or Class of Term Loans as the applicable Borrower Party shall so specify in the applicable offer. The Term Loans so prepaid shall be accompanied by all accrued and unpaid interest on the par principal amount so prepaid up to, but not including, the Discounted Prepayment Effective Date. Each prepayment of the outstanding Term Loans pursuant to this Section 2.05(a)(v) shall be paid to the Discount Prepayment Accepting Lenders, Participating Lenders, or Qualifying Lenders, as applicable, and shall be applied to the relevant Term Loans of such Lenders in accordance with their respective Pro Rata Share or other applicable share under this Agreement. The aggregate principal amount of the Classes and installments of the relevant Term Loans outstanding shall be deemed reduced by the full par value of the aggregate principal amount of the Classes of Term Loans prepaid on the Discounted Prepayment Effective Date in any Discounted Term Loan Prepayment. In connection with each prepayment pursuant to this Section 2.05(a)(v), each Lender participating in any prepayment described in this Section 2.05(a)(v) acknowledges and agrees that in connection therewith, (1) the Borrowers or any Borrower Party then may have, and later may come into possession of, Excluded Information, (2) such Lender has independently, and without reliance on the Borrowers, any of their Subsidiaries, the Administrative Agent or any of their respective Affiliates, made its own analysis and determination to participate in such prepayment notwithstanding such Lender’s lack of knowledge of the Excluded Information, (3) none of the Borrowers, Borrower Parties or any of their respective Affiliates shall be required to make any representation that it is not in possession of Material Non-Public Information and all parties to the relevant transactions shall render customary “big boy” disclaimer letters, (4) none of the Borrowers, their Subsidiaries, the Administrative Agent or any of their respective Affiliates shall have any liability to such Lender, and such Lender hereby waives and releases, to the extent permitted by law, any claims such Lender may have against the Borrowers, their Subsidiaries, the Administrative Agent and their respective Affiliates, under applicable laws or otherwise, with respect to the nondisclosure of the Excluded Information, and (5) the Excluded Information may not be available to the Administrative Agent or the other Lenders.</w:t>
      </w:r>
    </w:p>
    <w:p>
      <w:pPr>
        <w:spacing w:after="0" w:line="189" w:lineRule="exact"/>
        <w:rPr>
          <w:rFonts w:ascii="Arial" w:cs="Arial" w:eastAsia="Arial" w:hAnsi="Arial"/>
          <w:sz w:val="16"/>
          <w:szCs w:val="16"/>
          <w:color w:val="010000"/>
        </w:rPr>
      </w:pPr>
    </w:p>
    <w:p>
      <w:pPr>
        <w:jc w:val="both"/>
        <w:ind w:left="80" w:right="20" w:firstLine="654"/>
        <w:spacing w:after="0" w:line="229" w:lineRule="auto"/>
        <w:tabs>
          <w:tab w:leader="none" w:pos="1474"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To the extent not expressly provided for herein, each Discounted Term Loan Prepayment shall be consummated pursuant to procedures consistent with the provisions in this Section 2.05(a)(v), established by the Auction Agent acting in its reasonable discretion and as reasonably agreed by the applicable Borrower Party.</w:t>
      </w:r>
    </w:p>
    <w:p>
      <w:pPr>
        <w:spacing w:after="0" w:line="190" w:lineRule="exact"/>
        <w:rPr>
          <w:rFonts w:ascii="Arial" w:cs="Arial" w:eastAsia="Arial" w:hAnsi="Arial"/>
          <w:sz w:val="18"/>
          <w:szCs w:val="18"/>
          <w:color w:val="010000"/>
        </w:rPr>
      </w:pPr>
    </w:p>
    <w:p>
      <w:pPr>
        <w:jc w:val="both"/>
        <w:ind w:left="80" w:right="20" w:firstLine="654"/>
        <w:spacing w:after="0" w:line="222" w:lineRule="auto"/>
        <w:tabs>
          <w:tab w:leader="none" w:pos="1474"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 xml:space="preserve">Notwithstanding anything in any Loan Document to the contrary, for purposes of this Section 2.05(a)(v), each notice or other communication required to be delivered or otherwise provided to the Auction Agent (or its delegate) shall be deemed to have been given upon the Auction Agent’s (or its delegate’s) actual receipt during normal business hours of such notice or communication;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notice or communication actually received outside of normal business hours shall be deemed to have been given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opening of business on the next Business Day.</w:t>
      </w:r>
    </w:p>
    <w:p>
      <w:pPr>
        <w:spacing w:after="0" w:line="190" w:lineRule="exact"/>
        <w:rPr>
          <w:rFonts w:ascii="Arial" w:cs="Arial" w:eastAsia="Arial" w:hAnsi="Arial"/>
          <w:sz w:val="18"/>
          <w:szCs w:val="18"/>
          <w:color w:val="010000"/>
        </w:rPr>
      </w:pPr>
    </w:p>
    <w:p>
      <w:pPr>
        <w:ind w:left="80" w:right="20" w:firstLine="654"/>
        <w:spacing w:after="0" w:line="246" w:lineRule="auto"/>
        <w:tabs>
          <w:tab w:leader="none" w:pos="1474"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Each of the Borrower Parties and the Term Lenders acknowledge and agree that the Auction Agent may perform any and all of its duties under this Section 2.05(a)(v) by itself or through</w:t>
      </w:r>
    </w:p>
    <w:p>
      <w:pPr>
        <w:sectPr>
          <w:pgSz w:w="11900" w:h="16838" w:orient="portrait"/>
          <w:cols w:equalWidth="0" w:num="1">
            <w:col w:w="9940"/>
          </w:cols>
          <w:pgMar w:left="1440" w:top="1440" w:right="519" w:bottom="1440" w:gutter="0" w:footer="0" w:header="0"/>
        </w:sectPr>
      </w:pPr>
    </w:p>
    <w:bookmarkStart w:id="127" w:name="page128"/>
    <w:bookmarkEnd w:id="127"/>
    <w:p>
      <w:pPr>
        <w:spacing w:after="0" w:line="211" w:lineRule="exact"/>
        <w:rPr>
          <w:sz w:val="20"/>
          <w:szCs w:val="20"/>
          <w:color w:val="auto"/>
        </w:rPr>
      </w:pPr>
    </w:p>
    <w:p>
      <w:pPr>
        <w:jc w:val="both"/>
        <w:ind w:left="1048"/>
        <w:spacing w:after="0" w:line="241" w:lineRule="auto"/>
        <w:rPr>
          <w:sz w:val="20"/>
          <w:szCs w:val="20"/>
          <w:color w:val="auto"/>
        </w:rPr>
      </w:pPr>
      <w:r>
        <w:rPr>
          <w:rFonts w:ascii="Arial" w:cs="Arial" w:eastAsia="Arial" w:hAnsi="Arial"/>
          <w:sz w:val="16"/>
          <w:szCs w:val="16"/>
          <w:color w:val="auto"/>
        </w:rPr>
        <w:t>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w:t>
      </w:r>
    </w:p>
    <w:p>
      <w:pPr>
        <w:spacing w:after="0" w:line="2" w:lineRule="exact"/>
        <w:rPr>
          <w:sz w:val="20"/>
          <w:szCs w:val="20"/>
          <w:color w:val="auto"/>
        </w:rPr>
      </w:pPr>
    </w:p>
    <w:p>
      <w:pPr>
        <w:ind w:left="1048"/>
        <w:spacing w:after="0"/>
        <w:rPr>
          <w:sz w:val="20"/>
          <w:szCs w:val="20"/>
          <w:color w:val="auto"/>
        </w:rPr>
      </w:pPr>
      <w:r>
        <w:rPr>
          <w:rFonts w:ascii="Arial" w:cs="Arial" w:eastAsia="Arial" w:hAnsi="Arial"/>
          <w:sz w:val="18"/>
          <w:szCs w:val="18"/>
          <w:color w:val="auto"/>
        </w:rPr>
        <w:t>Section 2.05(a)(v) as well as activities of the Auction Agent.</w:t>
      </w:r>
    </w:p>
    <w:p>
      <w:pPr>
        <w:spacing w:after="0" w:line="196" w:lineRule="exact"/>
        <w:rPr>
          <w:sz w:val="20"/>
          <w:szCs w:val="20"/>
          <w:color w:val="auto"/>
        </w:rPr>
      </w:pPr>
    </w:p>
    <w:p>
      <w:pPr>
        <w:jc w:val="both"/>
        <w:ind w:left="1048" w:right="40" w:firstLine="654"/>
        <w:spacing w:after="0" w:line="217" w:lineRule="auto"/>
        <w:tabs>
          <w:tab w:leader="none" w:pos="2442" w:val="left"/>
        </w:tabs>
        <w:numPr>
          <w:ilvl w:val="3"/>
          <w:numId w:val="101"/>
        </w:numPr>
        <w:rPr>
          <w:rFonts w:ascii="Arial" w:cs="Arial" w:eastAsia="Arial" w:hAnsi="Arial"/>
          <w:sz w:val="18"/>
          <w:szCs w:val="18"/>
          <w:color w:val="010000"/>
        </w:rPr>
      </w:pPr>
      <w:r>
        <w:rPr>
          <w:rFonts w:ascii="Arial" w:cs="Arial" w:eastAsia="Arial" w:hAnsi="Arial"/>
          <w:sz w:val="18"/>
          <w:szCs w:val="18"/>
          <w:color w:val="auto"/>
        </w:rPr>
        <w:t>Each Borrower Party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(and if such offer is revoked pursuant to the preceding clauses, any failure by such Borrower Party to make any prepayment to a Lender, as applicable, pursuant to this Section 2.05(a)(v) shall not constitute a Default or Event of Default under Section 8.01 or otherwise).</w:t>
      </w:r>
    </w:p>
    <w:p>
      <w:pPr>
        <w:spacing w:after="0" w:line="188" w:lineRule="exact"/>
        <w:rPr>
          <w:rFonts w:ascii="Arial" w:cs="Arial" w:eastAsia="Arial" w:hAnsi="Arial"/>
          <w:sz w:val="18"/>
          <w:szCs w:val="18"/>
          <w:color w:val="010000"/>
        </w:rPr>
      </w:pPr>
    </w:p>
    <w:p>
      <w:pPr>
        <w:jc w:val="both"/>
        <w:ind w:left="648" w:right="40" w:firstLine="648"/>
        <w:spacing w:after="0" w:line="230" w:lineRule="auto"/>
        <w:tabs>
          <w:tab w:leader="none" w:pos="1800" w:val="left"/>
        </w:tabs>
        <w:numPr>
          <w:ilvl w:val="2"/>
          <w:numId w:val="102"/>
        </w:numPr>
        <w:rPr>
          <w:rFonts w:ascii="Arial" w:cs="Arial" w:eastAsia="Arial" w:hAnsi="Arial"/>
          <w:sz w:val="17"/>
          <w:szCs w:val="17"/>
          <w:color w:val="010000"/>
        </w:rPr>
      </w:pPr>
      <w:r>
        <w:rPr>
          <w:rFonts w:ascii="Arial" w:cs="Arial" w:eastAsia="Arial" w:hAnsi="Arial"/>
          <w:sz w:val="17"/>
          <w:szCs w:val="17"/>
          <w:color w:val="auto"/>
        </w:rPr>
        <w:t>Notwithstanding the foregoing, in the event that, prior to the date that is the six month anniversary of the Closing Date, any Borrower (x) voluntarily prepays, repays, refinances, substitutes or replaces any Term B Loans pursuant to a Repricing Transaction or makes any prepayment pursuant to Section 2.05(b)(iii) or (iv) that constitutes a Repricing Transaction, or (y) effects any amendment of this Agreement resulting in a Repricing Transaction, the Borrowers shall pay to the Administrative Agent, for the ratable account of each of the applicable Term Lenders, (I) in the case of clause (x), a prepayment fee of 1.00% of the aggregate principal amount of the Term B Loans so prepaid, repaid, refinanced, substituted or replaced and (II) in the case of clause (y), a fee equal to 1.00% of the aggregate principal amount of the applicable Term B Loans outstanding immediately prior to such amendment that is subject to such Repricing Transaction. Such amounts shall be due and payable on the date of effectiveness of such Repricing Transaction.</w:t>
      </w:r>
    </w:p>
    <w:p>
      <w:pPr>
        <w:spacing w:after="0" w:line="188" w:lineRule="exact"/>
        <w:rPr>
          <w:rFonts w:ascii="Arial" w:cs="Arial" w:eastAsia="Arial" w:hAnsi="Arial"/>
          <w:sz w:val="17"/>
          <w:szCs w:val="17"/>
          <w:color w:val="010000"/>
        </w:rPr>
      </w:pPr>
    </w:p>
    <w:p>
      <w:pPr>
        <w:jc w:val="both"/>
        <w:ind w:left="8" w:right="40" w:firstLine="639"/>
        <w:spacing w:after="0" w:line="223" w:lineRule="auto"/>
        <w:tabs>
          <w:tab w:leader="none" w:pos="1161" w:val="left"/>
        </w:tabs>
        <w:numPr>
          <w:ilvl w:val="1"/>
          <w:numId w:val="103"/>
        </w:numPr>
        <w:rPr>
          <w:rFonts w:ascii="Arial" w:cs="Arial" w:eastAsia="Arial" w:hAnsi="Arial"/>
          <w:sz w:val="17"/>
          <w:szCs w:val="17"/>
          <w:color w:val="010000"/>
        </w:rPr>
      </w:pPr>
      <w:r>
        <w:rPr>
          <w:rFonts w:ascii="Arial" w:cs="Arial" w:eastAsia="Arial" w:hAnsi="Arial"/>
          <w:sz w:val="17"/>
          <w:szCs w:val="17"/>
          <w:i w:val="1"/>
          <w:iCs w:val="1"/>
          <w:color w:val="auto"/>
        </w:rPr>
        <w:t>Mandatory</w:t>
      </w:r>
      <w:r>
        <w:rPr>
          <w:rFonts w:ascii="Arial" w:cs="Arial" w:eastAsia="Arial" w:hAnsi="Arial"/>
          <w:sz w:val="17"/>
          <w:szCs w:val="17"/>
          <w:color w:val="auto"/>
        </w:rPr>
        <w:t>. (i) Commencing with the fiscal year ended December 31, 2022, within five (5) Business Days after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Certificate for such fiscal year has been delivered pursuant to Section 6.02(a) (such date, the “</w:t>
      </w:r>
      <w:r>
        <w:rPr>
          <w:rFonts w:ascii="Arial" w:cs="Arial" w:eastAsia="Arial" w:hAnsi="Arial"/>
          <w:sz w:val="17"/>
          <w:szCs w:val="17"/>
          <w:b w:val="1"/>
          <w:bCs w:val="1"/>
          <w:color w:val="auto"/>
        </w:rPr>
        <w:t>ECF Payment Date</w:t>
      </w:r>
      <w:r>
        <w:rPr>
          <w:rFonts w:ascii="Arial" w:cs="Arial" w:eastAsia="Arial" w:hAnsi="Arial"/>
          <w:sz w:val="17"/>
          <w:szCs w:val="17"/>
          <w:color w:val="auto"/>
        </w:rPr>
        <w:t xml:space="preserve">”), the Borrowers shall, subject to clause (b)(vii) of this Section 2.05, cause to be prepaid an aggregate principal amount of Term Loans in an amount equal to (A) the Applicable ECF Percentage of Excess Cash Flow, if any, for the fiscal year covered by such financial statements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(1) all voluntary prepayments or repurchases in cash of (x) Term Loans or Incremental Equivalent Debt secured by any Applicable Lien or other Indebtedness constituting First Lien Obligations (other than Indebtedness described in clause (2)), or (y) any refinancing, replacement or extension of any of the foregoing (in each case, including any debt buyback conducted pursuant to a Dutch auction or open market purchase), in each case, during such fiscal year (to the extent not deducted from Excess Cash Flow in any prior period or pursuant to this clause (B) in the prior year) or after such fiscal year-end and prior to the ECF Payment Date (limited in the case of any voluntary prepayments made pursuant to Section 2.05(a)(v) or Section 10.07(l), and in the case of repurchases of Indebtedness made at a discount to par, to the discounted amount actually paid in cash in respect of the principal amount of Term Loans or other Indebtedness (as opposed to the face amount so prepaid or repurchased)), (2) all voluntary prepayments of ABL Revolving Loans, Revolving Credit Loans and other revolving loans constituting First Lien Obligations during such fiscal year (to the extent not deducted from Excess Cash Flow in any prior period or this clause (B) in the prior year) or after year-end and prior to the ECF Payment Date, to the extent the ABL Revolving Credit Commitments, the Revolving Credit Commitments or revolving commitments in respect of such other revolving loans, as the case may be, are permanently reduced by the amount of such payments,</w:t>
      </w:r>
    </w:p>
    <w:p>
      <w:pPr>
        <w:spacing w:after="0" w:line="5" w:lineRule="exact"/>
        <w:rPr>
          <w:rFonts w:ascii="Arial" w:cs="Arial" w:eastAsia="Arial" w:hAnsi="Arial"/>
          <w:sz w:val="17"/>
          <w:szCs w:val="17"/>
          <w:color w:val="010000"/>
        </w:rPr>
      </w:pPr>
    </w:p>
    <w:p>
      <w:pPr>
        <w:jc w:val="both"/>
        <w:ind w:left="8" w:right="40" w:hanging="8"/>
        <w:spacing w:after="0" w:line="213" w:lineRule="auto"/>
        <w:tabs>
          <w:tab w:leader="none" w:pos="2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of Investments (other than Investments in the Borrowers or any of its Restricted Subsidiaries) made in cash during such period, and including, in each case, the payment of any related earnout or similar payment related to any such Investment during such fiscal year (to the extent not deducted from Excess Cash Flow in any prior period or this clause (B) in the prior year) or after year-end and prior to the ECF Payment Date and (4) the amount of Restricted Payments (other than Restricted Payments made in reliance on Section 7.06(a) and 7.06(b)(xviii)) paid in cash during such period to any Person that is not the Parent Borrower or a Restricted Subsidiary (including, in each case, the payment of any related earnout or similar payment related to any such</w:t>
      </w:r>
    </w:p>
    <w:p>
      <w:pPr>
        <w:sectPr>
          <w:pgSz w:w="11900" w:h="16838" w:orient="portrait"/>
          <w:cols w:equalWidth="0" w:num="1">
            <w:col w:w="10928"/>
          </w:cols>
          <w:pgMar w:left="472" w:top="1440" w:right="499" w:bottom="1440" w:gutter="0" w:footer="0" w:header="0"/>
        </w:sectPr>
      </w:pPr>
    </w:p>
    <w:bookmarkStart w:id="128" w:name="page129"/>
    <w:bookmarkEnd w:id="128"/>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Restricted Investment) during such fiscal year (to the extent not deducted from Excess Cash Flow in any prior period or this clause (B) in the prior year) or after year-end and prior to the ECF Payment Date and, in the case of each of the immediately preceding clauses (B)(1) through (B)(4), except to the extent such payments are funded with the proceeds of long-term Indebtedness (other than revolving Indebtedness) of a Borrower or any of its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prepayment of Term Loans pursuant to this Section 2.05(b)(i) in respect of any fiscal year shall only be required in the amount (if any) by which aggregate amount that would otherwise be due for such fiscal year exceeds $15,000,000;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to the extent the sum of the amounts specified in clause (B) exceed the prepayments required to be made pursuant to clause (A), the full amount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such excess shall carry over and be deducted from required payments in subsequent years until such time as no excess remains.</w:t>
      </w:r>
    </w:p>
    <w:p>
      <w:pPr>
        <w:spacing w:after="0" w:line="196" w:lineRule="exact"/>
        <w:rPr>
          <w:sz w:val="20"/>
          <w:szCs w:val="20"/>
          <w:color w:val="auto"/>
        </w:rPr>
      </w:pPr>
    </w:p>
    <w:p>
      <w:pPr>
        <w:jc w:val="both"/>
        <w:ind w:left="640" w:firstLine="647"/>
        <w:spacing w:after="0" w:line="236" w:lineRule="auto"/>
        <w:tabs>
          <w:tab w:leader="none" w:pos="1793" w:val="left"/>
        </w:tabs>
        <w:numPr>
          <w:ilvl w:val="1"/>
          <w:numId w:val="105"/>
        </w:numPr>
        <w:rPr>
          <w:rFonts w:ascii="Arial" w:cs="Arial" w:eastAsia="Arial" w:hAnsi="Arial"/>
          <w:sz w:val="16"/>
          <w:szCs w:val="16"/>
          <w:color w:val="010000"/>
        </w:rPr>
      </w:pPr>
      <w:r>
        <w:rPr>
          <w:rFonts w:ascii="Arial" w:cs="Arial" w:eastAsia="Arial" w:hAnsi="Arial"/>
          <w:sz w:val="16"/>
          <w:szCs w:val="16"/>
          <w:color w:val="auto"/>
        </w:rPr>
        <w:t>If any Borrower or any of its Restricted Subsidiaries Disposes of any property or assets (other than any Disposition of any property or assets permitted by Section 7.05(a), (b), (c), (d), (e), (f) (except as set forth in the proviso thereof), (g), (h), (i), (k), (l), (m), (n), (o), (p), (q), (r), (s), (t), (u), (v), (w), (x), (z), (y) or (aa)) or (2) any Casualty Event occurs, which results in the receipt by any Borrower or any of its Restricted Subsidiaries of Net Proceeds, the Borrowers shall cause to be prepaid on or prior to the date which is ten (10) Business Days after the date of the receipt by any Borrower or such Restricted Subsidiary of such Net Proceeds (or if the Parent Borrower or any Restricted Subsidiary intends to use proceeds of any such non-excluded Disposition within the applicable Reinvestment Period or has contractually committed prior to the last day of such Reinvestment Period to use such proceeds, in each case in accordance with the first proviso in clause</w:t>
      </w:r>
    </w:p>
    <w:p>
      <w:pPr>
        <w:spacing w:after="0" w:line="5" w:lineRule="exact"/>
        <w:rPr>
          <w:rFonts w:ascii="Arial" w:cs="Arial" w:eastAsia="Arial" w:hAnsi="Arial"/>
          <w:sz w:val="16"/>
          <w:szCs w:val="16"/>
          <w:color w:val="010000"/>
        </w:rPr>
      </w:pPr>
    </w:p>
    <w:p>
      <w:pPr>
        <w:ind w:left="880" w:hanging="241"/>
        <w:spacing w:after="0"/>
        <w:tabs>
          <w:tab w:leader="none" w:pos="8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of the definition of Net Proceeds, the Borrowers shall cause to be prepaid any such proceeds constituting Net Proceeds in accordance with</w:t>
      </w:r>
    </w:p>
    <w:p>
      <w:pPr>
        <w:ind w:left="640"/>
        <w:spacing w:after="0" w:line="235" w:lineRule="auto"/>
        <w:rPr>
          <w:sz w:val="20"/>
          <w:szCs w:val="20"/>
          <w:color w:val="auto"/>
        </w:rPr>
      </w:pPr>
      <w:r>
        <w:rPr>
          <w:rFonts w:ascii="Arial" w:cs="Arial" w:eastAsia="Arial" w:hAnsi="Arial"/>
          <w:sz w:val="16"/>
          <w:szCs w:val="16"/>
          <w:color w:val="auto"/>
        </w:rPr>
        <w:t>such proviso on or prior to the date which is ten (10) Business Days after the expiration of such Reinvestment Period), subject to clause (b)</w:t>
      </w:r>
    </w:p>
    <w:p>
      <w:pPr>
        <w:ind w:left="1000" w:hanging="361"/>
        <w:spacing w:after="0"/>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of this Section 2.05, an aggregate principal amount of Term Loans in an amount equal to 100% of all such Net Proceeds received.</w:t>
      </w:r>
    </w:p>
    <w:p>
      <w:pPr>
        <w:spacing w:after="0" w:line="220" w:lineRule="exact"/>
        <w:rPr>
          <w:rFonts w:ascii="Arial" w:cs="Arial" w:eastAsia="Arial" w:hAnsi="Arial"/>
          <w:sz w:val="17"/>
          <w:szCs w:val="17"/>
          <w:color w:val="auto"/>
        </w:rPr>
      </w:pPr>
    </w:p>
    <w:p>
      <w:pPr>
        <w:jc w:val="both"/>
        <w:ind w:left="640" w:right="40" w:firstLine="648"/>
        <w:spacing w:after="0" w:line="254" w:lineRule="auto"/>
        <w:tabs>
          <w:tab w:leader="none" w:pos="1792" w:val="left"/>
        </w:tabs>
        <w:numPr>
          <w:ilvl w:val="1"/>
          <w:numId w:val="107"/>
        </w:numPr>
        <w:rPr>
          <w:rFonts w:ascii="Arial" w:cs="Arial" w:eastAsia="Arial" w:hAnsi="Arial"/>
          <w:sz w:val="16"/>
          <w:szCs w:val="16"/>
          <w:color w:val="010000"/>
        </w:rPr>
      </w:pPr>
      <w:r>
        <w:rPr>
          <w:rFonts w:ascii="Arial" w:cs="Arial" w:eastAsia="Arial" w:hAnsi="Arial"/>
          <w:sz w:val="16"/>
          <w:szCs w:val="16"/>
          <w:color w:val="auto"/>
        </w:rPr>
        <w:t>If any Borrower or any of its Restricted Subsidiaries incurs or issues any Indebtedness, Disqualified Equity Interests or Preferred Stock from and after the Closing Date not permitted to be incurred or issued pursuant to Section 7.03, the Borrowers shall cause to be prepaid an aggregate principal amount of Term Loans in an amount equal to 100% of all Net Proceeds received therefrom on or prior to the date which is five (5) Business Days after the receipt by such Borrower or such Restricted Subsidiary of such Net Proceeds.</w:t>
      </w:r>
    </w:p>
    <w:p>
      <w:pPr>
        <w:spacing w:after="0" w:line="179" w:lineRule="exact"/>
        <w:rPr>
          <w:rFonts w:ascii="Arial" w:cs="Arial" w:eastAsia="Arial" w:hAnsi="Arial"/>
          <w:sz w:val="16"/>
          <w:szCs w:val="16"/>
          <w:color w:val="010000"/>
        </w:rPr>
      </w:pPr>
    </w:p>
    <w:p>
      <w:pPr>
        <w:jc w:val="both"/>
        <w:ind w:left="640" w:firstLine="648"/>
        <w:spacing w:after="0" w:line="215" w:lineRule="auto"/>
        <w:tabs>
          <w:tab w:leader="none" w:pos="1792"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If any Borrower incurs or issues any Refinancing Term Loans, Refinancing Revolving Loans or Refinancing Equivalent Debt to refinance any Class (or Classes) of Loans resulting in Net Proceeds (as opposed to such Refinancing Term Loans, Refinancing Revolving Loans or Refinancing Equivalent Debt arising out of an exchange of existing Term Loans or Revolving Credit Loans for such Refinancing Term Loans, Refinancing Revolving Loans or Refinancing Equivalent Debt), the Borrowers shall cause to be prepaid an aggregate principal amount of such Class (or Classes) of Loans so refinanced in an amount equal to 100% of all Net Proceeds (other than any amounts applied to accrued and unpaid interest, tender premium, prepayment penalty or premium on the applicable Refinanced Debt or to defeasance costs and any fees and expenses (including original issue discount, upfront fees or similar fees) incurred in connection with the issuance of such new Indebtedness) received therefrom on or prior to the date which is five (5) Business Days after the receipt by the Borrowers of such Net Proceeds.</w:t>
      </w:r>
    </w:p>
    <w:p>
      <w:pPr>
        <w:spacing w:after="0" w:line="194" w:lineRule="exact"/>
        <w:rPr>
          <w:rFonts w:ascii="Arial" w:cs="Arial" w:eastAsia="Arial" w:hAnsi="Arial"/>
          <w:sz w:val="18"/>
          <w:szCs w:val="18"/>
          <w:color w:val="010000"/>
        </w:rPr>
      </w:pPr>
    </w:p>
    <w:p>
      <w:pPr>
        <w:ind w:left="1980" w:hanging="692"/>
        <w:spacing w:after="0"/>
        <w:tabs>
          <w:tab w:leader="none" w:pos="1980"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left="640" w:right="20" w:firstLine="648"/>
        <w:spacing w:after="0" w:line="217" w:lineRule="auto"/>
        <w:tabs>
          <w:tab w:leader="none" w:pos="1792"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Each prepayment of Term Loans pursuant to this Section 2.05(b), (A) shall be applied either (x) ratably to each Class of Term Loans then outstanding, except that the Borrowers may direct that any proceeds of Refinancing Term Loans, Refinancing Revolving Loans or Refinancing Equivalent Debt shall be applied to the Class or Classes of Term Loans being refinanced as selected by the Borrowers or (y) as requested by the Borrowers in the notice delivered pursuant to clause (vii) below, to any Class or Classes of Term Loans with an earlier Maturity Date as compared with the remaining Classes of Term Loans then outstanding, (B) shall be applied, with respect to each such Class for which prepayments will be made, in a manner determined at the discretion of the Borrowers in the applicable notice and, if not specified, in direct</w:t>
      </w:r>
    </w:p>
    <w:p>
      <w:pPr>
        <w:sectPr>
          <w:pgSz w:w="11900" w:h="16838" w:orient="portrait"/>
          <w:cols w:equalWidth="0" w:num="1">
            <w:col w:w="10920"/>
          </w:cols>
          <w:pgMar w:left="480" w:top="1440" w:right="499" w:bottom="1440" w:gutter="0" w:footer="0" w:header="0"/>
        </w:sectPr>
      </w:pPr>
    </w:p>
    <w:bookmarkStart w:id="129" w:name="page130"/>
    <w:bookmarkEnd w:id="129"/>
    <w:p>
      <w:pPr>
        <w:spacing w:after="0" w:line="211" w:lineRule="exact"/>
        <w:rPr>
          <w:sz w:val="20"/>
          <w:szCs w:val="20"/>
          <w:color w:val="auto"/>
        </w:rPr>
      </w:pPr>
    </w:p>
    <w:p>
      <w:pPr>
        <w:jc w:val="both"/>
        <w:ind w:left="1"/>
        <w:spacing w:after="0" w:line="241" w:lineRule="auto"/>
        <w:rPr>
          <w:sz w:val="20"/>
          <w:szCs w:val="20"/>
          <w:color w:val="auto"/>
        </w:rPr>
      </w:pPr>
      <w:r>
        <w:rPr>
          <w:rFonts w:ascii="Arial" w:cs="Arial" w:eastAsia="Arial" w:hAnsi="Arial"/>
          <w:sz w:val="16"/>
          <w:szCs w:val="16"/>
          <w:color w:val="auto"/>
        </w:rPr>
        <w:t>order of maturity to repayments thereof required pursuant to Section 2.07(a) (for the avoidance of doubt, such application shall be unaffected by whether or not there are any Declined Proceeds resulting from such mandatory prepayment) and (C) shall be paid to the Appropriate Lenders in accordance with their respective Pro Rata Share (or other applicable share provided by this Agreement) of each such Class of Term</w:t>
      </w:r>
    </w:p>
    <w:p>
      <w:pPr>
        <w:spacing w:after="0" w:line="2" w:lineRule="exact"/>
        <w:rPr>
          <w:sz w:val="20"/>
          <w:szCs w:val="20"/>
          <w:color w:val="auto"/>
        </w:rPr>
      </w:pPr>
    </w:p>
    <w:p>
      <w:pPr>
        <w:jc w:val="both"/>
        <w:ind w:left="1"/>
        <w:spacing w:after="0" w:line="234" w:lineRule="auto"/>
        <w:rPr>
          <w:sz w:val="20"/>
          <w:szCs w:val="20"/>
          <w:color w:val="auto"/>
        </w:rPr>
      </w:pPr>
      <w:r>
        <w:rPr>
          <w:rFonts w:ascii="Arial" w:cs="Arial" w:eastAsia="Arial" w:hAnsi="Arial"/>
          <w:sz w:val="16"/>
          <w:szCs w:val="16"/>
          <w:color w:val="auto"/>
        </w:rPr>
        <w:t>Loans, subject to clause (vii) of this Section 2.05(b). Notwithstanding clause (A) above, any Incremental Amendment, Refinancing Amendment or Extension Amendment may provide (including on an optional basis as elected by the Borrowers) for a less than ratable application of prepayments to any Class of Term Loans established thereunder. Notwithstanding any other provision herein, if at the time that</w:t>
      </w:r>
    </w:p>
    <w:p>
      <w:pPr>
        <w:spacing w:after="0" w:line="2" w:lineRule="exact"/>
        <w:rPr>
          <w:sz w:val="20"/>
          <w:szCs w:val="20"/>
          <w:color w:val="auto"/>
        </w:rPr>
      </w:pPr>
    </w:p>
    <w:p>
      <w:pPr>
        <w:jc w:val="both"/>
        <w:ind w:left="1"/>
        <w:spacing w:after="0" w:line="234" w:lineRule="auto"/>
        <w:rPr>
          <w:sz w:val="20"/>
          <w:szCs w:val="20"/>
          <w:color w:val="auto"/>
        </w:rPr>
      </w:pPr>
      <w:r>
        <w:rPr>
          <w:rFonts w:ascii="Arial" w:cs="Arial" w:eastAsia="Arial" w:hAnsi="Arial"/>
          <w:sz w:val="16"/>
          <w:szCs w:val="16"/>
          <w:color w:val="auto"/>
        </w:rPr>
        <w:t xml:space="preserve">any such prepayment under Section 2.05(b)(i) or (b)(ii) would be required, any Borrower (or any of its Restricted Subsidiaries) is required to prepay or offer to repurchase Indebtedness that is secured by Liens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respect of the Term Loan Priority Collateral with Liens securing the Obligations pursuant to the terms of the documentation governing such Indebtedness with Excess Cash Flow or the Net</w:t>
      </w:r>
    </w:p>
    <w:p>
      <w:pPr>
        <w:spacing w:after="0" w:line="2" w:lineRule="exact"/>
        <w:rPr>
          <w:sz w:val="20"/>
          <w:szCs w:val="20"/>
          <w:color w:val="auto"/>
        </w:rPr>
      </w:pPr>
    </w:p>
    <w:p>
      <w:pPr>
        <w:jc w:val="both"/>
        <w:ind w:left="1"/>
        <w:spacing w:after="0" w:line="234" w:lineRule="auto"/>
        <w:rPr>
          <w:sz w:val="20"/>
          <w:szCs w:val="20"/>
          <w:color w:val="auto"/>
        </w:rPr>
      </w:pPr>
      <w:r>
        <w:rPr>
          <w:rFonts w:ascii="Arial" w:cs="Arial" w:eastAsia="Arial" w:hAnsi="Arial"/>
          <w:sz w:val="16"/>
          <w:szCs w:val="16"/>
          <w:color w:val="auto"/>
        </w:rPr>
        <w:t>Proceeds of such Disposition or Casualty Event (such Indebtedness required to be offered to be so repurchased, “</w:t>
      </w:r>
      <w:r>
        <w:rPr>
          <w:rFonts w:ascii="Arial" w:cs="Arial" w:eastAsia="Arial" w:hAnsi="Arial"/>
          <w:sz w:val="16"/>
          <w:szCs w:val="16"/>
          <w:b w:val="1"/>
          <w:bCs w:val="1"/>
          <w:color w:val="auto"/>
        </w:rPr>
        <w:t>Other 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Indebtedness</w:t>
      </w:r>
      <w:r>
        <w:rPr>
          <w:rFonts w:ascii="Arial" w:cs="Arial" w:eastAsia="Arial" w:hAnsi="Arial"/>
          <w:sz w:val="16"/>
          <w:szCs w:val="16"/>
          <w:color w:val="auto"/>
        </w:rPr>
        <w:t>”), then the Borrowers may apply such Excess Cash Flow or Net Proceeds on a pro rata basis (determined on the basis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aggregate outstanding principal amount of the Term Loans and Other Applicable Indebtedness required to be so prepaid at such time; </w:t>
      </w:r>
      <w:r>
        <w:rPr>
          <w:rFonts w:ascii="Arial" w:cs="Arial" w:eastAsia="Arial" w:hAnsi="Arial"/>
          <w:sz w:val="16"/>
          <w:szCs w:val="16"/>
          <w:i w:val="1"/>
          <w:iCs w:val="1"/>
          <w:color w:val="auto"/>
        </w:rPr>
        <w:t>provided</w:t>
      </w:r>
    </w:p>
    <w:p>
      <w:pPr>
        <w:spacing w:after="0" w:line="2" w:lineRule="exact"/>
        <w:rPr>
          <w:sz w:val="20"/>
          <w:szCs w:val="20"/>
          <w:color w:val="auto"/>
        </w:rPr>
      </w:pPr>
    </w:p>
    <w:p>
      <w:pPr>
        <w:jc w:val="both"/>
        <w:ind w:left="1"/>
        <w:spacing w:after="0" w:line="233" w:lineRule="auto"/>
        <w:rPr>
          <w:sz w:val="20"/>
          <w:szCs w:val="20"/>
          <w:color w:val="auto"/>
        </w:rPr>
      </w:pPr>
      <w:r>
        <w:rPr>
          <w:rFonts w:ascii="Arial" w:cs="Arial" w:eastAsia="Arial" w:hAnsi="Arial"/>
          <w:sz w:val="16"/>
          <w:szCs w:val="16"/>
          <w:color w:val="auto"/>
        </w:rPr>
        <w:t>that the portion of such Excess Cash Flow or Net Proceeds allocated to the Other Applicable Indebtedness shall not exceed the amount of such Excess Cash Flow or Net Proceeds required to be allocated to the Other Applicable Indebtedness pursuant to the terms thereof, and the remaining amount, if any, of such Excess Cash Flow or such Net Proceeds shall be allocated to the Term Loans in accordance with the terms hereof) to the prepayment of the Term Loans and to the repurchase or prepayment of Other Applicable Indebtedness, and the amount of</w:t>
      </w:r>
    </w:p>
    <w:p>
      <w:pPr>
        <w:spacing w:after="0" w:line="1" w:lineRule="exact"/>
        <w:rPr>
          <w:sz w:val="20"/>
          <w:szCs w:val="20"/>
          <w:color w:val="auto"/>
        </w:rPr>
      </w:pPr>
    </w:p>
    <w:p>
      <w:pPr>
        <w:jc w:val="both"/>
        <w:ind w:left="1"/>
        <w:spacing w:after="0" w:line="234" w:lineRule="auto"/>
        <w:rPr>
          <w:sz w:val="20"/>
          <w:szCs w:val="20"/>
          <w:color w:val="auto"/>
        </w:rPr>
      </w:pPr>
      <w:r>
        <w:rPr>
          <w:rFonts w:ascii="Arial" w:cs="Arial" w:eastAsia="Arial" w:hAnsi="Arial"/>
          <w:sz w:val="16"/>
          <w:szCs w:val="16"/>
          <w:color w:val="auto"/>
        </w:rPr>
        <w:t xml:space="preserve">prepayment of the Term Loans that would have otherwise been required pursuant to Section 2.05(b)(i) or 2.05(b)(ii), as applicable, shall be reduced accordingly;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to the extent the holders of Other Applicable Indebtedness decline to have such indebtedness repurchased or prepaid, the declined amount shall promptly (and in any event within ten (10) Business Days after the date of such rejection)</w:t>
      </w:r>
    </w:p>
    <w:p>
      <w:pPr>
        <w:spacing w:after="0" w:line="2" w:lineRule="exact"/>
        <w:rPr>
          <w:sz w:val="20"/>
          <w:szCs w:val="20"/>
          <w:color w:val="auto"/>
        </w:rPr>
      </w:pPr>
    </w:p>
    <w:p>
      <w:pPr>
        <w:ind w:left="1"/>
        <w:spacing w:after="0"/>
        <w:rPr>
          <w:sz w:val="20"/>
          <w:szCs w:val="20"/>
          <w:color w:val="auto"/>
        </w:rPr>
      </w:pPr>
      <w:r>
        <w:rPr>
          <w:rFonts w:ascii="Arial" w:cs="Arial" w:eastAsia="Arial" w:hAnsi="Arial"/>
          <w:sz w:val="18"/>
          <w:szCs w:val="18"/>
          <w:color w:val="auto"/>
        </w:rPr>
        <w:t>be applied to prepay the Term Loans in accordance with the terms hereof without giving effect to this sentence.</w:t>
      </w:r>
    </w:p>
    <w:p>
      <w:pPr>
        <w:spacing w:after="0" w:line="209" w:lineRule="exact"/>
        <w:rPr>
          <w:sz w:val="20"/>
          <w:szCs w:val="20"/>
          <w:color w:val="auto"/>
        </w:rPr>
      </w:pPr>
    </w:p>
    <w:p>
      <w:pPr>
        <w:jc w:val="both"/>
        <w:ind w:left="1" w:firstLine="647"/>
        <w:spacing w:after="0" w:line="236" w:lineRule="auto"/>
        <w:tabs>
          <w:tab w:leader="none" w:pos="1154" w:val="left"/>
        </w:tabs>
        <w:numPr>
          <w:ilvl w:val="1"/>
          <w:numId w:val="108"/>
        </w:numPr>
        <w:rPr>
          <w:rFonts w:ascii="Arial" w:cs="Arial" w:eastAsia="Arial" w:hAnsi="Arial"/>
          <w:sz w:val="16"/>
          <w:szCs w:val="16"/>
          <w:color w:val="010000"/>
        </w:rPr>
      </w:pPr>
      <w:r>
        <w:rPr>
          <w:rFonts w:ascii="Arial" w:cs="Arial" w:eastAsia="Arial" w:hAnsi="Arial"/>
          <w:sz w:val="16"/>
          <w:szCs w:val="16"/>
          <w:color w:val="auto"/>
        </w:rPr>
        <w:t>The Administrative Borrower shall notify the Administrative Agent in writing of any mandatory prepayment of Term Loans required to be made by it pursuant to clauses (i) through (iv) of this Section 2.05(b) at least three (3) Business Days prior to the date of such prepayment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(ii) or (iv) of this Section 2.05(b), the Administrative Borrower may rescind (or delay the date of prepayment identified in) such notice if such prepayment would have resulted from a refinancing of all or any portion of the applicable Facility or other conditional event, which refinancing or other conditional event shall not be consummated or shall otherwise be delayed). Each such notice shall specify the date of such prepayment and provide a reasonably detailed calculation of the aggregate amount of such prepayment to be made by the Borrowers. The Administrative Agent will promptly notify each Appropriate Lender of the contents of the Administrative Borrower’s prepayment notice and of such Appropriate Lender’s Pro Rata Share or other applicable share provided for in this Agreement of the prepayment. Each Term Lender may reject all of its Pro Rata Share or other applicable share provided for in this Agreement of any mandatory prepayment (such declined amounts, the “</w:t>
      </w:r>
      <w:r>
        <w:rPr>
          <w:rFonts w:ascii="Arial" w:cs="Arial" w:eastAsia="Arial" w:hAnsi="Arial"/>
          <w:sz w:val="16"/>
          <w:szCs w:val="16"/>
          <w:b w:val="1"/>
          <w:bCs w:val="1"/>
          <w:color w:val="auto"/>
        </w:rPr>
        <w:t>Declined Proceeds</w:t>
      </w:r>
      <w:r>
        <w:rPr>
          <w:rFonts w:ascii="Arial" w:cs="Arial" w:eastAsia="Arial" w:hAnsi="Arial"/>
          <w:sz w:val="16"/>
          <w:szCs w:val="16"/>
          <w:color w:val="auto"/>
        </w:rPr>
        <w:t>”) of Term Loans required to be made pursuant to clauses (i),</w:t>
      </w:r>
    </w:p>
    <w:p>
      <w:pPr>
        <w:spacing w:after="0" w:line="2" w:lineRule="exact"/>
        <w:rPr>
          <w:rFonts w:ascii="Arial" w:cs="Arial" w:eastAsia="Arial" w:hAnsi="Arial"/>
          <w:sz w:val="16"/>
          <w:szCs w:val="16"/>
          <w:color w:val="010000"/>
        </w:rPr>
      </w:pPr>
    </w:p>
    <w:p>
      <w:pPr>
        <w:jc w:val="both"/>
        <w:ind w:left="1" w:hanging="1"/>
        <w:spacing w:after="0" w:line="241" w:lineRule="auto"/>
        <w:tabs>
          <w:tab w:leader="none" w:pos="31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and (iii) of this Section 2.05(b) by providing written notice (each, a “</w:t>
      </w:r>
      <w:r>
        <w:rPr>
          <w:rFonts w:ascii="Arial" w:cs="Arial" w:eastAsia="Arial" w:hAnsi="Arial"/>
          <w:sz w:val="16"/>
          <w:szCs w:val="16"/>
          <w:b w:val="1"/>
          <w:bCs w:val="1"/>
          <w:color w:val="auto"/>
        </w:rPr>
        <w:t>Rejection Notice</w:t>
      </w:r>
      <w:r>
        <w:rPr>
          <w:rFonts w:ascii="Arial" w:cs="Arial" w:eastAsia="Arial" w:hAnsi="Arial"/>
          <w:sz w:val="16"/>
          <w:szCs w:val="16"/>
          <w:color w:val="auto"/>
        </w:rPr>
        <w:t>”) to the Administrative Agent and the Administrative Borrower no later than 5:00 p.m. one Business Day after the date of such Lender’s receipt of notice from the Administrative Agent regarding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To the extent such non-declining Term Lenders elect to decline their Pro Rata Share of such Declined Proceeds, any Declined Proceeds remaining thereafter shall be retained by the Borrowers.</w:t>
      </w:r>
    </w:p>
    <w:p>
      <w:pPr>
        <w:spacing w:after="0" w:line="202" w:lineRule="exact"/>
        <w:rPr>
          <w:rFonts w:ascii="Arial" w:cs="Arial" w:eastAsia="Arial" w:hAnsi="Arial"/>
          <w:sz w:val="16"/>
          <w:szCs w:val="16"/>
          <w:color w:val="auto"/>
        </w:rPr>
      </w:pPr>
    </w:p>
    <w:p>
      <w:pPr>
        <w:ind w:left="1" w:right="40" w:firstLine="648"/>
        <w:spacing w:after="0" w:line="235" w:lineRule="auto"/>
        <w:tabs>
          <w:tab w:leader="none" w:pos="1153" w:val="left"/>
        </w:tabs>
        <w:numPr>
          <w:ilvl w:val="1"/>
          <w:numId w:val="109"/>
        </w:numPr>
        <w:rPr>
          <w:rFonts w:ascii="Arial" w:cs="Arial" w:eastAsia="Arial" w:hAnsi="Arial"/>
          <w:sz w:val="18"/>
          <w:szCs w:val="18"/>
          <w:color w:val="010000"/>
        </w:rPr>
      </w:pPr>
      <w:r>
        <w:rPr>
          <w:rFonts w:ascii="Arial" w:cs="Arial" w:eastAsia="Arial" w:hAnsi="Arial"/>
          <w:sz w:val="18"/>
          <w:szCs w:val="18"/>
          <w:i w:val="1"/>
          <w:iCs w:val="1"/>
          <w:color w:val="auto"/>
        </w:rPr>
        <w:t>Foreign Dispositions and Foreign Excess Cash Flow</w:t>
      </w:r>
      <w:r>
        <w:rPr>
          <w:rFonts w:ascii="Arial" w:cs="Arial" w:eastAsia="Arial" w:hAnsi="Arial"/>
          <w:sz w:val="18"/>
          <w:szCs w:val="18"/>
          <w:color w:val="auto"/>
        </w:rPr>
        <w:t>. Notwithstanding any other provisions of this Section 2.05, (i)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that any or all of the Net Proceeds of any Disposition by a</w:t>
      </w:r>
    </w:p>
    <w:p>
      <w:pPr>
        <w:sectPr>
          <w:pgSz w:w="11900" w:h="16838" w:orient="portrait"/>
          <w:cols w:equalWidth="0" w:num="1">
            <w:col w:w="10281"/>
          </w:cols>
          <w:pgMar w:left="1119" w:top="1440" w:right="499" w:bottom="1440" w:gutter="0" w:footer="0" w:header="0"/>
        </w:sectPr>
      </w:pPr>
    </w:p>
    <w:bookmarkStart w:id="130" w:name="page131"/>
    <w:bookmarkEnd w:id="130"/>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Foreign Subsidiary (“</w:t>
      </w:r>
      <w:r>
        <w:rPr>
          <w:rFonts w:ascii="Arial" w:cs="Arial" w:eastAsia="Arial" w:hAnsi="Arial"/>
          <w:sz w:val="16"/>
          <w:szCs w:val="16"/>
          <w:b w:val="1"/>
          <w:bCs w:val="1"/>
          <w:color w:val="auto"/>
        </w:rPr>
        <w:t>Foreign Disposition</w:t>
      </w:r>
      <w:r>
        <w:rPr>
          <w:rFonts w:ascii="Arial" w:cs="Arial" w:eastAsia="Arial" w:hAnsi="Arial"/>
          <w:sz w:val="16"/>
          <w:szCs w:val="16"/>
          <w:color w:val="auto"/>
        </w:rPr>
        <w:t>”), the Net Proceeds of any Casualty Event from a Foreign Subsidiary (a “</w:t>
      </w:r>
      <w:r>
        <w:rPr>
          <w:rFonts w:ascii="Arial" w:cs="Arial" w:eastAsia="Arial" w:hAnsi="Arial"/>
          <w:sz w:val="16"/>
          <w:szCs w:val="16"/>
          <w:b w:val="1"/>
          <w:bCs w:val="1"/>
          <w:color w:val="auto"/>
        </w:rPr>
        <w:t>Foreign Casualty</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or Excess Cash Flow attributable to Foreign Subsidiaries are prohibited, restricted or delayed by applicable local law (or, in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Foreign Subsidiary that is not wholly-owned by a Borrower, by such Foreign Subsidiary’s Organization Documents or other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(so long as such restrictions were not implemented for the purpose of avoiding mandatory prepayment requirements)) from being repatriated to the United States, an amount equal to the portion of such Net Proceeds or Excess Cash Flow so affected will not be required to be applied to repay Term Loans at the times provided in this Section 2.05(b) so long, but only so long, as the applicable local law or applicable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Organization Documents will not permit repatriation to the United States (each Borrower hereby agreeing to use commercially reasonable efforts to cause the applicable Foreign Subsidiary to promptly take all actions reasonably required by the applicable local law to permit such repatriation or otherwise overcome or eliminate any such restrictions on repatriation even if such Borrower does not intend to actually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repatriate such cash, so that an amount equal to the full amount of such Excess Cash Flow or Net Proceeds, as applicable, will otherwise be subject to repayment under this Section 2.05), and once such repatriation of any of such affected Net Proceeds or Excess Cash Flow is permitted under the applicable local law, an amount equal to such Net Proceeds or Excess Cash Flow will be promptly applied (net of</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additional taxes that are or would be payable or reserved against as a result thereof) to the repayment of the Term Loans pursuant to this Section 2.05(b) to the extent provided herein and (ii) to the extent that such Borrower has determined in good faith that repatriation of any of or all the Net Proceeds of any Foreign Disposition or any Foreign Casualty Event or Excess Cash Flow attributable to Foreign Subsidiaries would have adverse tax or regulatory consequences to the Borrowers or any of their direct or indirect shareholders or Subsidiaries (as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determined in good faith by such Borrower) an amount equal to such Net Proceeds or Excess Cash Flow so affected will not be required to be applied to repay Term Loans at the times provided in this Section 2.05(b). Notwithstanding anything to the contrary, nothing in this Agreement shall be construed to require any Foreign Subsidiary to repatriate cash to the United States.</w:t>
      </w:r>
    </w:p>
    <w:p>
      <w:pPr>
        <w:spacing w:after="0" w:line="203" w:lineRule="exact"/>
        <w:rPr>
          <w:sz w:val="20"/>
          <w:szCs w:val="20"/>
          <w:color w:val="auto"/>
        </w:rPr>
      </w:pPr>
    </w:p>
    <w:p>
      <w:pPr>
        <w:jc w:val="both"/>
        <w:ind w:left="-640" w:right="20" w:firstLine="640"/>
        <w:spacing w:after="0" w:line="219" w:lineRule="auto"/>
        <w:tabs>
          <w:tab w:leader="none" w:pos="512" w:val="left"/>
        </w:tabs>
        <w:numPr>
          <w:ilvl w:val="0"/>
          <w:numId w:val="110"/>
        </w:numPr>
        <w:rPr>
          <w:rFonts w:ascii="Arial" w:cs="Arial" w:eastAsia="Arial" w:hAnsi="Arial"/>
          <w:sz w:val="18"/>
          <w:szCs w:val="18"/>
          <w:color w:val="010000"/>
        </w:rPr>
      </w:pPr>
      <w:r>
        <w:rPr>
          <w:rFonts w:ascii="Arial" w:cs="Arial" w:eastAsia="Arial" w:hAnsi="Arial"/>
          <w:sz w:val="18"/>
          <w:szCs w:val="18"/>
          <w:i w:val="1"/>
          <w:iCs w:val="1"/>
          <w:color w:val="auto"/>
        </w:rPr>
        <w:t>Interest Funding Losses, Etc</w:t>
      </w:r>
      <w:r>
        <w:rPr>
          <w:rFonts w:ascii="Arial" w:cs="Arial" w:eastAsia="Arial" w:hAnsi="Arial"/>
          <w:sz w:val="18"/>
          <w:szCs w:val="18"/>
          <w:color w:val="auto"/>
        </w:rPr>
        <w:t>. (i) Except to the extent otherwise agreed by each Lender so being prepaid, all prepayments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any Revolving Credit Loan that is a Base Rate Loan) shall be accompanied by all accrued and unpaid interest thereon to but not including the date of such prepayment (which, in the case of prepayments pursuant to Section 2.05(a)(v)(F) shall be the accrued and unpaid interest on the par principal amount so prepaid up to, but not including, the applicable Discounted Prepayment Effective Date), together with, in the case of any such prepayment of a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on a date prior to the last day of an Interest Period therefor, any amounts owing in respect of such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pursuant to Section 3.05.</w:t>
      </w:r>
    </w:p>
    <w:p>
      <w:pPr>
        <w:spacing w:after="0" w:line="189" w:lineRule="exact"/>
        <w:rPr>
          <w:rFonts w:ascii="Arial" w:cs="Arial" w:eastAsia="Arial" w:hAnsi="Arial"/>
          <w:sz w:val="18"/>
          <w:szCs w:val="18"/>
          <w:color w:val="010000"/>
        </w:rPr>
      </w:pPr>
    </w:p>
    <w:p>
      <w:pPr>
        <w:jc w:val="both"/>
        <w:ind w:right="20" w:firstLine="648"/>
        <w:spacing w:after="0" w:line="226" w:lineRule="auto"/>
        <w:tabs>
          <w:tab w:leader="none" w:pos="1153" w:val="left"/>
        </w:tabs>
        <w:numPr>
          <w:ilvl w:val="1"/>
          <w:numId w:val="110"/>
        </w:numPr>
        <w:rPr>
          <w:rFonts w:ascii="Arial" w:cs="Arial" w:eastAsia="Arial" w:hAnsi="Arial"/>
          <w:sz w:val="17"/>
          <w:szCs w:val="17"/>
          <w:color w:val="010000"/>
        </w:rPr>
      </w:pPr>
      <w:r>
        <w:rPr>
          <w:rFonts w:ascii="Arial" w:cs="Arial" w:eastAsia="Arial" w:hAnsi="Arial"/>
          <w:sz w:val="17"/>
          <w:szCs w:val="17"/>
          <w:color w:val="auto"/>
        </w:rPr>
        <w:t xml:space="preserve">Notwithstanding any of the other provisions of this Section 2.05, so long as no Event of Default shall have occurred and be continuing, if any prepayment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is required to be made under this Section 2.05 (but excluding prepayments required under Section 2.05(b)(iv)), prior to the last day of the Interest Period therefor, in lieu of making any payment pursuant to this Section 2.05 in respect of any such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prior to the last day of the Interest Period therefor, the Borrowers may, in its sole discretion, irrevocably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any Borrower or any other Loan Party) to apply such amount to the prepayment of such Loans in accordance with this Section 2.05. Upon the occurrence and during the continuance of any Event of Default, the Administrative Agent shall also be authorized (without any further action by or notice to or from the Borrowers or any other Loan Party) to apply such amount to the prepayment of the outstanding Loans in accordance with the relevant provisions of this Section 2.05. Such deposit shall be deemed to be a prepayment of such Loans by the Borrowers for all purposes under this Agreement at the time of such prepayment.</w:t>
      </w:r>
    </w:p>
    <w:p>
      <w:pPr>
        <w:sectPr>
          <w:pgSz w:w="11900" w:h="16838" w:orient="portrait"/>
          <w:cols w:equalWidth="0" w:num="1">
            <w:col w:w="10280"/>
          </w:cols>
          <w:pgMar w:left="1120" w:top="1440" w:right="499" w:bottom="1440" w:gutter="0" w:footer="0" w:header="0"/>
        </w:sectPr>
      </w:pPr>
    </w:p>
    <w:bookmarkStart w:id="131" w:name="page132"/>
    <w:bookmarkEnd w:id="131"/>
    <w:p>
      <w:pPr>
        <w:spacing w:after="0" w:line="211" w:lineRule="exact"/>
        <w:rPr>
          <w:sz w:val="20"/>
          <w:szCs w:val="20"/>
          <w:color w:val="auto"/>
        </w:rPr>
      </w:pPr>
    </w:p>
    <w:p>
      <w:pPr>
        <w:ind w:left="1"/>
        <w:spacing w:after="0"/>
        <w:tabs>
          <w:tab w:leader="none" w:pos="1061"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color w:val="auto"/>
        </w:rPr>
        <w:t>Termination or Reduction of Commitments.</w:t>
      </w:r>
    </w:p>
    <w:p>
      <w:pPr>
        <w:spacing w:after="0" w:line="225" w:lineRule="exact"/>
        <w:rPr>
          <w:sz w:val="20"/>
          <w:szCs w:val="20"/>
          <w:color w:val="auto"/>
        </w:rPr>
      </w:pPr>
    </w:p>
    <w:p>
      <w:pPr>
        <w:jc w:val="both"/>
        <w:ind w:left="-639" w:right="20" w:firstLine="640"/>
        <w:spacing w:after="0" w:line="227" w:lineRule="auto"/>
        <w:tabs>
          <w:tab w:leader="none" w:pos="513" w:val="left"/>
        </w:tabs>
        <w:numPr>
          <w:ilvl w:val="0"/>
          <w:numId w:val="111"/>
        </w:numPr>
        <w:rPr>
          <w:rFonts w:ascii="Arial" w:cs="Arial" w:eastAsia="Arial" w:hAnsi="Arial"/>
          <w:sz w:val="17"/>
          <w:szCs w:val="17"/>
          <w:color w:val="010000"/>
        </w:rPr>
      </w:pPr>
      <w:r>
        <w:rPr>
          <w:rFonts w:ascii="Arial" w:cs="Arial" w:eastAsia="Arial" w:hAnsi="Arial"/>
          <w:sz w:val="17"/>
          <w:szCs w:val="17"/>
          <w:i w:val="1"/>
          <w:iCs w:val="1"/>
          <w:color w:val="auto"/>
        </w:rPr>
        <w:t>Optional</w:t>
      </w:r>
      <w:r>
        <w:rPr>
          <w:rFonts w:ascii="Arial" w:cs="Arial" w:eastAsia="Arial" w:hAnsi="Arial"/>
          <w:sz w:val="17"/>
          <w:szCs w:val="17"/>
          <w:color w:val="auto"/>
        </w:rPr>
        <w:t>. The Borrowers may, upon written notice to the Administrative Agent, terminate the unused Commitments of any Class,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time to time permanently reduce the unused Commitments of any Class, in each case without premium or penalty;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notice shall be received by the Administrative Agent at least 11:00 a.m. three (3) Business Days prior to the date of termination or reduction, (ii) any such partial reduction shall be in an aggregate amount of $1,000,000, or any whole multiple of $500,000 in excess thereof or, if less, the entire amount thereof and (iii) any termination or permanent reduction of any Revolving Credit Commitments pursuant to this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shall be applied as directed by the Borrower, including as to any Class of Extended Revolving Credit Commitments or existing Revolving Credit Commitments (including any Incremental Revolving Credit Commitments and Refinancing Revolving Credit Commitments). Notwithstanding the foregoing, the Administrative Borrower may rescind or postpone any notice of termination of any Commitments prior to the effectiveness of such termination if such termination would have resulted from a refinancing of all or a portion of the applicable Facility or other conditional event, which refinancing or other conditional event shall not be consummated or otherwise shall be delayed.</w:t>
      </w:r>
    </w:p>
    <w:p>
      <w:pPr>
        <w:spacing w:after="0" w:line="189" w:lineRule="exact"/>
        <w:rPr>
          <w:rFonts w:ascii="Arial" w:cs="Arial" w:eastAsia="Arial" w:hAnsi="Arial"/>
          <w:sz w:val="17"/>
          <w:szCs w:val="17"/>
          <w:color w:val="010000"/>
        </w:rPr>
      </w:pPr>
    </w:p>
    <w:p>
      <w:pPr>
        <w:ind w:left="-639" w:right="40" w:firstLine="640"/>
        <w:spacing w:after="0" w:line="229" w:lineRule="auto"/>
        <w:tabs>
          <w:tab w:leader="none" w:pos="513" w:val="left"/>
        </w:tabs>
        <w:numPr>
          <w:ilvl w:val="0"/>
          <w:numId w:val="111"/>
        </w:numPr>
        <w:rPr>
          <w:rFonts w:ascii="Arial" w:cs="Arial" w:eastAsia="Arial" w:hAnsi="Arial"/>
          <w:sz w:val="17"/>
          <w:szCs w:val="17"/>
          <w:color w:val="010000"/>
        </w:rPr>
      </w:pPr>
      <w:r>
        <w:rPr>
          <w:rFonts w:ascii="Arial" w:cs="Arial" w:eastAsia="Arial" w:hAnsi="Arial"/>
          <w:sz w:val="17"/>
          <w:szCs w:val="17"/>
          <w:i w:val="1"/>
          <w:iCs w:val="1"/>
          <w:color w:val="auto"/>
        </w:rPr>
        <w:t>Mandatory</w:t>
      </w:r>
      <w:r>
        <w:rPr>
          <w:rFonts w:ascii="Arial" w:cs="Arial" w:eastAsia="Arial" w:hAnsi="Arial"/>
          <w:sz w:val="17"/>
          <w:szCs w:val="17"/>
          <w:color w:val="auto"/>
        </w:rPr>
        <w:t>. The Term B Commitment of each Term Lender shall be automatically and permanently reduced to $0 upon the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Term B Loans to be made by it on the Closing Date. The Term Commitment of each Incremental Term Lender, Refinancing Term Lender or Lender under a Term Loan Extension Series shall be automatically and permanently reduced to $0 upon the funding of Term Loans to be made by it on the date set forth in the corresponding Incremental Amendment, Refinancing Amendment or Extension Amendment. The Revolving Credit Commitment of each Revolving Credit Lender of a Class shall automatically and permanently terminate on the Maturity Date for such applicable Class of Revolving Credit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release any Revolving Credit Lender from any liability it may have for its failure to fund Revolving Credit Loans that were required to be funded by it on or prior to such Maturity Date.</w:t>
      </w:r>
    </w:p>
    <w:p>
      <w:pPr>
        <w:spacing w:after="0" w:line="206" w:lineRule="exact"/>
        <w:rPr>
          <w:rFonts w:ascii="Arial" w:cs="Arial" w:eastAsia="Arial" w:hAnsi="Arial"/>
          <w:sz w:val="17"/>
          <w:szCs w:val="17"/>
          <w:color w:val="010000"/>
        </w:rPr>
      </w:pPr>
    </w:p>
    <w:p>
      <w:pPr>
        <w:jc w:val="both"/>
        <w:ind w:left="-639" w:right="40" w:firstLine="640"/>
        <w:spacing w:after="0" w:line="248" w:lineRule="auto"/>
        <w:tabs>
          <w:tab w:leader="none" w:pos="513" w:val="left"/>
        </w:tabs>
        <w:numPr>
          <w:ilvl w:val="0"/>
          <w:numId w:val="111"/>
        </w:numPr>
        <w:rPr>
          <w:rFonts w:ascii="Arial" w:cs="Arial" w:eastAsia="Arial" w:hAnsi="Arial"/>
          <w:sz w:val="16"/>
          <w:szCs w:val="16"/>
          <w:color w:val="010000"/>
        </w:rPr>
      </w:pPr>
      <w:r>
        <w:rPr>
          <w:rFonts w:ascii="Arial" w:cs="Arial" w:eastAsia="Arial" w:hAnsi="Arial"/>
          <w:sz w:val="16"/>
          <w:szCs w:val="16"/>
          <w:i w:val="1"/>
          <w:iCs w:val="1"/>
          <w:color w:val="auto"/>
        </w:rPr>
        <w:t>Application of Commitment Reductions; Payment of Fees</w:t>
      </w:r>
      <w:r>
        <w:rPr>
          <w:rFonts w:ascii="Arial" w:cs="Arial" w:eastAsia="Arial" w:hAnsi="Arial"/>
          <w:sz w:val="16"/>
          <w:szCs w:val="16"/>
          <w:color w:val="auto"/>
        </w:rPr>
        <w:t>. The Administrative Agent will promptly notify the Appropriate Lenders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termination or reduction of unused portions the unused Commitments of any Class under this Section 2.06. Upon any reduction of unused Commitments of any Class, the Commitment of each Lender of such Class shall be reduced by such Lender’s Pro Rata Share of the amount by which such Commitments are reduced (other than the termination of the Commitment of any Lender as provided in Section 3.07). All commitment fees accrued until the effective date of any termination of the Commitments of any Facility shall be paid on the effective date of such termination.</w:t>
      </w:r>
    </w:p>
    <w:p>
      <w:pPr>
        <w:spacing w:after="0" w:line="183" w:lineRule="exact"/>
        <w:rPr>
          <w:sz w:val="20"/>
          <w:szCs w:val="20"/>
          <w:color w:val="auto"/>
        </w:rPr>
      </w:pPr>
    </w:p>
    <w:p>
      <w:pPr>
        <w:ind w:left="1"/>
        <w:spacing w:after="0"/>
        <w:tabs>
          <w:tab w:leader="none" w:pos="1061" w:val="left"/>
        </w:tabs>
        <w:rPr>
          <w:sz w:val="20"/>
          <w:szCs w:val="20"/>
          <w:color w:val="auto"/>
        </w:rPr>
      </w:pPr>
      <w:r>
        <w:rPr>
          <w:rFonts w:ascii="Arial" w:cs="Arial" w:eastAsia="Arial" w:hAnsi="Arial"/>
          <w:sz w:val="18"/>
          <w:szCs w:val="18"/>
          <w:color w:val="010000"/>
        </w:rPr>
        <w:t>Section 2.07</w:t>
      </w:r>
      <w:r>
        <w:rPr>
          <w:sz w:val="20"/>
          <w:szCs w:val="20"/>
          <w:color w:val="auto"/>
        </w:rPr>
        <w:tab/>
      </w:r>
      <w:r>
        <w:rPr>
          <w:rFonts w:ascii="Arial" w:cs="Arial" w:eastAsia="Arial" w:hAnsi="Arial"/>
          <w:sz w:val="16"/>
          <w:szCs w:val="16"/>
          <w:color w:val="auto"/>
        </w:rPr>
        <w:t>Repayment of Loans.</w:t>
      </w:r>
    </w:p>
    <w:p>
      <w:pPr>
        <w:spacing w:after="0" w:line="225" w:lineRule="exact"/>
        <w:rPr>
          <w:sz w:val="20"/>
          <w:szCs w:val="20"/>
          <w:color w:val="auto"/>
        </w:rPr>
      </w:pPr>
    </w:p>
    <w:p>
      <w:pPr>
        <w:jc w:val="both"/>
        <w:ind w:left="-639" w:firstLine="639"/>
        <w:spacing w:after="0" w:line="243" w:lineRule="auto"/>
        <w:tabs>
          <w:tab w:leader="none" w:pos="514" w:val="left"/>
        </w:tabs>
        <w:numPr>
          <w:ilvl w:val="0"/>
          <w:numId w:val="112"/>
        </w:numPr>
        <w:rPr>
          <w:rFonts w:ascii="Arial" w:cs="Arial" w:eastAsia="Arial" w:hAnsi="Arial"/>
          <w:sz w:val="16"/>
          <w:szCs w:val="16"/>
          <w:color w:val="010000"/>
        </w:rPr>
      </w:pPr>
      <w:r>
        <w:rPr>
          <w:rFonts w:ascii="Arial" w:cs="Arial" w:eastAsia="Arial" w:hAnsi="Arial"/>
          <w:sz w:val="16"/>
          <w:szCs w:val="16"/>
          <w:i w:val="1"/>
          <w:iCs w:val="1"/>
          <w:color w:val="auto"/>
        </w:rPr>
        <w:t>Term Loans</w:t>
      </w:r>
      <w:r>
        <w:rPr>
          <w:rFonts w:ascii="Arial" w:cs="Arial" w:eastAsia="Arial" w:hAnsi="Arial"/>
          <w:sz w:val="16"/>
          <w:szCs w:val="16"/>
          <w:color w:val="auto"/>
        </w:rPr>
        <w:t>. The Borrowers shall repay to the Administrative Agent for the ratable account of the Appropriate Lenders (A) on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Day of each March, June, September and December, commencing with March 31, 2022, an aggregate principal amount equal to 0.25% of the aggregate principal amount of all Term B Loans made on the Closing Date (which payments shall be reduced as a result of the application of prepayments after the Closing Date in accordance with the order of priority set forth in Section 2.05) and (B) on the Maturity Date for the Term B Loans, the aggregate principal amount of all Term B Loans outstanding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payment set forth above shall be adjusted to account for the addition of any Extended Term Loan or Incremental Term Loans to contemplate (A) the reduction in the aggregate principal amount of any Term B Loans that were converted in connection with the incurrence of such Extended Term Loans, and (B) any increase to payments to the extent and as required pursuant to the terms of any applicable Incremental Amendment involving a Term Loan Increase to the Term B Loans, a Refinancing Amendment to the amount of Term B Loans or an Extension Amendment increasing the amount of Term B Loans.</w:t>
      </w:r>
    </w:p>
    <w:p>
      <w:pPr>
        <w:spacing w:after="0" w:line="186" w:lineRule="exact"/>
        <w:rPr>
          <w:rFonts w:ascii="Arial" w:cs="Arial" w:eastAsia="Arial" w:hAnsi="Arial"/>
          <w:sz w:val="16"/>
          <w:szCs w:val="16"/>
          <w:color w:val="010000"/>
        </w:rPr>
      </w:pPr>
    </w:p>
    <w:p>
      <w:pPr>
        <w:jc w:val="both"/>
        <w:ind w:left="-639" w:right="40" w:firstLine="640"/>
        <w:spacing w:after="0" w:line="229" w:lineRule="auto"/>
        <w:tabs>
          <w:tab w:leader="none" w:pos="513" w:val="left"/>
        </w:tabs>
        <w:numPr>
          <w:ilvl w:val="0"/>
          <w:numId w:val="112"/>
        </w:numPr>
        <w:rPr>
          <w:rFonts w:ascii="Arial" w:cs="Arial" w:eastAsia="Arial" w:hAnsi="Arial"/>
          <w:sz w:val="18"/>
          <w:szCs w:val="18"/>
          <w:color w:val="010000"/>
        </w:rPr>
      </w:pPr>
      <w:r>
        <w:rPr>
          <w:rFonts w:ascii="Arial" w:cs="Arial" w:eastAsia="Arial" w:hAnsi="Arial"/>
          <w:sz w:val="18"/>
          <w:szCs w:val="18"/>
          <w:i w:val="1"/>
          <w:iCs w:val="1"/>
          <w:color w:val="auto"/>
        </w:rPr>
        <w:t>Revolving Credit Loans</w:t>
      </w:r>
      <w:r>
        <w:rPr>
          <w:rFonts w:ascii="Arial" w:cs="Arial" w:eastAsia="Arial" w:hAnsi="Arial"/>
          <w:sz w:val="18"/>
          <w:szCs w:val="18"/>
          <w:color w:val="auto"/>
        </w:rPr>
        <w:t>. The Borrowers shall repay to the Administrative Agent for the ratable account of the Appropriate Lenders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Maturity Date for any Class of Revolving Credit Commitments the aggregate outstanding principal amount of all Revolving Credit Loans made in respect of such Revolving Credit Commitments.</w:t>
      </w:r>
    </w:p>
    <w:p>
      <w:pPr>
        <w:sectPr>
          <w:pgSz w:w="11900" w:h="16838" w:orient="portrait"/>
          <w:cols w:equalWidth="0" w:num="1">
            <w:col w:w="10281"/>
          </w:cols>
          <w:pgMar w:left="1119" w:top="1440" w:right="499" w:bottom="1440" w:gutter="0" w:footer="0" w:header="0"/>
        </w:sectPr>
      </w:pPr>
    </w:p>
    <w:bookmarkStart w:id="132" w:name="page133"/>
    <w:bookmarkEnd w:id="132"/>
    <w:p>
      <w:pPr>
        <w:spacing w:after="0" w:line="21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2.08</w:t>
      </w:r>
      <w:r>
        <w:rPr>
          <w:sz w:val="20"/>
          <w:szCs w:val="20"/>
          <w:color w:val="auto"/>
        </w:rPr>
        <w:tab/>
      </w:r>
      <w:r>
        <w:rPr>
          <w:rFonts w:ascii="Arial" w:cs="Arial" w:eastAsia="Arial" w:hAnsi="Arial"/>
          <w:sz w:val="16"/>
          <w:szCs w:val="16"/>
          <w:color w:val="auto"/>
        </w:rPr>
        <w:t>Interest.</w:t>
      </w:r>
    </w:p>
    <w:p>
      <w:pPr>
        <w:spacing w:after="0" w:line="225" w:lineRule="exact"/>
        <w:rPr>
          <w:sz w:val="20"/>
          <w:szCs w:val="20"/>
          <w:color w:val="auto"/>
        </w:rPr>
      </w:pPr>
    </w:p>
    <w:p>
      <w:pPr>
        <w:jc w:val="both"/>
        <w:ind w:right="20" w:firstLine="640"/>
        <w:spacing w:after="0" w:line="223" w:lineRule="auto"/>
        <w:tabs>
          <w:tab w:leader="none" w:pos="1152"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 xml:space="preserve">Subject to the provisions of Section 2.08(b), (i) each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shall bear interest on the outstanding principal amount thereof for each Interest Period at a rate per annum equal to the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for such Interest Period plus the Applicable Rate; and (ii) each Base Rate Loan shall bear interest on the outstanding principal amount thereof from the applicable borrowing date at a rate per annum equal to the Base Rate plus the Applicable Rate.</w:t>
      </w:r>
    </w:p>
    <w:p>
      <w:pPr>
        <w:spacing w:after="0" w:line="189" w:lineRule="exact"/>
        <w:rPr>
          <w:rFonts w:ascii="Arial" w:cs="Arial" w:eastAsia="Arial" w:hAnsi="Arial"/>
          <w:sz w:val="18"/>
          <w:szCs w:val="18"/>
          <w:color w:val="010000"/>
        </w:rPr>
      </w:pPr>
    </w:p>
    <w:p>
      <w:pPr>
        <w:jc w:val="both"/>
        <w:ind w:right="20" w:firstLine="640"/>
        <w:spacing w:after="0" w:line="236" w:lineRule="auto"/>
        <w:tabs>
          <w:tab w:leader="none" w:pos="1152" w:val="left"/>
        </w:tabs>
        <w:numPr>
          <w:ilvl w:val="0"/>
          <w:numId w:val="113"/>
        </w:numPr>
        <w:rPr>
          <w:rFonts w:ascii="Arial" w:cs="Arial" w:eastAsia="Arial" w:hAnsi="Arial"/>
          <w:sz w:val="17"/>
          <w:szCs w:val="17"/>
          <w:color w:val="010000"/>
        </w:rPr>
      </w:pPr>
      <w:r>
        <w:rPr>
          <w:rFonts w:ascii="Arial" w:cs="Arial" w:eastAsia="Arial" w:hAnsi="Arial"/>
          <w:sz w:val="17"/>
          <w:szCs w:val="17"/>
          <w:color w:val="auto"/>
        </w:rPr>
        <w:t xml:space="preserve">During the continuance of an Event of Default under Section 8.01(a), the Borrowers shall pay interest on past due amounts owing by it hereunder at a fluctuating interest rate per annum at all times equal to the Default Rate to the fullest extent permitted by applicable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interest at the Default Rate shall accrue or be payable to a Defaulting Lender so long as such Lender shall be a Defaulting Lender. Accrued and unpaid interest on such amounts (including interest on past due interest) shall be due and payable upon written demand.</w:t>
      </w:r>
    </w:p>
    <w:p>
      <w:pPr>
        <w:spacing w:after="0" w:line="189" w:lineRule="exact"/>
        <w:rPr>
          <w:rFonts w:ascii="Arial" w:cs="Arial" w:eastAsia="Arial" w:hAnsi="Arial"/>
          <w:sz w:val="17"/>
          <w:szCs w:val="17"/>
          <w:color w:val="010000"/>
        </w:rPr>
      </w:pPr>
    </w:p>
    <w:p>
      <w:pPr>
        <w:jc w:val="both"/>
        <w:ind w:firstLine="640"/>
        <w:spacing w:after="0" w:line="229" w:lineRule="auto"/>
        <w:tabs>
          <w:tab w:leader="none" w:pos="1152"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9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2.09</w:t>
      </w:r>
      <w:r>
        <w:rPr>
          <w:sz w:val="20"/>
          <w:szCs w:val="20"/>
          <w:color w:val="auto"/>
        </w:rPr>
        <w:tab/>
      </w:r>
      <w:r>
        <w:rPr>
          <w:rFonts w:ascii="Arial" w:cs="Arial" w:eastAsia="Arial" w:hAnsi="Arial"/>
          <w:sz w:val="15"/>
          <w:szCs w:val="15"/>
          <w:color w:val="auto"/>
        </w:rPr>
        <w:t>Fees.</w:t>
      </w:r>
    </w:p>
    <w:p>
      <w:pPr>
        <w:spacing w:after="0" w:line="225" w:lineRule="exact"/>
        <w:rPr>
          <w:sz w:val="20"/>
          <w:szCs w:val="20"/>
          <w:color w:val="auto"/>
        </w:rPr>
      </w:pPr>
    </w:p>
    <w:p>
      <w:pPr>
        <w:ind w:left="2100" w:hanging="650"/>
        <w:spacing w:after="0"/>
        <w:tabs>
          <w:tab w:leader="none" w:pos="210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left="800" w:right="20" w:firstLine="650"/>
        <w:spacing w:after="0" w:line="229" w:lineRule="auto"/>
        <w:tabs>
          <w:tab w:leader="none" w:pos="1790" w:val="left"/>
        </w:tabs>
        <w:numPr>
          <w:ilvl w:val="0"/>
          <w:numId w:val="114"/>
        </w:numPr>
        <w:rPr>
          <w:rFonts w:ascii="Arial" w:cs="Arial" w:eastAsia="Arial" w:hAnsi="Arial"/>
          <w:sz w:val="18"/>
          <w:szCs w:val="18"/>
          <w:color w:val="010000"/>
        </w:rPr>
      </w:pPr>
      <w:r>
        <w:rPr>
          <w:rFonts w:ascii="Arial" w:cs="Arial" w:eastAsia="Arial" w:hAnsi="Arial"/>
          <w:sz w:val="18"/>
          <w:szCs w:val="18"/>
          <w:i w:val="1"/>
          <w:iCs w:val="1"/>
          <w:color w:val="auto"/>
        </w:rPr>
        <w:t>Agent Fees</w:t>
      </w:r>
      <w:r>
        <w:rPr>
          <w:rFonts w:ascii="Arial" w:cs="Arial" w:eastAsia="Arial" w:hAnsi="Arial"/>
          <w:sz w:val="18"/>
          <w:szCs w:val="18"/>
          <w:color w:val="auto"/>
        </w:rPr>
        <w:t>. The Borrowers shall pay to the Agents such fees as shall have been separately agreed upon in writing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at the times so specified. Such fees shall be fully earned when paid and shall not be refundable for any reason whatsoever (except as expressly agreed between the Borrowers and the applicable Agent).</w:t>
      </w:r>
    </w:p>
    <w:p>
      <w:pPr>
        <w:spacing w:after="0" w:line="190" w:lineRule="exact"/>
        <w:rPr>
          <w:rFonts w:ascii="Arial" w:cs="Arial" w:eastAsia="Arial" w:hAnsi="Arial"/>
          <w:sz w:val="18"/>
          <w:szCs w:val="18"/>
          <w:color w:val="010000"/>
        </w:rPr>
      </w:pPr>
    </w:p>
    <w:p>
      <w:pPr>
        <w:jc w:val="both"/>
        <w:ind w:left="800" w:firstLine="649"/>
        <w:spacing w:after="0" w:line="222" w:lineRule="auto"/>
        <w:tabs>
          <w:tab w:leader="none" w:pos="1791" w:val="left"/>
        </w:tabs>
        <w:numPr>
          <w:ilvl w:val="0"/>
          <w:numId w:val="114"/>
        </w:numPr>
        <w:rPr>
          <w:rFonts w:ascii="Arial" w:cs="Arial" w:eastAsia="Arial" w:hAnsi="Arial"/>
          <w:sz w:val="18"/>
          <w:szCs w:val="18"/>
          <w:color w:val="010000"/>
        </w:rPr>
      </w:pPr>
      <w:r>
        <w:rPr>
          <w:rFonts w:ascii="Arial" w:cs="Arial" w:eastAsia="Arial" w:hAnsi="Arial"/>
          <w:sz w:val="18"/>
          <w:szCs w:val="18"/>
          <w:i w:val="1"/>
          <w:iCs w:val="1"/>
          <w:color w:val="auto"/>
        </w:rPr>
        <w:t>Closing Fees</w:t>
      </w:r>
      <w:r>
        <w:rPr>
          <w:rFonts w:ascii="Arial" w:cs="Arial" w:eastAsia="Arial" w:hAnsi="Arial"/>
          <w:sz w:val="18"/>
          <w:szCs w:val="18"/>
          <w:color w:val="auto"/>
        </w:rPr>
        <w:t>. The Borrowers agree to pay on the Closing Date to each Lender party to this Agreement on the Closing Date, as</w:t>
      </w:r>
      <w:r>
        <w:rPr>
          <w:rFonts w:ascii="Arial" w:cs="Arial" w:eastAsia="Arial" w:hAnsi="Arial"/>
          <w:sz w:val="18"/>
          <w:szCs w:val="18"/>
          <w:i w:val="1"/>
          <w:iCs w:val="1"/>
          <w:color w:val="auto"/>
        </w:rPr>
        <w:t xml:space="preserve"> </w:t>
      </w:r>
      <w:r>
        <w:rPr>
          <w:rFonts w:ascii="Arial" w:cs="Arial" w:eastAsia="Arial" w:hAnsi="Arial"/>
          <w:sz w:val="18"/>
          <w:szCs w:val="18"/>
          <w:color w:val="auto"/>
        </w:rPr>
        <w:t>a fee paid as consideration for undertaking to fund such Lender’s Term Loan, a closing fee (the “</w:t>
      </w:r>
      <w:r>
        <w:rPr>
          <w:rFonts w:ascii="Arial" w:cs="Arial" w:eastAsia="Arial" w:hAnsi="Arial"/>
          <w:sz w:val="18"/>
          <w:szCs w:val="18"/>
          <w:b w:val="1"/>
          <w:bCs w:val="1"/>
          <w:color w:val="auto"/>
        </w:rPr>
        <w:t>Closing Fee</w:t>
      </w:r>
      <w:r>
        <w:rPr>
          <w:rFonts w:ascii="Arial" w:cs="Arial" w:eastAsia="Arial" w:hAnsi="Arial"/>
          <w:sz w:val="18"/>
          <w:szCs w:val="18"/>
          <w:color w:val="auto"/>
        </w:rPr>
        <w:t>”) in an amount equal to 0.25% of the stated principal amount of such Lender’s Term B Loan made on the Closing Date. Such Closing Fee will be in all respects fully earned, due and payable on the Closing Date and non-refundable and non-creditable thereafter and shall be netted against Term B Loans made by such Lender on the Closing Date.</w:t>
      </w:r>
    </w:p>
    <w:p>
      <w:pPr>
        <w:spacing w:after="0" w:line="19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2.10</w:t>
      </w:r>
      <w:r>
        <w:rPr>
          <w:sz w:val="20"/>
          <w:szCs w:val="20"/>
          <w:color w:val="auto"/>
        </w:rPr>
        <w:tab/>
      </w:r>
      <w:r>
        <w:rPr>
          <w:rFonts w:ascii="Arial" w:cs="Arial" w:eastAsia="Arial" w:hAnsi="Arial"/>
          <w:sz w:val="16"/>
          <w:szCs w:val="16"/>
          <w:color w:val="auto"/>
        </w:rPr>
        <w:t>Computation of Interest and Fees.</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 xml:space="preserve">All computations of interest for Base Rate Loans (including Base Rate Loans determined by reference to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shall be made on the basis of a year of three hundred sixty-five (365) days, or three hundred sixty-six (366) days, as applicable, and actual days</w:t>
      </w:r>
    </w:p>
    <w:p>
      <w:pPr>
        <w:jc w:val="both"/>
        <w:ind w:right="20"/>
        <w:spacing w:after="0" w:line="234" w:lineRule="auto"/>
        <w:rPr>
          <w:sz w:val="20"/>
          <w:szCs w:val="20"/>
          <w:color w:val="auto"/>
        </w:rPr>
      </w:pPr>
      <w:r>
        <w:rPr>
          <w:rFonts w:ascii="Arial" w:cs="Arial" w:eastAsia="Arial" w:hAnsi="Arial"/>
          <w:sz w:val="16"/>
          <w:szCs w:val="16"/>
          <w:color w:val="auto"/>
        </w:rPr>
        <w:t xml:space="preserve">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Loan that is repaid on the same day on which it is made shall, subject to Section 2.12(a), bear interest</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for one (1) day. In computing interest on any Loan, the day such Loan is made or converted to a Loan of a different Type shall be included for purposes of calculating interest on a Loan of such different Type and the date such Loan is repaid or converted to a Loan of a different Type, as the case may be, shall be excluded. Each determination by the Administrative Agent of an interest rate or fee hereunder shall be conclusive and binding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purposes, absent manifest error.</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2.11</w:t>
      </w:r>
      <w:r>
        <w:rPr>
          <w:sz w:val="20"/>
          <w:szCs w:val="20"/>
          <w:color w:val="auto"/>
        </w:rPr>
        <w:tab/>
      </w:r>
      <w:r>
        <w:rPr>
          <w:rFonts w:ascii="Arial" w:cs="Arial" w:eastAsia="Arial" w:hAnsi="Arial"/>
          <w:sz w:val="15"/>
          <w:szCs w:val="15"/>
          <w:color w:val="auto"/>
        </w:rPr>
        <w:t>Evidence of Indebtedness.</w:t>
      </w:r>
    </w:p>
    <w:p>
      <w:pPr>
        <w:spacing w:after="0" w:line="225" w:lineRule="exact"/>
        <w:rPr>
          <w:sz w:val="20"/>
          <w:szCs w:val="20"/>
          <w:color w:val="auto"/>
        </w:rPr>
      </w:pPr>
    </w:p>
    <w:p>
      <w:pPr>
        <w:ind w:right="20" w:firstLine="640"/>
        <w:spacing w:after="0" w:line="246" w:lineRule="auto"/>
        <w:tabs>
          <w:tab w:leader="none" w:pos="1152" w:val="left"/>
        </w:tabs>
        <w:numPr>
          <w:ilvl w:val="0"/>
          <w:numId w:val="115"/>
        </w:numPr>
        <w:rPr>
          <w:rFonts w:ascii="Arial" w:cs="Arial" w:eastAsia="Arial" w:hAnsi="Arial"/>
          <w:sz w:val="18"/>
          <w:szCs w:val="18"/>
          <w:color w:val="010000"/>
        </w:rPr>
      </w:pPr>
      <w:r>
        <w:rPr>
          <w:rFonts w:ascii="Arial" w:cs="Arial" w:eastAsia="Arial" w:hAnsi="Arial"/>
          <w:sz w:val="18"/>
          <w:szCs w:val="18"/>
          <w:color w:val="auto"/>
        </w:rPr>
        <w:t>The Credit Extensions made by each Lender shall be evidenced by one or more accounts or records maintained by such Lender and evidenced by one or more entries in the Register maintained by the</w:t>
      </w:r>
    </w:p>
    <w:p>
      <w:pPr>
        <w:sectPr>
          <w:pgSz w:w="11900" w:h="16838" w:orient="portrait"/>
          <w:cols w:equalWidth="0" w:num="1">
            <w:col w:w="10900"/>
          </w:cols>
          <w:pgMar w:left="480" w:top="1440" w:right="519" w:bottom="1440" w:gutter="0" w:footer="0" w:header="0"/>
        </w:sectPr>
      </w:pPr>
    </w:p>
    <w:bookmarkStart w:id="133" w:name="page134"/>
    <w:bookmarkEnd w:id="133"/>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Administrative Agent, acting solely for purposes of United States Treasury Regulation Section 5f.103-1(c) and Section 1.163-5(b) of the proposed United States Treasury Regulations, as agent for the Borrowers, in each case in the ordinary course of business. The accounts or records maintained by the Administrative Agent and each Lender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absent manifest error of the amount of the Credit Extensions made by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as set forth in the Register, in respect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matters, the accounts and records of the Administrative Agent shall control in the absence of manifest error. Upon the request of any Lender made through the Administrative Agent, the Borrowers shall execute and deliver to such Lender (through the Administrative Agent) a Note payable to such Lender, which shall evidence such Lender’s Loans in addition to such accounts or records. Each Lender may attach schedules to its Note and endorse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thereon the date, Type (if applicable), amount and maturity of its Loans and payments with respect thereto.</w:t>
      </w:r>
    </w:p>
    <w:p>
      <w:pPr>
        <w:spacing w:after="0" w:line="196" w:lineRule="exact"/>
        <w:rPr>
          <w:sz w:val="20"/>
          <w:szCs w:val="20"/>
          <w:color w:val="auto"/>
        </w:rPr>
      </w:pPr>
    </w:p>
    <w:p>
      <w:pPr>
        <w:ind w:left="1280" w:hanging="640"/>
        <w:spacing w:after="0"/>
        <w:tabs>
          <w:tab w:leader="none" w:pos="1280"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firstLine="640"/>
        <w:spacing w:after="0" w:line="219" w:lineRule="auto"/>
        <w:tabs>
          <w:tab w:leader="none" w:pos="1152"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 xml:space="preserve">Entries made in good faith by the Administrative Agent in the Register pursuant to Section 2.11(a), and by each Lender in its account or accounts pursuant to Sections 2.11(a),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amount of principal and interest due and payable or to become due and payable from the Borrowers to, in the case of the Register, each Lender and, in the case of such account or accounts, such Lender, under this Agreement and the other Loan Documents, absent manifest error;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the Administrative Agent or such Lender to make an entry, or any finding that an entry is incorrect, in the Register or such account or accounts shall not limit or otherwise affect the obligations of the Borrowers under this Agreement and the other Loan Documents.</w:t>
      </w:r>
    </w:p>
    <w:p>
      <w:pPr>
        <w:spacing w:after="0" w:line="19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2.12</w:t>
      </w:r>
      <w:r>
        <w:rPr>
          <w:sz w:val="20"/>
          <w:szCs w:val="20"/>
          <w:color w:val="auto"/>
        </w:rPr>
        <w:tab/>
      </w:r>
      <w:r>
        <w:rPr>
          <w:rFonts w:ascii="Arial" w:cs="Arial" w:eastAsia="Arial" w:hAnsi="Arial"/>
          <w:sz w:val="15"/>
          <w:szCs w:val="15"/>
          <w:color w:val="auto"/>
        </w:rPr>
        <w:t>Payments Generally.</w:t>
      </w:r>
    </w:p>
    <w:p>
      <w:pPr>
        <w:spacing w:after="0" w:line="225" w:lineRule="exact"/>
        <w:rPr>
          <w:sz w:val="20"/>
          <w:szCs w:val="20"/>
          <w:color w:val="auto"/>
        </w:rPr>
      </w:pPr>
    </w:p>
    <w:p>
      <w:pPr>
        <w:jc w:val="both"/>
        <w:ind w:right="40" w:firstLine="640"/>
        <w:spacing w:after="0" w:line="228" w:lineRule="auto"/>
        <w:tabs>
          <w:tab w:leader="none" w:pos="1152" w:val="left"/>
        </w:tabs>
        <w:numPr>
          <w:ilvl w:val="0"/>
          <w:numId w:val="117"/>
        </w:numPr>
        <w:rPr>
          <w:rFonts w:ascii="Arial" w:cs="Arial" w:eastAsia="Arial" w:hAnsi="Arial"/>
          <w:sz w:val="17"/>
          <w:szCs w:val="17"/>
          <w:color w:val="010000"/>
        </w:rPr>
      </w:pPr>
      <w:r>
        <w:rPr>
          <w:rFonts w:ascii="Arial" w:cs="Arial" w:eastAsia="Arial" w:hAnsi="Arial"/>
          <w:sz w:val="17"/>
          <w:szCs w:val="17"/>
          <w:color w:val="auto"/>
        </w:rPr>
        <w:t>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The Administrative Agent will promptly distribute to each Appropriate Lender its Pro Rata Share (or other applicable share provided for under this Agreement) of such payment in like funds as received by wire transfer to such Lender’s applicable Lending Office. All payments received by the Administrative Agent after 2:00 p.m. shall in each case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91" w:lineRule="exact"/>
        <w:rPr>
          <w:rFonts w:ascii="Arial" w:cs="Arial" w:eastAsia="Arial" w:hAnsi="Arial"/>
          <w:sz w:val="17"/>
          <w:szCs w:val="17"/>
          <w:color w:val="010000"/>
        </w:rPr>
      </w:pPr>
    </w:p>
    <w:p>
      <w:pPr>
        <w:jc w:val="both"/>
        <w:ind w:right="20" w:firstLine="639"/>
        <w:spacing w:after="0" w:line="248" w:lineRule="auto"/>
        <w:tabs>
          <w:tab w:leader="none" w:pos="1153" w:val="left"/>
        </w:tabs>
        <w:numPr>
          <w:ilvl w:val="0"/>
          <w:numId w:val="117"/>
        </w:numPr>
        <w:rPr>
          <w:rFonts w:ascii="Arial" w:cs="Arial" w:eastAsia="Arial" w:hAnsi="Arial"/>
          <w:sz w:val="16"/>
          <w:szCs w:val="16"/>
          <w:color w:val="010000"/>
        </w:rPr>
      </w:pPr>
      <w:r>
        <w:rPr>
          <w:rFonts w:ascii="Arial" w:cs="Arial" w:eastAsia="Arial" w:hAnsi="Arial"/>
          <w:sz w:val="16"/>
          <w:szCs w:val="16"/>
          <w:color w:val="auto"/>
        </w:rPr>
        <w:t>Unless the Borrowers or any Lender has notified the Administrative Agent, prior to the date, or in the case of any Base Rate Loans, prior to 1:00 p.m. on the date of such payment, any payment is required to be made by it to the Administrative Agent hereunder (in the case of the Borrowers, for the account of any Lender or, in the case of the Lenders, for the account of Borrowers hereunder), that the Borrowers or such Lender, as the case may be, will not make such payment, the Administrative Agent may assume that the Borrowers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82" w:lineRule="exact"/>
        <w:rPr>
          <w:rFonts w:ascii="Arial" w:cs="Arial" w:eastAsia="Arial" w:hAnsi="Arial"/>
          <w:sz w:val="16"/>
          <w:szCs w:val="16"/>
          <w:color w:val="010000"/>
        </w:rPr>
      </w:pPr>
    </w:p>
    <w:p>
      <w:pPr>
        <w:jc w:val="both"/>
        <w:ind w:left="640" w:right="40" w:firstLine="648"/>
        <w:spacing w:after="0" w:line="254" w:lineRule="auto"/>
        <w:tabs>
          <w:tab w:leader="none" w:pos="1792"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if the Borrowers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 and</w:t>
      </w:r>
    </w:p>
    <w:p>
      <w:pPr>
        <w:sectPr>
          <w:pgSz w:w="11900" w:h="16838" w:orient="portrait"/>
          <w:cols w:equalWidth="0" w:num="1">
            <w:col w:w="10920"/>
          </w:cols>
          <w:pgMar w:left="480" w:top="1440" w:right="499" w:bottom="1440" w:gutter="0" w:footer="0" w:header="0"/>
        </w:sectPr>
      </w:pPr>
    </w:p>
    <w:bookmarkStart w:id="134" w:name="page135"/>
    <w:bookmarkEnd w:id="134"/>
    <w:p>
      <w:pPr>
        <w:spacing w:after="0" w:line="211" w:lineRule="exact"/>
        <w:rPr>
          <w:sz w:val="20"/>
          <w:szCs w:val="20"/>
          <w:color w:val="auto"/>
        </w:rPr>
      </w:pPr>
    </w:p>
    <w:p>
      <w:pPr>
        <w:jc w:val="both"/>
        <w:ind w:left="640" w:firstLine="648"/>
        <w:spacing w:after="0" w:line="226" w:lineRule="auto"/>
        <w:tabs>
          <w:tab w:leader="none" w:pos="1792"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Borrowers to the date such amount is recovered by the Administrative Agent (the “</w:t>
      </w:r>
      <w:r>
        <w:rPr>
          <w:rFonts w:ascii="Arial" w:cs="Arial" w:eastAsia="Arial" w:hAnsi="Arial"/>
          <w:sz w:val="17"/>
          <w:szCs w:val="17"/>
          <w:b w:val="1"/>
          <w:bCs w:val="1"/>
          <w:color w:val="auto"/>
        </w:rPr>
        <w:t>Compensation Period</w:t>
      </w:r>
      <w:r>
        <w:rPr>
          <w:rFonts w:ascii="Arial" w:cs="Arial" w:eastAsia="Arial" w:hAnsi="Arial"/>
          <w:sz w:val="17"/>
          <w:szCs w:val="17"/>
          <w:color w:val="auto"/>
        </w:rPr>
        <w:t>”) at a rate per annum equal to the applicable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Borrowers, and the Borrowers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Borrowers may have against any Lender as a result of any default by such Lender hereunder.</w:t>
      </w:r>
    </w:p>
    <w:p>
      <w:pPr>
        <w:spacing w:after="0" w:line="203" w:lineRule="exact"/>
        <w:rPr>
          <w:sz w:val="20"/>
          <w:szCs w:val="20"/>
          <w:color w:val="auto"/>
        </w:rPr>
      </w:pPr>
    </w:p>
    <w:p>
      <w:pPr>
        <w:jc w:val="both"/>
        <w:ind w:left="640"/>
        <w:spacing w:after="0" w:line="238" w:lineRule="auto"/>
        <w:rPr>
          <w:sz w:val="20"/>
          <w:szCs w:val="20"/>
          <w:color w:val="auto"/>
        </w:rPr>
      </w:pPr>
      <w:r>
        <w:rPr>
          <w:rFonts w:ascii="Arial" w:cs="Arial" w:eastAsia="Arial" w:hAnsi="Arial"/>
          <w:sz w:val="16"/>
          <w:szCs w:val="16"/>
          <w:color w:val="auto"/>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Arial" w:cs="Arial" w:eastAsia="Arial" w:hAnsi="Arial"/>
          <w:sz w:val="16"/>
          <w:szCs w:val="16"/>
          <w:b w:val="1"/>
          <w:bCs w:val="1"/>
          <w:color w:val="auto"/>
        </w:rPr>
        <w:t>Rescindable Amount</w:t>
      </w:r>
      <w:r>
        <w:rPr>
          <w:rFonts w:ascii="Arial" w:cs="Arial" w:eastAsia="Arial" w:hAnsi="Arial"/>
          <w:sz w:val="16"/>
          <w:szCs w:val="16"/>
          <w:color w:val="auto"/>
        </w:rPr>
        <w:t>”) : (1) the Borrower has not in fact made such payment; (2) the Administrative Agent has made a payment in excess of the amount so paid by the Borrower (whether or not then owed); or (3) the Administrative agent has for any reason otherwise</w:t>
      </w:r>
    </w:p>
    <w:p>
      <w:pPr>
        <w:spacing w:after="0" w:line="2" w:lineRule="exact"/>
        <w:rPr>
          <w:sz w:val="20"/>
          <w:szCs w:val="20"/>
          <w:color w:val="auto"/>
        </w:rPr>
      </w:pPr>
    </w:p>
    <w:p>
      <w:pPr>
        <w:jc w:val="both"/>
        <w:ind w:left="640"/>
        <w:spacing w:after="0" w:line="234" w:lineRule="auto"/>
        <w:rPr>
          <w:sz w:val="20"/>
          <w:szCs w:val="20"/>
          <w:color w:val="auto"/>
        </w:rPr>
      </w:pPr>
      <w:r>
        <w:rPr>
          <w:rFonts w:ascii="Arial" w:cs="Arial" w:eastAsia="Arial" w:hAnsi="Arial"/>
          <w:sz w:val="16"/>
          <w:szCs w:val="16"/>
          <w:color w:val="auto"/>
        </w:rPr>
        <w:t>erroneously made such payment; then each of the Lenders, as the case may be,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Federal Funds Rate and a rate determined by the Administrative Agent in accordance with banking industry rules on interbank compensation.</w:t>
      </w:r>
    </w:p>
    <w:p>
      <w:pPr>
        <w:spacing w:after="0" w:line="21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 written notice (including documentation reasonably supporting such request) of the Administrative Agent to any Lender or the Borrowers with respect to any amount owing under this Section 2.12(b) shall be conclusive, absent manifest error.</w:t>
      </w:r>
    </w:p>
    <w:p>
      <w:pPr>
        <w:spacing w:after="0" w:line="197" w:lineRule="exact"/>
        <w:rPr>
          <w:sz w:val="20"/>
          <w:szCs w:val="20"/>
          <w:color w:val="auto"/>
        </w:rPr>
      </w:pPr>
    </w:p>
    <w:p>
      <w:pPr>
        <w:jc w:val="both"/>
        <w:ind w:right="40" w:firstLine="639"/>
        <w:spacing w:after="0" w:line="223" w:lineRule="auto"/>
        <w:tabs>
          <w:tab w:leader="none" w:pos="1153"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p>
      <w:pPr>
        <w:spacing w:after="0" w:line="189" w:lineRule="exact"/>
        <w:rPr>
          <w:rFonts w:ascii="Arial" w:cs="Arial" w:eastAsia="Arial" w:hAnsi="Arial"/>
          <w:sz w:val="18"/>
          <w:szCs w:val="18"/>
          <w:color w:val="010000"/>
        </w:rPr>
      </w:pPr>
    </w:p>
    <w:p>
      <w:pPr>
        <w:jc w:val="both"/>
        <w:ind w:right="40" w:firstLine="640"/>
        <w:spacing w:after="0" w:line="229" w:lineRule="auto"/>
        <w:tabs>
          <w:tab w:leader="none" w:pos="1152"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The obligations of the Lenders hereunder to make Loans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w:t>
      </w:r>
    </w:p>
    <w:p>
      <w:pPr>
        <w:spacing w:after="0" w:line="190" w:lineRule="exact"/>
        <w:rPr>
          <w:rFonts w:ascii="Arial" w:cs="Arial" w:eastAsia="Arial" w:hAnsi="Arial"/>
          <w:sz w:val="18"/>
          <w:szCs w:val="18"/>
          <w:color w:val="010000"/>
        </w:rPr>
      </w:pPr>
    </w:p>
    <w:p>
      <w:pPr>
        <w:ind w:firstLine="640"/>
        <w:spacing w:after="0" w:line="235" w:lineRule="auto"/>
        <w:tabs>
          <w:tab w:leader="none" w:pos="1152"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2" w:lineRule="exact"/>
        <w:rPr>
          <w:rFonts w:ascii="Arial" w:cs="Arial" w:eastAsia="Arial" w:hAnsi="Arial"/>
          <w:sz w:val="18"/>
          <w:szCs w:val="18"/>
          <w:color w:val="010000"/>
        </w:rPr>
      </w:pPr>
    </w:p>
    <w:p>
      <w:pPr>
        <w:jc w:val="both"/>
        <w:ind w:right="20" w:firstLine="639"/>
        <w:spacing w:after="0" w:line="217" w:lineRule="auto"/>
        <w:tabs>
          <w:tab w:leader="none" w:pos="1153"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Whenever any payment received by the Administrative Agent under this Agreement or any of the other Loan Documents is insufficient to pay in full all amounts due and payable to the Administrative Agent and the Lenders or in respect of this Agreement and the other Loan Documents on any date, such payment shall be distributed by the Administrative Agent and applied by the Administrative Agent and the Lenders in the order of priority set forth in Section 8.03.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w:t>
      </w:r>
    </w:p>
    <w:p>
      <w:pPr>
        <w:sectPr>
          <w:pgSz w:w="11900" w:h="16838" w:orient="portrait"/>
          <w:cols w:equalWidth="0" w:num="1">
            <w:col w:w="10920"/>
          </w:cols>
          <w:pgMar w:left="480" w:top="1440" w:right="499" w:bottom="1440" w:gutter="0" w:footer="0" w:header="0"/>
        </w:sectPr>
      </w:pPr>
    </w:p>
    <w:bookmarkStart w:id="135" w:name="page136"/>
    <w:bookmarkEnd w:id="135"/>
    <w:p>
      <w:pPr>
        <w:spacing w:after="0" w:line="211" w:lineRule="exact"/>
        <w:rPr>
          <w:sz w:val="20"/>
          <w:szCs w:val="20"/>
          <w:color w:val="auto"/>
        </w:rPr>
      </w:pPr>
    </w:p>
    <w:p>
      <w:pPr>
        <w:jc w:val="both"/>
        <w:ind w:left="9" w:right="40"/>
        <w:spacing w:after="0" w:line="224" w:lineRule="auto"/>
        <w:rPr>
          <w:sz w:val="20"/>
          <w:szCs w:val="20"/>
          <w:color w:val="auto"/>
        </w:rPr>
      </w:pPr>
      <w:r>
        <w:rPr>
          <w:rFonts w:ascii="Arial" w:cs="Arial" w:eastAsia="Arial" w:hAnsi="Arial"/>
          <w:sz w:val="18"/>
          <w:szCs w:val="18"/>
          <w:color w:val="auto"/>
        </w:rPr>
        <w:t>each of the Lenders in accordance with such Lender’s Pro Rata Share or other applicable share provided for under this Agreement of the sum of the Outstanding Amount of all Loans outstanding at such time, in repayment or prepayment of such of the outstanding Loans or other Obligations then owing to such Lender.</w:t>
      </w:r>
    </w:p>
    <w:p>
      <w:pPr>
        <w:spacing w:after="0" w:line="203"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2.13</w:t>
      </w:r>
      <w:r>
        <w:rPr>
          <w:sz w:val="20"/>
          <w:szCs w:val="20"/>
          <w:color w:val="auto"/>
        </w:rPr>
        <w:tab/>
      </w:r>
      <w:r>
        <w:rPr>
          <w:rFonts w:ascii="Arial" w:cs="Arial" w:eastAsia="Arial" w:hAnsi="Arial"/>
          <w:sz w:val="16"/>
          <w:szCs w:val="16"/>
          <w:color w:val="auto"/>
        </w:rPr>
        <w:t>Sharing of Payments.</w:t>
      </w:r>
    </w:p>
    <w:p>
      <w:pPr>
        <w:spacing w:after="0" w:line="225"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16"/>
          <w:szCs w:val="16"/>
          <w:color w:val="auto"/>
        </w:rPr>
        <w:t>If, other than as provided elsewhere herein or required by court order, any Lender shall obtain payment of any principal of or interest on account of the Loans made by it, any payment (whether voluntary, involuntary, through the exercise of any right of setoff, or otherwise) in excess of its ratable share (or other share contemplated hereunder) thereof, such Lender shall immediately (a) notify the Administrative Agent of such fact, and (b)</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 xml:space="preserve">purchase from the other Lenders such participations in the Loans made by them, as the case may be, as shall be necessary to cause such purchasing Lender to share the excess payment in respect of any principal of or interest on such Loans or such participations, as the case may be, pro rata with each of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all or any portion of such excess payment is thereafter recovered from the purchasing Lender under any of the</w:t>
      </w:r>
    </w:p>
    <w:p>
      <w:pPr>
        <w:spacing w:after="0" w:line="2" w:lineRule="exact"/>
        <w:rPr>
          <w:sz w:val="20"/>
          <w:szCs w:val="20"/>
          <w:color w:val="auto"/>
        </w:rPr>
      </w:pPr>
    </w:p>
    <w:p>
      <w:pPr>
        <w:jc w:val="both"/>
        <w:ind w:left="9"/>
        <w:spacing w:after="0" w:line="233" w:lineRule="auto"/>
        <w:rPr>
          <w:sz w:val="20"/>
          <w:szCs w:val="20"/>
          <w:color w:val="auto"/>
        </w:rPr>
      </w:pPr>
      <w:r>
        <w:rPr>
          <w:rFonts w:ascii="Arial" w:cs="Arial" w:eastAsia="Arial" w:hAnsi="Arial"/>
          <w:sz w:val="16"/>
          <w:szCs w:val="16"/>
          <w:color w:val="auto"/>
        </w:rPr>
        <w:t>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w:t>
      </w:r>
    </w:p>
    <w:p>
      <w:pPr>
        <w:ind w:left="9"/>
        <w:spacing w:after="0" w:line="230" w:lineRule="auto"/>
        <w:rPr>
          <w:sz w:val="20"/>
          <w:szCs w:val="20"/>
          <w:color w:val="auto"/>
        </w:rPr>
      </w:pPr>
      <w:r>
        <w:rPr>
          <w:rFonts w:ascii="Arial" w:cs="Arial" w:eastAsia="Arial" w:hAnsi="Arial"/>
          <w:sz w:val="16"/>
          <w:szCs w:val="16"/>
          <w:color w:val="auto"/>
        </w:rPr>
        <w:t>amount so recovered, without further interest thereon. For the avoidance of doubt, the provisions of this paragraph shall not be construed to apply to</w:t>
      </w:r>
    </w:p>
    <w:p>
      <w:pPr>
        <w:jc w:val="both"/>
        <w:ind w:left="9" w:hanging="9"/>
        <w:spacing w:after="0" w:line="223" w:lineRule="auto"/>
        <w:tabs>
          <w:tab w:leader="none" w:pos="31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any payment made by the Borrowers or application of funds pursuant to and in accordance with the express terms of this Agreement as in effect from time to time (including the application of funds arising from the existence of a Defaulting Lender), (B) any payment obtained by a Lender as consideration for the assignment of or sale of a participation in any of its Loans to any assignee or participant permitted hereunder, (C) transactions in connection with an open market purchase or a Dutch auction contemplated hereunder, (D) in connection with a transaction pursuant to an Extension Amendment, Refinancing Amendment or Incremental Amendment or amendment in connection with Replacement Term Loans contemplated hereunder, (E) the application of Cash Collateral as provided herein (including the application of funds arising from the existence of a Defaulting Lender) or (F) non-pro rata payments and repayments permitted pursuant to </w:t>
      </w:r>
      <w:r>
        <w:rPr>
          <w:rFonts w:ascii="Arial" w:cs="Arial" w:eastAsia="Arial" w:hAnsi="Arial"/>
          <w:sz w:val="17"/>
          <w:szCs w:val="17"/>
          <w:u w:val="single" w:color="auto"/>
          <w:color w:val="auto"/>
        </w:rPr>
        <w:t>Section 2.16(b)</w:t>
      </w:r>
      <w:r>
        <w:rPr>
          <w:rFonts w:ascii="Arial" w:cs="Arial" w:eastAsia="Arial" w:hAnsi="Arial"/>
          <w:sz w:val="17"/>
          <w:szCs w:val="17"/>
          <w:color w:val="auto"/>
        </w:rPr>
        <w:t>. The Borrowers agree that any Lender so purchasing a participation from another Lender may, to the fullest extent permitted by applicable Law, exercise all its rights of payment (including the right of setoff, but subject to Section 10.09) with respect to such participation as fully as if such Lender was the direct creditor of the Borrowers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209"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16"/>
          <w:szCs w:val="16"/>
          <w:color w:val="auto"/>
        </w:rPr>
        <w:t>Notwithstanding anything to the contrary contained in this Section 2.13 or elsewhere in this Agreement, the Borrower may extend the final maturity of Term Loans and/or Revolving Credit Commitments in connection with an Extension that is permitted under Section 2.16 without being obligated to effect such extensions on a pro rata basis among the Lenders (it being understood that no such extension (i) shall constitute a payment or</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prepayment of any Term Loans or Revolving Credit Loans, as applicable, for purposes of this Section 2.13 or (ii) shall reduce the amount of any scheduled amortization payment due under Section 2.07(a), except that the amount of any scheduled amortization payment due to a Lender of Extended Term Loans may be reduced to the extent provided pursuant to the express terms of the respective Extension Request) without giving rise to</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any violation of this Section 2.13 or any other provision of this Agreement. Furthermore, the Borrower may take all actions contemplated by Section 2.16 in connection with any Extension (including modifying pricing, amortization and repayments or prepayments), and in each case such actions shall be permitted, and the differing payments contemplated therein shall be permitted without giving rise to any violation of this Section 2.13 or any other</w:t>
      </w:r>
    </w:p>
    <w:p>
      <w:pPr>
        <w:spacing w:after="0" w:line="2" w:lineRule="exact"/>
        <w:rPr>
          <w:sz w:val="20"/>
          <w:szCs w:val="20"/>
          <w:color w:val="auto"/>
        </w:rPr>
      </w:pPr>
    </w:p>
    <w:p>
      <w:pPr>
        <w:ind w:left="9"/>
        <w:spacing w:after="0"/>
        <w:rPr>
          <w:sz w:val="20"/>
          <w:szCs w:val="20"/>
          <w:color w:val="auto"/>
        </w:rPr>
      </w:pPr>
      <w:r>
        <w:rPr>
          <w:rFonts w:ascii="Arial" w:cs="Arial" w:eastAsia="Arial" w:hAnsi="Arial"/>
          <w:sz w:val="18"/>
          <w:szCs w:val="18"/>
          <w:color w:val="auto"/>
        </w:rPr>
        <w:t>provision of this Agreement.</w:t>
      </w:r>
    </w:p>
    <w:p>
      <w:pPr>
        <w:sectPr>
          <w:pgSz w:w="11900" w:h="16838" w:orient="portrait"/>
          <w:cols w:equalWidth="0" w:num="1">
            <w:col w:w="10929"/>
          </w:cols>
          <w:pgMar w:left="471" w:top="1440" w:right="499" w:bottom="1440" w:gutter="0" w:footer="0" w:header="0"/>
        </w:sectPr>
      </w:pPr>
    </w:p>
    <w:bookmarkStart w:id="136" w:name="page137"/>
    <w:bookmarkEnd w:id="136"/>
    <w:p>
      <w:pPr>
        <w:spacing w:after="0" w:line="211"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2.14</w:t>
      </w:r>
      <w:r>
        <w:rPr>
          <w:sz w:val="20"/>
          <w:szCs w:val="20"/>
          <w:color w:val="auto"/>
        </w:rPr>
        <w:tab/>
      </w:r>
      <w:r>
        <w:rPr>
          <w:rFonts w:ascii="Arial" w:cs="Arial" w:eastAsia="Arial" w:hAnsi="Arial"/>
          <w:sz w:val="16"/>
          <w:szCs w:val="16"/>
          <w:color w:val="auto"/>
        </w:rPr>
        <w:t>Incremental Credit Extensions.</w:t>
      </w:r>
    </w:p>
    <w:p>
      <w:pPr>
        <w:spacing w:after="0" w:line="225" w:lineRule="exact"/>
        <w:rPr>
          <w:sz w:val="20"/>
          <w:szCs w:val="20"/>
          <w:color w:val="auto"/>
        </w:rPr>
      </w:pPr>
    </w:p>
    <w:p>
      <w:pPr>
        <w:jc w:val="both"/>
        <w:ind w:left="8" w:right="40" w:firstLine="640"/>
        <w:spacing w:after="0" w:line="241" w:lineRule="auto"/>
        <w:tabs>
          <w:tab w:leader="none" w:pos="1160" w:val="left"/>
        </w:tabs>
        <w:numPr>
          <w:ilvl w:val="1"/>
          <w:numId w:val="121"/>
        </w:numPr>
        <w:rPr>
          <w:rFonts w:ascii="Arial" w:cs="Arial" w:eastAsia="Arial" w:hAnsi="Arial"/>
          <w:sz w:val="16"/>
          <w:szCs w:val="16"/>
          <w:color w:val="010000"/>
        </w:rPr>
      </w:pPr>
      <w:r>
        <w:rPr>
          <w:rFonts w:ascii="Arial" w:cs="Arial" w:eastAsia="Arial" w:hAnsi="Arial"/>
          <w:sz w:val="16"/>
          <w:szCs w:val="16"/>
          <w:i w:val="1"/>
          <w:iCs w:val="1"/>
          <w:color w:val="auto"/>
        </w:rPr>
        <w:t>Incremental Commitments</w:t>
      </w:r>
      <w:r>
        <w:rPr>
          <w:rFonts w:ascii="Arial" w:cs="Arial" w:eastAsia="Arial" w:hAnsi="Arial"/>
          <w:sz w:val="16"/>
          <w:szCs w:val="16"/>
          <w:color w:val="auto"/>
        </w:rPr>
        <w:t>. The Borrowers may at any time or from time to time after the Closing Date, by notice to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(an “</w:t>
      </w:r>
      <w:r>
        <w:rPr>
          <w:rFonts w:ascii="Arial" w:cs="Arial" w:eastAsia="Arial" w:hAnsi="Arial"/>
          <w:sz w:val="16"/>
          <w:szCs w:val="16"/>
          <w:b w:val="1"/>
          <w:bCs w:val="1"/>
          <w:color w:val="auto"/>
        </w:rPr>
        <w:t>Incremental Loan Request</w:t>
      </w:r>
      <w:r>
        <w:rPr>
          <w:rFonts w:ascii="Arial" w:cs="Arial" w:eastAsia="Arial" w:hAnsi="Arial"/>
          <w:sz w:val="16"/>
          <w:szCs w:val="16"/>
          <w:color w:val="auto"/>
        </w:rPr>
        <w:t>”), request (A) one or more new commitments which may be of the same Class as any outstanding Term Loans (a “</w:t>
      </w:r>
      <w:r>
        <w:rPr>
          <w:rFonts w:ascii="Arial" w:cs="Arial" w:eastAsia="Arial" w:hAnsi="Arial"/>
          <w:sz w:val="16"/>
          <w:szCs w:val="16"/>
          <w:b w:val="1"/>
          <w:bCs w:val="1"/>
          <w:color w:val="auto"/>
        </w:rPr>
        <w:t>Term Loan Increase</w:t>
      </w:r>
      <w:r>
        <w:rPr>
          <w:rFonts w:ascii="Arial" w:cs="Arial" w:eastAsia="Arial" w:hAnsi="Arial"/>
          <w:sz w:val="16"/>
          <w:szCs w:val="16"/>
          <w:color w:val="auto"/>
        </w:rPr>
        <w:t>”) or a new Class of term loans (collectively with any Term Loan Increase, the “</w:t>
      </w:r>
      <w:r>
        <w:rPr>
          <w:rFonts w:ascii="Arial" w:cs="Arial" w:eastAsia="Arial" w:hAnsi="Arial"/>
          <w:sz w:val="16"/>
          <w:szCs w:val="16"/>
          <w:b w:val="1"/>
          <w:bCs w:val="1"/>
          <w:color w:val="auto"/>
        </w:rPr>
        <w:t>Incremental Term Commitments</w:t>
      </w:r>
      <w:r>
        <w:rPr>
          <w:rFonts w:ascii="Arial" w:cs="Arial" w:eastAsia="Arial" w:hAnsi="Arial"/>
          <w:sz w:val="16"/>
          <w:szCs w:val="16"/>
          <w:color w:val="auto"/>
        </w:rPr>
        <w:t>”) and/or</w:t>
      </w:r>
    </w:p>
    <w:p>
      <w:pPr>
        <w:spacing w:after="0" w:line="1" w:lineRule="exact"/>
        <w:rPr>
          <w:rFonts w:ascii="Arial" w:cs="Arial" w:eastAsia="Arial" w:hAnsi="Arial"/>
          <w:sz w:val="16"/>
          <w:szCs w:val="16"/>
          <w:color w:val="010000"/>
        </w:rPr>
      </w:pPr>
    </w:p>
    <w:p>
      <w:pPr>
        <w:jc w:val="both"/>
        <w:ind w:left="8" w:right="40" w:hanging="8"/>
        <w:spacing w:after="0" w:line="231" w:lineRule="auto"/>
        <w:tabs>
          <w:tab w:leader="none" w:pos="32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establishment of one or more new revolving credit commitments in Dollars (any such new commitments, collectively, the “</w:t>
      </w:r>
      <w:r>
        <w:rPr>
          <w:rFonts w:ascii="Arial" w:cs="Arial" w:eastAsia="Arial" w:hAnsi="Arial"/>
          <w:sz w:val="17"/>
          <w:szCs w:val="17"/>
          <w:b w:val="1"/>
          <w:bCs w:val="1"/>
          <w:color w:val="auto"/>
        </w:rPr>
        <w:t>Incremental</w:t>
      </w:r>
      <w:r>
        <w:rPr>
          <w:rFonts w:ascii="Arial" w:cs="Arial" w:eastAsia="Arial" w:hAnsi="Arial"/>
          <w:sz w:val="17"/>
          <w:szCs w:val="17"/>
          <w:color w:val="auto"/>
        </w:rPr>
        <w:t xml:space="preserve"> </w:t>
      </w:r>
      <w:r>
        <w:rPr>
          <w:rFonts w:ascii="Arial" w:cs="Arial" w:eastAsia="Arial" w:hAnsi="Arial"/>
          <w:sz w:val="17"/>
          <w:szCs w:val="17"/>
          <w:b w:val="1"/>
          <w:bCs w:val="1"/>
          <w:color w:val="auto"/>
        </w:rPr>
        <w:t>Revolving Credit Commitments</w:t>
      </w:r>
      <w:r>
        <w:rPr>
          <w:rFonts w:ascii="Arial" w:cs="Arial" w:eastAsia="Arial" w:hAnsi="Arial"/>
          <w:sz w:val="17"/>
          <w:szCs w:val="17"/>
          <w:color w:val="auto"/>
        </w:rPr>
        <w:t>” and the Incremental Revolving Credit Commitments, collectively with any Incremental Term Commitments,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Incremental Commitments</w:t>
      </w:r>
      <w:r>
        <w:rPr>
          <w:rFonts w:ascii="Arial" w:cs="Arial" w:eastAsia="Arial" w:hAnsi="Arial"/>
          <w:sz w:val="17"/>
          <w:szCs w:val="17"/>
          <w:color w:val="auto"/>
        </w:rPr>
        <w:t>”), whereupon the Administrative Agent shall promptly deliver a copy of each such notice to the Lenders.</w:t>
      </w:r>
    </w:p>
    <w:p>
      <w:pPr>
        <w:spacing w:after="0" w:line="202" w:lineRule="exact"/>
        <w:rPr>
          <w:rFonts w:ascii="Arial" w:cs="Arial" w:eastAsia="Arial" w:hAnsi="Arial"/>
          <w:sz w:val="17"/>
          <w:szCs w:val="17"/>
          <w:color w:val="auto"/>
        </w:rPr>
      </w:pPr>
    </w:p>
    <w:p>
      <w:pPr>
        <w:jc w:val="both"/>
        <w:ind w:left="8" w:right="40" w:firstLine="640"/>
        <w:spacing w:after="0" w:line="239" w:lineRule="auto"/>
        <w:tabs>
          <w:tab w:leader="none" w:pos="1160" w:val="left"/>
        </w:tabs>
        <w:numPr>
          <w:ilvl w:val="1"/>
          <w:numId w:val="122"/>
        </w:numPr>
        <w:rPr>
          <w:rFonts w:ascii="Arial" w:cs="Arial" w:eastAsia="Arial" w:hAnsi="Arial"/>
          <w:sz w:val="16"/>
          <w:szCs w:val="16"/>
          <w:color w:val="010000"/>
        </w:rPr>
      </w:pPr>
      <w:r>
        <w:rPr>
          <w:rFonts w:ascii="Arial" w:cs="Arial" w:eastAsia="Arial" w:hAnsi="Arial"/>
          <w:sz w:val="16"/>
          <w:szCs w:val="16"/>
          <w:i w:val="1"/>
          <w:iCs w:val="1"/>
          <w:color w:val="auto"/>
        </w:rPr>
        <w:t>Incremental Loans</w:t>
      </w:r>
      <w:r>
        <w:rPr>
          <w:rFonts w:ascii="Arial" w:cs="Arial" w:eastAsia="Arial" w:hAnsi="Arial"/>
          <w:sz w:val="16"/>
          <w:szCs w:val="16"/>
          <w:color w:val="auto"/>
        </w:rPr>
        <w:t>. On any Incremental Facility Closing Date on which any Incremental Term Commitments of any Class are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through any Term Loan Increase), subject to the satisfaction of the terms and conditions in this Section 2.14, (i) each Incremental Term Lender of such Class shall make a Loan to the Borrowers (an “</w:t>
      </w:r>
      <w:r>
        <w:rPr>
          <w:rFonts w:ascii="Arial" w:cs="Arial" w:eastAsia="Arial" w:hAnsi="Arial"/>
          <w:sz w:val="16"/>
          <w:szCs w:val="16"/>
          <w:b w:val="1"/>
          <w:bCs w:val="1"/>
          <w:color w:val="auto"/>
        </w:rPr>
        <w:t>Incremental Term Loan</w:t>
      </w:r>
      <w:r>
        <w:rPr>
          <w:rFonts w:ascii="Arial" w:cs="Arial" w:eastAsia="Arial" w:hAnsi="Arial"/>
          <w:sz w:val="16"/>
          <w:szCs w:val="16"/>
          <w:color w:val="auto"/>
        </w:rPr>
        <w:t>”)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Incremental Revolving Credit Commitments of any Class are provided, subject to the satisfaction of the terms and conditions in this Section 2.14, (i) each Incremental Revolving Credit Lender of such Class shall make its Commitment available to the Borrowers (when borrowed, an “</w:t>
      </w:r>
      <w:r>
        <w:rPr>
          <w:rFonts w:ascii="Arial" w:cs="Arial" w:eastAsia="Arial" w:hAnsi="Arial"/>
          <w:sz w:val="16"/>
          <w:szCs w:val="16"/>
          <w:b w:val="1"/>
          <w:bCs w:val="1"/>
          <w:color w:val="auto"/>
        </w:rPr>
        <w:t>Incremental</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Loan</w:t>
      </w:r>
      <w:r>
        <w:rPr>
          <w:rFonts w:ascii="Arial" w:cs="Arial" w:eastAsia="Arial" w:hAnsi="Arial"/>
          <w:sz w:val="16"/>
          <w:szCs w:val="16"/>
          <w:color w:val="auto"/>
        </w:rPr>
        <w:t>” and collectively with any Incremental Term Loan, an “</w:t>
      </w:r>
      <w:r>
        <w:rPr>
          <w:rFonts w:ascii="Arial" w:cs="Arial" w:eastAsia="Arial" w:hAnsi="Arial"/>
          <w:sz w:val="16"/>
          <w:szCs w:val="16"/>
          <w:b w:val="1"/>
          <w:bCs w:val="1"/>
          <w:color w:val="auto"/>
        </w:rPr>
        <w:t>Incremental Loan</w:t>
      </w:r>
      <w:r>
        <w:rPr>
          <w:rFonts w:ascii="Arial" w:cs="Arial" w:eastAsia="Arial" w:hAnsi="Arial"/>
          <w:sz w:val="16"/>
          <w:szCs w:val="16"/>
          <w:color w:val="auto"/>
        </w:rPr>
        <w:t>”) in an amount equal to its Incremental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of such Class and (ii) each Incremental Revolving Credit Lender of such Class shall become a Lender hereunder with respect to the Incremental Revolving Credit Commitment of such Class and the Incremental Revolving Loans of such Class made pursuant thereto. For the avoidance of doubt, Incremental Term Loans having identical terms to any of the other Term Loans (other than original issue discount and/or upfront fees) may be treated as the same Class as any of such Term Loans for all purposes herein.</w:t>
      </w:r>
    </w:p>
    <w:p>
      <w:pPr>
        <w:spacing w:after="0" w:line="204" w:lineRule="exact"/>
        <w:rPr>
          <w:rFonts w:ascii="Arial" w:cs="Arial" w:eastAsia="Arial" w:hAnsi="Arial"/>
          <w:sz w:val="16"/>
          <w:szCs w:val="16"/>
          <w:color w:val="010000"/>
        </w:rPr>
      </w:pPr>
    </w:p>
    <w:p>
      <w:pPr>
        <w:jc w:val="both"/>
        <w:ind w:left="8" w:firstLine="640"/>
        <w:spacing w:after="0" w:line="232" w:lineRule="auto"/>
        <w:tabs>
          <w:tab w:leader="none" w:pos="1160" w:val="left"/>
        </w:tabs>
        <w:numPr>
          <w:ilvl w:val="1"/>
          <w:numId w:val="122"/>
        </w:numPr>
        <w:rPr>
          <w:rFonts w:ascii="Arial" w:cs="Arial" w:eastAsia="Arial" w:hAnsi="Arial"/>
          <w:sz w:val="17"/>
          <w:szCs w:val="17"/>
          <w:color w:val="010000"/>
        </w:rPr>
      </w:pPr>
      <w:r>
        <w:rPr>
          <w:rFonts w:ascii="Arial" w:cs="Arial" w:eastAsia="Arial" w:hAnsi="Arial"/>
          <w:sz w:val="17"/>
          <w:szCs w:val="17"/>
          <w:i w:val="1"/>
          <w:iCs w:val="1"/>
          <w:color w:val="auto"/>
        </w:rPr>
        <w:t>Incremental Loan Request</w:t>
      </w:r>
      <w:r>
        <w:rPr>
          <w:rFonts w:ascii="Arial" w:cs="Arial" w:eastAsia="Arial" w:hAnsi="Arial"/>
          <w:sz w:val="17"/>
          <w:szCs w:val="17"/>
          <w:color w:val="auto"/>
        </w:rPr>
        <w:t>. Each Incremental Loan Request from the Borrowers pursuant to this Section 2.14 shall set forth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requested amount and proposed terms of the relevant Incremental Term Loans or Incremental Revolving Credit Commitments. Incremental Term Loans may be made, and Incremental Revolving Credit Commitments may be provided, by any existing Lender (but no existing Lender will have an obligation to make any Incremental Commitment, nor will the Borrowers have any obligation to approach any existing Lender to provide any Incremental Commitment) or by any Additional Lender (each such existing Lender or Additional Lender providing such Commitment or Loan, an “</w:t>
      </w:r>
      <w:r>
        <w:rPr>
          <w:rFonts w:ascii="Arial" w:cs="Arial" w:eastAsia="Arial" w:hAnsi="Arial"/>
          <w:sz w:val="17"/>
          <w:szCs w:val="17"/>
          <w:b w:val="1"/>
          <w:bCs w:val="1"/>
          <w:color w:val="auto"/>
        </w:rPr>
        <w:t>Incremental Revolving Credit Lender</w:t>
      </w:r>
      <w:r>
        <w:rPr>
          <w:rFonts w:ascii="Arial" w:cs="Arial" w:eastAsia="Arial" w:hAnsi="Arial"/>
          <w:sz w:val="17"/>
          <w:szCs w:val="17"/>
          <w:color w:val="auto"/>
        </w:rPr>
        <w:t>” or “</w:t>
      </w:r>
      <w:r>
        <w:rPr>
          <w:rFonts w:ascii="Arial" w:cs="Arial" w:eastAsia="Arial" w:hAnsi="Arial"/>
          <w:sz w:val="17"/>
          <w:szCs w:val="17"/>
          <w:b w:val="1"/>
          <w:bCs w:val="1"/>
          <w:color w:val="auto"/>
        </w:rPr>
        <w:t>Incremental Term Lender</w:t>
      </w:r>
      <w:r>
        <w:rPr>
          <w:rFonts w:ascii="Arial" w:cs="Arial" w:eastAsia="Arial" w:hAnsi="Arial"/>
          <w:sz w:val="17"/>
          <w:szCs w:val="17"/>
          <w:color w:val="auto"/>
        </w:rPr>
        <w:t>,” as applicable, and, collectively, the “</w:t>
      </w:r>
      <w:r>
        <w:rPr>
          <w:rFonts w:ascii="Arial" w:cs="Arial" w:eastAsia="Arial" w:hAnsi="Arial"/>
          <w:sz w:val="17"/>
          <w:szCs w:val="17"/>
          <w:b w:val="1"/>
          <w:bCs w:val="1"/>
          <w:color w:val="auto"/>
        </w:rPr>
        <w:t>Incremental Lenders</w:t>
      </w:r>
      <w:r>
        <w:rPr>
          <w:rFonts w:ascii="Arial" w:cs="Arial" w:eastAsia="Arial" w:hAnsi="Arial"/>
          <w:sz w:val="17"/>
          <w:szCs w:val="17"/>
          <w:color w:val="auto"/>
        </w:rPr>
        <w:t>”).</w:t>
      </w:r>
    </w:p>
    <w:p>
      <w:pPr>
        <w:spacing w:after="0" w:line="189" w:lineRule="exact"/>
        <w:rPr>
          <w:rFonts w:ascii="Arial" w:cs="Arial" w:eastAsia="Arial" w:hAnsi="Arial"/>
          <w:sz w:val="17"/>
          <w:szCs w:val="17"/>
          <w:color w:val="010000"/>
        </w:rPr>
      </w:pPr>
    </w:p>
    <w:p>
      <w:pPr>
        <w:jc w:val="both"/>
        <w:ind w:left="8" w:right="40" w:firstLine="640"/>
        <w:spacing w:after="0" w:line="229" w:lineRule="auto"/>
        <w:tabs>
          <w:tab w:leader="none" w:pos="1160" w:val="left"/>
        </w:tabs>
        <w:numPr>
          <w:ilvl w:val="1"/>
          <w:numId w:val="122"/>
        </w:numPr>
        <w:rPr>
          <w:rFonts w:ascii="Arial" w:cs="Arial" w:eastAsia="Arial" w:hAnsi="Arial"/>
          <w:sz w:val="18"/>
          <w:szCs w:val="18"/>
          <w:color w:val="010000"/>
        </w:rPr>
      </w:pPr>
      <w:r>
        <w:rPr>
          <w:rFonts w:ascii="Arial" w:cs="Arial" w:eastAsia="Arial" w:hAnsi="Arial"/>
          <w:sz w:val="18"/>
          <w:szCs w:val="18"/>
          <w:i w:val="1"/>
          <w:iCs w:val="1"/>
          <w:color w:val="auto"/>
        </w:rPr>
        <w:t>Effectiveness of Incremental Amendment</w:t>
      </w:r>
      <w:r>
        <w:rPr>
          <w:rFonts w:ascii="Arial" w:cs="Arial" w:eastAsia="Arial" w:hAnsi="Arial"/>
          <w:sz w:val="18"/>
          <w:szCs w:val="18"/>
          <w:color w:val="auto"/>
        </w:rPr>
        <w:t>. The effectiveness of any Incremental Amendment, and the Incremental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shall be subject to the satisfaction on the date thereof (the “</w:t>
      </w:r>
      <w:r>
        <w:rPr>
          <w:rFonts w:ascii="Arial" w:cs="Arial" w:eastAsia="Arial" w:hAnsi="Arial"/>
          <w:sz w:val="18"/>
          <w:szCs w:val="18"/>
          <w:b w:val="1"/>
          <w:bCs w:val="1"/>
          <w:color w:val="auto"/>
        </w:rPr>
        <w:t>Incremental Facility Closing Date</w:t>
      </w:r>
      <w:r>
        <w:rPr>
          <w:rFonts w:ascii="Arial" w:cs="Arial" w:eastAsia="Arial" w:hAnsi="Arial"/>
          <w:sz w:val="18"/>
          <w:szCs w:val="18"/>
          <w:color w:val="auto"/>
        </w:rPr>
        <w:t>”) of each of the following conditions, together with any other conditions set forth in the Incremental Amendment:</w:t>
      </w:r>
    </w:p>
    <w:p>
      <w:pPr>
        <w:spacing w:after="0" w:line="190" w:lineRule="exact"/>
        <w:rPr>
          <w:rFonts w:ascii="Arial" w:cs="Arial" w:eastAsia="Arial" w:hAnsi="Arial"/>
          <w:sz w:val="18"/>
          <w:szCs w:val="18"/>
          <w:color w:val="010000"/>
        </w:rPr>
      </w:pPr>
    </w:p>
    <w:p>
      <w:pPr>
        <w:jc w:val="both"/>
        <w:ind w:left="648" w:right="20" w:firstLine="647"/>
        <w:spacing w:after="0" w:line="232" w:lineRule="auto"/>
        <w:tabs>
          <w:tab w:leader="none" w:pos="1801" w:val="left"/>
        </w:tabs>
        <w:numPr>
          <w:ilvl w:val="2"/>
          <w:numId w:val="122"/>
        </w:numPr>
        <w:rPr>
          <w:rFonts w:ascii="Arial" w:cs="Arial" w:eastAsia="Arial" w:hAnsi="Arial"/>
          <w:sz w:val="17"/>
          <w:szCs w:val="17"/>
          <w:color w:val="010000"/>
        </w:rPr>
      </w:pPr>
      <w:r>
        <w:rPr>
          <w:rFonts w:ascii="Arial" w:cs="Arial" w:eastAsia="Arial" w:hAnsi="Arial"/>
          <w:sz w:val="17"/>
          <w:szCs w:val="17"/>
          <w:color w:val="auto"/>
        </w:rPr>
        <w:t xml:space="preserve">no Event of Default shall exist after giving effect to such Incremental Commitments;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any Incremental Amendment the purpose of which is to finance any Permitted Acquisition or Investment, including any Limited Condition Transaction, the condition set forth in this clause (i) (other than any Event of Default pursuant to Section 8.01(a) or, with respect to the Parent Borrower, Section 8.01(f), which may only be waived with the consent of the Required Lenders), may be waived or omitted in full or in part by Incremental Lenders holding more than 50% of the applicable aggregate Incremental Commitments;</w:t>
      </w:r>
    </w:p>
    <w:p>
      <w:pPr>
        <w:spacing w:after="0" w:line="202" w:lineRule="exact"/>
        <w:rPr>
          <w:rFonts w:ascii="Arial" w:cs="Arial" w:eastAsia="Arial" w:hAnsi="Arial"/>
          <w:sz w:val="17"/>
          <w:szCs w:val="17"/>
          <w:color w:val="010000"/>
        </w:rPr>
      </w:pPr>
    </w:p>
    <w:p>
      <w:pPr>
        <w:ind w:left="1948" w:hanging="652"/>
        <w:spacing w:after="0"/>
        <w:tabs>
          <w:tab w:leader="none" w:pos="1948" w:val="left"/>
        </w:tabs>
        <w:numPr>
          <w:ilvl w:val="2"/>
          <w:numId w:val="122"/>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648" w:right="40" w:firstLine="648"/>
        <w:spacing w:after="0" w:line="235" w:lineRule="auto"/>
        <w:tabs>
          <w:tab w:leader="none" w:pos="1801" w:val="left"/>
        </w:tabs>
        <w:numPr>
          <w:ilvl w:val="2"/>
          <w:numId w:val="122"/>
        </w:numPr>
        <w:rPr>
          <w:rFonts w:ascii="Arial" w:cs="Arial" w:eastAsia="Arial" w:hAnsi="Arial"/>
          <w:sz w:val="18"/>
          <w:szCs w:val="18"/>
          <w:color w:val="010000"/>
        </w:rPr>
      </w:pPr>
      <w:r>
        <w:rPr>
          <w:rFonts w:ascii="Arial" w:cs="Arial" w:eastAsia="Arial" w:hAnsi="Arial"/>
          <w:sz w:val="18"/>
          <w:szCs w:val="18"/>
          <w:color w:val="auto"/>
        </w:rPr>
        <w:t>each Incremental Term Commitment shall be in an aggregate principal amount that is not less than $5,000,000 and shall be in an increment of $1,000,000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w:t>
      </w:r>
    </w:p>
    <w:p>
      <w:pPr>
        <w:sectPr>
          <w:pgSz w:w="11900" w:h="16838" w:orient="portrait"/>
          <w:cols w:equalWidth="0" w:num="1">
            <w:col w:w="10928"/>
          </w:cols>
          <w:pgMar w:left="472" w:top="1440" w:right="499" w:bottom="1440" w:gutter="0" w:footer="0" w:header="0"/>
        </w:sectPr>
      </w:pPr>
    </w:p>
    <w:bookmarkStart w:id="137" w:name="page138"/>
    <w:bookmarkEnd w:id="137"/>
    <w:p>
      <w:pPr>
        <w:spacing w:after="0" w:line="211" w:lineRule="exact"/>
        <w:rPr>
          <w:sz w:val="20"/>
          <w:szCs w:val="20"/>
          <w:color w:val="auto"/>
        </w:rPr>
      </w:pPr>
    </w:p>
    <w:p>
      <w:pPr>
        <w:jc w:val="both"/>
        <w:ind w:right="40"/>
        <w:spacing w:after="0" w:line="214" w:lineRule="auto"/>
        <w:rPr>
          <w:sz w:val="20"/>
          <w:szCs w:val="20"/>
          <w:color w:val="auto"/>
        </w:rPr>
      </w:pPr>
      <w:r>
        <w:rPr>
          <w:rFonts w:ascii="Arial" w:cs="Arial" w:eastAsia="Arial" w:hAnsi="Arial"/>
          <w:sz w:val="18"/>
          <w:szCs w:val="18"/>
          <w:color w:val="auto"/>
        </w:rPr>
        <w:t>than $5,000,000 if such amount represents all remaining availability under the limit set forth in Section 2.14(d)(iv) permitted to be borrowed at such time) and each Incremental Revolving Credit Commitment shall be in an aggregate principal amount that is not less than $5,000,000 and shall be in an increment of</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$1,000,000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 than $5,000,000 if such amount represents all remaining availability under the limit set forth in Section 2.14(d)(iv) permitted to be borrowed at such time);</w:t>
      </w:r>
    </w:p>
    <w:p>
      <w:pPr>
        <w:spacing w:after="0" w:line="188" w:lineRule="exact"/>
        <w:rPr>
          <w:sz w:val="20"/>
          <w:szCs w:val="20"/>
          <w:color w:val="auto"/>
        </w:rPr>
      </w:pPr>
    </w:p>
    <w:p>
      <w:pPr>
        <w:jc w:val="both"/>
        <w:ind w:firstLine="648"/>
        <w:spacing w:after="0"/>
        <w:tabs>
          <w:tab w:leader="none" w:pos="1152"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 xml:space="preserve">the aggregate principal amount of the Incremental Term Loans, the Incremental Revolving Credit Commitments and Incremental Equivalent Debt incurred pursuant to this Section 2.14 shall not exceed (A) the greater of (I) $252,000,000 and (II) 100% of Trailing Four Quarter Consolidated EBITDA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an amount equal to the sum of (I) the aggregate principal amount of all voluntary prepayments (including through debt buybacks (whether through open market purchases or otherwise) and Dutch auctions) of (x) Term Loans, Permitted Ratio Debt or Incremental Equivalent Debt that constitutes First Lien Obligations and (y) to the extent incurred in reliance on clause</w:t>
      </w:r>
    </w:p>
    <w:p>
      <w:pPr>
        <w:jc w:val="both"/>
        <w:spacing w:after="0" w:line="234" w:lineRule="auto"/>
        <w:tabs>
          <w:tab w:leader="none" w:pos="30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above, Incremental Equivalent Debt that constitutes Second Lien Obligations or that is unsecured and (II) the aggregate principal amount of permanent voluntary commitment reductions under the ABL Credit Agreement in connection with the termination of the ABL Credit Agreement or any other revolving facility the Indebtedness under which constitutes First Lien Obligations, in each case, made or effectuated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voluntary permanent commitment reductions with respect to the ABL Credit Agreement may only be utilized to incur Incremental Revolving Credit Commitments and not Incremental Term Commitments), in each case except to the extent financed with proceeds of long-term Indebtedness (other than revolving Indebtedness)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an unlimited additional amount of Incremental Term Loans, Incremental Revolving Credit Commitments and/or Incremental Equivalent Debt so long as (x) in the case of Incremental Term Loans, Incremental Revolving Credit Commitments or Incremental Equivalent Debt secured by any Applicable Lien, the First Lien Net Leverage Ratio for the Test Period most recently ended calculated on a Pro Forma Basis after giving effect to any such incurrence, does not exceed 4.50 to 1.00 (in the case of an incurrence of Incremental Revolving Credit Commitments, such ratio determined only at the time the relevant Commitment is established and assuming such then incurred Incremental Revolving Credit Commitments are fully drawn and calculating the First Lien Net Leverage Ratio without netting the cash proceeds from such Incremental Loans then proposed to be incurred),</w:t>
      </w:r>
    </w:p>
    <w:p>
      <w:pPr>
        <w:spacing w:after="0" w:line="7" w:lineRule="exact"/>
        <w:rPr>
          <w:rFonts w:ascii="Arial" w:cs="Arial" w:eastAsia="Arial" w:hAnsi="Arial"/>
          <w:sz w:val="16"/>
          <w:szCs w:val="16"/>
          <w:color w:val="auto"/>
        </w:rPr>
      </w:pPr>
    </w:p>
    <w:p>
      <w:pPr>
        <w:jc w:val="both"/>
        <w:spacing w:after="0" w:line="213" w:lineRule="auto"/>
        <w:rPr>
          <w:rFonts w:ascii="Arial" w:cs="Arial" w:eastAsia="Arial" w:hAnsi="Arial"/>
          <w:sz w:val="16"/>
          <w:szCs w:val="16"/>
          <w:color w:val="auto"/>
        </w:rPr>
      </w:pPr>
      <w:r>
        <w:rPr>
          <w:rFonts w:ascii="Arial" w:cs="Arial" w:eastAsia="Arial" w:hAnsi="Arial"/>
          <w:sz w:val="18"/>
          <w:szCs w:val="18"/>
          <w:color w:val="auto"/>
        </w:rPr>
        <w:t>(y) in the case of Incremental Loans, Incremental Revolving Credit Commitments or Incremental Equivalent Debt secured by Liens on the Collateral (other than Applicable Liens), the Senior Secured Net Leverage Ratio for the Test Period most recently ended calculated on a Pro Forma Basis after giving effect to any such incurrence, does not exceed</w:t>
      </w:r>
    </w:p>
    <w:p>
      <w:pPr>
        <w:spacing w:after="0" w:line="2" w:lineRule="exact"/>
        <w:rPr>
          <w:rFonts w:ascii="Arial" w:cs="Arial" w:eastAsia="Arial" w:hAnsi="Arial"/>
          <w:sz w:val="16"/>
          <w:szCs w:val="16"/>
          <w:color w:val="auto"/>
        </w:rPr>
      </w:pPr>
    </w:p>
    <w:p>
      <w:pPr>
        <w:jc w:val="both"/>
        <w:ind w:right="40"/>
        <w:spacing w:after="0" w:line="233" w:lineRule="auto"/>
        <w:rPr>
          <w:rFonts w:ascii="Arial" w:cs="Arial" w:eastAsia="Arial" w:hAnsi="Arial"/>
          <w:sz w:val="16"/>
          <w:szCs w:val="16"/>
          <w:color w:val="auto"/>
        </w:rPr>
      </w:pPr>
      <w:r>
        <w:rPr>
          <w:rFonts w:ascii="Arial" w:cs="Arial" w:eastAsia="Arial" w:hAnsi="Arial"/>
          <w:sz w:val="16"/>
          <w:szCs w:val="16"/>
          <w:color w:val="auto"/>
        </w:rPr>
        <w:t>5.75 to 1.00 (in the case of an incurrence of Incremental Revolving Credit Commitments, such ratio determined only at the time the relevant Commitment is established and assuming such then incurred Incremental Revolving Credit Commitments are fully drawn and calculating the Senior Secured Net Leverage Ratio without netting the cash proceeds from such Incremental Loans then proposed to be incurred) and (z) in the case of Incremental Loans, Incremental Revolving Credit Commitments or Incremental Equivalent Debt that are (or is) unsecured, either</w:t>
      </w:r>
    </w:p>
    <w:p>
      <w:pPr>
        <w:spacing w:after="0" w:line="1" w:lineRule="exact"/>
        <w:rPr>
          <w:rFonts w:ascii="Arial" w:cs="Arial" w:eastAsia="Arial" w:hAnsi="Arial"/>
          <w:sz w:val="16"/>
          <w:szCs w:val="16"/>
          <w:color w:val="auto"/>
        </w:rPr>
      </w:pPr>
    </w:p>
    <w:p>
      <w:pPr>
        <w:jc w:val="both"/>
        <w:ind w:right="40"/>
        <w:spacing w:after="0" w:line="223" w:lineRule="auto"/>
        <w:rPr>
          <w:rFonts w:ascii="Arial" w:cs="Arial" w:eastAsia="Arial" w:hAnsi="Arial"/>
          <w:sz w:val="16"/>
          <w:szCs w:val="16"/>
          <w:color w:val="auto"/>
        </w:rPr>
      </w:pPr>
      <w:r>
        <w:rPr>
          <w:rFonts w:ascii="Arial" w:cs="Arial" w:eastAsia="Arial" w:hAnsi="Arial"/>
          <w:sz w:val="17"/>
          <w:szCs w:val="17"/>
          <w:color w:val="auto"/>
        </w:rPr>
        <w:t>(1) the Fixed Charge Coverage Ratio for the Test Period most recently ended calculated on a Pro Forma Basis after giving effect to any such incurrence, is not less than 2.00 to 1.00 (in the case of an incurrence of Incremental Revolving Credit Commitments, such ratio determined only at the time the relevant Commitment is established and assuming such then incurred Incremental Revolving Credit Commitments are fully drawn and calculating the Fixed Charge Coverage Ratio without netting the cash proceeds from such Incremental Loans then proposed to be incurred) or (2) if incurred in connection with a Permitted Acquisition or other Investment, the Fixed Charge Coverage Ratio on a Pro Forma Basis does not decrease immediately after giving effect to such Permitted Acquisition, Investment or other Specified Transaction (the amount available under clauses (A), (B) and (C), the “</w:t>
      </w:r>
      <w:r>
        <w:rPr>
          <w:rFonts w:ascii="Arial" w:cs="Arial" w:eastAsia="Arial" w:hAnsi="Arial"/>
          <w:sz w:val="17"/>
          <w:szCs w:val="17"/>
          <w:b w:val="1"/>
          <w:bCs w:val="1"/>
          <w:color w:val="auto"/>
        </w:rPr>
        <w:t>Available Incremental Amount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Borrowers may elect to use clause (C) of the Available Incremental Amount prior to clause (A) or (B) and regardless of whether there is capacity under clause (A) or (B), and if clauses (A), (B) and (C) are available and the Borrowers do not make an election, the Borrowers will be deemed to have elected clause (C), (II) the Borrowers may reclassify utilizations among clauses (A), (B) and (C) of the Available Incremental Amount if, at the time of such reclassification, the Borrowers would be permitted to incur the aggregate principal amount of Indebtedness being so reclassified, and (III) if amounts incurred under clause (A) or (B) of the Available</w:t>
      </w:r>
    </w:p>
    <w:p>
      <w:pPr>
        <w:sectPr>
          <w:pgSz w:w="11900" w:h="16838" w:orient="portrait"/>
          <w:cols w:equalWidth="0" w:num="1">
            <w:col w:w="10280"/>
          </w:cols>
          <w:pgMar w:left="1120" w:top="1440" w:right="499" w:bottom="1440" w:gutter="0" w:footer="0" w:header="0"/>
        </w:sectPr>
      </w:pPr>
    </w:p>
    <w:bookmarkStart w:id="138" w:name="page139"/>
    <w:bookmarkEnd w:id="138"/>
    <w:p>
      <w:pPr>
        <w:spacing w:after="0" w:line="211" w:lineRule="exact"/>
        <w:rPr>
          <w:sz w:val="20"/>
          <w:szCs w:val="20"/>
          <w:color w:val="auto"/>
        </w:rPr>
      </w:pPr>
    </w:p>
    <w:p>
      <w:pPr>
        <w:jc w:val="both"/>
        <w:ind w:left="1"/>
        <w:spacing w:after="0" w:line="241" w:lineRule="auto"/>
        <w:rPr>
          <w:sz w:val="20"/>
          <w:szCs w:val="20"/>
          <w:color w:val="auto"/>
        </w:rPr>
      </w:pPr>
      <w:r>
        <w:rPr>
          <w:rFonts w:ascii="Arial" w:cs="Arial" w:eastAsia="Arial" w:hAnsi="Arial"/>
          <w:sz w:val="16"/>
          <w:szCs w:val="16"/>
          <w:color w:val="auto"/>
        </w:rPr>
        <w:t>Incremental Amount are incurred concurrently with the incurrence of Incremental Loans or Incremental Commitments and/or Incremental Equivalent Debt (in each case, including any unused commitments obtained) in reliance on clauses (A) or (B) of the Available Incremental Amount or any amounts pursuant to a fixed dollar basket in Section 7.03, the First Lien Net Leverage Ratio, the Senior Secured Net Leverage</w:t>
      </w:r>
    </w:p>
    <w:p>
      <w:pPr>
        <w:spacing w:after="0" w:line="2" w:lineRule="exact"/>
        <w:rPr>
          <w:sz w:val="20"/>
          <w:szCs w:val="20"/>
          <w:color w:val="auto"/>
        </w:rPr>
      </w:pPr>
    </w:p>
    <w:p>
      <w:pPr>
        <w:jc w:val="both"/>
        <w:ind w:left="1"/>
        <w:spacing w:after="0" w:line="226" w:lineRule="auto"/>
        <w:rPr>
          <w:sz w:val="20"/>
          <w:szCs w:val="20"/>
          <w:color w:val="auto"/>
        </w:rPr>
      </w:pPr>
      <w:r>
        <w:rPr>
          <w:rFonts w:ascii="Arial" w:cs="Arial" w:eastAsia="Arial" w:hAnsi="Arial"/>
          <w:sz w:val="18"/>
          <w:szCs w:val="18"/>
          <w:color w:val="auto"/>
        </w:rPr>
        <w:t>Ratio or the Fixed Charge Coverage Ratio shall be calculated without giving effect to such amounts incurred (or commitments obtained) in reliance on the foregoing clauses (A) or (B) or such fixed dollar basket in Section 7.03; and</w:t>
      </w:r>
    </w:p>
    <w:p>
      <w:pPr>
        <w:spacing w:after="0" w:line="188" w:lineRule="exact"/>
        <w:rPr>
          <w:sz w:val="20"/>
          <w:szCs w:val="20"/>
          <w:color w:val="auto"/>
        </w:rPr>
      </w:pPr>
    </w:p>
    <w:p>
      <w:pPr>
        <w:jc w:val="both"/>
        <w:ind w:left="1" w:right="40" w:firstLine="648"/>
        <w:spacing w:after="0" w:line="217" w:lineRule="auto"/>
        <w:tabs>
          <w:tab w:leader="none" w:pos="1153"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the Incremental Term Loans made pursuant to any Term Loan Increase shall be added to (and form part of) each Borrowing of outstanding Term Loans under the respective Class subject to such Term Loan Increase on a pro rata basis (based on the principal amount of each Borrowing) so that each Lender under such Class will participate proportionately in each then outstanding Borrowing of Term Loans under such Class after giving effect to such Term Loan Increase, provided that regularly accruing interest and fees through the date of the applicable Incremental Facility Closing Date (as well as amounts owing to any Lender pursuant to Sections 3.01, 3.04, 3.05, 10.04 and 10.05 or similar provisions pursuant to the other Loan Documents) shall remain payable to the respective Lenders to which such amounts were owing.</w:t>
      </w:r>
    </w:p>
    <w:p>
      <w:pPr>
        <w:spacing w:after="0" w:line="201" w:lineRule="exact"/>
        <w:rPr>
          <w:rFonts w:ascii="Arial" w:cs="Arial" w:eastAsia="Arial" w:hAnsi="Arial"/>
          <w:sz w:val="18"/>
          <w:szCs w:val="18"/>
          <w:color w:val="010000"/>
        </w:rPr>
      </w:pPr>
    </w:p>
    <w:p>
      <w:pPr>
        <w:jc w:val="both"/>
        <w:ind w:left="-639" w:right="20" w:firstLine="639"/>
        <w:spacing w:after="0" w:line="223" w:lineRule="auto"/>
        <w:tabs>
          <w:tab w:leader="none" w:pos="514" w:val="left"/>
        </w:tabs>
        <w:numPr>
          <w:ilvl w:val="0"/>
          <w:numId w:val="126"/>
        </w:numPr>
        <w:rPr>
          <w:rFonts w:ascii="Arial" w:cs="Arial" w:eastAsia="Arial" w:hAnsi="Arial"/>
          <w:sz w:val="17"/>
          <w:szCs w:val="17"/>
          <w:color w:val="010000"/>
        </w:rPr>
      </w:pPr>
      <w:r>
        <w:rPr>
          <w:rFonts w:ascii="Arial" w:cs="Arial" w:eastAsia="Arial" w:hAnsi="Arial"/>
          <w:sz w:val="17"/>
          <w:szCs w:val="17"/>
          <w:i w:val="1"/>
          <w:iCs w:val="1"/>
          <w:color w:val="auto"/>
        </w:rPr>
        <w:t>Required Terms</w:t>
      </w:r>
      <w:r>
        <w:rPr>
          <w:rFonts w:ascii="Arial" w:cs="Arial" w:eastAsia="Arial" w:hAnsi="Arial"/>
          <w:sz w:val="17"/>
          <w:szCs w:val="17"/>
          <w:color w:val="auto"/>
        </w:rPr>
        <w:t>. The terms, provisions and documentation of the Incremental Term Loans and Incremental Term Commitments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Incremental Revolving Loans and Incremental Revolving Credit Commitments, as the case may be, of any Class shall be as agreed between the Borrowers and the applicable Incremental Lenders providing such Incremental Commitments, and except as otherwise set forth herein, to the extent the terms of any Incremental Term Loans are not identical to any Class of Term Loans or Revolving Credit Commitments, as applicable, existing on the Incremental Facility Closing Date, the terms of such Incremental Term Loans shall either, (x) not be materially more restrictive to the Borrowers (as determined by the Administrative Borrower in good faith), when taken as a whole, than the terms of the Term B Loans, except for covenants and other terms applicable to any period after the Latest Maturity Date in effect immediately prior to the incurrence of the Incremental Term Loans and Incremental Term Commitments or (y) be reasonably satisfactory to the Administrative Agent (it being understood that (I) covenants and other terms applicable to any period after the Latest Maturity Date in effect immediately prior to the incurrence of the Incremental Term Loans and Incremental Term Commitments need not be reasonably satisfactory to the Administrative Agent and (II) to the extent that any Previously Absent Financial Maintenance Covenant or other covenant is added for the benefit of any Incremental Term Loans and Incremental Term Commitments, no consent shall be required from the Administrative Agent or any of the Lenders to the extent that such Previously Absent Financial Maintenance Covenant or other covenant is also added for the benefit of the existing Term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request to effect a Term Loan Increase, the terms, provisions and documentation of such Term Loan Increase shall be identical (other than with respect to upfront fees, OID or similar fees) (it being understood that, if necessary to consummate such Term Loan Increase which is intended to be fungible for U.S. federal income tax purposes, the interest rate margins and rate floors on the existing Class of Term Loans may be automatically increased and any call protection provision may be made more favorable to the applicable existing Lenders) to the applicable Term Loans being increased as existing on the Incremental Facility Closing Date. In any event:</w:t>
      </w:r>
    </w:p>
    <w:p>
      <w:pPr>
        <w:spacing w:after="0" w:line="213" w:lineRule="exact"/>
        <w:rPr>
          <w:rFonts w:ascii="Arial" w:cs="Arial" w:eastAsia="Arial" w:hAnsi="Arial"/>
          <w:sz w:val="17"/>
          <w:szCs w:val="17"/>
          <w:color w:val="010000"/>
        </w:rPr>
      </w:pPr>
    </w:p>
    <w:p>
      <w:pPr>
        <w:ind w:left="1301" w:hanging="652"/>
        <w:spacing w:after="0"/>
        <w:tabs>
          <w:tab w:leader="none" w:pos="1301" w:val="left"/>
        </w:tabs>
        <w:numPr>
          <w:ilvl w:val="1"/>
          <w:numId w:val="126"/>
        </w:numPr>
        <w:rPr>
          <w:rFonts w:ascii="Arial" w:cs="Arial" w:eastAsia="Arial" w:hAnsi="Arial"/>
          <w:sz w:val="18"/>
          <w:szCs w:val="18"/>
          <w:color w:val="010000"/>
        </w:rPr>
      </w:pPr>
      <w:r>
        <w:rPr>
          <w:rFonts w:ascii="Arial" w:cs="Arial" w:eastAsia="Arial" w:hAnsi="Arial"/>
          <w:sz w:val="18"/>
          <w:szCs w:val="18"/>
          <w:color w:val="auto"/>
        </w:rPr>
        <w:t>the Incremental Term Loans:</w:t>
      </w:r>
    </w:p>
    <w:p>
      <w:pPr>
        <w:spacing w:after="0" w:line="225" w:lineRule="exact"/>
        <w:rPr>
          <w:rFonts w:ascii="Arial" w:cs="Arial" w:eastAsia="Arial" w:hAnsi="Arial"/>
          <w:sz w:val="18"/>
          <w:szCs w:val="18"/>
          <w:color w:val="010000"/>
        </w:rPr>
      </w:pPr>
    </w:p>
    <w:p>
      <w:pPr>
        <w:jc w:val="both"/>
        <w:ind w:left="401" w:right="40" w:firstLine="654"/>
        <w:spacing w:after="0" w:line="232" w:lineRule="auto"/>
        <w:tabs>
          <w:tab w:leader="none" w:pos="1795" w:val="left"/>
        </w:tabs>
        <w:numPr>
          <w:ilvl w:val="2"/>
          <w:numId w:val="126"/>
        </w:numPr>
        <w:rPr>
          <w:rFonts w:ascii="Arial" w:cs="Arial" w:eastAsia="Arial" w:hAnsi="Arial"/>
          <w:sz w:val="17"/>
          <w:szCs w:val="17"/>
          <w:color w:val="010000"/>
        </w:rPr>
      </w:pPr>
      <w:r>
        <w:rPr>
          <w:rFonts w:ascii="Arial" w:cs="Arial" w:eastAsia="Arial" w:hAnsi="Arial"/>
          <w:sz w:val="17"/>
          <w:szCs w:val="17"/>
          <w:color w:val="auto"/>
        </w:rPr>
        <w:t xml:space="preserve">(i)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or junior in right of payment to, the Obligations under the then existing Term Loans and will either be secured solely by the same Collateral securing the Obligations or shall be unsecured and (ii) to the extent (x) secured by any Applicable Lien, shall be subject to the ABL Intercreditor Agreement, the Second Lien Intercreditor Agreement and, if applicable, the First Lien Intercreditor Agreement and (y) secured by Liens on the Collateral (other than Applicable Liens), shall be subject to the Second Lien Intercreditor Agreement and the ABL Intercreditor Agreement or, in each case, to intercreditor arrangements reasonably satisfactory to the Administrative Agent, as applicable,</w:t>
      </w:r>
    </w:p>
    <w:p>
      <w:pPr>
        <w:sectPr>
          <w:pgSz w:w="11900" w:h="16838" w:orient="portrait"/>
          <w:cols w:equalWidth="0" w:num="1">
            <w:col w:w="10281"/>
          </w:cols>
          <w:pgMar w:left="1119" w:top="1440" w:right="499" w:bottom="1440" w:gutter="0" w:footer="0" w:header="0"/>
        </w:sectPr>
      </w:pPr>
    </w:p>
    <w:bookmarkStart w:id="139" w:name="page140"/>
    <w:bookmarkEnd w:id="139"/>
    <w:p>
      <w:pPr>
        <w:spacing w:after="0" w:line="211" w:lineRule="exact"/>
        <w:rPr>
          <w:sz w:val="20"/>
          <w:szCs w:val="20"/>
          <w:color w:val="auto"/>
        </w:rPr>
      </w:pPr>
    </w:p>
    <w:p>
      <w:pPr>
        <w:jc w:val="both"/>
        <w:ind w:left="400" w:firstLine="654"/>
        <w:spacing w:after="0" w:line="237" w:lineRule="auto"/>
        <w:tabs>
          <w:tab w:leader="none" w:pos="1794" w:val="left"/>
        </w:tabs>
        <w:numPr>
          <w:ilvl w:val="1"/>
          <w:numId w:val="127"/>
        </w:numPr>
        <w:rPr>
          <w:rFonts w:ascii="Arial" w:cs="Arial" w:eastAsia="Arial" w:hAnsi="Arial"/>
          <w:sz w:val="17"/>
          <w:szCs w:val="17"/>
          <w:color w:val="010000"/>
        </w:rPr>
      </w:pPr>
      <w:r>
        <w:rPr>
          <w:rFonts w:ascii="Arial" w:cs="Arial" w:eastAsia="Arial" w:hAnsi="Arial"/>
          <w:sz w:val="17"/>
          <w:szCs w:val="17"/>
          <w:color w:val="auto"/>
        </w:rPr>
        <w:t xml:space="preserve">as of the Incremental Facility Closing Date, shall not have a final scheduled maturity date earlier than the Maturity Date of the Term B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Incremental Term Loans in an aggregate amount not to exceed the then available Inside Maturity Basket may have a final scheduled maturity date earlier than the Maturity Date of the Term B Loans,</w:t>
      </w:r>
    </w:p>
    <w:p>
      <w:pPr>
        <w:spacing w:after="0" w:line="203" w:lineRule="exact"/>
        <w:rPr>
          <w:rFonts w:ascii="Arial" w:cs="Arial" w:eastAsia="Arial" w:hAnsi="Arial"/>
          <w:sz w:val="17"/>
          <w:szCs w:val="17"/>
          <w:color w:val="010000"/>
        </w:rPr>
      </w:pPr>
    </w:p>
    <w:p>
      <w:pPr>
        <w:jc w:val="both"/>
        <w:ind w:left="400" w:right="40" w:firstLine="654"/>
        <w:spacing w:after="0" w:line="219" w:lineRule="auto"/>
        <w:tabs>
          <w:tab w:leader="none" w:pos="1794"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 xml:space="preserve">as of the Incremental Facility Closing Date, shall have a Weighted Average Life to Maturity not shorter than the remaining Weighted Average Life to Maturity of the Term B Loans (prior to any extension thereto) except as may be required to achieve fungibility with any existing term loan facility to the extent intended to be fungible;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Incremental Term Loans in an aggregate amount no to exceed the then available Inside Maturity Basket may have a Weighted Average Life to Maturity shorter than the remaining Weighted Average Life to Maturity of the Term B Loans,</w:t>
      </w:r>
    </w:p>
    <w:p>
      <w:pPr>
        <w:spacing w:after="0" w:line="189" w:lineRule="exact"/>
        <w:rPr>
          <w:rFonts w:ascii="Arial" w:cs="Arial" w:eastAsia="Arial" w:hAnsi="Arial"/>
          <w:sz w:val="18"/>
          <w:szCs w:val="18"/>
          <w:color w:val="010000"/>
        </w:rPr>
      </w:pPr>
    </w:p>
    <w:p>
      <w:pPr>
        <w:jc w:val="both"/>
        <w:ind w:left="400" w:right="40" w:firstLine="654"/>
        <w:spacing w:after="0" w:line="219" w:lineRule="auto"/>
        <w:tabs>
          <w:tab w:leader="none" w:pos="1794"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 xml:space="preserve">subject to clause (e)(iii) below, shall have an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and subject to clauses (e)(i)(B) and (e)(i)(C) above amortization determined by the Borrowers and the applicable Incremental Term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for a Term Loan Increase shall be higher than the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for the Class being increased, then the Applicable Rate for the Class being increased shall be automatically increased as and to the extent necessary to eliminate such deficiency,</w:t>
      </w:r>
    </w:p>
    <w:p>
      <w:pPr>
        <w:spacing w:after="0" w:line="189" w:lineRule="exact"/>
        <w:rPr>
          <w:rFonts w:ascii="Arial" w:cs="Arial" w:eastAsia="Arial" w:hAnsi="Arial"/>
          <w:sz w:val="18"/>
          <w:szCs w:val="18"/>
          <w:color w:val="010000"/>
        </w:rPr>
      </w:pPr>
    </w:p>
    <w:p>
      <w:pPr>
        <w:ind w:left="1800" w:hanging="746"/>
        <w:spacing w:after="0"/>
        <w:tabs>
          <w:tab w:leader="none" w:pos="1800" w:val="left"/>
        </w:tabs>
        <w:numPr>
          <w:ilvl w:val="1"/>
          <w:numId w:val="127"/>
        </w:numPr>
        <w:rPr>
          <w:rFonts w:ascii="Arial" w:cs="Arial" w:eastAsia="Arial" w:hAnsi="Arial"/>
          <w:sz w:val="17"/>
          <w:szCs w:val="17"/>
          <w:color w:val="010000"/>
        </w:rPr>
      </w:pPr>
      <w:r>
        <w:rPr>
          <w:rFonts w:ascii="Arial" w:cs="Arial" w:eastAsia="Arial" w:hAnsi="Arial"/>
          <w:sz w:val="17"/>
          <w:szCs w:val="17"/>
          <w:color w:val="auto"/>
        </w:rPr>
        <w:t>shall have fees, if any, determined by the Borrowers and the applicable Incremental Term Loan arranger(s), and</w:t>
      </w:r>
    </w:p>
    <w:p>
      <w:pPr>
        <w:spacing w:after="0" w:line="236" w:lineRule="exact"/>
        <w:rPr>
          <w:rFonts w:ascii="Arial" w:cs="Arial" w:eastAsia="Arial" w:hAnsi="Arial"/>
          <w:sz w:val="17"/>
          <w:szCs w:val="17"/>
          <w:color w:val="010000"/>
        </w:rPr>
      </w:pPr>
    </w:p>
    <w:p>
      <w:pPr>
        <w:jc w:val="both"/>
        <w:ind w:left="400" w:right="40" w:firstLine="654"/>
        <w:spacing w:after="0" w:line="223" w:lineRule="auto"/>
        <w:tabs>
          <w:tab w:leader="none" w:pos="1794"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may participate on a pro rata basis or less than or greater than pro rata basis in any voluntary prepayments of other Classes of Term Loans; and may participate on a pro rata basis or less than pro rata basis in any mandatory prepayments of Term Loans hereunder (but not on a greater than pro rata basis (except for AHYDO Payments and prepayments pursuant to Section 2.05(b)(iv) and Section 2.05(b)(vi)(A)(y))).</w:t>
      </w:r>
    </w:p>
    <w:p>
      <w:pPr>
        <w:spacing w:after="0" w:line="202" w:lineRule="exact"/>
        <w:rPr>
          <w:rFonts w:ascii="Arial" w:cs="Arial" w:eastAsia="Arial" w:hAnsi="Arial"/>
          <w:sz w:val="18"/>
          <w:szCs w:val="18"/>
          <w:color w:val="010000"/>
        </w:rPr>
      </w:pPr>
    </w:p>
    <w:p>
      <w:pPr>
        <w:jc w:val="both"/>
        <w:ind w:right="40" w:firstLine="648"/>
        <w:spacing w:after="0" w:line="214" w:lineRule="auto"/>
        <w:tabs>
          <w:tab w:leader="none" w:pos="1152"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 xml:space="preserve">except with respect to maturity, pricing and fees which shall be determined by the Borrowers, the terms of any Incremental Revolving Credit Commitments shall be reasonably satisfactory to the Administrative Agent and Parent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Section</w:t>
      </w:r>
    </w:p>
    <w:p>
      <w:pPr>
        <w:spacing w:after="0" w:line="2"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8"/>
          <w:szCs w:val="18"/>
          <w:color w:val="auto"/>
        </w:rPr>
        <w:t>2.14 to the contrary, the Incremental Revolving Credit Commitments and Incremental Revolving Loans:</w:t>
      </w:r>
    </w:p>
    <w:p>
      <w:pPr>
        <w:spacing w:after="0" w:line="209" w:lineRule="exact"/>
        <w:rPr>
          <w:rFonts w:ascii="Arial" w:cs="Arial" w:eastAsia="Arial" w:hAnsi="Arial"/>
          <w:sz w:val="18"/>
          <w:szCs w:val="18"/>
          <w:color w:val="010000"/>
        </w:rPr>
      </w:pPr>
    </w:p>
    <w:p>
      <w:pPr>
        <w:jc w:val="both"/>
        <w:ind w:left="400" w:right="40" w:firstLine="654"/>
        <w:spacing w:after="0" w:line="229" w:lineRule="auto"/>
        <w:tabs>
          <w:tab w:leader="none" w:pos="1794" w:val="left"/>
        </w:tabs>
        <w:numPr>
          <w:ilvl w:val="1"/>
          <w:numId w:val="128"/>
        </w:numPr>
        <w:rPr>
          <w:rFonts w:ascii="Arial" w:cs="Arial" w:eastAsia="Arial" w:hAnsi="Arial"/>
          <w:sz w:val="17"/>
          <w:szCs w:val="17"/>
          <w:color w:val="010000"/>
        </w:rPr>
      </w:pPr>
      <w:r>
        <w:rPr>
          <w:rFonts w:ascii="Arial" w:cs="Arial" w:eastAsia="Arial" w:hAnsi="Arial"/>
          <w:sz w:val="17"/>
          <w:szCs w:val="17"/>
          <w:color w:val="auto"/>
        </w:rPr>
        <w:t xml:space="preserve">(i)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or junior in right of payment to, the Obligations under the then existing Term Loans and will either be secured solely by the same Collateral securing the Obligations or shall be unsecured and (ii) to the extent (x) secured by any Applicable Lien, shall be subject to the Second Lien Intercreditor Agreement and, if applicable, the ABL Intercreditor Agreement and the First Lien Intercreditor Agreement and (y) secured by Liens on the Collateral (other than Applicable Liens), shall be subject to the Second Lien Intercreditor Agreement and, if applicable, the ABL Intercreditor Agreement or, in each case, to intercreditor arrangements reasonably satisfactory to the Administrative Agent, as applicable;</w:t>
      </w:r>
    </w:p>
    <w:p>
      <w:pPr>
        <w:spacing w:after="0" w:line="203" w:lineRule="exact"/>
        <w:rPr>
          <w:rFonts w:ascii="Arial" w:cs="Arial" w:eastAsia="Arial" w:hAnsi="Arial"/>
          <w:sz w:val="17"/>
          <w:szCs w:val="17"/>
          <w:color w:val="010000"/>
        </w:rPr>
      </w:pPr>
    </w:p>
    <w:p>
      <w:pPr>
        <w:ind w:left="1800" w:hanging="746"/>
        <w:spacing w:after="0"/>
        <w:tabs>
          <w:tab w:leader="none" w:pos="1800" w:val="left"/>
        </w:tabs>
        <w:numPr>
          <w:ilvl w:val="1"/>
          <w:numId w:val="128"/>
        </w:numPr>
        <w:rPr>
          <w:rFonts w:ascii="Arial" w:cs="Arial" w:eastAsia="Arial" w:hAnsi="Arial"/>
          <w:sz w:val="18"/>
          <w:szCs w:val="18"/>
          <w:color w:val="010000"/>
        </w:rPr>
      </w:pPr>
      <w:r>
        <w:rPr>
          <w:rFonts w:ascii="Arial" w:cs="Arial" w:eastAsia="Arial" w:hAnsi="Arial"/>
          <w:sz w:val="18"/>
          <w:szCs w:val="18"/>
          <w:color w:val="auto"/>
        </w:rPr>
        <w:t>may include provisions for letter of credit and swing line subfacilities and may be available in Dollars; and</w:t>
      </w:r>
    </w:p>
    <w:p>
      <w:pPr>
        <w:spacing w:after="0" w:line="211" w:lineRule="exact"/>
        <w:rPr>
          <w:rFonts w:ascii="Arial" w:cs="Arial" w:eastAsia="Arial" w:hAnsi="Arial"/>
          <w:sz w:val="18"/>
          <w:szCs w:val="18"/>
          <w:color w:val="010000"/>
        </w:rPr>
      </w:pPr>
    </w:p>
    <w:p>
      <w:pPr>
        <w:ind w:left="400" w:right="40" w:firstLine="654"/>
        <w:spacing w:after="0" w:line="274" w:lineRule="auto"/>
        <w:tabs>
          <w:tab w:leader="none" w:pos="1794" w:val="left"/>
        </w:tabs>
        <w:numPr>
          <w:ilvl w:val="1"/>
          <w:numId w:val="128"/>
        </w:numPr>
        <w:rPr>
          <w:rFonts w:ascii="Arial" w:cs="Arial" w:eastAsia="Arial" w:hAnsi="Arial"/>
          <w:sz w:val="17"/>
          <w:szCs w:val="17"/>
          <w:color w:val="010000"/>
        </w:rPr>
      </w:pPr>
      <w:r>
        <w:rPr>
          <w:rFonts w:ascii="Arial" w:cs="Arial" w:eastAsia="Arial" w:hAnsi="Arial"/>
          <w:sz w:val="17"/>
          <w:szCs w:val="17"/>
          <w:color w:val="auto"/>
        </w:rPr>
        <w:t>as of the Incremental Facility Closing Date, shall not have a final scheduled maturity date earlier than, or scheduled commitment reductions prior to, the date that is one year prior to the then earliest Maturity Date for any Term Loans.</w:t>
      </w:r>
    </w:p>
    <w:p>
      <w:pPr>
        <w:spacing w:after="0" w:line="174" w:lineRule="exact"/>
        <w:rPr>
          <w:rFonts w:ascii="Arial" w:cs="Arial" w:eastAsia="Arial" w:hAnsi="Arial"/>
          <w:sz w:val="17"/>
          <w:szCs w:val="17"/>
          <w:color w:val="010000"/>
        </w:rPr>
      </w:pPr>
    </w:p>
    <w:p>
      <w:pPr>
        <w:jc w:val="both"/>
        <w:ind w:right="40" w:firstLine="648"/>
        <w:spacing w:after="0" w:line="224" w:lineRule="auto"/>
        <w:tabs>
          <w:tab w:leader="none" w:pos="1152"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 xml:space="preserve">the All-In Yield applicable to the Incremental Term Loans of each Class shall be determined by the Borrowers and the applicable Incremental Lenders and shall be set forth in each applicable Incremental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All-In Yield applicable to Incremental</w:t>
      </w:r>
    </w:p>
    <w:p>
      <w:pPr>
        <w:sectPr>
          <w:pgSz w:w="11900" w:h="16838" w:orient="portrait"/>
          <w:cols w:equalWidth="0" w:num="1">
            <w:col w:w="10280"/>
          </w:cols>
          <w:pgMar w:left="1120" w:top="1440" w:right="499" w:bottom="1440" w:gutter="0" w:footer="0" w:header="0"/>
        </w:sectPr>
      </w:pPr>
    </w:p>
    <w:bookmarkStart w:id="140" w:name="page141"/>
    <w:bookmarkEnd w:id="140"/>
    <w:p>
      <w:pPr>
        <w:spacing w:after="0" w:line="211" w:lineRule="exact"/>
        <w:rPr>
          <w:sz w:val="20"/>
          <w:szCs w:val="20"/>
          <w:color w:val="auto"/>
        </w:rPr>
      </w:pPr>
    </w:p>
    <w:p>
      <w:pPr>
        <w:jc w:val="both"/>
        <w:ind w:left="649" w:right="20"/>
        <w:spacing w:after="0" w:line="241" w:lineRule="auto"/>
        <w:rPr>
          <w:sz w:val="20"/>
          <w:szCs w:val="20"/>
          <w:color w:val="auto"/>
        </w:rPr>
      </w:pPr>
      <w:r>
        <w:rPr>
          <w:rFonts w:ascii="Arial" w:cs="Arial" w:eastAsia="Arial" w:hAnsi="Arial"/>
          <w:sz w:val="16"/>
          <w:szCs w:val="16"/>
          <w:color w:val="auto"/>
        </w:rPr>
        <w:t xml:space="preserve">Term Loans that (I) are incurred prior to the one-year anniversary of the Closing Date, (II)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security with the Term B Loans, (III) are obtained pursuant to Sections 2.14(d)(iv)(B) or 2.14(d)(iv)(C), (IV) have a Maturity Date within one year of the Maturity Date of the Term B Loans and (V) are not incurred in connection with any Permitted Acquisition or permitted Investment shall</w:t>
      </w:r>
    </w:p>
    <w:p>
      <w:pPr>
        <w:spacing w:after="0" w:line="2" w:lineRule="exact"/>
        <w:rPr>
          <w:sz w:val="20"/>
          <w:szCs w:val="20"/>
          <w:color w:val="auto"/>
        </w:rPr>
      </w:pPr>
    </w:p>
    <w:p>
      <w:pPr>
        <w:jc w:val="both"/>
        <w:ind w:left="649" w:right="20"/>
        <w:spacing w:after="0" w:line="234" w:lineRule="auto"/>
        <w:rPr>
          <w:sz w:val="20"/>
          <w:szCs w:val="20"/>
          <w:color w:val="auto"/>
        </w:rPr>
      </w:pPr>
      <w:r>
        <w:rPr>
          <w:rFonts w:ascii="Arial" w:cs="Arial" w:eastAsia="Arial" w:hAnsi="Arial"/>
          <w:sz w:val="16"/>
          <w:szCs w:val="16"/>
          <w:color w:val="auto"/>
        </w:rPr>
        <w:t xml:space="preserve">not be greater than the applicable All-In Yield payable pursuant to the terms of this Agreement as amended through the date of such calculation with respect to Term B Loans plus 50 basis points per annum unless the interest rate (together with, as provided in the proviso below,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or Base Rate floor) with respect to the Term B Loans is increased so as to cause the then applicable</w:t>
      </w:r>
    </w:p>
    <w:p>
      <w:pPr>
        <w:spacing w:after="0" w:line="2" w:lineRule="exact"/>
        <w:rPr>
          <w:sz w:val="20"/>
          <w:szCs w:val="20"/>
          <w:color w:val="auto"/>
        </w:rPr>
      </w:pPr>
    </w:p>
    <w:p>
      <w:pPr>
        <w:jc w:val="both"/>
        <w:ind w:left="649" w:right="20"/>
        <w:spacing w:after="0" w:line="234" w:lineRule="auto"/>
        <w:rPr>
          <w:sz w:val="20"/>
          <w:szCs w:val="20"/>
          <w:color w:val="auto"/>
        </w:rPr>
      </w:pPr>
      <w:r>
        <w:rPr>
          <w:rFonts w:ascii="Arial" w:cs="Arial" w:eastAsia="Arial" w:hAnsi="Arial"/>
          <w:sz w:val="16"/>
          <w:szCs w:val="16"/>
          <w:color w:val="auto"/>
        </w:rPr>
        <w:t>All-In Yield under this Agreement on the Term B Loans to equal the All-In Yield then applicable to the Incremental Term Loans minus 50 basis points (the “</w:t>
      </w:r>
      <w:r>
        <w:rPr>
          <w:rFonts w:ascii="Arial" w:cs="Arial" w:eastAsia="Arial" w:hAnsi="Arial"/>
          <w:sz w:val="16"/>
          <w:szCs w:val="16"/>
          <w:b w:val="1"/>
          <w:bCs w:val="1"/>
          <w:color w:val="auto"/>
        </w:rPr>
        <w:t>MFN Adjustment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increase in All-In Yield to any Term B Loan due to the application or imposition of a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or Base Rate floor on any Incremental Term Loan shall be effected, at the Borrowers’ option, (x) through an</w:t>
      </w:r>
    </w:p>
    <w:p>
      <w:pPr>
        <w:spacing w:after="0" w:line="2" w:lineRule="exact"/>
        <w:rPr>
          <w:sz w:val="20"/>
          <w:szCs w:val="20"/>
          <w:color w:val="auto"/>
        </w:rPr>
      </w:pPr>
    </w:p>
    <w:p>
      <w:pPr>
        <w:jc w:val="both"/>
        <w:ind w:left="649" w:right="20"/>
        <w:spacing w:after="0" w:line="226" w:lineRule="auto"/>
        <w:rPr>
          <w:sz w:val="20"/>
          <w:szCs w:val="20"/>
          <w:color w:val="auto"/>
        </w:rPr>
      </w:pPr>
      <w:r>
        <w:rPr>
          <w:rFonts w:ascii="Arial" w:cs="Arial" w:eastAsia="Arial" w:hAnsi="Arial"/>
          <w:sz w:val="18"/>
          <w:szCs w:val="18"/>
          <w:color w:val="auto"/>
        </w:rPr>
        <w:t xml:space="preserve">increase in (or implementation of, as applicable) any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applicable to such Term B Loan, (y) through an increase in the Applicable Rate for such Term B Loan or (z) any combination of (x) and (y) above.</w:t>
      </w:r>
    </w:p>
    <w:p>
      <w:pPr>
        <w:spacing w:after="0" w:line="202" w:lineRule="exact"/>
        <w:rPr>
          <w:sz w:val="20"/>
          <w:szCs w:val="20"/>
          <w:color w:val="auto"/>
        </w:rPr>
      </w:pPr>
    </w:p>
    <w:p>
      <w:pPr>
        <w:ind w:left="9" w:right="60" w:firstLine="639"/>
        <w:spacing w:after="0" w:line="238" w:lineRule="auto"/>
        <w:tabs>
          <w:tab w:leader="none" w:pos="1162" w:val="left"/>
        </w:tabs>
        <w:numPr>
          <w:ilvl w:val="1"/>
          <w:numId w:val="129"/>
        </w:numPr>
        <w:rPr>
          <w:rFonts w:ascii="Arial" w:cs="Arial" w:eastAsia="Arial" w:hAnsi="Arial"/>
          <w:sz w:val="16"/>
          <w:szCs w:val="16"/>
          <w:color w:val="010000"/>
        </w:rPr>
      </w:pPr>
      <w:r>
        <w:rPr>
          <w:rFonts w:ascii="Arial" w:cs="Arial" w:eastAsia="Arial" w:hAnsi="Arial"/>
          <w:sz w:val="16"/>
          <w:szCs w:val="16"/>
          <w:i w:val="1"/>
          <w:iCs w:val="1"/>
          <w:color w:val="auto"/>
        </w:rPr>
        <w:t>Incremental Amendment</w:t>
      </w:r>
      <w:r>
        <w:rPr>
          <w:rFonts w:ascii="Arial" w:cs="Arial" w:eastAsia="Arial" w:hAnsi="Arial"/>
          <w:sz w:val="16"/>
          <w:szCs w:val="16"/>
          <w:color w:val="auto"/>
        </w:rPr>
        <w:t>. Commitments in respect of Incremental Term Loans and Incremental Revolving Credit Commitments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additional Commitments under this Agreement pursuant to an amendment (an “</w:t>
      </w:r>
      <w:r>
        <w:rPr>
          <w:rFonts w:ascii="Arial" w:cs="Arial" w:eastAsia="Arial" w:hAnsi="Arial"/>
          <w:sz w:val="16"/>
          <w:szCs w:val="16"/>
          <w:b w:val="1"/>
          <w:bCs w:val="1"/>
          <w:color w:val="auto"/>
        </w:rPr>
        <w:t>Incremental Amendment</w:t>
      </w:r>
      <w:r>
        <w:rPr>
          <w:rFonts w:ascii="Arial" w:cs="Arial" w:eastAsia="Arial" w:hAnsi="Arial"/>
          <w:sz w:val="16"/>
          <w:szCs w:val="16"/>
          <w:color w:val="auto"/>
        </w:rPr>
        <w:t>”) to this Agreement and, as appropriate, the other Loan Documents, executed by the Borrowers,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Borrowers, to effect the provisions of this Section 2.14, including, without limitation, any amendments necessary in connection with a Term Loan Increase necessary to provide that such Incremental Loans and Incremental Commitments are fungible for U.S. federal income tax purposes. The Borrowers will use the proceeds, if any, of the Incremental Term Loans and Incremental Revolving Credit Commitments for any purpose not prohibited by this Agreement. No Lender shall be obligated to provide any Incremental Term Loans or Incremental Revolving Credit Commitments, unless it so agrees. To the extent reasonably requested by the Administrative Agent, the Administrative Agent shall have received (i) customary legal opinions (conformed as appropriate), good standing certificates,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Incremental Term Loans and Incremental Revolving Credit Commitments are provided with the benefit of the applicable Loan Documents.</w:t>
      </w:r>
    </w:p>
    <w:p>
      <w:pPr>
        <w:spacing w:after="0" w:line="206" w:lineRule="exact"/>
        <w:rPr>
          <w:rFonts w:ascii="Arial" w:cs="Arial" w:eastAsia="Arial" w:hAnsi="Arial"/>
          <w:sz w:val="16"/>
          <w:szCs w:val="16"/>
          <w:color w:val="010000"/>
        </w:rPr>
      </w:pPr>
    </w:p>
    <w:p>
      <w:pPr>
        <w:jc w:val="both"/>
        <w:ind w:left="9" w:firstLine="639"/>
        <w:spacing w:after="0" w:line="236" w:lineRule="auto"/>
        <w:tabs>
          <w:tab w:leader="none" w:pos="1162" w:val="left"/>
        </w:tabs>
        <w:numPr>
          <w:ilvl w:val="1"/>
          <w:numId w:val="129"/>
        </w:numPr>
        <w:rPr>
          <w:rFonts w:ascii="Arial" w:cs="Arial" w:eastAsia="Arial" w:hAnsi="Arial"/>
          <w:sz w:val="16"/>
          <w:szCs w:val="16"/>
          <w:color w:val="010000"/>
        </w:rPr>
      </w:pPr>
      <w:r>
        <w:rPr>
          <w:rFonts w:ascii="Arial" w:cs="Arial" w:eastAsia="Arial" w:hAnsi="Arial"/>
          <w:sz w:val="16"/>
          <w:szCs w:val="16"/>
          <w:i w:val="1"/>
          <w:iCs w:val="1"/>
          <w:color w:val="auto"/>
        </w:rPr>
        <w:t>Incremental Equivalent Debt</w:t>
      </w:r>
      <w:r>
        <w:rPr>
          <w:rFonts w:ascii="Arial" w:cs="Arial" w:eastAsia="Arial" w:hAnsi="Arial"/>
          <w:sz w:val="16"/>
          <w:szCs w:val="16"/>
          <w:color w:val="auto"/>
        </w:rPr>
        <w:t>. The Borrowers may, upon notice to the Administrative Agent, at any time or from time to time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Closing Date, issue, incur or otherwise obtain Indebtedness of the Borrowers in respect of one or more series of secured first lien loans or notes (provided that such Liens on the Term Loan Priority Collateral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the Term Loan Priority Collateral securing the Obligations under this Agreement (but without regard to control of remedies)), junior lien loans or notes, subordinated unsecured loans or notes or senior unsecured loans or notes, in the case of any securities issued in a public offering, Rule 144A or other private placement or bridge financing in lieu of the foregoing, or senior or subordinated mezzanine Indebtedness (which may be in the form of loans or notes and limited to being unsecured or secured solely on a junior lien basis), in each case, that are issued or made in lieu of Incremental Revolving Credit Commitments and/or Incremental Term Commitments (the “</w:t>
      </w:r>
      <w:r>
        <w:rPr>
          <w:rFonts w:ascii="Arial" w:cs="Arial" w:eastAsia="Arial" w:hAnsi="Arial"/>
          <w:sz w:val="16"/>
          <w:szCs w:val="16"/>
          <w:b w:val="1"/>
          <w:bCs w:val="1"/>
          <w:color w:val="auto"/>
        </w:rPr>
        <w:t>Incremental Equivalent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aggregate amount of Incremental Equivalent Debt (together with Incremental Term Loans and the Incremental Revolving Credit Commitments) incurred pursuant to this Section 2.14 shall not exceed the Available Incremental Amount (it being understood that (I) the Borrowers may elect to use clause (C) of the Available Incremental Amount prior to clause</w:t>
      </w:r>
    </w:p>
    <w:p>
      <w:pPr>
        <w:spacing w:after="0" w:line="2" w:lineRule="exact"/>
        <w:rPr>
          <w:rFonts w:ascii="Arial" w:cs="Arial" w:eastAsia="Arial" w:hAnsi="Arial"/>
          <w:sz w:val="16"/>
          <w:szCs w:val="16"/>
          <w:color w:val="010000"/>
        </w:rPr>
      </w:pPr>
    </w:p>
    <w:p>
      <w:pPr>
        <w:ind w:left="309" w:hanging="309"/>
        <w:spacing w:after="0"/>
        <w:tabs>
          <w:tab w:leader="none" w:pos="30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or (B) and regardless of whether there is capacity under clause (A) or (B), and if clauses (A), (B) and (C) are available and the Borrowers do not</w:t>
      </w:r>
    </w:p>
    <w:p>
      <w:pPr>
        <w:ind w:left="9"/>
        <w:spacing w:after="0" w:line="235" w:lineRule="auto"/>
        <w:rPr>
          <w:sz w:val="20"/>
          <w:szCs w:val="20"/>
          <w:color w:val="auto"/>
        </w:rPr>
      </w:pPr>
      <w:r>
        <w:rPr>
          <w:rFonts w:ascii="Arial" w:cs="Arial" w:eastAsia="Arial" w:hAnsi="Arial"/>
          <w:sz w:val="16"/>
          <w:szCs w:val="16"/>
          <w:color w:val="auto"/>
        </w:rPr>
        <w:t>make an election, the Borrowers will be deemed to have elected clause (C), (II) the Borrowers may reclassify utilizations among clauses (A), (B) and</w:t>
      </w:r>
    </w:p>
    <w:p>
      <w:pPr>
        <w:ind w:left="9" w:right="20" w:hanging="9"/>
        <w:spacing w:after="0" w:line="226" w:lineRule="auto"/>
        <w:tabs>
          <w:tab w:leader="none" w:pos="3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the Available Incremental Amount if, at the time of such reclassification, the Borrowers would be permitted to incur the aggregate principal amount of</w:t>
      </w:r>
    </w:p>
    <w:p>
      <w:pPr>
        <w:sectPr>
          <w:pgSz w:w="11900" w:h="16838" w:orient="portrait"/>
          <w:cols w:equalWidth="0" w:num="1">
            <w:col w:w="10909"/>
          </w:cols>
          <w:pgMar w:left="471" w:top="1440" w:right="519" w:bottom="1440" w:gutter="0" w:footer="0" w:header="0"/>
        </w:sectPr>
      </w:pPr>
    </w:p>
    <w:bookmarkStart w:id="141" w:name="page142"/>
    <w:bookmarkEnd w:id="141"/>
    <w:p>
      <w:pPr>
        <w:spacing w:after="0" w:line="211"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16"/>
          <w:szCs w:val="16"/>
          <w:color w:val="auto"/>
        </w:rPr>
        <w:t>Indebtedness being so reclassified, and (III) if amounts incurred under clause (A) or (B) of the Available Incremental Amount are incurred concurrently with the incurrence of Incremental Loans or Incremental Commitments and/or Incremental Equivalent Debt (in each case, including any unused commitments obtained) in reliance on clause (A) or (B) of the Available Incremental Amount or any amounts pursuant to a fixed dollar basket</w:t>
      </w:r>
    </w:p>
    <w:p>
      <w:pPr>
        <w:spacing w:after="0" w:line="2" w:lineRule="exact"/>
        <w:rPr>
          <w:sz w:val="20"/>
          <w:szCs w:val="20"/>
          <w:color w:val="auto"/>
        </w:rPr>
      </w:pPr>
    </w:p>
    <w:p>
      <w:pPr>
        <w:jc w:val="both"/>
        <w:ind w:left="9" w:right="20"/>
        <w:spacing w:after="0" w:line="208" w:lineRule="auto"/>
        <w:rPr>
          <w:sz w:val="20"/>
          <w:szCs w:val="20"/>
          <w:color w:val="auto"/>
        </w:rPr>
      </w:pPr>
      <w:r>
        <w:rPr>
          <w:rFonts w:ascii="Arial" w:cs="Arial" w:eastAsia="Arial" w:hAnsi="Arial"/>
          <w:sz w:val="18"/>
          <w:szCs w:val="18"/>
          <w:color w:val="auto"/>
        </w:rPr>
        <w:t>in Section 7.03, the First Lien Net Leverage Ratio, the Senior Secured Net Leverage Ratio, the Total Net Leverage Ratio or the Fixed Charge Coverage Ratio shall be calculated without giving effect to such amounts incurred (or commitments obtained) in reliance on the foregoing clause (A) or (B) or such fixed dollar basket in Section 7.03),</w:t>
      </w:r>
    </w:p>
    <w:p>
      <w:pPr>
        <w:spacing w:after="0" w:line="2" w:lineRule="exact"/>
        <w:rPr>
          <w:sz w:val="20"/>
          <w:szCs w:val="20"/>
          <w:color w:val="auto"/>
        </w:rPr>
      </w:pPr>
    </w:p>
    <w:p>
      <w:pPr>
        <w:jc w:val="both"/>
        <w:ind w:left="9" w:hanging="9"/>
        <w:spacing w:after="0" w:line="228" w:lineRule="auto"/>
        <w:tabs>
          <w:tab w:leader="none" w:pos="2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such Incremental Equivalent Debt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or junior in right of payment to, the Obligations under the then existing Term Loans and Revolving Credit Loans and will either be secured solely by the same Collateral securing the Obligations (and to the extent</w:t>
      </w:r>
    </w:p>
    <w:p>
      <w:pPr>
        <w:spacing w:after="0" w:line="1" w:lineRule="exact"/>
        <w:rPr>
          <w:rFonts w:ascii="Arial" w:cs="Arial" w:eastAsia="Arial" w:hAnsi="Arial"/>
          <w:sz w:val="16"/>
          <w:szCs w:val="16"/>
          <w:color w:val="auto"/>
        </w:rPr>
      </w:pPr>
    </w:p>
    <w:p>
      <w:pPr>
        <w:jc w:val="both"/>
        <w:ind w:left="9" w:hanging="9"/>
        <w:spacing w:after="0" w:line="222" w:lineRule="auto"/>
        <w:tabs>
          <w:tab w:leader="none" w:pos="27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secured by any Applicable Lien, shall be subject to the ABL Intercreditor Agreement, the Second Lien Intercreditor Agreement and, if applicable, the First Lien Intercreditor Agreement and (y) secured by Liens on the Collateral (other than Applicable Liens), shall be subject to the Second Lien Intercreditor Agreement and the ABL Intercreditor Agreement or, in each case, to intercreditor arrangements reasonably satisfactory to the Administrative Agent, as applicable) or be unsecured, (iii) such Incremental Equivalent Debt shall not have a final scheduled maturity date earlier than the Maturity Date of the Term B Loans (other than (I) any Incremental Equivalent Debt consisting of a customary bridge facility so long as the long-term Indebtedness into which such customary bridge facility is to be converted satisfies this criteria and (II) any Incremental Equivalent Debt in an aggregate amount not to exceed the then available Inside Maturity Basket),</w:t>
      </w:r>
    </w:p>
    <w:p>
      <w:pPr>
        <w:spacing w:after="0" w:line="3" w:lineRule="exact"/>
        <w:rPr>
          <w:rFonts w:ascii="Arial" w:cs="Arial" w:eastAsia="Arial" w:hAnsi="Arial"/>
          <w:sz w:val="17"/>
          <w:szCs w:val="17"/>
          <w:color w:val="auto"/>
        </w:rPr>
      </w:pPr>
    </w:p>
    <w:p>
      <w:pPr>
        <w:jc w:val="both"/>
        <w:ind w:left="9" w:hanging="8"/>
        <w:spacing w:after="0" w:line="219" w:lineRule="auto"/>
        <w:tabs>
          <w:tab w:leader="none" w:pos="34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such Incremental Equivalent Debt shall have a Weighted Average Life to Maturity not shorter than the remaining Weighted Average Life to Maturity of the Term B Loans (prior to any extension thereto) (other than (I) any Incremental Equivalent Debt consisting of a customary bridge facility so long as the long-term Indebtedness into which such customary bridge facility is to be converted satisfies this criteria and (II) any Incremental Equivalent Debt in an aggregate amount not to exceed the then available Inside Maturity Basket), (v) subject to clauses (iii) and</w:t>
      </w:r>
    </w:p>
    <w:p>
      <w:pPr>
        <w:spacing w:after="0" w:line="2" w:lineRule="exact"/>
        <w:rPr>
          <w:rFonts w:ascii="Arial" w:cs="Arial" w:eastAsia="Arial" w:hAnsi="Arial"/>
          <w:sz w:val="17"/>
          <w:szCs w:val="17"/>
          <w:color w:val="auto"/>
        </w:rPr>
      </w:pPr>
    </w:p>
    <w:p>
      <w:pPr>
        <w:jc w:val="both"/>
        <w:ind w:left="9" w:right="20" w:hanging="9"/>
        <w:spacing w:after="0" w:line="227" w:lineRule="auto"/>
        <w:tabs>
          <w:tab w:leader="none" w:pos="32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above, such Incremental Equivalent Debt shall have amortization determined by the Borrowers and the applicable lenders, (vi) any Incremental Equivalent Debt consisting of first lien syndicated term loans incurred in reliance on clauses (B) and (C) of the Available Incremental Amount shall be subject to Section 2.14(e)(iii) solely to the extent required thereby and not otherwise excluded by the terms thereof, (vii) such Incremental Equivalent Debt shall have fees, if any, determined by the Borrowers and the applicable arranger(s); and (viii) such Incremental Equivalent Debt may participate on a pro rata basis or less than or greater than pro rata basis in any voluntary prepayments of other Classes of Term Loans; and may participate on a pro rata basis or less than pro rata basis (but not on a greater than pro rata basis (except for prepayments with respect to any Refinancing Indebtedness thereof and other than with any Class of Term Loans with an earlier Maturity Date as compared with such Incremental Equivalent Debt)) in any mandatory prepayments of Term Loans.</w:t>
      </w:r>
    </w:p>
    <w:p>
      <w:pPr>
        <w:spacing w:after="0" w:line="271" w:lineRule="exact"/>
        <w:rPr>
          <w:sz w:val="20"/>
          <w:szCs w:val="20"/>
          <w:color w:val="auto"/>
        </w:rPr>
      </w:pPr>
    </w:p>
    <w:p>
      <w:pPr>
        <w:ind w:left="2109" w:hanging="650"/>
        <w:spacing w:after="0"/>
        <w:tabs>
          <w:tab w:leader="none" w:pos="2109"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This Section 2.14 shall supersede any provisions in Section 2.13 or 10.01 to the</w:t>
      </w:r>
    </w:p>
    <w:p>
      <w:pPr>
        <w:ind w:left="809"/>
        <w:spacing w:after="0"/>
        <w:rPr>
          <w:sz w:val="20"/>
          <w:szCs w:val="20"/>
          <w:color w:val="auto"/>
        </w:rPr>
      </w:pPr>
      <w:r>
        <w:rPr>
          <w:rFonts w:ascii="Arial" w:cs="Arial" w:eastAsia="Arial" w:hAnsi="Arial"/>
          <w:sz w:val="18"/>
          <w:szCs w:val="18"/>
          <w:color w:val="auto"/>
        </w:rPr>
        <w:t>contrary.</w:t>
      </w:r>
    </w:p>
    <w:p>
      <w:pPr>
        <w:spacing w:after="0" w:line="277"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2.15</w:t>
      </w:r>
      <w:r>
        <w:rPr>
          <w:sz w:val="20"/>
          <w:szCs w:val="20"/>
          <w:color w:val="auto"/>
        </w:rPr>
        <w:tab/>
      </w:r>
      <w:r>
        <w:rPr>
          <w:rFonts w:ascii="Arial" w:cs="Arial" w:eastAsia="Arial" w:hAnsi="Arial"/>
          <w:sz w:val="16"/>
          <w:szCs w:val="16"/>
          <w:color w:val="auto"/>
        </w:rPr>
        <w:t>Refinancing Amendments.</w:t>
      </w:r>
    </w:p>
    <w:p>
      <w:pPr>
        <w:spacing w:after="0" w:line="225" w:lineRule="exact"/>
        <w:rPr>
          <w:sz w:val="20"/>
          <w:szCs w:val="20"/>
          <w:color w:val="auto"/>
        </w:rPr>
      </w:pPr>
    </w:p>
    <w:p>
      <w:pPr>
        <w:jc w:val="both"/>
        <w:ind w:left="9" w:firstLine="640"/>
        <w:spacing w:after="0"/>
        <w:tabs>
          <w:tab w:leader="none" w:pos="1161" w:val="left"/>
        </w:tabs>
        <w:numPr>
          <w:ilvl w:val="0"/>
          <w:numId w:val="137"/>
        </w:numPr>
        <w:rPr>
          <w:rFonts w:ascii="Arial" w:cs="Arial" w:eastAsia="Arial" w:hAnsi="Arial"/>
          <w:sz w:val="16"/>
          <w:szCs w:val="16"/>
          <w:color w:val="010000"/>
        </w:rPr>
      </w:pPr>
      <w:r>
        <w:rPr>
          <w:rFonts w:ascii="Arial" w:cs="Arial" w:eastAsia="Arial" w:hAnsi="Arial"/>
          <w:sz w:val="16"/>
          <w:szCs w:val="16"/>
          <w:i w:val="1"/>
          <w:iCs w:val="1"/>
          <w:color w:val="auto"/>
        </w:rPr>
        <w:t>Refinancing Commitments</w:t>
      </w:r>
      <w:r>
        <w:rPr>
          <w:rFonts w:ascii="Arial" w:cs="Arial" w:eastAsia="Arial" w:hAnsi="Arial"/>
          <w:sz w:val="16"/>
          <w:szCs w:val="16"/>
          <w:color w:val="auto"/>
        </w:rPr>
        <w:t>. The Borrowers may, at any time or from time to time after the Closing Date, by notice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 “</w:t>
      </w:r>
      <w:r>
        <w:rPr>
          <w:rFonts w:ascii="Arial" w:cs="Arial" w:eastAsia="Arial" w:hAnsi="Arial"/>
          <w:sz w:val="16"/>
          <w:szCs w:val="16"/>
          <w:b w:val="1"/>
          <w:bCs w:val="1"/>
          <w:color w:val="auto"/>
        </w:rPr>
        <w:t>Refinancing Loan Request</w:t>
      </w:r>
      <w:r>
        <w:rPr>
          <w:rFonts w:ascii="Arial" w:cs="Arial" w:eastAsia="Arial" w:hAnsi="Arial"/>
          <w:sz w:val="16"/>
          <w:szCs w:val="16"/>
          <w:color w:val="auto"/>
        </w:rPr>
        <w:t>”), request (A) (i) the establishment of one or more new Classes of term loans under this Agreement (any such new Class, “</w:t>
      </w:r>
      <w:r>
        <w:rPr>
          <w:rFonts w:ascii="Arial" w:cs="Arial" w:eastAsia="Arial" w:hAnsi="Arial"/>
          <w:sz w:val="16"/>
          <w:szCs w:val="16"/>
          <w:b w:val="1"/>
          <w:bCs w:val="1"/>
          <w:color w:val="auto"/>
        </w:rPr>
        <w:t>New Refinancing Term Commitments</w:t>
      </w:r>
      <w:r>
        <w:rPr>
          <w:rFonts w:ascii="Arial" w:cs="Arial" w:eastAsia="Arial" w:hAnsi="Arial"/>
          <w:sz w:val="16"/>
          <w:szCs w:val="16"/>
          <w:color w:val="auto"/>
        </w:rPr>
        <w:t>”) or (ii) increases to one or more existing Classes of term loans under this Agreement (any such increase to an existing Class, collectively with New Refinancing Term Commitments, “</w:t>
      </w:r>
      <w:r>
        <w:rPr>
          <w:rFonts w:ascii="Arial" w:cs="Arial" w:eastAsia="Arial" w:hAnsi="Arial"/>
          <w:sz w:val="16"/>
          <w:szCs w:val="16"/>
          <w:b w:val="1"/>
          <w:bCs w:val="1"/>
          <w:color w:val="auto"/>
        </w:rPr>
        <w:t>Refinancing Term Commitments</w:t>
      </w:r>
      <w:r>
        <w:rPr>
          <w:rFonts w:ascii="Arial" w:cs="Arial" w:eastAsia="Arial" w:hAnsi="Arial"/>
          <w:sz w:val="16"/>
          <w:szCs w:val="16"/>
          <w:color w:val="auto"/>
        </w:rPr>
        <w:t>”), or (B)(i) the establishment of one or more new Classes of revolving credit commitments under this Agreement (any such new Class, “</w:t>
      </w:r>
      <w:r>
        <w:rPr>
          <w:rFonts w:ascii="Arial" w:cs="Arial" w:eastAsia="Arial" w:hAnsi="Arial"/>
          <w:sz w:val="16"/>
          <w:szCs w:val="16"/>
          <w:b w:val="1"/>
          <w:bCs w:val="1"/>
          <w:color w:val="auto"/>
        </w:rPr>
        <w:t>New Refinancing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Commitments</w:t>
      </w:r>
      <w:r>
        <w:rPr>
          <w:rFonts w:ascii="Arial" w:cs="Arial" w:eastAsia="Arial" w:hAnsi="Arial"/>
          <w:sz w:val="16"/>
          <w:szCs w:val="16"/>
          <w:color w:val="auto"/>
        </w:rPr>
        <w:t>”) or (ii) increases to one or more existing Classes of revolving credit commitments (any such increase to an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Class, collectively with the New Refinancing Revolving Credit Commitments, “</w:t>
      </w:r>
      <w:r>
        <w:rPr>
          <w:rFonts w:ascii="Arial" w:cs="Arial" w:eastAsia="Arial" w:hAnsi="Arial"/>
          <w:sz w:val="16"/>
          <w:szCs w:val="16"/>
          <w:b w:val="1"/>
          <w:bCs w:val="1"/>
          <w:color w:val="auto"/>
        </w:rPr>
        <w:t>Refinancing Revolving Credit Commitments</w:t>
      </w:r>
      <w:r>
        <w:rPr>
          <w:rFonts w:ascii="Arial" w:cs="Arial" w:eastAsia="Arial" w:hAnsi="Arial"/>
          <w:sz w:val="16"/>
          <w:szCs w:val="16"/>
          <w:color w:val="auto"/>
        </w:rPr>
        <w:t>”, and collectively with any Refinancing Term Commitments, “</w:t>
      </w:r>
      <w:r>
        <w:rPr>
          <w:rFonts w:ascii="Arial" w:cs="Arial" w:eastAsia="Arial" w:hAnsi="Arial"/>
          <w:sz w:val="16"/>
          <w:szCs w:val="16"/>
          <w:b w:val="1"/>
          <w:bCs w:val="1"/>
          <w:color w:val="auto"/>
        </w:rPr>
        <w:t>Refinancing Commitments</w:t>
      </w:r>
      <w:r>
        <w:rPr>
          <w:rFonts w:ascii="Arial" w:cs="Arial" w:eastAsia="Arial" w:hAnsi="Arial"/>
          <w:sz w:val="16"/>
          <w:szCs w:val="16"/>
          <w:color w:val="auto"/>
        </w:rPr>
        <w:t>”), in each case, established in exchange for, or to extend, renew, replace, repurchase, retire or refinance, in whole or in part, as selected by the Borrowers, any one or more then existing Class or Classes of Loans or Commitments (with respect to a particular Refinancing Commitment or Refinancing Loan, such existing Loans or Commitments, “</w:t>
      </w:r>
      <w:r>
        <w:rPr>
          <w:rFonts w:ascii="Arial" w:cs="Arial" w:eastAsia="Arial" w:hAnsi="Arial"/>
          <w:sz w:val="16"/>
          <w:szCs w:val="16"/>
          <w:b w:val="1"/>
          <w:bCs w:val="1"/>
          <w:color w:val="auto"/>
        </w:rPr>
        <w:t>Refinanced</w:t>
      </w:r>
      <w:r>
        <w:rPr>
          <w:rFonts w:ascii="Arial" w:cs="Arial" w:eastAsia="Arial" w:hAnsi="Arial"/>
          <w:sz w:val="16"/>
          <w:szCs w:val="16"/>
          <w:color w:val="auto"/>
        </w:rPr>
        <w:t xml:space="preserve"> </w:t>
      </w:r>
      <w:r>
        <w:rPr>
          <w:rFonts w:ascii="Arial" w:cs="Arial" w:eastAsia="Arial" w:hAnsi="Arial"/>
          <w:sz w:val="16"/>
          <w:szCs w:val="16"/>
          <w:b w:val="1"/>
          <w:bCs w:val="1"/>
          <w:color w:val="auto"/>
        </w:rPr>
        <w:t>Debt</w:t>
      </w:r>
      <w:r>
        <w:rPr>
          <w:rFonts w:ascii="Arial" w:cs="Arial" w:eastAsia="Arial" w:hAnsi="Arial"/>
          <w:sz w:val="16"/>
          <w:szCs w:val="16"/>
          <w:color w:val="auto"/>
        </w:rPr>
        <w:t>”), whereupon the Administrative Agent shall promptly deliver a copy of each such notice to each of the Lenders.</w:t>
      </w:r>
    </w:p>
    <w:p>
      <w:pPr>
        <w:sectPr>
          <w:pgSz w:w="11900" w:h="16838" w:orient="portrait"/>
          <w:cols w:equalWidth="0" w:num="1">
            <w:col w:w="10909"/>
          </w:cols>
          <w:pgMar w:left="471" w:top="1440" w:right="519" w:bottom="1440" w:gutter="0" w:footer="0" w:header="0"/>
        </w:sectPr>
      </w:pPr>
    </w:p>
    <w:bookmarkStart w:id="142" w:name="page143"/>
    <w:bookmarkEnd w:id="142"/>
    <w:p>
      <w:pPr>
        <w:spacing w:after="0" w:line="211" w:lineRule="exact"/>
        <w:rPr>
          <w:sz w:val="20"/>
          <w:szCs w:val="20"/>
          <w:color w:val="auto"/>
        </w:rPr>
      </w:pPr>
    </w:p>
    <w:p>
      <w:pPr>
        <w:jc w:val="both"/>
        <w:ind w:left="-639" w:firstLine="640"/>
        <w:spacing w:after="0" w:line="239" w:lineRule="auto"/>
        <w:tabs>
          <w:tab w:leader="none" w:pos="513" w:val="left"/>
        </w:tabs>
        <w:numPr>
          <w:ilvl w:val="0"/>
          <w:numId w:val="138"/>
        </w:numPr>
        <w:rPr>
          <w:rFonts w:ascii="Arial" w:cs="Arial" w:eastAsia="Arial" w:hAnsi="Arial"/>
          <w:sz w:val="16"/>
          <w:szCs w:val="16"/>
          <w:color w:val="010000"/>
        </w:rPr>
      </w:pPr>
      <w:r>
        <w:rPr>
          <w:rFonts w:ascii="Arial" w:cs="Arial" w:eastAsia="Arial" w:hAnsi="Arial"/>
          <w:sz w:val="16"/>
          <w:szCs w:val="16"/>
          <w:i w:val="1"/>
          <w:iCs w:val="1"/>
          <w:color w:val="auto"/>
        </w:rPr>
        <w:t>Refinancing Loans</w:t>
      </w:r>
      <w:r>
        <w:rPr>
          <w:rFonts w:ascii="Arial" w:cs="Arial" w:eastAsia="Arial" w:hAnsi="Arial"/>
          <w:sz w:val="16"/>
          <w:szCs w:val="16"/>
          <w:color w:val="auto"/>
        </w:rPr>
        <w:t>. Any Refinancing Term Loans made pursuant to New Refinancing Term Commitments or any New Refinancing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Commitments made on a Refinancing Facility Closing Date shall be designated a separate Class of Refinancing Term Loans or Refinancing Revolving Credit Commitments, as applicable, for all purposes of this Agreement. On any Refinancing Facility Closing Date on which any Refinancing Term Commitments of any Class are effected, subject to the satisfaction of the terms and conditions in this Section 2.15, (i) each Refinancing Term Lender of such Class shall make a Term Loan to the Borrowers (a “</w:t>
      </w:r>
      <w:r>
        <w:rPr>
          <w:rFonts w:ascii="Arial" w:cs="Arial" w:eastAsia="Arial" w:hAnsi="Arial"/>
          <w:sz w:val="16"/>
          <w:szCs w:val="16"/>
          <w:b w:val="1"/>
          <w:bCs w:val="1"/>
          <w:color w:val="auto"/>
        </w:rPr>
        <w:t>Refinancing Term Loan</w:t>
      </w:r>
      <w:r>
        <w:rPr>
          <w:rFonts w:ascii="Arial" w:cs="Arial" w:eastAsia="Arial" w:hAnsi="Arial"/>
          <w:sz w:val="16"/>
          <w:szCs w:val="16"/>
          <w:color w:val="auto"/>
        </w:rPr>
        <w:t>”) in an amount equal to its Refinancing Term Commitment of such Class and (ii) each Refinancing Term Lender of such Class shall become a Lender hereunder with respect to the Refinancing Term Commitment of such Class and the Refinancing Term Loans of such Class made pursuant thereto. On any Refinancing Facility Closing Date on which any Refinancing Revolving Credit Commitments of any Class are effected, subject to the satisfaction of the terms and conditions in this Section 2.15, (i) each Refinancing Revolving Credit Lender of such Class shall make its Refinancing Revolving Credit Commitment available to the Borrowers (when borrowed, a “</w:t>
      </w:r>
      <w:r>
        <w:rPr>
          <w:rFonts w:ascii="Arial" w:cs="Arial" w:eastAsia="Arial" w:hAnsi="Arial"/>
          <w:sz w:val="16"/>
          <w:szCs w:val="16"/>
          <w:b w:val="1"/>
          <w:bCs w:val="1"/>
          <w:color w:val="auto"/>
        </w:rPr>
        <w:t>Refinancing Revolving Loan</w:t>
      </w:r>
      <w:r>
        <w:rPr>
          <w:rFonts w:ascii="Arial" w:cs="Arial" w:eastAsia="Arial" w:hAnsi="Arial"/>
          <w:sz w:val="16"/>
          <w:szCs w:val="16"/>
          <w:color w:val="auto"/>
        </w:rPr>
        <w:t>” and collectively with any Refinancing Term Loan, a “</w:t>
      </w:r>
      <w:r>
        <w:rPr>
          <w:rFonts w:ascii="Arial" w:cs="Arial" w:eastAsia="Arial" w:hAnsi="Arial"/>
          <w:sz w:val="16"/>
          <w:szCs w:val="16"/>
          <w:b w:val="1"/>
          <w:bCs w:val="1"/>
          <w:color w:val="auto"/>
        </w:rPr>
        <w:t>Refinancing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Loan</w:t>
      </w:r>
      <w:r>
        <w:rPr>
          <w:rFonts w:ascii="Arial" w:cs="Arial" w:eastAsia="Arial" w:hAnsi="Arial"/>
          <w:sz w:val="16"/>
          <w:szCs w:val="16"/>
          <w:color w:val="auto"/>
        </w:rPr>
        <w:t>”) and (ii) each Refinancing Revolving Credit Lender of such Class shall become a Lender hereunder with respect to the Refinancing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Commitment of such Class and the Refinancing Revolving Loans of such Class made pursuant thereto.</w:t>
      </w:r>
    </w:p>
    <w:p>
      <w:pPr>
        <w:spacing w:after="0" w:line="204" w:lineRule="exact"/>
        <w:rPr>
          <w:rFonts w:ascii="Arial" w:cs="Arial" w:eastAsia="Arial" w:hAnsi="Arial"/>
          <w:sz w:val="16"/>
          <w:szCs w:val="16"/>
          <w:color w:val="010000"/>
        </w:rPr>
      </w:pPr>
    </w:p>
    <w:p>
      <w:pPr>
        <w:jc w:val="both"/>
        <w:ind w:left="-639" w:right="20" w:firstLine="639"/>
        <w:spacing w:after="0" w:line="227" w:lineRule="auto"/>
        <w:tabs>
          <w:tab w:leader="none" w:pos="514" w:val="left"/>
        </w:tabs>
        <w:numPr>
          <w:ilvl w:val="0"/>
          <w:numId w:val="138"/>
        </w:numPr>
        <w:rPr>
          <w:rFonts w:ascii="Arial" w:cs="Arial" w:eastAsia="Arial" w:hAnsi="Arial"/>
          <w:sz w:val="17"/>
          <w:szCs w:val="17"/>
          <w:color w:val="010000"/>
        </w:rPr>
      </w:pPr>
      <w:r>
        <w:rPr>
          <w:rFonts w:ascii="Arial" w:cs="Arial" w:eastAsia="Arial" w:hAnsi="Arial"/>
          <w:sz w:val="17"/>
          <w:szCs w:val="17"/>
          <w:i w:val="1"/>
          <w:iCs w:val="1"/>
          <w:color w:val="auto"/>
        </w:rPr>
        <w:t>Refinancing Loan Request</w:t>
      </w:r>
      <w:r>
        <w:rPr>
          <w:rFonts w:ascii="Arial" w:cs="Arial" w:eastAsia="Arial" w:hAnsi="Arial"/>
          <w:sz w:val="17"/>
          <w:szCs w:val="17"/>
          <w:color w:val="auto"/>
        </w:rPr>
        <w:t>. Each Refinancing Loan Request from the Borrowers pursuant to this Section 2.15 shall set forth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requested amount and proposed terms of the relevant Refinancing Term Loans or Refinancing Revolving Credit Commitments and identify the Refinanced Debt with respect thereto. Refinancing Term Loans may be made, and Refinancing Revolving Credit Commitments may be provided, by any existing Lender (but no existing Lender will have an obligation to make any Refinancing Commitment, nor will the Borrowers have any obligation to approach any existing Lender to provide any Refinancing Commitment) or by any Additional Lender (each such existing Lender or Additional Lender providing such Commitment or Loan, a “</w:t>
      </w:r>
      <w:r>
        <w:rPr>
          <w:rFonts w:ascii="Arial" w:cs="Arial" w:eastAsia="Arial" w:hAnsi="Arial"/>
          <w:sz w:val="17"/>
          <w:szCs w:val="17"/>
          <w:b w:val="1"/>
          <w:bCs w:val="1"/>
          <w:color w:val="auto"/>
        </w:rPr>
        <w:t>Refinancing Revolving Credit Lender</w:t>
      </w:r>
      <w:r>
        <w:rPr>
          <w:rFonts w:ascii="Arial" w:cs="Arial" w:eastAsia="Arial" w:hAnsi="Arial"/>
          <w:sz w:val="17"/>
          <w:szCs w:val="17"/>
          <w:color w:val="auto"/>
        </w:rPr>
        <w:t>” or “</w:t>
      </w:r>
      <w:r>
        <w:rPr>
          <w:rFonts w:ascii="Arial" w:cs="Arial" w:eastAsia="Arial" w:hAnsi="Arial"/>
          <w:sz w:val="17"/>
          <w:szCs w:val="17"/>
          <w:b w:val="1"/>
          <w:bCs w:val="1"/>
          <w:color w:val="auto"/>
        </w:rPr>
        <w:t>Refinancing Term Lender</w:t>
      </w:r>
      <w:r>
        <w:rPr>
          <w:rFonts w:ascii="Arial" w:cs="Arial" w:eastAsia="Arial" w:hAnsi="Arial"/>
          <w:sz w:val="17"/>
          <w:szCs w:val="17"/>
          <w:color w:val="auto"/>
        </w:rPr>
        <w:t>,” as applicable, and, collectively, “</w:t>
      </w:r>
      <w:r>
        <w:rPr>
          <w:rFonts w:ascii="Arial" w:cs="Arial" w:eastAsia="Arial" w:hAnsi="Arial"/>
          <w:sz w:val="17"/>
          <w:szCs w:val="17"/>
          <w:b w:val="1"/>
          <w:bCs w:val="1"/>
          <w:color w:val="auto"/>
        </w:rPr>
        <w:t>Refinancing Lenders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Refinancing Revolving Credit Commitment which are Revolving Credit Commitments, the Administrative Agent shall have consented (not to be unreasonably conditioned, withheld or delayed) to such Lender’s or Additional Lender’s providing such Refinancing Revolving Credit Commitments to the extent such consent, if any, would be required under Section 10.07(b) for an assignment of Loans or Revolving Credit Commitments, as applicable, to such Lender or Additional Lender.</w:t>
      </w:r>
    </w:p>
    <w:p>
      <w:pPr>
        <w:spacing w:after="0" w:line="189" w:lineRule="exact"/>
        <w:rPr>
          <w:rFonts w:ascii="Arial" w:cs="Arial" w:eastAsia="Arial" w:hAnsi="Arial"/>
          <w:sz w:val="17"/>
          <w:szCs w:val="17"/>
          <w:color w:val="010000"/>
        </w:rPr>
      </w:pPr>
    </w:p>
    <w:p>
      <w:pPr>
        <w:jc w:val="both"/>
        <w:ind w:left="-639" w:right="40" w:firstLine="640"/>
        <w:spacing w:after="0" w:line="229" w:lineRule="auto"/>
        <w:tabs>
          <w:tab w:leader="none" w:pos="513" w:val="left"/>
        </w:tabs>
        <w:numPr>
          <w:ilvl w:val="0"/>
          <w:numId w:val="138"/>
        </w:numPr>
        <w:rPr>
          <w:rFonts w:ascii="Arial" w:cs="Arial" w:eastAsia="Arial" w:hAnsi="Arial"/>
          <w:sz w:val="18"/>
          <w:szCs w:val="18"/>
          <w:color w:val="010000"/>
        </w:rPr>
      </w:pPr>
      <w:r>
        <w:rPr>
          <w:rFonts w:ascii="Arial" w:cs="Arial" w:eastAsia="Arial" w:hAnsi="Arial"/>
          <w:sz w:val="18"/>
          <w:szCs w:val="18"/>
          <w:i w:val="1"/>
          <w:iCs w:val="1"/>
          <w:color w:val="auto"/>
        </w:rPr>
        <w:t>Effectiveness of Refinancing Amendment</w:t>
      </w:r>
      <w:r>
        <w:rPr>
          <w:rFonts w:ascii="Arial" w:cs="Arial" w:eastAsia="Arial" w:hAnsi="Arial"/>
          <w:sz w:val="18"/>
          <w:szCs w:val="18"/>
          <w:color w:val="auto"/>
        </w:rPr>
        <w:t>. The effectiveness of any Refinancing Amendment, and the Refinancing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shall be subject to the satisfaction on the date thereof (a “</w:t>
      </w:r>
      <w:r>
        <w:rPr>
          <w:rFonts w:ascii="Arial" w:cs="Arial" w:eastAsia="Arial" w:hAnsi="Arial"/>
          <w:sz w:val="18"/>
          <w:szCs w:val="18"/>
          <w:b w:val="1"/>
          <w:bCs w:val="1"/>
          <w:color w:val="auto"/>
        </w:rPr>
        <w:t>Refinancing Facility Closing Date</w:t>
      </w:r>
      <w:r>
        <w:rPr>
          <w:rFonts w:ascii="Arial" w:cs="Arial" w:eastAsia="Arial" w:hAnsi="Arial"/>
          <w:sz w:val="18"/>
          <w:szCs w:val="18"/>
          <w:color w:val="auto"/>
        </w:rPr>
        <w:t>”) of each of the following conditions, together with any other conditions set forth in the Refinancing Amendment:</w:t>
      </w:r>
    </w:p>
    <w:p>
      <w:pPr>
        <w:spacing w:after="0" w:line="190" w:lineRule="exact"/>
        <w:rPr>
          <w:rFonts w:ascii="Arial" w:cs="Arial" w:eastAsia="Arial" w:hAnsi="Arial"/>
          <w:sz w:val="18"/>
          <w:szCs w:val="18"/>
          <w:color w:val="010000"/>
        </w:rPr>
      </w:pPr>
    </w:p>
    <w:p>
      <w:pPr>
        <w:ind w:left="1301" w:hanging="652"/>
        <w:spacing w:after="0"/>
        <w:tabs>
          <w:tab w:leader="none" w:pos="1301" w:val="left"/>
        </w:tabs>
        <w:numPr>
          <w:ilvl w:val="1"/>
          <w:numId w:val="138"/>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1" w:right="40" w:firstLine="648"/>
        <w:spacing w:after="0" w:line="220" w:lineRule="auto"/>
        <w:tabs>
          <w:tab w:leader="none" w:pos="1153" w:val="left"/>
        </w:tabs>
        <w:numPr>
          <w:ilvl w:val="1"/>
          <w:numId w:val="138"/>
        </w:numPr>
        <w:rPr>
          <w:rFonts w:ascii="Arial" w:cs="Arial" w:eastAsia="Arial" w:hAnsi="Arial"/>
          <w:sz w:val="18"/>
          <w:szCs w:val="18"/>
          <w:color w:val="010000"/>
        </w:rPr>
      </w:pPr>
      <w:r>
        <w:rPr>
          <w:rFonts w:ascii="Arial" w:cs="Arial" w:eastAsia="Arial" w:hAnsi="Arial"/>
          <w:sz w:val="18"/>
          <w:szCs w:val="18"/>
          <w:color w:val="auto"/>
        </w:rPr>
        <w:t>each Refinancing Commitment shall be in an aggregate principal amount that is not less than $10,000,000 and shall be in an increment of $1,000,000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 than</w:t>
      </w:r>
    </w:p>
    <w:p>
      <w:pPr>
        <w:spacing w:after="0" w:line="1" w:lineRule="exact"/>
        <w:rPr>
          <w:rFonts w:ascii="Arial" w:cs="Arial" w:eastAsia="Arial" w:hAnsi="Arial"/>
          <w:sz w:val="18"/>
          <w:szCs w:val="18"/>
          <w:color w:val="010000"/>
        </w:rPr>
      </w:pPr>
    </w:p>
    <w:p>
      <w:pPr>
        <w:jc w:val="both"/>
        <w:ind w:left="1" w:right="40"/>
        <w:spacing w:after="0" w:line="223" w:lineRule="auto"/>
        <w:rPr>
          <w:rFonts w:ascii="Arial" w:cs="Arial" w:eastAsia="Arial" w:hAnsi="Arial"/>
          <w:sz w:val="18"/>
          <w:szCs w:val="18"/>
          <w:color w:val="010000"/>
        </w:rPr>
      </w:pPr>
      <w:r>
        <w:rPr>
          <w:rFonts w:ascii="Arial" w:cs="Arial" w:eastAsia="Arial" w:hAnsi="Arial"/>
          <w:sz w:val="18"/>
          <w:szCs w:val="18"/>
          <w:color w:val="auto"/>
        </w:rPr>
        <w:t>$10,000,000 and not in an increment of $1,000,000 if such amount is equal to (x) the entire outstanding principal amount of Refinanced Debt that is in the form of Term Loans or (y) the entire principal amount of Refinanced Debt (or commitments) that is in the form of Revolving Credit Commitments);</w:t>
      </w:r>
    </w:p>
    <w:p>
      <w:pPr>
        <w:spacing w:after="0" w:line="203" w:lineRule="exact"/>
        <w:rPr>
          <w:rFonts w:ascii="Arial" w:cs="Arial" w:eastAsia="Arial" w:hAnsi="Arial"/>
          <w:sz w:val="18"/>
          <w:szCs w:val="18"/>
          <w:color w:val="010000"/>
        </w:rPr>
      </w:pPr>
    </w:p>
    <w:p>
      <w:pPr>
        <w:jc w:val="both"/>
        <w:ind w:left="1" w:firstLine="648"/>
        <w:spacing w:after="0" w:line="229" w:lineRule="auto"/>
        <w:tabs>
          <w:tab w:leader="none" w:pos="1153" w:val="left"/>
        </w:tabs>
        <w:numPr>
          <w:ilvl w:val="1"/>
          <w:numId w:val="138"/>
        </w:numPr>
        <w:rPr>
          <w:rFonts w:ascii="Arial" w:cs="Arial" w:eastAsia="Arial" w:hAnsi="Arial"/>
          <w:sz w:val="17"/>
          <w:szCs w:val="17"/>
          <w:color w:val="010000"/>
        </w:rPr>
      </w:pPr>
      <w:r>
        <w:rPr>
          <w:rFonts w:ascii="Arial" w:cs="Arial" w:eastAsia="Arial" w:hAnsi="Arial"/>
          <w:sz w:val="17"/>
          <w:szCs w:val="17"/>
          <w:color w:val="auto"/>
        </w:rPr>
        <w:t>to the extent reasonably requested by the Administrative Agent, receipt by the Administrative Agent of (x) customary legal opinions, good standing certificates,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(y) reaffirmation agreements and/or such amendments to the Collateral Documents as may be reasonably requested by the Administrative Agent in order to ensure that such Refinancing Commitments and Refinancing Loans are provided with the benefit of the applicable Loan Documents; and</w:t>
      </w:r>
    </w:p>
    <w:p>
      <w:pPr>
        <w:sectPr>
          <w:pgSz w:w="11900" w:h="16838" w:orient="portrait"/>
          <w:cols w:equalWidth="0" w:num="1">
            <w:col w:w="10281"/>
          </w:cols>
          <w:pgMar w:left="1119" w:top="1440" w:right="499" w:bottom="1440" w:gutter="0" w:footer="0" w:header="0"/>
        </w:sectPr>
      </w:pPr>
    </w:p>
    <w:bookmarkStart w:id="143" w:name="page144"/>
    <w:bookmarkEnd w:id="143"/>
    <w:p>
      <w:pPr>
        <w:spacing w:after="0" w:line="211" w:lineRule="exact"/>
        <w:rPr>
          <w:sz w:val="20"/>
          <w:szCs w:val="20"/>
          <w:color w:val="auto"/>
        </w:rPr>
      </w:pPr>
    </w:p>
    <w:p>
      <w:pPr>
        <w:jc w:val="both"/>
        <w:ind w:firstLine="648"/>
        <w:spacing w:after="0" w:line="244" w:lineRule="auto"/>
        <w:tabs>
          <w:tab w:leader="none" w:pos="1152" w:val="left"/>
        </w:tabs>
        <w:numPr>
          <w:ilvl w:val="1"/>
          <w:numId w:val="139"/>
        </w:numPr>
        <w:rPr>
          <w:rFonts w:ascii="Arial" w:cs="Arial" w:eastAsia="Arial" w:hAnsi="Arial"/>
          <w:sz w:val="16"/>
          <w:szCs w:val="16"/>
          <w:color w:val="010000"/>
        </w:rPr>
      </w:pPr>
      <w:r>
        <w:rPr>
          <w:rFonts w:ascii="Arial" w:cs="Arial" w:eastAsia="Arial" w:hAnsi="Arial"/>
          <w:sz w:val="16"/>
          <w:szCs w:val="16"/>
          <w:color w:val="auto"/>
        </w:rPr>
        <w:t xml:space="preserve">the Refinancing Term Loans made pursuant to any increase in any existing Class of Term Loans shall be added to (and form part of) each Borrowing of outstanding Term Loans under the respective Class so incurred on a pro rata basis (based on the principal amount of each Borrowing) so that each Lender under such Class will participate proportionately in each then outstanding Borrowing of Term Loans under such Class after giving effect to such increase;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regularly accruing interest and fees through the date of the applicable Refinancing Facility Closing Date (as well as amounts owing to any Lender pursuant to Sections 3.01, 3.04, 3.05, 10.04 and 10.05 or similar provisions pursuant to the other Loan Documents) shall remain payable to the respective Lenders to which such amounts were owing.</w:t>
      </w:r>
    </w:p>
    <w:p>
      <w:pPr>
        <w:spacing w:after="0" w:line="200" w:lineRule="exact"/>
        <w:rPr>
          <w:rFonts w:ascii="Arial" w:cs="Arial" w:eastAsia="Arial" w:hAnsi="Arial"/>
          <w:sz w:val="16"/>
          <w:szCs w:val="16"/>
          <w:color w:val="010000"/>
        </w:rPr>
      </w:pPr>
    </w:p>
    <w:p>
      <w:pPr>
        <w:jc w:val="both"/>
        <w:ind w:left="-640" w:firstLine="640"/>
        <w:spacing w:after="0" w:line="239" w:lineRule="auto"/>
        <w:tabs>
          <w:tab w:leader="none" w:pos="512" w:val="left"/>
        </w:tabs>
        <w:numPr>
          <w:ilvl w:val="0"/>
          <w:numId w:val="140"/>
        </w:numPr>
        <w:rPr>
          <w:rFonts w:ascii="Arial" w:cs="Arial" w:eastAsia="Arial" w:hAnsi="Arial"/>
          <w:sz w:val="16"/>
          <w:szCs w:val="16"/>
          <w:color w:val="010000"/>
        </w:rPr>
      </w:pPr>
      <w:r>
        <w:rPr>
          <w:rFonts w:ascii="Arial" w:cs="Arial" w:eastAsia="Arial" w:hAnsi="Arial"/>
          <w:sz w:val="16"/>
          <w:szCs w:val="16"/>
          <w:i w:val="1"/>
          <w:iCs w:val="1"/>
          <w:color w:val="auto"/>
        </w:rPr>
        <w:t>Required Terms</w:t>
      </w:r>
      <w:r>
        <w:rPr>
          <w:rFonts w:ascii="Arial" w:cs="Arial" w:eastAsia="Arial" w:hAnsi="Arial"/>
          <w:sz w:val="16"/>
          <w:szCs w:val="16"/>
          <w:color w:val="auto"/>
        </w:rPr>
        <w:t>. The terms, provisions and documentation of the Refinancing Term Loans and Refinancing Term Commitments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Refinancing Revolving Loans and Refinancing Revolving Credit Commitments, as the case may be, of any Class shall be as agreed between the Borrowers and the applicable Refinancing Lenders providing such Refinancing Commitments, and except as otherwise set forth herein, to the extent not identical to (or constituting a part of) any Class of Term Loans or Revolving Credit Commitments, as applicable, each existing on the Refinancing Facility Closing Date, shall be consistent with clauses (i) and (ii) below, as applicable, and otherwise, at the option of the Borrowers, either (x) reflect market terms and conditions (taken as a whole) at the time of such refinancing (as determined by the Administrative Borrower in good faith) or (y) if not consistent with the terms of the corresponding Class under the Facilities, not be materially more restrictive to the Borrowers (as determined by the Administrative Borrower in good faith), when taken as a whole, than the terms of the applicable Class under the Facilities being refinanced or replaced (except for covenants or other provisions applicable only to periods after the Latest Maturity Date of the Term Loans and Revolving Credit Commitments existing at the time of such refinancing). If necessary to consummate any such Refinancing Loans or Refinancing Commitments as fungible for U.S. federal income tax purposes with an existing Class of Term Loans or Revolving Credit Commitments, the interest rate margins and rate floors on the applicable existing Class of Term Loans or Revolving Credit Commitments may be automatically increased and any call protection provision may be made more favorable to the applicable existing Lenders. In any event:</w:t>
      </w:r>
    </w:p>
    <w:p>
      <w:pPr>
        <w:spacing w:after="0" w:line="196" w:lineRule="exact"/>
        <w:rPr>
          <w:rFonts w:ascii="Arial" w:cs="Arial" w:eastAsia="Arial" w:hAnsi="Arial"/>
          <w:sz w:val="16"/>
          <w:szCs w:val="16"/>
          <w:color w:val="010000"/>
        </w:rPr>
      </w:pPr>
    </w:p>
    <w:p>
      <w:pPr>
        <w:ind w:left="1300" w:hanging="652"/>
        <w:spacing w:after="0"/>
        <w:tabs>
          <w:tab w:leader="none" w:pos="1300" w:val="left"/>
        </w:tabs>
        <w:numPr>
          <w:ilvl w:val="1"/>
          <w:numId w:val="140"/>
        </w:numPr>
        <w:rPr>
          <w:rFonts w:ascii="Arial" w:cs="Arial" w:eastAsia="Arial" w:hAnsi="Arial"/>
          <w:sz w:val="18"/>
          <w:szCs w:val="18"/>
          <w:color w:val="010000"/>
        </w:rPr>
      </w:pPr>
      <w:r>
        <w:rPr>
          <w:rFonts w:ascii="Arial" w:cs="Arial" w:eastAsia="Arial" w:hAnsi="Arial"/>
          <w:sz w:val="18"/>
          <w:szCs w:val="18"/>
          <w:color w:val="auto"/>
        </w:rPr>
        <w:t>The Refinancing Term Loans:</w:t>
      </w:r>
    </w:p>
    <w:p>
      <w:pPr>
        <w:spacing w:after="0" w:line="225" w:lineRule="exact"/>
        <w:rPr>
          <w:rFonts w:ascii="Arial" w:cs="Arial" w:eastAsia="Arial" w:hAnsi="Arial"/>
          <w:sz w:val="18"/>
          <w:szCs w:val="18"/>
          <w:color w:val="010000"/>
        </w:rPr>
      </w:pPr>
    </w:p>
    <w:p>
      <w:pPr>
        <w:jc w:val="both"/>
        <w:ind w:left="400" w:right="40" w:firstLine="654"/>
        <w:spacing w:after="0" w:line="222" w:lineRule="auto"/>
        <w:tabs>
          <w:tab w:leader="none" w:pos="1794" w:val="left"/>
        </w:tabs>
        <w:numPr>
          <w:ilvl w:val="2"/>
          <w:numId w:val="140"/>
        </w:numPr>
        <w:rPr>
          <w:rFonts w:ascii="Arial" w:cs="Arial" w:eastAsia="Arial" w:hAnsi="Arial"/>
          <w:sz w:val="18"/>
          <w:szCs w:val="18"/>
          <w:color w:val="010000"/>
        </w:rPr>
      </w:pPr>
      <w:r>
        <w:rPr>
          <w:rFonts w:ascii="Arial" w:cs="Arial" w:eastAsia="Arial" w:hAnsi="Arial"/>
          <w:sz w:val="18"/>
          <w:szCs w:val="18"/>
          <w:color w:val="auto"/>
        </w:rPr>
        <w:t xml:space="preserve">as of the Refinancing Facility Closing Date, shall not have a final scheduled maturity date earlier than the Maturity Date of the Refinanced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Refinancing Term Loans consisting of a customary bridge facility so long as the long-term Indebtedness into which such customary bridge facility is to be converted satisfies this criteria and (II) any Refinancing Term Loans in an aggregate amount not to exceed the then available Inside Maturity Basket may, in each case, have a final scheduled maturity date earlier than the Maturity Date of the Refinanced Debt;</w:t>
      </w:r>
    </w:p>
    <w:p>
      <w:pPr>
        <w:spacing w:after="0" w:line="190" w:lineRule="exact"/>
        <w:rPr>
          <w:rFonts w:ascii="Arial" w:cs="Arial" w:eastAsia="Arial" w:hAnsi="Arial"/>
          <w:sz w:val="18"/>
          <w:szCs w:val="18"/>
          <w:color w:val="010000"/>
        </w:rPr>
      </w:pPr>
    </w:p>
    <w:p>
      <w:pPr>
        <w:jc w:val="both"/>
        <w:ind w:left="400" w:right="20" w:firstLine="654"/>
        <w:spacing w:after="0" w:line="219" w:lineRule="auto"/>
        <w:tabs>
          <w:tab w:leader="none" w:pos="1794" w:val="left"/>
        </w:tabs>
        <w:numPr>
          <w:ilvl w:val="2"/>
          <w:numId w:val="140"/>
        </w:numPr>
        <w:rPr>
          <w:rFonts w:ascii="Arial" w:cs="Arial" w:eastAsia="Arial" w:hAnsi="Arial"/>
          <w:sz w:val="18"/>
          <w:szCs w:val="18"/>
          <w:color w:val="010000"/>
        </w:rPr>
      </w:pPr>
      <w:r>
        <w:rPr>
          <w:rFonts w:ascii="Arial" w:cs="Arial" w:eastAsia="Arial" w:hAnsi="Arial"/>
          <w:sz w:val="18"/>
          <w:szCs w:val="18"/>
          <w:color w:val="auto"/>
        </w:rPr>
        <w:t xml:space="preserve">as of the Refinancing Facility Closing Date, shall not have a Weighted Average Life to Maturity shorter than the remaining Weighted Average Life to Maturity of the Refinanced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Refinancing Term Loans consisting of a customary bridge facility so long as the long-term Indebtedness into which such customary bridge facility is to be converted satisfies this criteria and (II) any Refinancing Term Loans in an aggregate amount not to exceed the then available Inside Maturity Basket may, in each case, have a Weighted Average Life to Maturity shorter than the remaining Weighted Average Life to Maturity of the Refinanced Debt;</w:t>
      </w:r>
    </w:p>
    <w:p>
      <w:pPr>
        <w:spacing w:after="0" w:line="189" w:lineRule="exact"/>
        <w:rPr>
          <w:rFonts w:ascii="Arial" w:cs="Arial" w:eastAsia="Arial" w:hAnsi="Arial"/>
          <w:sz w:val="18"/>
          <w:szCs w:val="18"/>
          <w:color w:val="010000"/>
        </w:rPr>
      </w:pPr>
    </w:p>
    <w:p>
      <w:pPr>
        <w:jc w:val="both"/>
        <w:ind w:left="400" w:right="40" w:firstLine="654"/>
        <w:spacing w:after="0" w:line="219" w:lineRule="auto"/>
        <w:tabs>
          <w:tab w:leader="none" w:pos="1794" w:val="left"/>
        </w:tabs>
        <w:numPr>
          <w:ilvl w:val="2"/>
          <w:numId w:val="140"/>
        </w:numPr>
        <w:rPr>
          <w:rFonts w:ascii="Arial" w:cs="Arial" w:eastAsia="Arial" w:hAnsi="Arial"/>
          <w:sz w:val="18"/>
          <w:szCs w:val="18"/>
          <w:color w:val="010000"/>
        </w:rPr>
      </w:pPr>
      <w:r>
        <w:rPr>
          <w:rFonts w:ascii="Arial" w:cs="Arial" w:eastAsia="Arial" w:hAnsi="Arial"/>
          <w:sz w:val="18"/>
          <w:szCs w:val="18"/>
          <w:color w:val="auto"/>
        </w:rPr>
        <w:t xml:space="preserve">shall have an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and subject to clauses (e)(i)(A) and (e)(i)(B) above, amortization determined by the Borrowers and the applicable Refinancing Term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for Refinancing Term Loans that constitute an increase to an existing Class of Term Loans is higher than the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for the Class being increased, then the Applicable Rate for the Class being increased shall be automatically increased as and to the extent necessary to eliminate such deficiency.</w:t>
      </w:r>
    </w:p>
    <w:p>
      <w:pPr>
        <w:sectPr>
          <w:pgSz w:w="11900" w:h="16838" w:orient="portrait"/>
          <w:cols w:equalWidth="0" w:num="1">
            <w:col w:w="10280"/>
          </w:cols>
          <w:pgMar w:left="1120" w:top="1440" w:right="499" w:bottom="1440" w:gutter="0" w:footer="0" w:header="0"/>
        </w:sectPr>
      </w:pPr>
    </w:p>
    <w:bookmarkStart w:id="144" w:name="page145"/>
    <w:bookmarkEnd w:id="144"/>
    <w:p>
      <w:pPr>
        <w:spacing w:after="0" w:line="211" w:lineRule="exact"/>
        <w:rPr>
          <w:sz w:val="20"/>
          <w:szCs w:val="20"/>
          <w:color w:val="auto"/>
        </w:rPr>
      </w:pPr>
    </w:p>
    <w:p>
      <w:pPr>
        <w:ind w:left="1380" w:hanging="646"/>
        <w:spacing w:after="0"/>
        <w:tabs>
          <w:tab w:leader="none" w:pos="1380" w:val="left"/>
        </w:tabs>
        <w:numPr>
          <w:ilvl w:val="2"/>
          <w:numId w:val="141"/>
        </w:numPr>
        <w:rPr>
          <w:rFonts w:ascii="Arial" w:cs="Arial" w:eastAsia="Arial" w:hAnsi="Arial"/>
          <w:sz w:val="18"/>
          <w:szCs w:val="18"/>
          <w:color w:val="010000"/>
        </w:rPr>
      </w:pPr>
      <w:r>
        <w:rPr>
          <w:rFonts w:ascii="Arial" w:cs="Arial" w:eastAsia="Arial" w:hAnsi="Arial"/>
          <w:sz w:val="18"/>
          <w:szCs w:val="18"/>
          <w:color w:val="auto"/>
        </w:rPr>
        <w:t>shall have fees determined by the Borrowers and the applicable arranger(s);</w:t>
      </w:r>
    </w:p>
    <w:p>
      <w:pPr>
        <w:spacing w:after="0" w:line="225" w:lineRule="exact"/>
        <w:rPr>
          <w:rFonts w:ascii="Arial" w:cs="Arial" w:eastAsia="Arial" w:hAnsi="Arial"/>
          <w:sz w:val="18"/>
          <w:szCs w:val="18"/>
          <w:color w:val="010000"/>
        </w:rPr>
      </w:pPr>
    </w:p>
    <w:p>
      <w:pPr>
        <w:ind w:left="1380" w:hanging="646"/>
        <w:spacing w:after="0"/>
        <w:tabs>
          <w:tab w:leader="none" w:pos="1380" w:val="left"/>
        </w:tabs>
        <w:numPr>
          <w:ilvl w:val="2"/>
          <w:numId w:val="141"/>
        </w:numPr>
        <w:rPr>
          <w:rFonts w:ascii="Arial" w:cs="Arial" w:eastAsia="Arial" w:hAnsi="Arial"/>
          <w:sz w:val="18"/>
          <w:szCs w:val="18"/>
          <w:color w:val="010000"/>
        </w:rPr>
      </w:pPr>
      <w:r>
        <w:rPr>
          <w:rFonts w:ascii="Arial" w:cs="Arial" w:eastAsia="Arial" w:hAnsi="Arial"/>
          <w:sz w:val="18"/>
          <w:szCs w:val="18"/>
          <w:color w:val="auto"/>
        </w:rPr>
        <w:t>shall not be subject to any Guarantee by any Subsidiary other than a Loan Party;</w:t>
      </w:r>
    </w:p>
    <w:p>
      <w:pPr>
        <w:spacing w:after="0" w:line="225" w:lineRule="exact"/>
        <w:rPr>
          <w:rFonts w:ascii="Arial" w:cs="Arial" w:eastAsia="Arial" w:hAnsi="Arial"/>
          <w:sz w:val="18"/>
          <w:szCs w:val="18"/>
          <w:color w:val="010000"/>
        </w:rPr>
      </w:pPr>
    </w:p>
    <w:p>
      <w:pPr>
        <w:jc w:val="both"/>
        <w:ind w:left="80" w:right="40" w:firstLine="654"/>
        <w:spacing w:after="0" w:line="236" w:lineRule="auto"/>
        <w:tabs>
          <w:tab w:leader="none" w:pos="1474" w:val="left"/>
        </w:tabs>
        <w:numPr>
          <w:ilvl w:val="2"/>
          <w:numId w:val="141"/>
        </w:numPr>
        <w:rPr>
          <w:rFonts w:ascii="Arial" w:cs="Arial" w:eastAsia="Arial" w:hAnsi="Arial"/>
          <w:sz w:val="17"/>
          <w:szCs w:val="17"/>
          <w:color w:val="010000"/>
        </w:rPr>
      </w:pPr>
      <w:r>
        <w:rPr>
          <w:rFonts w:ascii="Arial" w:cs="Arial" w:eastAsia="Arial" w:hAnsi="Arial"/>
          <w:sz w:val="17"/>
          <w:szCs w:val="17"/>
          <w:color w:val="auto"/>
        </w:rPr>
        <w:t>may provide for the ability to participate on a pro rata basis or less than or greater than a pro rata basis in any voluntary prepayments with any other Class of outstanding Term Loans and may provide for the ability to participate on a pro rata basis or less than pro rata basis (but not on a greater than pro rata basis (except for AHYDO Payments and prepayments pursuant to Section 2.05(b)(iv) and Section 2.05(b)(vi)(A)(y))) in any mandatory prepayments of Term Loans hereunder;</w:t>
      </w:r>
    </w:p>
    <w:p>
      <w:pPr>
        <w:spacing w:after="0" w:line="189" w:lineRule="exact"/>
        <w:rPr>
          <w:rFonts w:ascii="Arial" w:cs="Arial" w:eastAsia="Arial" w:hAnsi="Arial"/>
          <w:sz w:val="17"/>
          <w:szCs w:val="17"/>
          <w:color w:val="010000"/>
        </w:rPr>
      </w:pPr>
    </w:p>
    <w:p>
      <w:pPr>
        <w:ind w:left="80" w:right="40" w:firstLine="654"/>
        <w:spacing w:after="0" w:line="232" w:lineRule="auto"/>
        <w:tabs>
          <w:tab w:leader="none" w:pos="1474" w:val="left"/>
        </w:tabs>
        <w:numPr>
          <w:ilvl w:val="2"/>
          <w:numId w:val="141"/>
        </w:numPr>
        <w:rPr>
          <w:rFonts w:ascii="Arial" w:cs="Arial" w:eastAsia="Arial" w:hAnsi="Arial"/>
          <w:sz w:val="17"/>
          <w:szCs w:val="17"/>
          <w:color w:val="010000"/>
        </w:rPr>
      </w:pPr>
      <w:r>
        <w:rPr>
          <w:rFonts w:ascii="Arial" w:cs="Arial" w:eastAsia="Arial" w:hAnsi="Arial"/>
          <w:sz w:val="17"/>
          <w:szCs w:val="17"/>
          <w:color w:val="auto"/>
        </w:rPr>
        <w:t>shall not have a greater principal amount than the principal amount of the Refinanced Debt plus any accrued but unpaid interest on such Refinanced Debt plus existing commitments unutilized under such Refinanced Debt to the extent permanently terminated at the time of incurrence of such new Indebtedness plus the amount of any tender premium or penalty or premium required to be paid under the terms of the instrument or documents governing such Refinanced Debt and any defeasance costs and any fees and expenses (including OID, upfront fees or similar fees) incurred in connection with the issuance of such Refinancing Term Loans plus other amounts permitted to be incurred under Sections 7.01 and 7.03, as applicable;</w:t>
      </w:r>
    </w:p>
    <w:p>
      <w:pPr>
        <w:spacing w:after="0" w:line="189" w:lineRule="exact"/>
        <w:rPr>
          <w:rFonts w:ascii="Arial" w:cs="Arial" w:eastAsia="Arial" w:hAnsi="Arial"/>
          <w:sz w:val="17"/>
          <w:szCs w:val="17"/>
          <w:color w:val="010000"/>
        </w:rPr>
      </w:pPr>
    </w:p>
    <w:p>
      <w:pPr>
        <w:jc w:val="both"/>
        <w:ind w:left="80" w:right="40" w:firstLine="654"/>
        <w:spacing w:after="0" w:line="228" w:lineRule="auto"/>
        <w:tabs>
          <w:tab w:leader="none" w:pos="1474" w:val="left"/>
        </w:tabs>
        <w:numPr>
          <w:ilvl w:val="2"/>
          <w:numId w:val="141"/>
        </w:numPr>
        <w:rPr>
          <w:rFonts w:ascii="Arial" w:cs="Arial" w:eastAsia="Arial" w:hAnsi="Arial"/>
          <w:sz w:val="17"/>
          <w:szCs w:val="17"/>
          <w:color w:val="010000"/>
        </w:rPr>
      </w:pPr>
      <w:r>
        <w:rPr>
          <w:rFonts w:ascii="Arial" w:cs="Arial" w:eastAsia="Arial" w:hAnsi="Arial"/>
          <w:sz w:val="17"/>
          <w:szCs w:val="17"/>
          <w:color w:val="auto"/>
        </w:rPr>
        <w:t xml:space="preserve">(i)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or junior in right of payment with the Obligations under the then existing Term Loans and Revolving Credit Loans and (ii) will either be secured solely by the same Collateral securing the Obligations or shall be unsecured and (ii) to the extent (x) secured by any Applicable Lien, shall be subject to the ABL Intercreditor Agreement, the Second Lien Intercreditor Agreement and, if applicable, the First Lien Intercreditor Agreement and</w:t>
      </w:r>
    </w:p>
    <w:p>
      <w:pPr>
        <w:spacing w:after="0" w:line="2" w:lineRule="exact"/>
        <w:rPr>
          <w:rFonts w:ascii="Arial" w:cs="Arial" w:eastAsia="Arial" w:hAnsi="Arial"/>
          <w:sz w:val="17"/>
          <w:szCs w:val="17"/>
          <w:color w:val="010000"/>
        </w:rPr>
      </w:pPr>
    </w:p>
    <w:p>
      <w:pPr>
        <w:jc w:val="both"/>
        <w:ind w:left="80" w:right="40" w:firstLine="6"/>
        <w:spacing w:after="0" w:line="218" w:lineRule="auto"/>
        <w:tabs>
          <w:tab w:leader="none" w:pos="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secured by Liens on the Collateral (other than Applicable Liens), shall be subject to the Second Lien Intercreditor Agreement and the ABL Intercreditor Agreement or, in each case, to intercreditor arrangements reasonably satisfactory to the Administrative Agent, as applicable;</w:t>
      </w:r>
    </w:p>
    <w:p>
      <w:pPr>
        <w:spacing w:after="0" w:line="202" w:lineRule="exact"/>
        <w:rPr>
          <w:rFonts w:ascii="Arial" w:cs="Arial" w:eastAsia="Arial" w:hAnsi="Arial"/>
          <w:sz w:val="18"/>
          <w:szCs w:val="18"/>
          <w:color w:val="auto"/>
        </w:rPr>
      </w:pPr>
    </w:p>
    <w:p>
      <w:pPr>
        <w:ind w:left="980" w:hanging="652"/>
        <w:spacing w:after="0"/>
        <w:tabs>
          <w:tab w:leader="none" w:pos="980" w:val="left"/>
        </w:tabs>
        <w:numPr>
          <w:ilvl w:val="1"/>
          <w:numId w:val="142"/>
        </w:numPr>
        <w:rPr>
          <w:rFonts w:ascii="Arial" w:cs="Arial" w:eastAsia="Arial" w:hAnsi="Arial"/>
          <w:sz w:val="18"/>
          <w:szCs w:val="18"/>
          <w:color w:val="010000"/>
        </w:rPr>
      </w:pPr>
      <w:r>
        <w:rPr>
          <w:rFonts w:ascii="Arial" w:cs="Arial" w:eastAsia="Arial" w:hAnsi="Arial"/>
          <w:sz w:val="18"/>
          <w:szCs w:val="18"/>
          <w:color w:val="auto"/>
        </w:rPr>
        <w:t>the Refinancing Revolving Credit Commitments and Refinancing Revolving Loans:</w:t>
      </w:r>
    </w:p>
    <w:p>
      <w:pPr>
        <w:spacing w:after="0" w:line="225" w:lineRule="exact"/>
        <w:rPr>
          <w:rFonts w:ascii="Arial" w:cs="Arial" w:eastAsia="Arial" w:hAnsi="Arial"/>
          <w:sz w:val="18"/>
          <w:szCs w:val="18"/>
          <w:color w:val="010000"/>
        </w:rPr>
      </w:pPr>
    </w:p>
    <w:p>
      <w:pPr>
        <w:jc w:val="both"/>
        <w:ind w:left="80" w:right="20" w:firstLine="654"/>
        <w:spacing w:after="0" w:line="217" w:lineRule="auto"/>
        <w:tabs>
          <w:tab w:leader="none" w:pos="1474" w:val="left"/>
        </w:tabs>
        <w:numPr>
          <w:ilvl w:val="2"/>
          <w:numId w:val="142"/>
        </w:numPr>
        <w:rPr>
          <w:rFonts w:ascii="Arial" w:cs="Arial" w:eastAsia="Arial" w:hAnsi="Arial"/>
          <w:sz w:val="18"/>
          <w:szCs w:val="18"/>
          <w:color w:val="010000"/>
        </w:rPr>
      </w:pPr>
      <w:r>
        <w:rPr>
          <w:rFonts w:ascii="Arial" w:cs="Arial" w:eastAsia="Arial" w:hAnsi="Arial"/>
          <w:sz w:val="18"/>
          <w:szCs w:val="18"/>
          <w:color w:val="auto"/>
        </w:rPr>
        <w:t xml:space="preserve">(i)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or junior in right of payment to, the Obligations under the then existing Term Loans and Revolving Credit Loans and will either be secured solely by the same Collateral securing the Obligations or shall be unsecured and (ii) to the extent (x) secured by any Applicable Lien, shall be subject to the Second Lien Intercreditor Agreement and, if applicable, the First Lien Intercreditor Agreement and the ABL Intercreditor Agreement, and (y) secured by Liens on the Collateral (other than Applicable Liens), shall be subject to the Second Lien Intercreditor Agreement and, if applicable, the ABL Intercreditor Agreement or, in each case, to intercreditor arrangements reasonably satisfactory to the Administrative Agent, as applicable;</w:t>
      </w:r>
    </w:p>
    <w:p>
      <w:pPr>
        <w:spacing w:after="0" w:line="201" w:lineRule="exact"/>
        <w:rPr>
          <w:rFonts w:ascii="Arial" w:cs="Arial" w:eastAsia="Arial" w:hAnsi="Arial"/>
          <w:sz w:val="18"/>
          <w:szCs w:val="18"/>
          <w:color w:val="010000"/>
        </w:rPr>
      </w:pPr>
    </w:p>
    <w:p>
      <w:pPr>
        <w:jc w:val="both"/>
        <w:ind w:left="80" w:firstLine="654"/>
        <w:spacing w:after="0" w:line="236" w:lineRule="auto"/>
        <w:tabs>
          <w:tab w:leader="none" w:pos="1474" w:val="left"/>
        </w:tabs>
        <w:numPr>
          <w:ilvl w:val="2"/>
          <w:numId w:val="142"/>
        </w:numPr>
        <w:rPr>
          <w:rFonts w:ascii="Arial" w:cs="Arial" w:eastAsia="Arial" w:hAnsi="Arial"/>
          <w:sz w:val="17"/>
          <w:szCs w:val="17"/>
          <w:color w:val="010000"/>
        </w:rPr>
      </w:pPr>
      <w:r>
        <w:rPr>
          <w:rFonts w:ascii="Arial" w:cs="Arial" w:eastAsia="Arial" w:hAnsi="Arial"/>
          <w:sz w:val="17"/>
          <w:szCs w:val="17"/>
          <w:color w:val="auto"/>
        </w:rPr>
        <w:t xml:space="preserve">shall not have a final scheduled maturity date earlier than, or mandatory scheduled commitment reductions prior to, the Maturity Date with respect to the Refinanced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Refinancing Revolving Credit Commitments and Refinancing Revolving Loans in an aggregate amount not to exceed the then available Inside Maturity Basket may have a Weighted Average Life to Maturity shorter than the remaining Weighted Average Life to Maturity of the Refinanced Debt;</w:t>
      </w:r>
    </w:p>
    <w:p>
      <w:pPr>
        <w:spacing w:after="0" w:line="189" w:lineRule="exact"/>
        <w:rPr>
          <w:rFonts w:ascii="Arial" w:cs="Arial" w:eastAsia="Arial" w:hAnsi="Arial"/>
          <w:sz w:val="17"/>
          <w:szCs w:val="17"/>
          <w:color w:val="010000"/>
        </w:rPr>
      </w:pPr>
    </w:p>
    <w:p>
      <w:pPr>
        <w:ind w:left="80" w:right="40" w:firstLine="654"/>
        <w:spacing w:after="0" w:line="220" w:lineRule="auto"/>
        <w:tabs>
          <w:tab w:leader="none" w:pos="1474" w:val="left"/>
        </w:tabs>
        <w:numPr>
          <w:ilvl w:val="2"/>
          <w:numId w:val="142"/>
        </w:numPr>
        <w:rPr>
          <w:rFonts w:ascii="Arial" w:cs="Arial" w:eastAsia="Arial" w:hAnsi="Arial"/>
          <w:sz w:val="18"/>
          <w:szCs w:val="18"/>
          <w:color w:val="010000"/>
        </w:rPr>
      </w:pPr>
      <w:r>
        <w:rPr>
          <w:rFonts w:ascii="Arial" w:cs="Arial" w:eastAsia="Arial" w:hAnsi="Arial"/>
          <w:sz w:val="18"/>
          <w:szCs w:val="18"/>
          <w:color w:val="auto"/>
        </w:rPr>
        <w:t>shall provide that the borrowing and repayment (except for (1) payments of interest and fees at different rates on Refinancing Revolving Credit Commitments (and related outstandings),</w:t>
      </w:r>
    </w:p>
    <w:p>
      <w:pPr>
        <w:spacing w:after="0" w:line="1" w:lineRule="exact"/>
        <w:rPr>
          <w:rFonts w:ascii="Arial" w:cs="Arial" w:eastAsia="Arial" w:hAnsi="Arial"/>
          <w:sz w:val="18"/>
          <w:szCs w:val="18"/>
          <w:color w:val="010000"/>
        </w:rPr>
      </w:pPr>
    </w:p>
    <w:p>
      <w:pPr>
        <w:jc w:val="both"/>
        <w:ind w:left="80" w:right="40"/>
        <w:spacing w:after="0" w:line="208" w:lineRule="auto"/>
        <w:rPr>
          <w:rFonts w:ascii="Arial" w:cs="Arial" w:eastAsia="Arial" w:hAnsi="Arial"/>
          <w:sz w:val="18"/>
          <w:szCs w:val="18"/>
          <w:color w:val="010000"/>
        </w:rPr>
      </w:pPr>
      <w:r>
        <w:rPr>
          <w:rFonts w:ascii="Arial" w:cs="Arial" w:eastAsia="Arial" w:hAnsi="Arial"/>
          <w:sz w:val="18"/>
          <w:szCs w:val="18"/>
          <w:color w:val="auto"/>
        </w:rPr>
        <w:t>(2) repayments required upon the applicable Maturity Date of the Refinancing Revolving Credit Commitments and any other Class of Revolving Credit Commitments, and (3) repayments made in connection with a permanent repayment and termination of commitments (in accordance with clause</w:t>
      </w:r>
    </w:p>
    <w:p>
      <w:pPr>
        <w:spacing w:after="0" w:line="1" w:lineRule="exact"/>
        <w:rPr>
          <w:rFonts w:ascii="Arial" w:cs="Arial" w:eastAsia="Arial" w:hAnsi="Arial"/>
          <w:sz w:val="18"/>
          <w:szCs w:val="18"/>
          <w:color w:val="010000"/>
        </w:rPr>
      </w:pPr>
    </w:p>
    <w:p>
      <w:pPr>
        <w:ind w:left="80"/>
        <w:spacing w:after="0"/>
        <w:rPr>
          <w:rFonts w:ascii="Arial" w:cs="Arial" w:eastAsia="Arial" w:hAnsi="Arial"/>
          <w:sz w:val="18"/>
          <w:szCs w:val="18"/>
          <w:color w:val="010000"/>
        </w:rPr>
      </w:pPr>
      <w:r>
        <w:rPr>
          <w:rFonts w:ascii="Arial" w:cs="Arial" w:eastAsia="Arial" w:hAnsi="Arial"/>
          <w:sz w:val="18"/>
          <w:szCs w:val="18"/>
          <w:color w:val="auto"/>
        </w:rPr>
        <w:t>(E) below)) of Loans with respect to Refinancing Revolving Credit Commitments after the associated</w:t>
      </w:r>
    </w:p>
    <w:p>
      <w:pPr>
        <w:sectPr>
          <w:pgSz w:w="11900" w:h="16838" w:orient="portrait"/>
          <w:cols w:equalWidth="0" w:num="1">
            <w:col w:w="9960"/>
          </w:cols>
          <w:pgMar w:left="1440" w:top="1440" w:right="499" w:bottom="1440" w:gutter="0" w:footer="0" w:header="0"/>
        </w:sectPr>
      </w:pPr>
    </w:p>
    <w:bookmarkStart w:id="145" w:name="page146"/>
    <w:bookmarkEnd w:id="145"/>
    <w:p>
      <w:pPr>
        <w:spacing w:after="0" w:line="211" w:lineRule="exact"/>
        <w:rPr>
          <w:sz w:val="20"/>
          <w:szCs w:val="20"/>
          <w:color w:val="auto"/>
        </w:rPr>
      </w:pPr>
    </w:p>
    <w:p>
      <w:pPr>
        <w:ind w:left="401"/>
        <w:spacing w:after="0"/>
        <w:rPr>
          <w:sz w:val="20"/>
          <w:szCs w:val="20"/>
          <w:color w:val="auto"/>
        </w:rPr>
      </w:pPr>
      <w:r>
        <w:rPr>
          <w:rFonts w:ascii="Arial" w:cs="Arial" w:eastAsia="Arial" w:hAnsi="Arial"/>
          <w:sz w:val="18"/>
          <w:szCs w:val="18"/>
          <w:color w:val="auto"/>
        </w:rPr>
        <w:t>Refinancing Facility Closing Date shall be made on a pro rata basis with all other Revolving Credit Commitments;</w:t>
      </w:r>
    </w:p>
    <w:p>
      <w:pPr>
        <w:spacing w:after="0" w:line="225" w:lineRule="exact"/>
        <w:rPr>
          <w:sz w:val="20"/>
          <w:szCs w:val="20"/>
          <w:color w:val="auto"/>
        </w:rPr>
      </w:pPr>
    </w:p>
    <w:p>
      <w:pPr>
        <w:ind w:left="1801" w:hanging="746"/>
        <w:spacing w:after="0"/>
        <w:tabs>
          <w:tab w:leader="none" w:pos="1801"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may include provisions for letter of credit and swing line subfacilities and may be available in Dollars;</w:t>
      </w:r>
    </w:p>
    <w:p>
      <w:pPr>
        <w:spacing w:after="0" w:line="225" w:lineRule="exact"/>
        <w:rPr>
          <w:rFonts w:ascii="Arial" w:cs="Arial" w:eastAsia="Arial" w:hAnsi="Arial"/>
          <w:sz w:val="18"/>
          <w:szCs w:val="18"/>
          <w:color w:val="010000"/>
        </w:rPr>
      </w:pPr>
    </w:p>
    <w:p>
      <w:pPr>
        <w:jc w:val="both"/>
        <w:ind w:left="401" w:right="40" w:firstLine="654"/>
        <w:spacing w:after="0" w:line="229" w:lineRule="auto"/>
        <w:tabs>
          <w:tab w:leader="none" w:pos="1795" w:val="left"/>
        </w:tabs>
        <w:numPr>
          <w:ilvl w:val="0"/>
          <w:numId w:val="143"/>
        </w:numPr>
        <w:rPr>
          <w:rFonts w:ascii="Arial" w:cs="Arial" w:eastAsia="Arial" w:hAnsi="Arial"/>
          <w:sz w:val="17"/>
          <w:szCs w:val="17"/>
          <w:color w:val="010000"/>
        </w:rPr>
      </w:pPr>
      <w:r>
        <w:rPr>
          <w:rFonts w:ascii="Arial" w:cs="Arial" w:eastAsia="Arial" w:hAnsi="Arial"/>
          <w:sz w:val="17"/>
          <w:szCs w:val="17"/>
          <w:color w:val="auto"/>
        </w:rPr>
        <w:t>shall provide that the permanent repayment of Revolving Credit Loans with respect to, and termination or reduction of, Refinancing Revolving Credit Commitments after the associated Refinancing Facility Closing Date be made on a pro rata basis or less than pro rata basis (but not greater than pro rata basis) with all other Revolving Credit Commitments, except that the Borrowers shall be permitted to permanently repay and terminate Commitments (I) in respect of any such Class of Revolving Credit Loans on a greater than pro rata basis as compared to any other Class of Revolving Credit Loans with a later Maturity Date than such Class or (II) in connection with any refinancing thereof permitted by this Agreement;</w:t>
      </w:r>
    </w:p>
    <w:p>
      <w:pPr>
        <w:spacing w:after="0" w:line="203" w:lineRule="exact"/>
        <w:rPr>
          <w:rFonts w:ascii="Arial" w:cs="Arial" w:eastAsia="Arial" w:hAnsi="Arial"/>
          <w:sz w:val="17"/>
          <w:szCs w:val="17"/>
          <w:color w:val="010000"/>
        </w:rPr>
      </w:pPr>
    </w:p>
    <w:p>
      <w:pPr>
        <w:jc w:val="both"/>
        <w:ind w:left="401" w:right="40" w:firstLine="654"/>
        <w:spacing w:after="0" w:line="224" w:lineRule="auto"/>
        <w:tabs>
          <w:tab w:leader="none" w:pos="1795"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shall provide that assignments and participations of Refinancing Revolving Credit Commitments and Refinancing Revolving Loans shall be governed by the same assignment and participation provisions applicable to Revolving Credit Commitments and Revolving Credit Loans then existing on the Refinancing Facility Closing Date;</w:t>
      </w:r>
    </w:p>
    <w:p>
      <w:pPr>
        <w:spacing w:after="0" w:line="203" w:lineRule="exact"/>
        <w:rPr>
          <w:rFonts w:ascii="Arial" w:cs="Arial" w:eastAsia="Arial" w:hAnsi="Arial"/>
          <w:sz w:val="18"/>
          <w:szCs w:val="18"/>
          <w:color w:val="010000"/>
        </w:rPr>
      </w:pPr>
    </w:p>
    <w:p>
      <w:pPr>
        <w:jc w:val="both"/>
        <w:ind w:left="401" w:right="20" w:firstLine="654"/>
        <w:spacing w:after="0" w:line="216" w:lineRule="auto"/>
        <w:tabs>
          <w:tab w:leader="none" w:pos="1795"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 xml:space="preserve">shall have an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Base Rate floor (if any) determined by the Borrowers and the applicable Refinancing Revolving Credit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or Base Rate floor (if any) with respect to any Refinancing Revolving Credit Commitments that constitute an increase to an</w:t>
      </w:r>
      <w:r>
        <w:rPr>
          <w:rFonts w:ascii="Arial" w:cs="Arial" w:eastAsia="Arial" w:hAnsi="Arial"/>
          <w:sz w:val="18"/>
          <w:szCs w:val="18"/>
          <w:color w:val="0000FF"/>
        </w:rPr>
        <w:t xml:space="preserve"> </w:t>
      </w:r>
      <w:r>
        <w:rPr>
          <w:rFonts w:ascii="Arial" w:cs="Arial" w:eastAsia="Arial" w:hAnsi="Arial"/>
          <w:sz w:val="18"/>
          <w:szCs w:val="18"/>
          <w:color w:val="000000"/>
        </w:rPr>
        <w:t xml:space="preserve">existing Class of Revolving Credit Commitments is higher than the Applicable Rate and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or Base Rate floor (if any) for the Class being increased, then the Applicable Rate for the Class being increased shall be automatically increased as and to the extent necessary to eliminate such deficiency;</w:t>
      </w:r>
    </w:p>
    <w:p>
      <w:pPr>
        <w:spacing w:after="0" w:line="201" w:lineRule="exact"/>
        <w:rPr>
          <w:rFonts w:ascii="Arial" w:cs="Arial" w:eastAsia="Arial" w:hAnsi="Arial"/>
          <w:sz w:val="18"/>
          <w:szCs w:val="18"/>
          <w:color w:val="010000"/>
        </w:rPr>
      </w:pPr>
    </w:p>
    <w:p>
      <w:pPr>
        <w:ind w:left="1801" w:hanging="746"/>
        <w:spacing w:after="0"/>
        <w:tabs>
          <w:tab w:leader="none" w:pos="1801" w:val="left"/>
        </w:tabs>
        <w:numPr>
          <w:ilvl w:val="0"/>
          <w:numId w:val="143"/>
        </w:numPr>
        <w:rPr>
          <w:rFonts w:ascii="Arial" w:cs="Arial" w:eastAsia="Arial" w:hAnsi="Arial"/>
          <w:sz w:val="17"/>
          <w:szCs w:val="17"/>
          <w:color w:val="010000"/>
        </w:rPr>
      </w:pPr>
      <w:r>
        <w:rPr>
          <w:rFonts w:ascii="Arial" w:cs="Arial" w:eastAsia="Arial" w:hAnsi="Arial"/>
          <w:sz w:val="17"/>
          <w:szCs w:val="17"/>
          <w:color w:val="auto"/>
        </w:rPr>
        <w:t>shall have fees determined by the Borrowers and the applicable Refinancing Revolving Credit Commitment</w:t>
      </w:r>
    </w:p>
    <w:p>
      <w:pPr>
        <w:ind w:left="401"/>
        <w:spacing w:after="0"/>
        <w:rPr>
          <w:rFonts w:ascii="Arial" w:cs="Arial" w:eastAsia="Arial" w:hAnsi="Arial"/>
          <w:sz w:val="17"/>
          <w:szCs w:val="17"/>
          <w:color w:val="010000"/>
        </w:rPr>
      </w:pPr>
      <w:r>
        <w:rPr>
          <w:rFonts w:ascii="Arial" w:cs="Arial" w:eastAsia="Arial" w:hAnsi="Arial"/>
          <w:sz w:val="18"/>
          <w:szCs w:val="18"/>
          <w:color w:val="auto"/>
        </w:rPr>
        <w:t>arranger(s);</w:t>
      </w:r>
    </w:p>
    <w:p>
      <w:pPr>
        <w:spacing w:after="0" w:line="274" w:lineRule="exact"/>
        <w:rPr>
          <w:rFonts w:ascii="Arial" w:cs="Arial" w:eastAsia="Arial" w:hAnsi="Arial"/>
          <w:sz w:val="17"/>
          <w:szCs w:val="17"/>
          <w:color w:val="010000"/>
        </w:rPr>
      </w:pPr>
    </w:p>
    <w:p>
      <w:pPr>
        <w:ind w:left="1701" w:hanging="646"/>
        <w:spacing w:after="0"/>
        <w:tabs>
          <w:tab w:leader="none" w:pos="1701"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shall not be subject to any Guarantee by any Subsidiary other than a Loan Party;</w:t>
      </w:r>
    </w:p>
    <w:p>
      <w:pPr>
        <w:ind w:left="401"/>
        <w:spacing w:after="0"/>
        <w:rPr>
          <w:sz w:val="20"/>
          <w:szCs w:val="20"/>
          <w:color w:val="auto"/>
        </w:rPr>
      </w:pPr>
      <w:r>
        <w:rPr>
          <w:rFonts w:ascii="Arial" w:cs="Arial" w:eastAsia="Arial" w:hAnsi="Arial"/>
          <w:sz w:val="18"/>
          <w:szCs w:val="18"/>
          <w:color w:val="auto"/>
        </w:rPr>
        <w:t>and</w:t>
      </w:r>
    </w:p>
    <w:p>
      <w:pPr>
        <w:spacing w:after="0" w:line="277" w:lineRule="exact"/>
        <w:rPr>
          <w:sz w:val="20"/>
          <w:szCs w:val="20"/>
          <w:color w:val="auto"/>
        </w:rPr>
      </w:pPr>
    </w:p>
    <w:p>
      <w:pPr>
        <w:jc w:val="both"/>
        <w:ind w:left="401" w:firstLine="654"/>
        <w:spacing w:after="0" w:line="229" w:lineRule="auto"/>
        <w:tabs>
          <w:tab w:leader="none" w:pos="1795" w:val="left"/>
        </w:tabs>
        <w:numPr>
          <w:ilvl w:val="1"/>
          <w:numId w:val="144"/>
        </w:numPr>
        <w:rPr>
          <w:rFonts w:ascii="Arial" w:cs="Arial" w:eastAsia="Arial" w:hAnsi="Arial"/>
          <w:sz w:val="17"/>
          <w:szCs w:val="17"/>
          <w:color w:val="010000"/>
        </w:rPr>
      </w:pPr>
      <w:r>
        <w:rPr>
          <w:rFonts w:ascii="Arial" w:cs="Arial" w:eastAsia="Arial" w:hAnsi="Arial"/>
          <w:sz w:val="17"/>
          <w:szCs w:val="17"/>
          <w:color w:val="auto"/>
        </w:rPr>
        <w:t>shall not have a greater principal amount of Commitments than the principal amount of the utilized Commitments of the Refinanced Debt plus any accrued but unpaid interest on such Refinanced Debt plus existing commitments unutilized under such Refinanced Debt to the extent permanently terminated at the time of incurrence of such new Indebtedness plus the amount of any tender premium or penalty or premium required to be paid under the terms of the instrument or documents governing such Refinanced Debt and any defeasance costs and any fees and expenses (including OID, upfront fees or similar fees) incurred in connection with the issuance of such Refinancing Revolving Credit Commitments or Refinancing Revolving Loans plus other amounts permitted to be incurred under Sections 7.01 and 7.03, as applicable.</w:t>
      </w:r>
    </w:p>
    <w:p>
      <w:pPr>
        <w:spacing w:after="0" w:line="206" w:lineRule="exact"/>
        <w:rPr>
          <w:rFonts w:ascii="Arial" w:cs="Arial" w:eastAsia="Arial" w:hAnsi="Arial"/>
          <w:sz w:val="17"/>
          <w:szCs w:val="17"/>
          <w:color w:val="010000"/>
        </w:rPr>
      </w:pPr>
    </w:p>
    <w:p>
      <w:pPr>
        <w:jc w:val="both"/>
        <w:ind w:left="-639" w:right="40" w:firstLine="639"/>
        <w:spacing w:after="0" w:line="244" w:lineRule="auto"/>
        <w:tabs>
          <w:tab w:leader="none" w:pos="514" w:val="left"/>
        </w:tabs>
        <w:numPr>
          <w:ilvl w:val="0"/>
          <w:numId w:val="145"/>
        </w:numPr>
        <w:rPr>
          <w:rFonts w:ascii="Arial" w:cs="Arial" w:eastAsia="Arial" w:hAnsi="Arial"/>
          <w:sz w:val="16"/>
          <w:szCs w:val="16"/>
          <w:color w:val="010000"/>
        </w:rPr>
      </w:pPr>
      <w:r>
        <w:rPr>
          <w:rFonts w:ascii="Arial" w:cs="Arial" w:eastAsia="Arial" w:hAnsi="Arial"/>
          <w:sz w:val="16"/>
          <w:szCs w:val="16"/>
          <w:i w:val="1"/>
          <w:iCs w:val="1"/>
          <w:color w:val="auto"/>
        </w:rPr>
        <w:t>Refinancing Amendment</w:t>
      </w:r>
      <w:r>
        <w:rPr>
          <w:rFonts w:ascii="Arial" w:cs="Arial" w:eastAsia="Arial" w:hAnsi="Arial"/>
          <w:sz w:val="16"/>
          <w:szCs w:val="16"/>
          <w:color w:val="auto"/>
        </w:rPr>
        <w:t>. Commitments in respect of Refinancing Term Loans and Refinancing Revolving Credit Commitments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additional Commitments under this Agreement pursuant to an amendment (a “</w:t>
      </w:r>
      <w:r>
        <w:rPr>
          <w:rFonts w:ascii="Arial" w:cs="Arial" w:eastAsia="Arial" w:hAnsi="Arial"/>
          <w:sz w:val="16"/>
          <w:szCs w:val="16"/>
          <w:b w:val="1"/>
          <w:bCs w:val="1"/>
          <w:color w:val="auto"/>
        </w:rPr>
        <w:t>Refinancing Amendment</w:t>
      </w:r>
      <w:r>
        <w:rPr>
          <w:rFonts w:ascii="Arial" w:cs="Arial" w:eastAsia="Arial" w:hAnsi="Arial"/>
          <w:sz w:val="16"/>
          <w:szCs w:val="16"/>
          <w:color w:val="auto"/>
        </w:rPr>
        <w:t>”) to this Agreement and, as appropriate, the other Loan Documents, executed by the Borrowers, each Refinancing Lender providing such Commitments, the Administrative Agent. The Refinancing Amendment may, without the consent of any other Loan Party, Agent or Lender, effect such amendments to this Agreement and the other Loan Documents as may be necessary or appropriate, in the reasonable opinion of the Administrative Agent and the Borrowers, to effect the provisions of this Section 2.15, including amendments as deemed necessary by the Administrative Agent in its reasonable judgment to effect any lien subordination and associated rights of the applicable Lenders to the extent any Refinancing Loans are to rank junior</w:t>
      </w:r>
    </w:p>
    <w:p>
      <w:pPr>
        <w:sectPr>
          <w:pgSz w:w="11900" w:h="16838" w:orient="portrait"/>
          <w:cols w:equalWidth="0" w:num="1">
            <w:col w:w="10281"/>
          </w:cols>
          <w:pgMar w:left="1119" w:top="1440" w:right="499" w:bottom="1440" w:gutter="0" w:footer="0" w:header="0"/>
        </w:sectPr>
      </w:pPr>
    </w:p>
    <w:bookmarkStart w:id="146" w:name="page147"/>
    <w:bookmarkEnd w:id="146"/>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in right of security or to address technical issues relating to funding and payment and any amendments necessary in connection with any Refinancing Loans necessary to provide that such Refinancing Loans and Refinancing Commitments are fungible for U.S. federal income tax purposes. The Borrowers will use the proceeds of the Refinancing Term Loans and Refinancing Revolving Credit Commitments to extend, renew, replace,</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repurchase, retire or refinance, and shall permanently terminate applicable commitments under, substantially concurrently, the applicable Refinanced Debt.</w:t>
      </w:r>
    </w:p>
    <w:p>
      <w:pPr>
        <w:spacing w:after="0" w:line="188" w:lineRule="exact"/>
        <w:rPr>
          <w:sz w:val="20"/>
          <w:szCs w:val="20"/>
          <w:color w:val="auto"/>
        </w:rPr>
      </w:pPr>
    </w:p>
    <w:p>
      <w:pPr>
        <w:jc w:val="both"/>
        <w:ind w:firstLine="639"/>
        <w:spacing w:after="0"/>
        <w:tabs>
          <w:tab w:leader="none" w:pos="1153" w:val="left"/>
        </w:tabs>
        <w:numPr>
          <w:ilvl w:val="0"/>
          <w:numId w:val="146"/>
        </w:numPr>
        <w:rPr>
          <w:rFonts w:ascii="Arial" w:cs="Arial" w:eastAsia="Arial" w:hAnsi="Arial"/>
          <w:sz w:val="16"/>
          <w:szCs w:val="16"/>
          <w:color w:val="010000"/>
        </w:rPr>
      </w:pPr>
      <w:r>
        <w:rPr>
          <w:rFonts w:ascii="Arial" w:cs="Arial" w:eastAsia="Arial" w:hAnsi="Arial"/>
          <w:sz w:val="16"/>
          <w:szCs w:val="16"/>
          <w:i w:val="1"/>
          <w:iCs w:val="1"/>
          <w:color w:val="auto"/>
        </w:rPr>
        <w:t>Reallocation of Revolving Credit Exposure</w:t>
      </w:r>
      <w:r>
        <w:rPr>
          <w:rFonts w:ascii="Arial" w:cs="Arial" w:eastAsia="Arial" w:hAnsi="Arial"/>
          <w:sz w:val="16"/>
          <w:szCs w:val="16"/>
          <w:color w:val="auto"/>
        </w:rPr>
        <w:t>. Upon any Refinancing Facility Closing Date on which Refinancing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are effected through the establishment of a new Class of revolving credit commitments pursuant to this Section 2.15, if, on such date, there are any revolving loans under any Revolving Credit Facility then outstanding, such revolving loans shall be prepaid from the proceeds of a new Borrowing of the Incremental Revolving Loans under such new Class of Refinancing Revolving Credit Commitments in such amounts as shall be necessary in order that, after giving effect to such Borrowing and all such related prepayments, all revolving credit loans under all Revolving Credit Facilities will be held by all Lenders under the Revolving Credit Facilities (including Lenders providing such Refinancing Revolving Credit Commitments) ratably in accordance with their revolving credit commitments under all Revolving Credit Facilities (after giving effect to the establishment of such Incremental Revolving Credit Commitments). Upon any Refinancing Facility Closing Date on which Refinancing Revolving Credit Commitments are effected through the increase to any existing Class of Revolving Credit Commitments pursuant to this Section 2.15, (x) if, on the date of such increase, there are any Revolving Credit Loans outstanding, each of the Revolving Credit Lenders under such Class shall be deemed to assign to each of the Refinancing Revolving Credit Lenders, and each of the Refinancing Revolving Credit Lenders shall purchase from each of the Revolving Credit Lenders under such Class, at par, such interests in the Refinancing Revolving Loans outstanding on such Refinancing Facility Closing Date as shall be necessary in order that, after giving effect to all such assignments and purchases, such Revolving Credit Loans under such Class will be held by existing Revolving Credit Lenders under such Class and Incremental Revolving Credit Lenders ratably in accordance with their Revolving Credit Commitments under such Class after giving effect to the addition of such Refinancing Revolving Credit Commitments to the Revolving Credit Commitments under such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regularly accruing interest and fees through the date of the applicable Refinancing Facility Closing Date (as well as amounts owing to any Lender pursuant to Sections 3.01, 3.04, 3.05, 10.04 and 10.05 or similar provisions pursuant to the other Loan Documents) shall be retained by the respective Lenders to which such amounts were owing and shall not be subject to the assignments sold and purchased as otherwise required hereby and (y) each Incremental Revolving Credit Commitment shall be deemed for all purposes a Revolving Credit Commitment and each Loan made thereunder shall be deemed, for all purposes, a Revolving Credit Loan and (z) each Incremental Revolving Credit Lender shall become a Lender with respect to the Incremental Revolving Credit Commitments and all matters relating thereto. The Administrative Agent and the Lenders hereby agree that the minimum borrowing and prepayment requirements in Section 2.02 and 2.05(a) of this Agreement shall not apply to the transactions effected pursuant to the immediately preceding sentence.</w:t>
      </w:r>
    </w:p>
    <w:p>
      <w:pPr>
        <w:spacing w:after="0" w:line="339" w:lineRule="exact"/>
        <w:rPr>
          <w:rFonts w:ascii="Arial" w:cs="Arial" w:eastAsia="Arial" w:hAnsi="Arial"/>
          <w:sz w:val="16"/>
          <w:szCs w:val="16"/>
          <w:color w:val="010000"/>
        </w:rPr>
      </w:pPr>
    </w:p>
    <w:p>
      <w:pPr>
        <w:ind w:left="1280" w:hanging="640"/>
        <w:spacing w:after="0"/>
        <w:tabs>
          <w:tab w:leader="none" w:pos="1280"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Refinancing Equivalent Debt.</w:t>
      </w:r>
    </w:p>
    <w:p>
      <w:pPr>
        <w:spacing w:after="0" w:line="225" w:lineRule="exact"/>
        <w:rPr>
          <w:rFonts w:ascii="Arial" w:cs="Arial" w:eastAsia="Arial" w:hAnsi="Arial"/>
          <w:sz w:val="18"/>
          <w:szCs w:val="18"/>
          <w:color w:val="010000"/>
        </w:rPr>
      </w:pPr>
    </w:p>
    <w:p>
      <w:pPr>
        <w:jc w:val="both"/>
        <w:ind w:left="640" w:right="40" w:firstLine="648"/>
        <w:spacing w:after="0" w:line="226" w:lineRule="auto"/>
        <w:tabs>
          <w:tab w:leader="none" w:pos="1792" w:val="left"/>
        </w:tabs>
        <w:numPr>
          <w:ilvl w:val="1"/>
          <w:numId w:val="146"/>
        </w:numPr>
        <w:rPr>
          <w:rFonts w:ascii="Arial" w:cs="Arial" w:eastAsia="Arial" w:hAnsi="Arial"/>
          <w:sz w:val="17"/>
          <w:szCs w:val="17"/>
          <w:color w:val="010000"/>
        </w:rPr>
      </w:pPr>
      <w:r>
        <w:rPr>
          <w:rFonts w:ascii="Arial" w:cs="Arial" w:eastAsia="Arial" w:hAnsi="Arial"/>
          <w:sz w:val="17"/>
          <w:szCs w:val="17"/>
          <w:color w:val="auto"/>
        </w:rPr>
        <w:t xml:space="preserve">In lieu of incurring any Refinancing Term Loans or Refinancing Revolving Credit Commitments, the Borrowers may, upon notice to the Administrative Agent, at any time or from time to time after the Closing Date issue, incur or otherwise obtain (A) secured Indebtedness (including any Registered Equivalent Notes) in the form of one or more series of senior secured notes or loans (provided that such Liens on the Term Loan Priority Collateral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the Term Loan Priority Collateral securing the Obligations under this Agreement (but without regard to control of remedies)) (such notes or loans, “</w:t>
      </w:r>
      <w:r>
        <w:rPr>
          <w:rFonts w:ascii="Arial" w:cs="Arial" w:eastAsia="Arial" w:hAnsi="Arial"/>
          <w:sz w:val="17"/>
          <w:szCs w:val="17"/>
          <w:b w:val="1"/>
          <w:bCs w:val="1"/>
          <w:color w:val="auto"/>
        </w:rPr>
        <w:t>Permitted Pari Passu Secured</w:t>
      </w:r>
      <w:r>
        <w:rPr>
          <w:rFonts w:ascii="Arial" w:cs="Arial" w:eastAsia="Arial" w:hAnsi="Arial"/>
          <w:sz w:val="17"/>
          <w:szCs w:val="17"/>
          <w:color w:val="auto"/>
        </w:rPr>
        <w:t xml:space="preserve"> </w:t>
      </w:r>
      <w:r>
        <w:rPr>
          <w:rFonts w:ascii="Arial" w:cs="Arial" w:eastAsia="Arial" w:hAnsi="Arial"/>
          <w:sz w:val="17"/>
          <w:szCs w:val="17"/>
          <w:b w:val="1"/>
          <w:bCs w:val="1"/>
          <w:color w:val="auto"/>
        </w:rPr>
        <w:t>Refinancing Debt</w:t>
      </w:r>
      <w:r>
        <w:rPr>
          <w:rFonts w:ascii="Arial" w:cs="Arial" w:eastAsia="Arial" w:hAnsi="Arial"/>
          <w:sz w:val="17"/>
          <w:szCs w:val="17"/>
          <w:color w:val="auto"/>
        </w:rPr>
        <w:t>”), (B) secured Indebtedness (including any Registered Equivalent Notes) in the form of one or more series of second lien</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junior lien) secured notes or second lien (or other junior lien) secured loans (such notes or loans, “</w:t>
      </w:r>
      <w:r>
        <w:rPr>
          <w:rFonts w:ascii="Arial" w:cs="Arial" w:eastAsia="Arial" w:hAnsi="Arial"/>
          <w:sz w:val="17"/>
          <w:szCs w:val="17"/>
          <w:b w:val="1"/>
          <w:bCs w:val="1"/>
          <w:color w:val="auto"/>
        </w:rPr>
        <w:t>Permitted Junior Secured</w:t>
      </w:r>
      <w:r>
        <w:rPr>
          <w:rFonts w:ascii="Arial" w:cs="Arial" w:eastAsia="Arial" w:hAnsi="Arial"/>
          <w:sz w:val="17"/>
          <w:szCs w:val="17"/>
          <w:color w:val="auto"/>
        </w:rPr>
        <w:t xml:space="preserve"> </w:t>
      </w:r>
      <w:r>
        <w:rPr>
          <w:rFonts w:ascii="Arial" w:cs="Arial" w:eastAsia="Arial" w:hAnsi="Arial"/>
          <w:sz w:val="17"/>
          <w:szCs w:val="17"/>
          <w:b w:val="1"/>
          <w:bCs w:val="1"/>
          <w:color w:val="auto"/>
        </w:rPr>
        <w:t>Refinancing Debt</w:t>
      </w:r>
      <w:r>
        <w:rPr>
          <w:rFonts w:ascii="Arial" w:cs="Arial" w:eastAsia="Arial" w:hAnsi="Arial"/>
          <w:sz w:val="17"/>
          <w:szCs w:val="17"/>
          <w:color w:val="auto"/>
        </w:rPr>
        <w:t>”) and (C) unsecured or subordinated Indebtedness (including any Registered Equivalent Notes) in the form of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of unsecured or subordinated notes or loans (such notes or loans, “</w:t>
      </w:r>
      <w:r>
        <w:rPr>
          <w:rFonts w:ascii="Arial" w:cs="Arial" w:eastAsia="Arial" w:hAnsi="Arial"/>
          <w:sz w:val="17"/>
          <w:szCs w:val="17"/>
          <w:b w:val="1"/>
          <w:bCs w:val="1"/>
          <w:color w:val="auto"/>
        </w:rPr>
        <w:t>Permitted Unsecured Refinancing Debt</w:t>
      </w:r>
      <w:r>
        <w:rPr>
          <w:rFonts w:ascii="Arial" w:cs="Arial" w:eastAsia="Arial" w:hAnsi="Arial"/>
          <w:sz w:val="17"/>
          <w:szCs w:val="17"/>
          <w:color w:val="auto"/>
        </w:rPr>
        <w:t>” and together with Permitted Pari Passu Secured Refinancing Debt and Permitted Junior Secured Refinancing Debt, “</w:t>
      </w:r>
      <w:r>
        <w:rPr>
          <w:rFonts w:ascii="Arial" w:cs="Arial" w:eastAsia="Arial" w:hAnsi="Arial"/>
          <w:sz w:val="17"/>
          <w:szCs w:val="17"/>
          <w:b w:val="1"/>
          <w:bCs w:val="1"/>
          <w:color w:val="auto"/>
        </w:rPr>
        <w:t>Refinancing Equivalent Debt</w:t>
      </w:r>
      <w:r>
        <w:rPr>
          <w:rFonts w:ascii="Arial" w:cs="Arial" w:eastAsia="Arial" w:hAnsi="Arial"/>
          <w:sz w:val="17"/>
          <w:szCs w:val="17"/>
          <w:color w:val="auto"/>
        </w:rPr>
        <w:t>”), in each case, in exchange for, or to extend, renew, replace, repurchase,</w:t>
      </w:r>
    </w:p>
    <w:p>
      <w:pPr>
        <w:sectPr>
          <w:pgSz w:w="11900" w:h="16838" w:orient="portrait"/>
          <w:cols w:equalWidth="0" w:num="1">
            <w:col w:w="10920"/>
          </w:cols>
          <w:pgMar w:left="480" w:top="1440" w:right="499" w:bottom="1440" w:gutter="0" w:footer="0" w:header="0"/>
        </w:sectPr>
      </w:pPr>
    </w:p>
    <w:bookmarkStart w:id="147" w:name="page148"/>
    <w:bookmarkEnd w:id="147"/>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retire or refinance, in whole or in part, any existing Class or Classes of Loans (such Loans, “</w:t>
      </w:r>
      <w:r>
        <w:rPr>
          <w:rFonts w:ascii="Arial" w:cs="Arial" w:eastAsia="Arial" w:hAnsi="Arial"/>
          <w:sz w:val="18"/>
          <w:szCs w:val="18"/>
          <w:b w:val="1"/>
          <w:bCs w:val="1"/>
          <w:color w:val="auto"/>
        </w:rPr>
        <w:t>Refinanced Loans</w:t>
      </w:r>
      <w:r>
        <w:rPr>
          <w:rFonts w:ascii="Arial" w:cs="Arial" w:eastAsia="Arial" w:hAnsi="Arial"/>
          <w:sz w:val="18"/>
          <w:szCs w:val="18"/>
          <w:color w:val="auto"/>
        </w:rPr>
        <w:t>”).</w:t>
      </w:r>
    </w:p>
    <w:p>
      <w:pPr>
        <w:spacing w:after="0" w:line="229" w:lineRule="exact"/>
        <w:rPr>
          <w:sz w:val="20"/>
          <w:szCs w:val="20"/>
          <w:color w:val="auto"/>
        </w:rPr>
      </w:pPr>
    </w:p>
    <w:p>
      <w:pPr>
        <w:ind w:left="1300" w:hanging="652"/>
        <w:spacing w:after="0"/>
        <w:tabs>
          <w:tab w:leader="none" w:pos="1300" w:val="left"/>
        </w:tabs>
        <w:numPr>
          <w:ilvl w:val="1"/>
          <w:numId w:val="147"/>
        </w:numPr>
        <w:rPr>
          <w:rFonts w:ascii="Arial" w:cs="Arial" w:eastAsia="Arial" w:hAnsi="Arial"/>
          <w:sz w:val="18"/>
          <w:szCs w:val="18"/>
          <w:color w:val="010000"/>
        </w:rPr>
      </w:pPr>
      <w:r>
        <w:rPr>
          <w:rFonts w:ascii="Arial" w:cs="Arial" w:eastAsia="Arial" w:hAnsi="Arial"/>
          <w:sz w:val="18"/>
          <w:szCs w:val="18"/>
          <w:color w:val="auto"/>
        </w:rPr>
        <w:t>Any Refinancing Equivalent Debt:</w:t>
      </w:r>
    </w:p>
    <w:p>
      <w:pPr>
        <w:spacing w:after="0" w:line="225" w:lineRule="exact"/>
        <w:rPr>
          <w:rFonts w:ascii="Arial" w:cs="Arial" w:eastAsia="Arial" w:hAnsi="Arial"/>
          <w:sz w:val="18"/>
          <w:szCs w:val="18"/>
          <w:color w:val="010000"/>
        </w:rPr>
      </w:pPr>
    </w:p>
    <w:p>
      <w:pPr>
        <w:jc w:val="both"/>
        <w:ind w:left="400" w:firstLine="654"/>
        <w:spacing w:after="0" w:line="223" w:lineRule="auto"/>
        <w:tabs>
          <w:tab w:leader="none" w:pos="1794" w:val="left"/>
        </w:tabs>
        <w:numPr>
          <w:ilvl w:val="3"/>
          <w:numId w:val="147"/>
        </w:numPr>
        <w:rPr>
          <w:rFonts w:ascii="Arial" w:cs="Arial" w:eastAsia="Arial" w:hAnsi="Arial"/>
          <w:sz w:val="17"/>
          <w:szCs w:val="17"/>
          <w:color w:val="010000"/>
        </w:rPr>
      </w:pPr>
      <w:r>
        <w:rPr>
          <w:rFonts w:ascii="Arial" w:cs="Arial" w:eastAsia="Arial" w:hAnsi="Arial"/>
          <w:sz w:val="17"/>
          <w:szCs w:val="17"/>
          <w:color w:val="auto"/>
        </w:rPr>
        <w:t xml:space="preserve">(1) shall not (other (I) any Refinancing Equivalent Debt consisting of a customary bridge facility so long as the long-term Indebtedness into which such customary bridge facility is to be converted satisfies this criteria and (II) any Refinancing Equivalent Debt in an aggregate amount not to exceed the then available Inside Maturity Basket) have a Maturity Date prior to the Maturity Date of the Refinanced Loan, (2) if in the form of term loans (other than (I) any Refinancing Equivalent Debt consisting of a customary bridge facility so long as the long-term Indebtedness into which such customary bridge facility is to be converted satisfies this criteria and (II) any Refinancing Equivalent Debt in an aggregate amount not to exceed the then available Inside Maturity Basket) have a Weighted Average Life to Maturity shorter than the remaining Weighted Average Life to Maturity of the Refinanced Loans, (3) (I) shall rank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with, or junior in right of payment to, the Obligations under the then existing Term Loans and Revolving Credit Loans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either be secured solely by the same Collateral securing the Obligations or shall be unsecured and (II) to the extent (x) secured by any Applicable Lien, shall be subject to the ABL Intercreditor Agreement, the Second Lien Intercreditor Agreement and, if applicable, the First Lien Intercreditor Agreement and</w:t>
      </w:r>
    </w:p>
    <w:p>
      <w:pPr>
        <w:spacing w:after="0" w:line="2" w:lineRule="exact"/>
        <w:rPr>
          <w:rFonts w:ascii="Arial" w:cs="Arial" w:eastAsia="Arial" w:hAnsi="Arial"/>
          <w:sz w:val="17"/>
          <w:szCs w:val="17"/>
          <w:color w:val="010000"/>
        </w:rPr>
      </w:pPr>
    </w:p>
    <w:p>
      <w:pPr>
        <w:jc w:val="both"/>
        <w:ind w:left="400" w:right="40" w:firstLine="6"/>
        <w:spacing w:after="0" w:line="233" w:lineRule="auto"/>
        <w:tabs>
          <w:tab w:leader="none" w:pos="65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secured by Liens on the Collateral (other than Applicable Liens), shall be subject to the Second Lien Intercreditor Agreement and the ABL Intercreditor Agreement or, in each case, to intercreditor arrangements reasonably satisfactory to the Administrative Agent, as applicable, (4) shall not be guaranteed by Subsidiaries other than Guarantors, (5) shall not have a greater principal amount than the principal amount of the Refinanced Loans plus any accrued but unpaid interest on such Refinanced Loans plus existing commitments unutilized under such Refinanced Loans to the extent permanently terminated at the time of incurrence of such new Indebtedness plus the amount of any tender premium or penalty or premium required to be paid under the terms of the instrument or documents governing such Refinanced Loans and any defeasance costs and any fees and expenses (including OID, upfront fees or similar fees) incurred in connection with the issuance of such Refinancing Equivalent Debt plus other amounts permitted to be incurred under Section 7.03 and</w:t>
      </w:r>
    </w:p>
    <w:p>
      <w:pPr>
        <w:spacing w:after="0" w:line="2" w:lineRule="exact"/>
        <w:rPr>
          <w:rFonts w:ascii="Arial" w:cs="Arial" w:eastAsia="Arial" w:hAnsi="Arial"/>
          <w:sz w:val="16"/>
          <w:szCs w:val="16"/>
          <w:color w:val="auto"/>
        </w:rPr>
      </w:pPr>
    </w:p>
    <w:p>
      <w:pPr>
        <w:jc w:val="both"/>
        <w:ind w:left="400" w:right="40"/>
        <w:spacing w:after="0" w:line="216" w:lineRule="auto"/>
        <w:rPr>
          <w:rFonts w:ascii="Arial" w:cs="Arial" w:eastAsia="Arial" w:hAnsi="Arial"/>
          <w:sz w:val="16"/>
          <w:szCs w:val="16"/>
          <w:color w:val="auto"/>
        </w:rPr>
      </w:pPr>
      <w:r>
        <w:rPr>
          <w:rFonts w:ascii="Arial" w:cs="Arial" w:eastAsia="Arial" w:hAnsi="Arial"/>
          <w:sz w:val="18"/>
          <w:szCs w:val="18"/>
          <w:color w:val="auto"/>
        </w:rPr>
        <w:t>(7) except as otherwise set forth in this clause (h)(ii), shall (x) reflect market terms and conditions (taken as a whole) at the time of such refinancing (as determined by the Administrative Borrower in good faith) or (y) if not consistent with the terms of the corresponding Class under the Facilities, not be materially more restrictive to the Borrowers (as determined by the Administrative Borrower in good faith), when taken as a whole, than the terms of the applicable Class under the Facilities being refinanced or replaced (except for covenants or other provisions applicable only to periods after the Latest Maturity Date of the Term Loans and Revolving Credit Commitments existing at the time of such refinancing),</w:t>
      </w:r>
    </w:p>
    <w:p>
      <w:pPr>
        <w:spacing w:after="0" w:line="202" w:lineRule="exact"/>
        <w:rPr>
          <w:rFonts w:ascii="Arial" w:cs="Arial" w:eastAsia="Arial" w:hAnsi="Arial"/>
          <w:sz w:val="16"/>
          <w:szCs w:val="16"/>
          <w:color w:val="auto"/>
        </w:rPr>
      </w:pPr>
    </w:p>
    <w:p>
      <w:pPr>
        <w:ind w:left="1700" w:hanging="646"/>
        <w:spacing w:after="0"/>
        <w:tabs>
          <w:tab w:leader="none" w:pos="1700" w:val="left"/>
        </w:tabs>
        <w:numPr>
          <w:ilvl w:val="3"/>
          <w:numId w:val="148"/>
        </w:numPr>
        <w:rPr>
          <w:rFonts w:ascii="Arial" w:cs="Arial" w:eastAsia="Arial" w:hAnsi="Arial"/>
          <w:sz w:val="18"/>
          <w:szCs w:val="18"/>
          <w:color w:val="010000"/>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010000"/>
        </w:rPr>
      </w:pPr>
    </w:p>
    <w:p>
      <w:pPr>
        <w:ind w:left="400" w:right="40" w:firstLine="654"/>
        <w:spacing w:after="0" w:line="235" w:lineRule="auto"/>
        <w:tabs>
          <w:tab w:leader="none" w:pos="1794" w:val="left"/>
        </w:tabs>
        <w:numPr>
          <w:ilvl w:val="3"/>
          <w:numId w:val="148"/>
        </w:numPr>
        <w:rPr>
          <w:rFonts w:ascii="Arial" w:cs="Arial" w:eastAsia="Arial" w:hAnsi="Arial"/>
          <w:sz w:val="18"/>
          <w:szCs w:val="18"/>
          <w:color w:val="010000"/>
        </w:rPr>
      </w:pPr>
      <w:r>
        <w:rPr>
          <w:rFonts w:ascii="Arial" w:cs="Arial" w:eastAsia="Arial" w:hAnsi="Arial"/>
          <w:sz w:val="18"/>
          <w:szCs w:val="18"/>
          <w:color w:val="auto"/>
        </w:rPr>
        <w:t>shall be incurred, and the proceeds thereof used, solely to repay, repurchase, retire or refinance substantially concurrently the Refinanced Loans and terminate all commitments thereunder.</w:t>
      </w:r>
    </w:p>
    <w:p>
      <w:pPr>
        <w:spacing w:after="0" w:line="267" w:lineRule="exact"/>
        <w:rPr>
          <w:rFonts w:ascii="Arial" w:cs="Arial" w:eastAsia="Arial" w:hAnsi="Arial"/>
          <w:sz w:val="18"/>
          <w:szCs w:val="18"/>
          <w:color w:val="010000"/>
        </w:rPr>
      </w:pPr>
    </w:p>
    <w:p>
      <w:pPr>
        <w:ind w:left="1460" w:hanging="650"/>
        <w:spacing w:after="0"/>
        <w:tabs>
          <w:tab w:leader="none" w:pos="1460" w:val="left"/>
        </w:tabs>
        <w:numPr>
          <w:ilvl w:val="2"/>
          <w:numId w:val="148"/>
        </w:numPr>
        <w:rPr>
          <w:rFonts w:ascii="Arial" w:cs="Arial" w:eastAsia="Arial" w:hAnsi="Arial"/>
          <w:sz w:val="18"/>
          <w:szCs w:val="18"/>
          <w:color w:val="010000"/>
        </w:rPr>
      </w:pPr>
      <w:r>
        <w:rPr>
          <w:rFonts w:ascii="Arial" w:cs="Arial" w:eastAsia="Arial" w:hAnsi="Arial"/>
          <w:sz w:val="18"/>
          <w:szCs w:val="18"/>
          <w:color w:val="auto"/>
        </w:rPr>
        <w:t>This Section 2.15 shall supersede any provisions in Section 2.13 or 10.01 to the</w:t>
      </w:r>
    </w:p>
    <w:p>
      <w:pPr>
        <w:ind w:left="160"/>
        <w:spacing w:after="0"/>
        <w:rPr>
          <w:sz w:val="20"/>
          <w:szCs w:val="20"/>
          <w:color w:val="auto"/>
        </w:rPr>
      </w:pPr>
      <w:r>
        <w:rPr>
          <w:rFonts w:ascii="Arial" w:cs="Arial" w:eastAsia="Arial" w:hAnsi="Arial"/>
          <w:sz w:val="18"/>
          <w:szCs w:val="18"/>
          <w:color w:val="auto"/>
        </w:rPr>
        <w:t>contrary.</w:t>
      </w:r>
    </w:p>
    <w:p>
      <w:pPr>
        <w:spacing w:after="0" w:line="2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010000"/>
        </w:rPr>
        <w:t>Section 2.16</w:t>
      </w:r>
      <w:r>
        <w:rPr>
          <w:sz w:val="20"/>
          <w:szCs w:val="20"/>
          <w:color w:val="auto"/>
        </w:rPr>
        <w:tab/>
      </w:r>
      <w:r>
        <w:rPr>
          <w:rFonts w:ascii="Arial" w:cs="Arial" w:eastAsia="Arial" w:hAnsi="Arial"/>
          <w:sz w:val="16"/>
          <w:szCs w:val="16"/>
          <w:color w:val="auto"/>
        </w:rPr>
        <w:t>Extension of Term Loans; Extension of Revolving Credit Loans.</w:t>
      </w:r>
    </w:p>
    <w:p>
      <w:pPr>
        <w:spacing w:after="0" w:line="225" w:lineRule="exact"/>
        <w:rPr>
          <w:sz w:val="20"/>
          <w:szCs w:val="20"/>
          <w:color w:val="auto"/>
        </w:rPr>
      </w:pPr>
    </w:p>
    <w:p>
      <w:pPr>
        <w:jc w:val="both"/>
        <w:ind w:left="160" w:right="40" w:firstLine="650"/>
        <w:spacing w:after="0" w:line="245" w:lineRule="auto"/>
        <w:tabs>
          <w:tab w:leader="none" w:pos="1150" w:val="left"/>
        </w:tabs>
        <w:numPr>
          <w:ilvl w:val="0"/>
          <w:numId w:val="149"/>
        </w:numPr>
        <w:rPr>
          <w:rFonts w:ascii="Arial" w:cs="Arial" w:eastAsia="Arial" w:hAnsi="Arial"/>
          <w:sz w:val="17"/>
          <w:szCs w:val="17"/>
          <w:color w:val="010000"/>
        </w:rPr>
      </w:pPr>
      <w:r>
        <w:rPr>
          <w:rFonts w:ascii="Arial" w:cs="Arial" w:eastAsia="Arial" w:hAnsi="Arial"/>
          <w:sz w:val="17"/>
          <w:szCs w:val="17"/>
          <w:i w:val="1"/>
          <w:iCs w:val="1"/>
          <w:color w:val="auto"/>
        </w:rPr>
        <w:t>Extension of Term Loans</w:t>
      </w:r>
      <w:r>
        <w:rPr>
          <w:rFonts w:ascii="Arial" w:cs="Arial" w:eastAsia="Arial" w:hAnsi="Arial"/>
          <w:sz w:val="17"/>
          <w:szCs w:val="17"/>
          <w:color w:val="auto"/>
        </w:rPr>
        <w:t>. The Borrowers may, at any time and from time to time request that all or a portion of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of a given Class (each, an “</w:t>
      </w:r>
      <w:r>
        <w:rPr>
          <w:rFonts w:ascii="Arial" w:cs="Arial" w:eastAsia="Arial" w:hAnsi="Arial"/>
          <w:sz w:val="17"/>
          <w:szCs w:val="17"/>
          <w:b w:val="1"/>
          <w:bCs w:val="1"/>
          <w:color w:val="auto"/>
        </w:rPr>
        <w:t>Existing Term Loan Tranche</w:t>
      </w:r>
      <w:r>
        <w:rPr>
          <w:rFonts w:ascii="Arial" w:cs="Arial" w:eastAsia="Arial" w:hAnsi="Arial"/>
          <w:sz w:val="17"/>
          <w:szCs w:val="17"/>
          <w:color w:val="auto"/>
        </w:rPr>
        <w:t>”) be amended to extend the scheduled Maturity Date(s) with respect to all or a portion of the Term Loans of such Existing Term Loan Tranche (any such Term Loans which have been so amended,</w:t>
      </w:r>
    </w:p>
    <w:p>
      <w:pPr>
        <w:sectPr>
          <w:pgSz w:w="11900" w:h="16838" w:orient="portrait"/>
          <w:cols w:equalWidth="0" w:num="1">
            <w:col w:w="10280"/>
          </w:cols>
          <w:pgMar w:left="1120" w:top="1440" w:right="499" w:bottom="1440" w:gutter="0" w:footer="0" w:header="0"/>
        </w:sectPr>
      </w:pPr>
    </w:p>
    <w:bookmarkStart w:id="148" w:name="page149"/>
    <w:bookmarkEnd w:id="148"/>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Extended Term Loans</w:t>
      </w:r>
      <w:r>
        <w:rPr>
          <w:rFonts w:ascii="Arial" w:cs="Arial" w:eastAsia="Arial" w:hAnsi="Arial"/>
          <w:sz w:val="16"/>
          <w:szCs w:val="16"/>
          <w:color w:val="auto"/>
        </w:rPr>
        <w:t>”) and to provide for other terms consistent with this Section 2.16. In order to establish any Extended Term Loans, the Borrowers shall provide a notice to the Administrative Agent (who shall provide a copy of such notice to each of the Lenders under the applicable Existing Term Loan Tranche) (each,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setting forth the proposed terms of the Extended Term</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Loans to be established, which shall (x) be identical as offered to each Lender under such Existing Term Loan Tranche (including as to the proposed interest rates and fees payable, but excluding any arrangement, structuring or other fees payable in connection therewith that are not generally shared with all Extending Term Lenders (other than any transaction or similar fee payable to the applicable consenting</w:t>
      </w:r>
    </w:p>
    <w:p>
      <w:pPr>
        <w:spacing w:after="0" w:line="231" w:lineRule="auto"/>
        <w:rPr>
          <w:sz w:val="20"/>
          <w:szCs w:val="20"/>
          <w:color w:val="auto"/>
        </w:rPr>
      </w:pPr>
      <w:r>
        <w:rPr>
          <w:rFonts w:ascii="Arial" w:cs="Arial" w:eastAsia="Arial" w:hAnsi="Arial"/>
          <w:sz w:val="16"/>
          <w:szCs w:val="16"/>
          <w:color w:val="auto"/>
        </w:rPr>
        <w:t>Lenders in connection with such Extension Amendment)) and offered pro rata to each Lender under such Existing Term Loan Tranche and</w:t>
      </w:r>
    </w:p>
    <w:p>
      <w:pPr>
        <w:jc w:val="both"/>
        <w:ind w:firstLine="1"/>
        <w:spacing w:after="0" w:line="221" w:lineRule="auto"/>
        <w:tabs>
          <w:tab w:leader="none" w:pos="262"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be substantially identical to, or (taken as a whole) no more favorable (as reasonably determined by the Administrative Borrower) to the Extending Term Lenders than those applicable to the Existing Term Loan Tranche subject to such Term Loan Extension Request (except if the existing Lenders receive the benefit of such favorable terms or for covenants or other provisions applicable only to periods after the Latest Maturity Date), including: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at no time shall there be Classes of Term Loans hereunder (including Refinancing Term Loans and Extended Term Loans) which have more than five different Maturity Dates; (ii) the All-In Yield, pricing, optional redemptions and prepayments and AHYDO Payments with respect to the Extended Term Loans (whether in the form of interest rate margin, upfront fees, OID or otherwise) may be different than the All-In Yield, pricing, optional redemptions and prepayments and AHYDO Payments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Borrowers and the Lenders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unless incurred in reliance upon the then available Inside Maturity Basket, in no event shall the Maturity Date of any Extended Term Loans of a given Term Loan Extension Series at the time of establishment thereof be earlier than the Maturity Date of the applicable Existing Term Loan Tranche,</w:t>
      </w:r>
    </w:p>
    <w:p>
      <w:pPr>
        <w:spacing w:after="0" w:line="9" w:lineRule="exact"/>
        <w:rPr>
          <w:rFonts w:ascii="Arial" w:cs="Arial" w:eastAsia="Arial" w:hAnsi="Arial"/>
          <w:sz w:val="17"/>
          <w:szCs w:val="17"/>
          <w:color w:val="auto"/>
        </w:rPr>
      </w:pPr>
    </w:p>
    <w:p>
      <w:pPr>
        <w:jc w:val="both"/>
        <w:ind w:right="40"/>
        <w:spacing w:after="0" w:line="237" w:lineRule="auto"/>
        <w:rPr>
          <w:rFonts w:ascii="Arial" w:cs="Arial" w:eastAsia="Arial" w:hAnsi="Arial"/>
          <w:sz w:val="17"/>
          <w:szCs w:val="17"/>
          <w:color w:val="auto"/>
        </w:rPr>
      </w:pPr>
      <w:r>
        <w:rPr>
          <w:rFonts w:ascii="Arial" w:cs="Arial" w:eastAsia="Arial" w:hAnsi="Arial"/>
          <w:sz w:val="16"/>
          <w:szCs w:val="16"/>
          <w:color w:val="auto"/>
        </w:rPr>
        <w:t>(B) unless incurred in reliance upon the then available Inside Maturity Basket, the Weighted Average Life to Maturity of any Extended Term Loans of a given Term Loan Extension Series at the time of establishment thereof shall be no shorter than the remaining Weighted Average Life to Maturity of the applicable Existing Term Loan Tranche, (C) all documentation in respect of such Extension Amendment shall be consistent with the foregoing, (D) any Extended Term Loans may participate on a pro rata basis or less than or greater than a pro rata basis in any voluntary repayments or prepayments of principal of Term Loans hereunder and on a pro rata basis or less than a pro rata basis (but not greater than a pro rata basis except in the case of AHYDO Payments or a prepayment under Section 2.05(b)(iv) and Section 2.05(b)(vi)(A)(y)), in any mandatory repayments or prepayments of Term Loans hereunder, in each case as specified in the respective Term Loan Extension Request and (E) any extension of such Extended Term Loans shall be subject to no Event of Default under Section 8.01(a) or (f). Any Extended Term Loans amended pursuant to any Term Loan Extension Request shall be designated a series (each, a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Series</w:t>
      </w:r>
      <w:r>
        <w:rPr>
          <w:rFonts w:ascii="Arial" w:cs="Arial" w:eastAsia="Arial" w:hAnsi="Arial"/>
          <w:sz w:val="16"/>
          <w:szCs w:val="16"/>
          <w:color w:val="auto"/>
        </w:rPr>
        <w:t>”) of Extended Term Loans for all purposes of this Agreement;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Extended Term Loans amended from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the Applicable Rate and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or Base Rate floor (if any) for any such increase shall be higher than the Applicable Rate and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or Base Rate floor (if any) for the Class being increased, then the Applicable Rate for the Class being increased shall be automatically increased as and to the extent necessary to eliminate such deficiency. Each request for a Term Loan Extension Series of Extended Term Loans proposed to be incurred under this Section 2.16 shall be in an aggregate principal amount that is not less than $10,000,000 (it being understood that the actual principal amount thereof provided by the applicable Lenders may be lower than such minimum</w:t>
      </w:r>
    </w:p>
    <w:p>
      <w:pPr>
        <w:sectPr>
          <w:pgSz w:w="11900" w:h="16838" w:orient="portrait"/>
          <w:cols w:equalWidth="0" w:num="1">
            <w:col w:w="10120"/>
          </w:cols>
          <w:pgMar w:left="1280" w:top="1440" w:right="499" w:bottom="1440" w:gutter="0" w:footer="0" w:header="0"/>
        </w:sectPr>
      </w:pPr>
    </w:p>
    <w:bookmarkStart w:id="149" w:name="page150"/>
    <w:bookmarkEnd w:id="149"/>
    <w:p>
      <w:pPr>
        <w:spacing w:after="0" w:line="211" w:lineRule="exact"/>
        <w:rPr>
          <w:sz w:val="20"/>
          <w:szCs w:val="20"/>
          <w:color w:val="auto"/>
        </w:rPr>
      </w:pPr>
    </w:p>
    <w:p>
      <w:pPr>
        <w:ind w:left="808"/>
        <w:spacing w:after="0" w:line="235" w:lineRule="auto"/>
        <w:rPr>
          <w:sz w:val="20"/>
          <w:szCs w:val="20"/>
          <w:color w:val="auto"/>
        </w:rPr>
      </w:pPr>
      <w:r>
        <w:rPr>
          <w:rFonts w:ascii="Arial" w:cs="Arial" w:eastAsia="Arial" w:hAnsi="Arial"/>
          <w:sz w:val="18"/>
          <w:szCs w:val="18"/>
          <w:color w:val="auto"/>
        </w:rPr>
        <w:t>amount) and the Borrowers may impose an Extension Minimum Condition with respect to any Term Loan Extension Request, which may be waived by the Borrowers in their sole discretion.</w:t>
      </w:r>
    </w:p>
    <w:p>
      <w:pPr>
        <w:spacing w:after="0" w:line="202" w:lineRule="exact"/>
        <w:rPr>
          <w:sz w:val="20"/>
          <w:szCs w:val="20"/>
          <w:color w:val="auto"/>
        </w:rPr>
      </w:pPr>
    </w:p>
    <w:p>
      <w:pPr>
        <w:jc w:val="both"/>
        <w:ind w:left="8" w:right="60" w:firstLine="639"/>
        <w:spacing w:after="0" w:line="236" w:lineRule="auto"/>
        <w:tabs>
          <w:tab w:leader="none" w:pos="1161" w:val="left"/>
        </w:tabs>
        <w:numPr>
          <w:ilvl w:val="1"/>
          <w:numId w:val="151"/>
        </w:numPr>
        <w:rPr>
          <w:rFonts w:ascii="Arial" w:cs="Arial" w:eastAsia="Arial" w:hAnsi="Arial"/>
          <w:sz w:val="16"/>
          <w:szCs w:val="16"/>
          <w:color w:val="010000"/>
        </w:rPr>
      </w:pPr>
      <w:r>
        <w:rPr>
          <w:rFonts w:ascii="Arial" w:cs="Arial" w:eastAsia="Arial" w:hAnsi="Arial"/>
          <w:sz w:val="16"/>
          <w:szCs w:val="16"/>
          <w:i w:val="1"/>
          <w:iCs w:val="1"/>
          <w:color w:val="auto"/>
        </w:rPr>
        <w:t>Extension of Revolving Credit Commitments</w:t>
      </w:r>
      <w:r>
        <w:rPr>
          <w:rFonts w:ascii="Arial" w:cs="Arial" w:eastAsia="Arial" w:hAnsi="Arial"/>
          <w:sz w:val="16"/>
          <w:szCs w:val="16"/>
          <w:color w:val="auto"/>
        </w:rPr>
        <w:t>. The Borrowers may at any time and from time to time request that all or a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Commitments of a given Class (each, an “</w:t>
      </w:r>
      <w:r>
        <w:rPr>
          <w:rFonts w:ascii="Arial" w:cs="Arial" w:eastAsia="Arial" w:hAnsi="Arial"/>
          <w:sz w:val="16"/>
          <w:szCs w:val="16"/>
          <w:b w:val="1"/>
          <w:bCs w:val="1"/>
          <w:color w:val="auto"/>
        </w:rPr>
        <w:t>Existing Revolver Tranche</w:t>
      </w:r>
      <w:r>
        <w:rPr>
          <w:rFonts w:ascii="Arial" w:cs="Arial" w:eastAsia="Arial" w:hAnsi="Arial"/>
          <w:sz w:val="16"/>
          <w:szCs w:val="16"/>
          <w:color w:val="auto"/>
        </w:rPr>
        <w:t>”) be amended to extend the Maturity Date with respect to all or a portion of any principal amount of such Revolving Credit Commitments (any such Revolving Credit Commitments which have been so amended, “</w:t>
      </w:r>
      <w:r>
        <w:rPr>
          <w:rFonts w:ascii="Arial" w:cs="Arial" w:eastAsia="Arial" w:hAnsi="Arial"/>
          <w:sz w:val="16"/>
          <w:szCs w:val="16"/>
          <w:b w:val="1"/>
          <w:bCs w:val="1"/>
          <w:color w:val="auto"/>
        </w:rPr>
        <w:t>Extended Revolving Credit Commitments</w:t>
      </w:r>
      <w:r>
        <w:rPr>
          <w:rFonts w:ascii="Arial" w:cs="Arial" w:eastAsia="Arial" w:hAnsi="Arial"/>
          <w:sz w:val="16"/>
          <w:szCs w:val="16"/>
          <w:color w:val="auto"/>
        </w:rPr>
        <w:t>” and any loans under such Extended Revolving Credit Commitments, “</w:t>
      </w:r>
      <w:r>
        <w:rPr>
          <w:rFonts w:ascii="Arial" w:cs="Arial" w:eastAsia="Arial" w:hAnsi="Arial"/>
          <w:sz w:val="16"/>
          <w:szCs w:val="16"/>
          <w:b w:val="1"/>
          <w:bCs w:val="1"/>
          <w:color w:val="auto"/>
        </w:rPr>
        <w:t>Extended Revolving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and to provide for other terms consistent with this Section 2.16. In order to establish any Extended Revolving Credit Commitments,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shall provide a notice to the Administrative Agent (who shall provide a copy of such notice to each of the Lenders under the applicable Existing Revolver Tranche) (each, a “</w:t>
      </w:r>
      <w:r>
        <w:rPr>
          <w:rFonts w:ascii="Arial" w:cs="Arial" w:eastAsia="Arial" w:hAnsi="Arial"/>
          <w:sz w:val="16"/>
          <w:szCs w:val="16"/>
          <w:b w:val="1"/>
          <w:bCs w:val="1"/>
          <w:color w:val="auto"/>
        </w:rPr>
        <w:t>Revolver Extension Request</w:t>
      </w:r>
      <w:r>
        <w:rPr>
          <w:rFonts w:ascii="Arial" w:cs="Arial" w:eastAsia="Arial" w:hAnsi="Arial"/>
          <w:sz w:val="16"/>
          <w:szCs w:val="16"/>
          <w:color w:val="auto"/>
        </w:rPr>
        <w:t>”)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Extending Revolving Credit Lenders (other than any transaction or similar fee payable to the applicable consenting Lenders in connection with such Extension Amendment)) and offered pro rata to each Lender under such Existing Revolver Tranche, and (y) be substantially identical to, or taken as a whole, no more favorable (as reasonably determined by the Administrative Borrower) to the Extending Revolving Credit Lender, as the original Revolving Credit Commitments (and related outstandings) unless the existing Lenders receive the benefit of such favorable terms or for covenants and other provisions applicable only to periods after the Latest Maturity Date:</w:t>
      </w:r>
    </w:p>
    <w:p>
      <w:pPr>
        <w:spacing w:after="0" w:line="7" w:lineRule="exact"/>
        <w:rPr>
          <w:rFonts w:ascii="Arial" w:cs="Arial" w:eastAsia="Arial" w:hAnsi="Arial"/>
          <w:sz w:val="16"/>
          <w:szCs w:val="16"/>
          <w:color w:val="010000"/>
        </w:rPr>
      </w:pPr>
    </w:p>
    <w:p>
      <w:pPr>
        <w:jc w:val="both"/>
        <w:ind w:left="8" w:right="40" w:hanging="8"/>
        <w:spacing w:after="0"/>
        <w:tabs>
          <w:tab w:leader="none" w:pos="23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Maturity Date of the Extended Revolving Credit Commitments may be delayed to a later date than the Maturity Date of the Revolving Credit Commitments of such Existing Revolver Tranche, to the extent provided in the 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no time shall there be Classes of Revolving Credit Commitments hereunder (including Extended Revolving Credit Commitments) which have more than five different Maturity Dates; (ii) the All-In Yield, pricing, optional redemption or prepayment terms, with respect to extensions of credit under the Extended Revolving Credit Commitments (whether in the form of interest rate margin, upfront fees, OID or otherwise) may be different than the All-In Yield, pricing, optional redemption or prepayment terms, for extensions of credit under the Revolving Credit Commitments of such Existing Revolver Tranche, in each case, to the extent provided in the applicable Extension Amendment; (iii) the Extension Amendment may provide for other covenants (as determined by the Borrowers and Lenders extending)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Credit Commitments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(II) repayments required upon the Maturity Date of the non-extending Revolving Credit Commitments and (III) repayments made in connection with a permanent repayment and termination of non-extended Revolving Credit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Maturity Date of any Extended Revolving Credit Commitments of a given Revolver Extension Series at the time of establishment thereof be earlier than the then Latest Maturity Date of any other Revolving Credit Commitments hereunder, and all documentation in respect of such Extension Amendment shall be consistent with the foregoing and the effectiveness of any Extended Revolving Credit Commitments shall be subject to no Event of Default under Section 8.01(a) or (f). Any Extended Revolving Credit Commitments amended pursuant to any Revolver Extension Request shall be designated a series (each, a “</w:t>
      </w:r>
      <w:r>
        <w:rPr>
          <w:rFonts w:ascii="Arial" w:cs="Arial" w:eastAsia="Arial" w:hAnsi="Arial"/>
          <w:sz w:val="16"/>
          <w:szCs w:val="16"/>
          <w:b w:val="1"/>
          <w:bCs w:val="1"/>
          <w:color w:val="auto"/>
        </w:rPr>
        <w:t>Revolver 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Series</w:t>
      </w:r>
      <w:r>
        <w:rPr>
          <w:rFonts w:ascii="Arial" w:cs="Arial" w:eastAsia="Arial" w:hAnsi="Arial"/>
          <w:sz w:val="16"/>
          <w:szCs w:val="16"/>
          <w:color w:val="auto"/>
        </w:rPr>
        <w:t>”) of Extended Revolving Credit Commitments for all purposes of this Agreement;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Extended Revolving Credit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Section 2.16 shall be in an aggregate principal amount that is not less than $10,000,000 (it being understood that the actual principal amount thereof provided by the applicable Lenders may be lower than such minimum amount) and the Borrowers may impose an Extension Minimum Condition with respect to any Revolver Extension Request, which may be waived by the Borrowers in their sole discretion.</w:t>
      </w:r>
    </w:p>
    <w:p>
      <w:pPr>
        <w:sectPr>
          <w:pgSz w:w="11900" w:h="16838" w:orient="portrait"/>
          <w:cols w:equalWidth="0" w:num="1">
            <w:col w:w="10948"/>
          </w:cols>
          <w:pgMar w:left="472" w:top="1440" w:right="479" w:bottom="1440" w:gutter="0" w:footer="0" w:header="0"/>
        </w:sectPr>
      </w:pPr>
    </w:p>
    <w:bookmarkStart w:id="150" w:name="page151"/>
    <w:bookmarkEnd w:id="150"/>
    <w:p>
      <w:pPr>
        <w:spacing w:after="0" w:line="211" w:lineRule="exact"/>
        <w:rPr>
          <w:sz w:val="20"/>
          <w:szCs w:val="20"/>
          <w:color w:val="auto"/>
        </w:rPr>
      </w:pPr>
    </w:p>
    <w:p>
      <w:pPr>
        <w:jc w:val="both"/>
        <w:ind w:left="-639" w:firstLine="640"/>
        <w:spacing w:after="0"/>
        <w:tabs>
          <w:tab w:leader="none" w:pos="513" w:val="left"/>
        </w:tabs>
        <w:numPr>
          <w:ilvl w:val="0"/>
          <w:numId w:val="153"/>
        </w:numPr>
        <w:rPr>
          <w:rFonts w:ascii="Arial" w:cs="Arial" w:eastAsia="Arial" w:hAnsi="Arial"/>
          <w:sz w:val="16"/>
          <w:szCs w:val="16"/>
          <w:color w:val="010000"/>
        </w:rPr>
      </w:pPr>
      <w:r>
        <w:rPr>
          <w:rFonts w:ascii="Arial" w:cs="Arial" w:eastAsia="Arial" w:hAnsi="Arial"/>
          <w:sz w:val="16"/>
          <w:szCs w:val="16"/>
          <w:i w:val="1"/>
          <w:iCs w:val="1"/>
          <w:color w:val="auto"/>
        </w:rPr>
        <w:t>Extension Request</w:t>
      </w:r>
      <w:r>
        <w:rPr>
          <w:rFonts w:ascii="Arial" w:cs="Arial" w:eastAsia="Arial" w:hAnsi="Arial"/>
          <w:sz w:val="16"/>
          <w:szCs w:val="16"/>
          <w:color w:val="auto"/>
        </w:rPr>
        <w:t>. The Borrowers shall provide the applicable Extension Request at least five (5) Business Days (or such shorter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Section 2.16.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Arial" w:cs="Arial" w:eastAsia="Arial" w:hAnsi="Arial"/>
          <w:sz w:val="16"/>
          <w:szCs w:val="16"/>
          <w:b w:val="1"/>
          <w:bCs w:val="1"/>
          <w:color w:val="auto"/>
        </w:rPr>
        <w:t>Extending Term Lender</w:t>
      </w:r>
      <w:r>
        <w:rPr>
          <w:rFonts w:ascii="Arial" w:cs="Arial" w:eastAsia="Arial" w:hAnsi="Arial"/>
          <w:sz w:val="16"/>
          <w:szCs w:val="16"/>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6"/>
          <w:szCs w:val="16"/>
          <w:b w:val="1"/>
          <w:bCs w:val="1"/>
          <w:color w:val="auto"/>
        </w:rPr>
        <w:t>Extending Revolving</w:t>
      </w:r>
      <w:r>
        <w:rPr>
          <w:rFonts w:ascii="Arial" w:cs="Arial" w:eastAsia="Arial" w:hAnsi="Arial"/>
          <w:sz w:val="16"/>
          <w:szCs w:val="16"/>
          <w:color w:val="auto"/>
        </w:rPr>
        <w:t xml:space="preserve"> </w:t>
      </w:r>
      <w:r>
        <w:rPr>
          <w:rFonts w:ascii="Arial" w:cs="Arial" w:eastAsia="Arial" w:hAnsi="Arial"/>
          <w:sz w:val="16"/>
          <w:szCs w:val="16"/>
          <w:b w:val="1"/>
          <w:bCs w:val="1"/>
          <w:color w:val="auto"/>
        </w:rPr>
        <w:t>Credit Lender</w:t>
      </w:r>
      <w:r>
        <w:rPr>
          <w:rFonts w:ascii="Arial" w:cs="Arial" w:eastAsia="Arial" w:hAnsi="Arial"/>
          <w:sz w:val="16"/>
          <w:szCs w:val="16"/>
          <w:color w:val="auto"/>
        </w:rPr>
        <w:t>”) wishing to have all or a portion of its Revolving Credit Commitments under the Existing Revolver Tranche subject to such Extension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amended into Extended Revolving Credit Commitments, as applicable, shall notify the Administrative Agent (each, an “</w:t>
      </w:r>
      <w:r>
        <w:rPr>
          <w:rFonts w:ascii="Arial" w:cs="Arial" w:eastAsia="Arial" w:hAnsi="Arial"/>
          <w:sz w:val="16"/>
          <w:szCs w:val="16"/>
          <w:b w:val="1"/>
          <w:bCs w:val="1"/>
          <w:color w:val="auto"/>
        </w:rPr>
        <w:t>Extension Election</w:t>
      </w:r>
      <w:r>
        <w:rPr>
          <w:rFonts w:ascii="Arial" w:cs="Arial" w:eastAsia="Arial" w:hAnsi="Arial"/>
          <w:sz w:val="16"/>
          <w:szCs w:val="16"/>
          <w:color w:val="auto"/>
        </w:rPr>
        <w:t>”)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w:t>
      </w:r>
    </w:p>
    <w:p>
      <w:pPr>
        <w:spacing w:after="0" w:line="351" w:lineRule="exact"/>
        <w:rPr>
          <w:rFonts w:ascii="Arial" w:cs="Arial" w:eastAsia="Arial" w:hAnsi="Arial"/>
          <w:sz w:val="16"/>
          <w:szCs w:val="16"/>
          <w:color w:val="010000"/>
        </w:rPr>
      </w:pPr>
    </w:p>
    <w:p>
      <w:pPr>
        <w:jc w:val="both"/>
        <w:ind w:left="-639" w:right="20" w:firstLine="639"/>
        <w:spacing w:after="0" w:line="237" w:lineRule="auto"/>
        <w:tabs>
          <w:tab w:leader="none" w:pos="514" w:val="left"/>
        </w:tabs>
        <w:numPr>
          <w:ilvl w:val="0"/>
          <w:numId w:val="153"/>
        </w:numPr>
        <w:rPr>
          <w:rFonts w:ascii="Arial" w:cs="Arial" w:eastAsia="Arial" w:hAnsi="Arial"/>
          <w:sz w:val="16"/>
          <w:szCs w:val="16"/>
          <w:color w:val="010000"/>
        </w:rPr>
      </w:pPr>
      <w:r>
        <w:rPr>
          <w:rFonts w:ascii="Arial" w:cs="Arial" w:eastAsia="Arial" w:hAnsi="Arial"/>
          <w:sz w:val="16"/>
          <w:szCs w:val="16"/>
          <w:i w:val="1"/>
          <w:iCs w:val="1"/>
          <w:color w:val="auto"/>
        </w:rPr>
        <w:t>Extension Amendment</w:t>
      </w:r>
      <w:r>
        <w:rPr>
          <w:rFonts w:ascii="Arial" w:cs="Arial" w:eastAsia="Arial" w:hAnsi="Arial"/>
          <w:sz w:val="16"/>
          <w:szCs w:val="16"/>
          <w:color w:val="auto"/>
        </w:rPr>
        <w:t>. Extended Term Loans and Extended Revolving Credit Commitments shall be established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(each, an “</w:t>
      </w:r>
      <w:r>
        <w:rPr>
          <w:rFonts w:ascii="Arial" w:cs="Arial" w:eastAsia="Arial" w:hAnsi="Arial"/>
          <w:sz w:val="16"/>
          <w:szCs w:val="16"/>
          <w:b w:val="1"/>
          <w:bCs w:val="1"/>
          <w:color w:val="auto"/>
        </w:rPr>
        <w:t>Extension Amendment</w:t>
      </w:r>
      <w:r>
        <w:rPr>
          <w:rFonts w:ascii="Arial" w:cs="Arial" w:eastAsia="Arial" w:hAnsi="Arial"/>
          <w:sz w:val="16"/>
          <w:szCs w:val="16"/>
          <w:color w:val="auto"/>
        </w:rPr>
        <w:t>”) to this Agreement among the Borrowers, the Administrative Agent and each Extending Term Lender or Extending Revolving Credit Lender, as applicable, providing an Extended Term Loan or Extended Revolving Credit Commitment, as applicable, thereunder, which shall be consistent with the provisions set forth in Sections 2.16(a) or (b) above, respectively (but which shall not require the consent of any other Lender). The effectiveness of any Extension Amendment shall be subject to, to the extent reasonably requested by the Administrative Agent, receipt by the Administrative Agent of (i) legal opinions (conformed as appropriate), good standing certificates,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or Extended Revolving Credit Commitments, as applicable, are provided with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Section 2.07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Section 2.07), (iii) modify the prepayments set forth in Section 2.05 to reflect the existence of the Extended Term Loans and the application of prepayments with respect thereto, (iv) address technical issues relating to funding and payments and (v) effect such other amendments to this Agreement and the other Loan Documents as may be necessary or appropriate, in the reasonable opinion of the Administrative Agent and the Borrowers, to effect the provisions of this Section 2.16, including any amendments necessary in connection with any Extended Term Loans</w:t>
      </w:r>
    </w:p>
    <w:p>
      <w:pPr>
        <w:sectPr>
          <w:pgSz w:w="11900" w:h="16838" w:orient="portrait"/>
          <w:cols w:equalWidth="0" w:num="1">
            <w:col w:w="10281"/>
          </w:cols>
          <w:pgMar w:left="1119" w:top="1440" w:right="499" w:bottom="1440" w:gutter="0" w:footer="0" w:header="0"/>
        </w:sectPr>
      </w:pPr>
    </w:p>
    <w:bookmarkStart w:id="151" w:name="page152"/>
    <w:bookmarkEnd w:id="151"/>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or Extended Revolving Credit Commitments necessary to provide that such Extended Term Loans or Extended Revolving Credit Commitments are fungible for U.S. federal income tax purposes, and the Required Lenders hereby expressly authorize the Administrative Agent to enter into any such Extension Amendment. If necessary to consummate any such Extended Term Loans and Extended Revolving Credit Commitments as fungible for U.S.</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federal income tax purposes with an existing Class of Term Loans or Revolving Credit Commitments, the interest rate margins and rate floors on the applicable existing Class of Term Loans or Revolving Credit Commitments may be automatically increased and any call protection provision may be made more favorable to the applicable existing Lenders.</w:t>
      </w:r>
    </w:p>
    <w:p>
      <w:pPr>
        <w:spacing w:after="0" w:line="203" w:lineRule="exact"/>
        <w:rPr>
          <w:sz w:val="20"/>
          <w:szCs w:val="20"/>
          <w:color w:val="auto"/>
        </w:rPr>
      </w:pPr>
    </w:p>
    <w:p>
      <w:pPr>
        <w:jc w:val="both"/>
        <w:ind w:right="20" w:firstLine="640"/>
        <w:spacing w:after="0" w:line="224" w:lineRule="auto"/>
        <w:tabs>
          <w:tab w:leader="none" w:pos="1152"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No Prepayment. No conversion or extension of Loans or Commitments pursuant to any Extension Amendment in accordance with this Section 2.16 shall constitute a voluntary or mandatory prepayment or repayment for purposes of this Agreement. This Section 2.16 shall supersede any provisions in Section 2.13 or 10.01 to the contrary.</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2.17</w:t>
      </w:r>
      <w:r>
        <w:rPr>
          <w:sz w:val="20"/>
          <w:szCs w:val="20"/>
          <w:color w:val="auto"/>
        </w:rPr>
        <w:tab/>
      </w:r>
      <w:r>
        <w:rPr>
          <w:rFonts w:ascii="Arial" w:cs="Arial" w:eastAsia="Arial" w:hAnsi="Arial"/>
          <w:sz w:val="16"/>
          <w:szCs w:val="16"/>
          <w:color w:val="auto"/>
        </w:rPr>
        <w:t>Defaulting Lenders.</w:t>
      </w:r>
    </w:p>
    <w:p>
      <w:pPr>
        <w:spacing w:after="0" w:line="225" w:lineRule="exact"/>
        <w:rPr>
          <w:sz w:val="20"/>
          <w:szCs w:val="20"/>
          <w:color w:val="auto"/>
        </w:rPr>
      </w:pPr>
    </w:p>
    <w:p>
      <w:pPr>
        <w:ind w:right="40" w:firstLine="640"/>
        <w:spacing w:after="0" w:line="235" w:lineRule="auto"/>
        <w:tabs>
          <w:tab w:leader="none" w:pos="1152" w:val="left"/>
        </w:tabs>
        <w:numPr>
          <w:ilvl w:val="0"/>
          <w:numId w:val="155"/>
        </w:numPr>
        <w:rPr>
          <w:rFonts w:ascii="Arial" w:cs="Arial" w:eastAsia="Arial" w:hAnsi="Arial"/>
          <w:sz w:val="18"/>
          <w:szCs w:val="18"/>
          <w:color w:val="010000"/>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Lender becomes a Defaulting Lender, then,</w:t>
      </w:r>
      <w:r>
        <w:rPr>
          <w:rFonts w:ascii="Arial" w:cs="Arial" w:eastAsia="Arial" w:hAnsi="Arial"/>
          <w:sz w:val="18"/>
          <w:szCs w:val="18"/>
          <w:i w:val="1"/>
          <w:iCs w:val="1"/>
          <w:color w:val="auto"/>
        </w:rPr>
        <w:t xml:space="preserve"> </w:t>
      </w:r>
      <w:r>
        <w:rPr>
          <w:rFonts w:ascii="Arial" w:cs="Arial" w:eastAsia="Arial" w:hAnsi="Arial"/>
          <w:sz w:val="18"/>
          <w:szCs w:val="18"/>
          <w:color w:val="auto"/>
        </w:rPr>
        <w:t>until such time as that Lender is no longer a Defaulting Lender, to the extent permitted by applicable Law:</w:t>
      </w:r>
    </w:p>
    <w:p>
      <w:pPr>
        <w:spacing w:after="0" w:line="202" w:lineRule="exact"/>
        <w:rPr>
          <w:rFonts w:ascii="Arial" w:cs="Arial" w:eastAsia="Arial" w:hAnsi="Arial"/>
          <w:sz w:val="18"/>
          <w:szCs w:val="18"/>
          <w:color w:val="010000"/>
        </w:rPr>
      </w:pPr>
    </w:p>
    <w:p>
      <w:pPr>
        <w:ind w:left="640" w:right="40" w:firstLine="648"/>
        <w:spacing w:after="0" w:line="235" w:lineRule="auto"/>
        <w:tabs>
          <w:tab w:leader="none" w:pos="1792" w:val="left"/>
        </w:tabs>
        <w:numPr>
          <w:ilvl w:val="1"/>
          <w:numId w:val="155"/>
        </w:numPr>
        <w:rPr>
          <w:rFonts w:ascii="Arial" w:cs="Arial" w:eastAsia="Arial" w:hAnsi="Arial"/>
          <w:sz w:val="18"/>
          <w:szCs w:val="18"/>
          <w:color w:val="010000"/>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That Defaulting Lender’s right to approve or disapprove any amendment, waiver or consent with respect to this Agreement shall be restricted as set forth in Section 10.01.</w:t>
      </w:r>
    </w:p>
    <w:p>
      <w:pPr>
        <w:spacing w:after="0" w:line="202" w:lineRule="exact"/>
        <w:rPr>
          <w:rFonts w:ascii="Arial" w:cs="Arial" w:eastAsia="Arial" w:hAnsi="Arial"/>
          <w:sz w:val="18"/>
          <w:szCs w:val="18"/>
          <w:color w:val="010000"/>
        </w:rPr>
      </w:pPr>
    </w:p>
    <w:p>
      <w:pPr>
        <w:jc w:val="both"/>
        <w:ind w:left="640" w:firstLine="647"/>
        <w:spacing w:after="0" w:line="237" w:lineRule="auto"/>
        <w:tabs>
          <w:tab w:leader="none" w:pos="1793" w:val="left"/>
        </w:tabs>
        <w:numPr>
          <w:ilvl w:val="1"/>
          <w:numId w:val="155"/>
        </w:numPr>
        <w:rPr>
          <w:rFonts w:ascii="Arial" w:cs="Arial" w:eastAsia="Arial" w:hAnsi="Arial"/>
          <w:sz w:val="16"/>
          <w:szCs w:val="16"/>
          <w:color w:val="010000"/>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Article VIII or otherwise),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as the Borrowers may request (so long as no Default or Event of Default has occurred and is continuing),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Borrowers,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so long as no Default or Event of Default has occurred and is continuing,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in respect of which that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or to post Cash Collateral pursuant to this Section 2.17(a)(ii) shall be deemed paid to and redirected by that Defaulting Lender, and each Lender irrevocably consents hereto.</w:t>
      </w:r>
    </w:p>
    <w:p>
      <w:pPr>
        <w:spacing w:after="0" w:line="212" w:lineRule="exact"/>
        <w:rPr>
          <w:rFonts w:ascii="Arial" w:cs="Arial" w:eastAsia="Arial" w:hAnsi="Arial"/>
          <w:sz w:val="16"/>
          <w:szCs w:val="16"/>
          <w:color w:val="010000"/>
        </w:rPr>
      </w:pPr>
    </w:p>
    <w:p>
      <w:pPr>
        <w:jc w:val="both"/>
        <w:ind w:firstLine="640"/>
        <w:spacing w:after="0" w:line="236" w:lineRule="auto"/>
        <w:tabs>
          <w:tab w:leader="none" w:pos="1152" w:val="left"/>
        </w:tabs>
        <w:numPr>
          <w:ilvl w:val="0"/>
          <w:numId w:val="155"/>
        </w:numPr>
        <w:rPr>
          <w:rFonts w:ascii="Arial" w:cs="Arial" w:eastAsia="Arial" w:hAnsi="Arial"/>
          <w:sz w:val="17"/>
          <w:szCs w:val="17"/>
          <w:color w:val="010000"/>
        </w:rPr>
      </w:pPr>
      <w:r>
        <w:rPr>
          <w:rFonts w:ascii="Arial" w:cs="Arial" w:eastAsia="Arial" w:hAnsi="Arial"/>
          <w:sz w:val="17"/>
          <w:szCs w:val="17"/>
          <w:i w:val="1"/>
          <w:iCs w:val="1"/>
          <w:color w:val="auto"/>
        </w:rPr>
        <w:t>Defaulting Lender Cure</w:t>
      </w:r>
      <w:r>
        <w:rPr>
          <w:rFonts w:ascii="Arial" w:cs="Arial" w:eastAsia="Arial" w:hAnsi="Arial"/>
          <w:sz w:val="17"/>
          <w:szCs w:val="17"/>
          <w:color w:val="auto"/>
        </w:rPr>
        <w:t>. If the Administrative Borrower and the Administrative Agent agree in writing in their sole discretion that a</w:t>
      </w:r>
      <w:r>
        <w:rPr>
          <w:rFonts w:ascii="Arial" w:cs="Arial" w:eastAsia="Arial" w:hAnsi="Arial"/>
          <w:sz w:val="17"/>
          <w:szCs w:val="17"/>
          <w:i w:val="1"/>
          <w:iCs w:val="1"/>
          <w:color w:val="auto"/>
        </w:rPr>
        <w:t xml:space="preserve"> </w:t>
      </w:r>
      <w:r>
        <w:rPr>
          <w:rFonts w:ascii="Arial" w:cs="Arial" w:eastAsia="Arial" w:hAnsi="Arial"/>
          <w:sz w:val="17"/>
          <w:szCs w:val="17"/>
          <w:color w:val="auto"/>
        </w:rPr>
        <w:t>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at par or</w:t>
      </w:r>
    </w:p>
    <w:p>
      <w:pPr>
        <w:sectPr>
          <w:pgSz w:w="11900" w:h="16838" w:orient="portrait"/>
          <w:cols w:equalWidth="0" w:num="1">
            <w:col w:w="10920"/>
          </w:cols>
          <w:pgMar w:left="480" w:top="1440" w:right="499" w:bottom="1440" w:gutter="0" w:footer="0" w:header="0"/>
        </w:sectPr>
      </w:pPr>
    </w:p>
    <w:bookmarkStart w:id="152" w:name="page153"/>
    <w:bookmarkEnd w:id="152"/>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 xml:space="preserve">take such other actions as the Administrative Agent may determine to be necessary to cause the Revolving Credit Loans to be held on a pro rata basis by the Lenders in accordance with their Pro Rata Share or other applicable share provided under this Agreement (without giving effect to the reallocation of such Lender’s participation pursuant to Section 2.17(a)(iv)), whereupon that Lender will cease to be a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 xml:space="preserve">no adjustments will be made retroactively with respect to fees accrued or payments made by or on behalf of the Borrowers while that Lender was a Defaulting Lender;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w:t>
      </w:r>
    </w:p>
    <w:p>
      <w:pPr>
        <w:spacing w:after="0" w:line="196" w:lineRule="exact"/>
        <w:rPr>
          <w:sz w:val="20"/>
          <w:szCs w:val="20"/>
          <w:color w:val="auto"/>
        </w:rPr>
      </w:pPr>
    </w:p>
    <w:p>
      <w:pPr>
        <w:ind w:left="720"/>
        <w:spacing w:after="0"/>
        <w:tabs>
          <w:tab w:leader="none" w:pos="1780" w:val="left"/>
        </w:tabs>
        <w:rPr>
          <w:sz w:val="20"/>
          <w:szCs w:val="20"/>
          <w:color w:val="auto"/>
        </w:rPr>
      </w:pPr>
      <w:r>
        <w:rPr>
          <w:rFonts w:ascii="Arial" w:cs="Arial" w:eastAsia="Arial" w:hAnsi="Arial"/>
          <w:sz w:val="18"/>
          <w:szCs w:val="18"/>
          <w:color w:val="010000"/>
        </w:rPr>
        <w:t>Section 2.18</w:t>
      </w:r>
      <w:r>
        <w:rPr>
          <w:sz w:val="20"/>
          <w:szCs w:val="20"/>
          <w:color w:val="auto"/>
        </w:rPr>
        <w:tab/>
      </w:r>
      <w:r>
        <w:rPr>
          <w:rFonts w:ascii="Arial" w:cs="Arial" w:eastAsia="Arial" w:hAnsi="Arial"/>
          <w:sz w:val="16"/>
          <w:szCs w:val="16"/>
          <w:color w:val="auto"/>
        </w:rPr>
        <w:t>Co-Borrowers.</w:t>
      </w:r>
    </w:p>
    <w:p>
      <w:pPr>
        <w:spacing w:after="0" w:line="225" w:lineRule="exact"/>
        <w:rPr>
          <w:sz w:val="20"/>
          <w:szCs w:val="20"/>
          <w:color w:val="auto"/>
        </w:rPr>
      </w:pPr>
    </w:p>
    <w:p>
      <w:pPr>
        <w:jc w:val="both"/>
        <w:ind w:right="40" w:firstLine="640"/>
        <w:spacing w:after="0" w:line="245" w:lineRule="auto"/>
        <w:tabs>
          <w:tab w:leader="none" w:pos="115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Borrower accepts joint and several liability hereunder in consideration of the financial accommodation to be provided by the Administrative Agent and the Lenders under this Agreement and the other Loan Documents, for the mutual benefit, directly and indirectly, of each Borrower and in consideration of the undertakings of each Borrower to accept joint and several liability for the obligations of each Borrower.</w:t>
      </w:r>
    </w:p>
    <w:p>
      <w:pPr>
        <w:spacing w:after="0" w:line="184" w:lineRule="exact"/>
        <w:rPr>
          <w:rFonts w:ascii="Arial" w:cs="Arial" w:eastAsia="Arial" w:hAnsi="Arial"/>
          <w:sz w:val="17"/>
          <w:szCs w:val="17"/>
          <w:color w:val="auto"/>
        </w:rPr>
      </w:pPr>
    </w:p>
    <w:p>
      <w:pPr>
        <w:jc w:val="both"/>
        <w:ind w:right="40" w:firstLine="640"/>
        <w:spacing w:after="0" w:line="232" w:lineRule="auto"/>
        <w:tabs>
          <w:tab w:leader="none" w:pos="115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Borrower shall be jointly and severally liable for the Obligations, regardless of which Borrower actually receives the Loans hereunder or the amount of the Obligations received or the manner in which the Administrative Agent or any Lender accounts for the Obligations on its books and records. Each Borrower’s obligations with respect to Loans made to it, and each Borrower’s obligations arising as a result of the joint and several liability of such Borrower hereunder, with respect to Loans made to and other Obligations owing by the Borrowers hereunder, shall be separate and distinct obligations, but all such obligations shall be primary obligations of each Borrower.</w:t>
      </w:r>
    </w:p>
    <w:p>
      <w:pPr>
        <w:spacing w:after="0" w:line="202" w:lineRule="exact"/>
        <w:rPr>
          <w:rFonts w:ascii="Arial" w:cs="Arial" w:eastAsia="Arial" w:hAnsi="Arial"/>
          <w:sz w:val="17"/>
          <w:szCs w:val="17"/>
          <w:color w:val="auto"/>
        </w:rPr>
      </w:pPr>
    </w:p>
    <w:p>
      <w:pPr>
        <w:jc w:val="both"/>
        <w:ind w:firstLine="640"/>
        <w:spacing w:after="0" w:line="223" w:lineRule="auto"/>
        <w:tabs>
          <w:tab w:leader="none" w:pos="115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Borrower’s obligations arising as a result of the joint and several liability of such Borrower hereunder with respect to Loans made to and other Obligations owing by the Borrowers hereunder shall, to the fullest extent permitted by law, be unconditional irrespective of (A) the validity or enforceability, avoidance or subordination of the obligations of any other Borrower or of any promissory note or other document evidencing all or any part of the obligations of any other Borrower, (B) the absence of any attempt to collect the Obligations from any other Borrower, any other guarantor, or any other security therefor, or the absence of any other action to enforce the same, (C) the waiver, consent, extension, forbearance or granting of any indulgence by the Administrative Agent or any Lender with respect to any provision of any instrument evidencing the obligations of any other Borrower, or any part thereof, or any other agreement now or hereafter executed by any other Borrower and delivered to the Administrative Agent or any Lender, (D) the failure by the Administrative Agent or any Lender to take any steps to perfect and maintain its security interest in, or to preserve its rights to, any security or collateral for the obligations of any other Borrower, (E) the Administrative Agent’s or any Lender’s election, in any proceeding instituted under the Bankruptcy Code of the United States, of the application of Section 1111(b)(2) of the Bankruptcy Code of the United States, (F) any borrowing or grant of a security interest by any other Borrower, as Debtor In Possession under Section 364 of the Bankruptcy Code of the United States, (G) the disallowance of all or any portion of the Administrative Agent’s or any Lender’s claim(s) for the repayment of the obligations of any other Borrower under Section 502 of the Bankruptcy Code of the United States, or (H) any other circumstances which might constitute a legal or equitable discharge or defense of a guarantor or of any other Borrower. With respect to each Borrower’s obligations arising as a result of the joint and several liability of such Borrower hereunder with respect to Loans made to the Borrowers hereunder, such Borrower waives, until the Obligations shall have been paid in full and this Agreement and the other Loan Documents shall have been terminated, any right to enforce any right of subrogation or any remedy which the Administrative Agent or any Lender now has or may hereafter have against such Borrower, any endorser or any guarantor of all or any part of the Obligations, and any benefit of, and any right to participate in, any security or collateral given to the Administrative Agent or any Lender to secure payment of the Obligations or any other liability of any Borrower to the Administrative Agent or any Lender.</w:t>
      </w:r>
    </w:p>
    <w:p>
      <w:pPr>
        <w:spacing w:after="0" w:line="214" w:lineRule="exact"/>
        <w:rPr>
          <w:rFonts w:ascii="Arial" w:cs="Arial" w:eastAsia="Arial" w:hAnsi="Arial"/>
          <w:sz w:val="17"/>
          <w:szCs w:val="17"/>
          <w:color w:val="auto"/>
        </w:rPr>
      </w:pPr>
    </w:p>
    <w:p>
      <w:pPr>
        <w:jc w:val="both"/>
        <w:ind w:right="20" w:firstLine="640"/>
        <w:spacing w:after="0" w:line="223" w:lineRule="auto"/>
        <w:tabs>
          <w:tab w:leader="none" w:pos="115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any Event of Default, the Administrative Agent and the Lenders may proceed directly and at once, without notice, against any Borrower to collect and recover the full amount, or any portion of the Obligations, without first proceeding against any other Borrower or any other Person, or against any security or collateral for the Obligations. Each Borrower consents and agrees that the</w:t>
      </w:r>
    </w:p>
    <w:p>
      <w:pPr>
        <w:sectPr>
          <w:pgSz w:w="11900" w:h="16838" w:orient="portrait"/>
          <w:cols w:equalWidth="0" w:num="1">
            <w:col w:w="10920"/>
          </w:cols>
          <w:pgMar w:left="480" w:top="1440" w:right="499" w:bottom="1440" w:gutter="0" w:footer="0" w:header="0"/>
        </w:sectPr>
      </w:pPr>
    </w:p>
    <w:bookmarkStart w:id="153" w:name="page154"/>
    <w:bookmarkEnd w:id="153"/>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Administrative Agent and the Lenders shall be under no obligation to marshal any assets in favor of any Borrower or against or in payment of any or all of the Obligations.</w:t>
      </w:r>
    </w:p>
    <w:p>
      <w:pPr>
        <w:spacing w:after="0" w:line="202" w:lineRule="exact"/>
        <w:rPr>
          <w:sz w:val="20"/>
          <w:szCs w:val="20"/>
          <w:color w:val="auto"/>
        </w:rPr>
      </w:pPr>
    </w:p>
    <w:p>
      <w:pPr>
        <w:jc w:val="both"/>
        <w:ind w:right="40" w:firstLine="639"/>
        <w:spacing w:after="0"/>
        <w:tabs>
          <w:tab w:leader="none" w:pos="11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Each Borrower hereby irrevocably appoints the Administrative Borrower as the borrowing agent and attorney-in-fact for the Borrowers, which appointment shall remain in full force and effect unless and until the Administrative Agent shall have received prior written notice signed by all of the Borrowers that such appointment has been revoked and that another Borrower has been appointed in the place of the Administrative Borrower. Each Borrower hereby irrevocably appoints and authorizes the Administrative Borrower (i) to provide to the Administrative Agent and receive from the Administrative Agent all notices with respect to Loans obtained for the benefit of any Borrower and all other notices and instructions under this Agreement and the other Loan Documents and (ii) to take such action as the Administrative Borrower deems appropriate on its behalf to obtain Loans and to exercise such other powers as are reasonably incidental thereto to carry out the purposes of this Agreement. It is understood that the handling of the Collateral of the Borrowers in a combined fashion, as more fully set forth herein and in the Collateral Documents, is done solely as an accommodation to the Borrowers in order to utilize the collective borrowing powers of the Borrowers in the most efficient and economical manner and at their request, and that neither the Agents nor the Lenders shall incur liability to the Borrowers as a result hereof. Each of the Borrowers expects to derive benefit, directly or indirectly, from the handling of the Collateral in a combined fashion since the successful operation of each Borrower is dependent on the continued successful performance of the integrated group</w:t>
      </w:r>
    </w:p>
    <w:p>
      <w:pPr>
        <w:spacing w:after="0" w:line="195" w:lineRule="exact"/>
        <w:rPr>
          <w:rFonts w:ascii="Arial" w:cs="Arial" w:eastAsia="Arial" w:hAnsi="Arial"/>
          <w:sz w:val="16"/>
          <w:szCs w:val="16"/>
          <w:color w:val="auto"/>
        </w:rPr>
      </w:pPr>
    </w:p>
    <w:p>
      <w:pPr>
        <w:ind w:right="40" w:firstLine="640"/>
        <w:spacing w:after="0" w:line="220" w:lineRule="auto"/>
        <w:tabs>
          <w:tab w:leader="none" w:pos="11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After the Closing Date, the Administrative Borrower may, at any time and from time to time, designate any Restricted Subsidiary that is a wholly-owned Domestic Subsidiary that is treated as a corporation for</w:t>
      </w:r>
    </w:p>
    <w:p>
      <w:pPr>
        <w:spacing w:after="0" w:line="1" w:lineRule="exact"/>
        <w:rPr>
          <w:rFonts w:ascii="Arial" w:cs="Arial" w:eastAsia="Arial" w:hAnsi="Arial"/>
          <w:sz w:val="18"/>
          <w:szCs w:val="18"/>
          <w:color w:val="auto"/>
        </w:rPr>
      </w:pPr>
    </w:p>
    <w:p>
      <w:pPr>
        <w:jc w:val="both"/>
        <w:ind w:right="20"/>
        <w:spacing w:after="0" w:line="213" w:lineRule="auto"/>
        <w:rPr>
          <w:rFonts w:ascii="Arial" w:cs="Arial" w:eastAsia="Arial" w:hAnsi="Arial"/>
          <w:sz w:val="18"/>
          <w:szCs w:val="18"/>
          <w:color w:val="auto"/>
        </w:rPr>
      </w:pPr>
      <w:r>
        <w:rPr>
          <w:rFonts w:ascii="Arial" w:cs="Arial" w:eastAsia="Arial" w:hAnsi="Arial"/>
          <w:sz w:val="18"/>
          <w:szCs w:val="18"/>
          <w:color w:val="auto"/>
        </w:rPr>
        <w:t>U.S. federal income tax purposes as a Borrower by delivery to the Administrative Agent of a Borrower Joinder Agreement executed by such Subsidiary and the Administrative Borrower, together with any documentation and other information with respect to such additional Borrower required by regulatory authorities under applicable “know your customer” and anti-money laundering rules and regulations, including, without limitation, the PATRIOT Act requested by the Administrative Agent (and to the extent not theretofore delivered on the Closing Date or otherwise) and satisfied the Collateral and Guarantee Requirement (including without limitation the actions as specified in Section 6.11 with respect to newly formed Subsidiaries), and upon such delivery and satisfaction, such Subsidiary shall for all purposes of this Agreement and the other Loan Documents be a Borrower and a party to this Agreement. As soon as practicable upon receipt of a Borrower Joinder Agreement, the Administrative Agent shall furnish a copy thereof to each Lender.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jc w:val="center"/>
        <w:spacing w:after="0"/>
        <w:rPr>
          <w:sz w:val="20"/>
          <w:szCs w:val="20"/>
          <w:color w:val="auto"/>
        </w:rPr>
      </w:pPr>
      <w:r>
        <w:rPr>
          <w:rFonts w:ascii="Arial" w:cs="Arial" w:eastAsia="Arial" w:hAnsi="Arial"/>
          <w:sz w:val="18"/>
          <w:szCs w:val="18"/>
          <w:b w:val="1"/>
          <w:bCs w:val="1"/>
          <w:u w:val="single" w:color="auto"/>
          <w:color w:val="auto"/>
        </w:rPr>
        <w:t>TAXES, INCREASED COSTS PROTECTION AND ILLEGALITY</w:t>
      </w:r>
    </w:p>
    <w:p>
      <w:pPr>
        <w:spacing w:after="0" w:line="27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3.01</w:t>
      </w:r>
      <w:r>
        <w:rPr>
          <w:sz w:val="20"/>
          <w:szCs w:val="20"/>
          <w:color w:val="auto"/>
        </w:rPr>
        <w:tab/>
      </w:r>
      <w:r>
        <w:rPr>
          <w:rFonts w:ascii="Arial" w:cs="Arial" w:eastAsia="Arial" w:hAnsi="Arial"/>
          <w:sz w:val="15"/>
          <w:szCs w:val="15"/>
          <w:color w:val="auto"/>
        </w:rPr>
        <w:t>Taxes.</w:t>
      </w:r>
    </w:p>
    <w:p>
      <w:pPr>
        <w:spacing w:after="0" w:line="239" w:lineRule="exact"/>
        <w:rPr>
          <w:sz w:val="20"/>
          <w:szCs w:val="20"/>
          <w:color w:val="auto"/>
        </w:rPr>
      </w:pPr>
    </w:p>
    <w:p>
      <w:pPr>
        <w:jc w:val="both"/>
        <w:ind w:right="20" w:firstLine="640"/>
        <w:spacing w:after="0"/>
        <w:tabs>
          <w:tab w:leader="none" w:pos="1152" w:val="left"/>
        </w:tabs>
        <w:numPr>
          <w:ilvl w:val="0"/>
          <w:numId w:val="158"/>
        </w:numPr>
        <w:rPr>
          <w:rFonts w:ascii="Arial" w:cs="Arial" w:eastAsia="Arial" w:hAnsi="Arial"/>
          <w:sz w:val="16"/>
          <w:szCs w:val="16"/>
          <w:color w:val="010000"/>
        </w:rPr>
      </w:pPr>
      <w:r>
        <w:rPr>
          <w:rFonts w:ascii="Arial" w:cs="Arial" w:eastAsia="Arial" w:hAnsi="Arial"/>
          <w:sz w:val="16"/>
          <w:szCs w:val="16"/>
          <w:color w:val="auto"/>
        </w:rPr>
        <w:t>Except as provided in this Section 3.01, all payments made by or on account of the Borrowers or Guarantors to or for the account of the Administrative Agent or any Lender under any Loan Document shall be made free and clear of and without deduction or withholding for any Taxes, except as required by any Law. If the Borrowers, any Guarantor or other applicable withholding agent shall be required by any Laws to deduct or withhold any Taxes from or in respect of any sum payable under any Loan Document to any Agent or any Lender, (i) if the Tax in question is an Indemnified Tax or Other Tax (as defined below), the sum payable by the Borrowers or any Guarantor shall be increased as necessary so that after making all required deductions or withholdings (including deductions or withholdings applicable to additional sums payable under this Section 3.01), each of such Lender (or where any Agent receives the payments for its own account, such Agent) receives an amount equal to the sum it would have received had no such deductions or withholdings been made, (ii) the applicable withholding agent shall make such deductions, (iii) the applicable withholding agent shall pay the full amount deducted to the relevant taxation authority or other authority in accordance with applicable Laws, and (iv) within thirty (30) days after the date of such payment (or, if receipts or evidence are not available within thirty (30) days, as soon as possible thereafter), if the Borrowers or any Guarantor is the applicable withholding agent, it shall furnish to such Agent or</w:t>
      </w:r>
    </w:p>
    <w:p>
      <w:pPr>
        <w:sectPr>
          <w:pgSz w:w="11900" w:h="16838" w:orient="portrait"/>
          <w:cols w:equalWidth="0" w:num="1">
            <w:col w:w="10920"/>
          </w:cols>
          <w:pgMar w:left="480" w:top="1440" w:right="499" w:bottom="1440" w:gutter="0" w:footer="0" w:header="0"/>
        </w:sectPr>
      </w:pPr>
    </w:p>
    <w:bookmarkStart w:id="154" w:name="page155"/>
    <w:bookmarkEnd w:id="154"/>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color w:val="auto"/>
        </w:rPr>
        <w:t>Lender (as the case may be) the original or a copy of a receipt evidencing payment thereof or other evidence acceptable to such Agent or Lender.</w:t>
      </w:r>
    </w:p>
    <w:p>
      <w:pPr>
        <w:spacing w:after="0" w:line="248" w:lineRule="exact"/>
        <w:rPr>
          <w:sz w:val="20"/>
          <w:szCs w:val="20"/>
          <w:color w:val="auto"/>
        </w:rPr>
      </w:pPr>
    </w:p>
    <w:p>
      <w:pPr>
        <w:jc w:val="both"/>
        <w:ind w:left="8" w:right="40" w:firstLine="640"/>
        <w:spacing w:after="0" w:line="217" w:lineRule="auto"/>
        <w:tabs>
          <w:tab w:leader="none" w:pos="1160"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In addition, the Borrowers agree to pay any and all present or future stamp, court or documentary Taxes and any other excise, property, intangible or mortgage recording Taxes, imposed by any Governmental Authority, which arise from the execution, delivery, performance, enforcement or registration of, or otherwise with respect to, any Loan Document excluding, in each case, any such Tax imposed as a result of an Agent or Lender’s Assignment and Assumption, grant of a participation, transfer or assignment to or designation of a new applicable Lending Office or other office for receiving payments under any Loan Document (collectively, “</w:t>
      </w:r>
      <w:r>
        <w:rPr>
          <w:rFonts w:ascii="Arial" w:cs="Arial" w:eastAsia="Arial" w:hAnsi="Arial"/>
          <w:sz w:val="18"/>
          <w:szCs w:val="18"/>
          <w:b w:val="1"/>
          <w:bCs w:val="1"/>
          <w:color w:val="auto"/>
        </w:rPr>
        <w:t>Assignment Taxes</w:t>
      </w:r>
      <w:r>
        <w:rPr>
          <w:rFonts w:ascii="Arial" w:cs="Arial" w:eastAsia="Arial" w:hAnsi="Arial"/>
          <w:sz w:val="18"/>
          <w:szCs w:val="18"/>
          <w:color w:val="auto"/>
        </w:rPr>
        <w:t>”), except for Assignment Taxes resulting from an assignment or participation that is requested or required in writing by the Borrowers (all such non-excluded taxes described in this Section 3.01(b) being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72" w:lineRule="exact"/>
        <w:rPr>
          <w:rFonts w:ascii="Arial" w:cs="Arial" w:eastAsia="Arial" w:hAnsi="Arial"/>
          <w:sz w:val="18"/>
          <w:szCs w:val="18"/>
          <w:color w:val="010000"/>
        </w:rPr>
      </w:pPr>
    </w:p>
    <w:p>
      <w:pPr>
        <w:ind w:left="1288" w:hanging="640"/>
        <w:spacing w:after="0"/>
        <w:tabs>
          <w:tab w:leader="none" w:pos="1288"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The Borrowers and each Guarantor agree to promptly indemnify each Agent and each Lender for</w:t>
      </w:r>
    </w:p>
    <w:p>
      <w:pPr>
        <w:ind w:left="208" w:hanging="208"/>
        <w:spacing w:after="0"/>
        <w:tabs>
          <w:tab w:leader="none" w:pos="20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full amount of Indemnified Taxes and Other Taxes payable by such Agent or such Lender and (ii) any expenses arising therefrom or with respect</w:t>
      </w:r>
    </w:p>
    <w:p>
      <w:pPr>
        <w:spacing w:after="0" w:line="5"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thereto, whether or not such Taxes were correctly or legally imposed or asserted by the Governmental Authority. A certificate as to the amount of such payment or liability prepared in good faith and delivered by such Agent or Lender (or by an Agent on behalf of such Lender), accompanied by a written statement thereof setting forth in reasonable detail the basis and calculation of such amounts shall be conclusive absent manifest error.</w:t>
      </w:r>
    </w:p>
    <w:p>
      <w:pPr>
        <w:spacing w:after="0" w:line="197" w:lineRule="exact"/>
        <w:rPr>
          <w:sz w:val="20"/>
          <w:szCs w:val="20"/>
          <w:color w:val="auto"/>
        </w:rPr>
      </w:pPr>
    </w:p>
    <w:p>
      <w:pPr>
        <w:jc w:val="both"/>
        <w:ind w:left="8" w:firstLine="640"/>
        <w:spacing w:after="0" w:line="225" w:lineRule="auto"/>
        <w:tabs>
          <w:tab w:leader="none" w:pos="1160"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Each Lender and Agent shall, at such times as are reasonably requested by the Borrowers or the Administrative Agent, provide the Borrowers and the Administrative Agent with any documentation prescribed by Law or reasonably requested by the Borrowers or the Administrative Agent certifying as to any entitlement of such Lender to an exemption from, or reduction in, withholding Tax with respect to any payments to be made to such Lender under the Loan Documents. Each such Lender and Agent shall, whenever a lapse in time or change in circumstances renders such documentation obsolete or inaccurate in any material respect, deliver promptly and on or before the date such documentation expires, becomes obsolete or inaccurate to the Borrowers and the Administrative Agent updated or other appropriate documentation (including any new documentation reasonably requested by the Borrowers or the Administrative Agent) or promptly notify the Borrowers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applicable withholding agent shall withhold amounts required to be withheld by applicable Law from such payments at the applicable statutory rate. Notwithstanding any other provision of this clause (d), a Lender shall not be required to deliver any form pursuant to this clause (d) that such Lender is not legally eligible to deliver. Without limiting the foregoing:</w:t>
      </w:r>
    </w:p>
    <w:p>
      <w:pPr>
        <w:spacing w:after="0" w:line="203" w:lineRule="exact"/>
        <w:rPr>
          <w:rFonts w:ascii="Arial" w:cs="Arial" w:eastAsia="Arial" w:hAnsi="Arial"/>
          <w:sz w:val="17"/>
          <w:szCs w:val="17"/>
          <w:color w:val="010000"/>
        </w:rPr>
      </w:pPr>
    </w:p>
    <w:p>
      <w:pPr>
        <w:jc w:val="both"/>
        <w:ind w:left="648" w:right="40" w:firstLine="648"/>
        <w:spacing w:after="0" w:line="236" w:lineRule="auto"/>
        <w:tabs>
          <w:tab w:leader="none" w:pos="1800" w:val="left"/>
        </w:tabs>
        <w:numPr>
          <w:ilvl w:val="1"/>
          <w:numId w:val="161"/>
        </w:numPr>
        <w:rPr>
          <w:rFonts w:ascii="Arial" w:cs="Arial" w:eastAsia="Arial" w:hAnsi="Arial"/>
          <w:sz w:val="17"/>
          <w:szCs w:val="17"/>
          <w:color w:val="010000"/>
        </w:rPr>
      </w:pPr>
      <w:r>
        <w:rPr>
          <w:rFonts w:ascii="Arial" w:cs="Arial" w:eastAsia="Arial" w:hAnsi="Arial"/>
          <w:sz w:val="17"/>
          <w:szCs w:val="17"/>
          <w:color w:val="auto"/>
        </w:rPr>
        <w:t>Each Lender that is a United States person (as defined in Section 7701(a)(30) of the Code) shall deliver to the Borrowers and the Administrative Agent on or before the date on which it becomes a party to this Agreement and at the reasonable request of the Parent Borrower or Administrative Agent two properly completed and duly signed original copies of Internal Revenue Service Form W-9 (or any successor forms) certifying that such Lender is exempt from U.S. federal backup withholding.</w:t>
      </w:r>
    </w:p>
    <w:p>
      <w:pPr>
        <w:spacing w:after="0" w:line="189" w:lineRule="exact"/>
        <w:rPr>
          <w:rFonts w:ascii="Arial" w:cs="Arial" w:eastAsia="Arial" w:hAnsi="Arial"/>
          <w:sz w:val="17"/>
          <w:szCs w:val="17"/>
          <w:color w:val="010000"/>
        </w:rPr>
      </w:pPr>
    </w:p>
    <w:p>
      <w:pPr>
        <w:jc w:val="both"/>
        <w:ind w:left="648" w:right="40" w:firstLine="648"/>
        <w:spacing w:after="0" w:line="229" w:lineRule="auto"/>
        <w:tabs>
          <w:tab w:leader="none" w:pos="1801"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Each Lender that is not a United States person (as defined in Section 7701(a)(30) of the Code) shall deliver to the Borrowers and the Administrative Agent on or before the date on which it becomes a party to this Agreement (and from time to time thereafter upon the request of the Borrowers or the Administrative Agent) whichever of the following is applicable:</w:t>
      </w:r>
    </w:p>
    <w:p>
      <w:pPr>
        <w:spacing w:after="0" w:line="190" w:lineRule="exact"/>
        <w:rPr>
          <w:rFonts w:ascii="Arial" w:cs="Arial" w:eastAsia="Arial" w:hAnsi="Arial"/>
          <w:sz w:val="18"/>
          <w:szCs w:val="18"/>
          <w:color w:val="010000"/>
        </w:rPr>
      </w:pPr>
    </w:p>
    <w:p>
      <w:pPr>
        <w:ind w:left="1048" w:firstLine="654"/>
        <w:spacing w:after="0" w:line="307" w:lineRule="auto"/>
        <w:tabs>
          <w:tab w:leader="none" w:pos="2442" w:val="left"/>
        </w:tabs>
        <w:numPr>
          <w:ilvl w:val="2"/>
          <w:numId w:val="161"/>
        </w:numPr>
        <w:rPr>
          <w:rFonts w:ascii="Arial" w:cs="Arial" w:eastAsia="Arial" w:hAnsi="Arial"/>
          <w:sz w:val="16"/>
          <w:szCs w:val="16"/>
          <w:color w:val="010000"/>
        </w:rPr>
      </w:pPr>
      <w:r>
        <w:rPr>
          <w:rFonts w:ascii="Arial" w:cs="Arial" w:eastAsia="Arial" w:hAnsi="Arial"/>
          <w:sz w:val="16"/>
          <w:szCs w:val="16"/>
          <w:color w:val="auto"/>
        </w:rPr>
        <w:t>two properly completed and duly signed original copies of Internal Revenue Service Form W-8BEN or W-8BEN-E, as applicable (or any successor forms), claiming eligibility for the benefits of an income tax treaty to which the United States is a party,</w:t>
      </w:r>
    </w:p>
    <w:p>
      <w:pPr>
        <w:sectPr>
          <w:pgSz w:w="11900" w:h="16838" w:orient="portrait"/>
          <w:cols w:equalWidth="0" w:num="1">
            <w:col w:w="10928"/>
          </w:cols>
          <w:pgMar w:left="472" w:top="1440" w:right="499" w:bottom="1440" w:gutter="0" w:footer="0" w:header="0"/>
        </w:sectPr>
      </w:pPr>
    </w:p>
    <w:bookmarkStart w:id="155" w:name="page156"/>
    <w:bookmarkEnd w:id="155"/>
    <w:p>
      <w:pPr>
        <w:spacing w:after="0" w:line="211" w:lineRule="exact"/>
        <w:rPr>
          <w:sz w:val="20"/>
          <w:szCs w:val="20"/>
          <w:color w:val="auto"/>
        </w:rPr>
      </w:pPr>
    </w:p>
    <w:p>
      <w:pPr>
        <w:ind w:left="1800" w:hanging="746"/>
        <w:spacing w:after="0"/>
        <w:tabs>
          <w:tab w:leader="none" w:pos="1800" w:val="left"/>
        </w:tabs>
        <w:numPr>
          <w:ilvl w:val="0"/>
          <w:numId w:val="162"/>
        </w:numPr>
        <w:rPr>
          <w:rFonts w:ascii="Arial" w:cs="Arial" w:eastAsia="Arial" w:hAnsi="Arial"/>
          <w:sz w:val="16"/>
          <w:szCs w:val="16"/>
          <w:color w:val="010000"/>
        </w:rPr>
      </w:pPr>
      <w:r>
        <w:rPr>
          <w:rFonts w:ascii="Arial" w:cs="Arial" w:eastAsia="Arial" w:hAnsi="Arial"/>
          <w:sz w:val="16"/>
          <w:szCs w:val="16"/>
          <w:color w:val="auto"/>
        </w:rPr>
        <w:t>two properly completed and duly signed original copies of Internal Revenue Service Form W-8ECI (or any successor</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forms),</w:t>
      </w:r>
    </w:p>
    <w:p>
      <w:pPr>
        <w:spacing w:after="0" w:line="209" w:lineRule="exact"/>
        <w:rPr>
          <w:sz w:val="20"/>
          <w:szCs w:val="20"/>
          <w:color w:val="auto"/>
        </w:rPr>
      </w:pPr>
    </w:p>
    <w:p>
      <w:pPr>
        <w:jc w:val="both"/>
        <w:ind w:left="400" w:right="40" w:firstLine="654"/>
        <w:spacing w:after="0" w:line="223" w:lineRule="auto"/>
        <w:tabs>
          <w:tab w:leader="none" w:pos="1794" w:val="left"/>
        </w:tabs>
        <w:numPr>
          <w:ilvl w:val="2"/>
          <w:numId w:val="163"/>
        </w:numPr>
        <w:rPr>
          <w:rFonts w:ascii="Arial" w:cs="Arial" w:eastAsia="Arial" w:hAnsi="Arial"/>
          <w:sz w:val="18"/>
          <w:szCs w:val="18"/>
          <w:color w:val="010000"/>
        </w:rPr>
      </w:pPr>
      <w:r>
        <w:rPr>
          <w:rFonts w:ascii="Arial" w:cs="Arial" w:eastAsia="Arial" w:hAnsi="Arial"/>
          <w:sz w:val="18"/>
          <w:szCs w:val="18"/>
          <w:color w:val="auto"/>
        </w:rPr>
        <w:t xml:space="preserve">in the case of a Lender claiming the benefits of the exemption for portfolio interest under Sections 871(h) or 881(c) of the Code, (A) a certificate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(any such certificate a “</w:t>
      </w:r>
      <w:r>
        <w:rPr>
          <w:rFonts w:ascii="Arial" w:cs="Arial" w:eastAsia="Arial" w:hAnsi="Arial"/>
          <w:sz w:val="18"/>
          <w:szCs w:val="18"/>
          <w:b w:val="1"/>
          <w:bCs w:val="1"/>
          <w:color w:val="auto"/>
        </w:rPr>
        <w:t>United States Tax Compliance</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 and (B) two properly completed and duly signed original copies of Internal Revenue Service Form W-8BEN or W-8BEN-E, as applicable (or any successor forms), or</w:t>
      </w:r>
    </w:p>
    <w:p>
      <w:pPr>
        <w:spacing w:after="0" w:line="189" w:lineRule="exact"/>
        <w:rPr>
          <w:rFonts w:ascii="Arial" w:cs="Arial" w:eastAsia="Arial" w:hAnsi="Arial"/>
          <w:sz w:val="18"/>
          <w:szCs w:val="18"/>
          <w:color w:val="010000"/>
        </w:rPr>
      </w:pPr>
    </w:p>
    <w:p>
      <w:pPr>
        <w:jc w:val="both"/>
        <w:ind w:left="400" w:right="40" w:firstLine="654"/>
        <w:spacing w:after="0" w:line="229" w:lineRule="auto"/>
        <w:tabs>
          <w:tab w:leader="none" w:pos="1794" w:val="left"/>
        </w:tabs>
        <w:numPr>
          <w:ilvl w:val="2"/>
          <w:numId w:val="163"/>
        </w:numPr>
        <w:rPr>
          <w:rFonts w:ascii="Arial" w:cs="Arial" w:eastAsia="Arial" w:hAnsi="Arial"/>
          <w:sz w:val="17"/>
          <w:szCs w:val="17"/>
          <w:color w:val="010000"/>
        </w:rPr>
      </w:pPr>
      <w:r>
        <w:rPr>
          <w:rFonts w:ascii="Arial" w:cs="Arial" w:eastAsia="Arial" w:hAnsi="Arial"/>
          <w:sz w:val="17"/>
          <w:szCs w:val="17"/>
          <w:color w:val="auto"/>
        </w:rPr>
        <w:t>to the extent a Lender is not the beneficial owner (for example, where the Lender is a partnership, or is a Participant holding a participation granted by a participating Lender), two properly completed and duly signed original copies of Internal Revenue Service Form W-8IMY (or any successor forms) of the Lender, accompanied by a properly completed and duly signed Form W-8ECI, W-8BEN, W-8BEN-E, United States Tax Compliance Certificate, Form W-9, Form W-8IMY or any other required information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Lender is a partnership (and not a participating Lender) and one or more beneficial owners are claiming the portfolio interest exemption, the United States Tax Compliance Certificate may be provided by such Lender on behalf of such beneficial owner(s)).</w:t>
      </w:r>
    </w:p>
    <w:p>
      <w:pPr>
        <w:spacing w:after="0" w:line="206" w:lineRule="exact"/>
        <w:rPr>
          <w:rFonts w:ascii="Arial" w:cs="Arial" w:eastAsia="Arial" w:hAnsi="Arial"/>
          <w:sz w:val="17"/>
          <w:szCs w:val="17"/>
          <w:color w:val="010000"/>
        </w:rPr>
      </w:pPr>
    </w:p>
    <w:p>
      <w:pPr>
        <w:jc w:val="both"/>
        <w:ind w:right="40" w:firstLine="647"/>
        <w:spacing w:after="0"/>
        <w:tabs>
          <w:tab w:leader="none" w:pos="1154" w:val="left"/>
        </w:tabs>
        <w:numPr>
          <w:ilvl w:val="1"/>
          <w:numId w:val="164"/>
        </w:numPr>
        <w:rPr>
          <w:rFonts w:ascii="Arial" w:cs="Arial" w:eastAsia="Arial" w:hAnsi="Arial"/>
          <w:sz w:val="16"/>
          <w:szCs w:val="16"/>
          <w:color w:val="010000"/>
        </w:rPr>
      </w:pPr>
      <w:r>
        <w:rPr>
          <w:rFonts w:ascii="Arial" w:cs="Arial" w:eastAsia="Arial" w:hAnsi="Arial"/>
          <w:sz w:val="16"/>
          <w:szCs w:val="16"/>
          <w:color w:val="auto"/>
        </w:rPr>
        <w:t>Each Administrative Agent that is a United States person (as defined in Section 7701(a)(30) of the Code) shall deliver to the Borrowers two properly completed and duly signed original copies of Internal Revenue Service Form W-9 (or any successor forms) with respect to fees received on its own behalf, certifying that such Administrative Agent is exempt from U.S. federal backup withholding. Each Administrative Agent that is not a United States person (as defined in Section 7701(a)(30) of the Code) shall deliver to the Borrowers and the Administrative Agent two properly completed and duly signed original copies of Internal Revenue Service Form W-8ECI (or any successor forms) with respect to fees received on its own behalf and Internal Revenue Service Form W-8IMY, and including required accompanying documentation with respect to payments to be received by it on behalf of the Lenders, certifying that it is a “U.S. branch” and that the payments it receives for the account of others are not effectively connected with the conduct of its trade or business within the United States and that it is using such form as evidence of its agreement with the Borrower to be treated as a U.S. Person with respect to such payments (and the Borrower and the Administrative Agent agree to so treat the Administrative Agent as a resident for tax purposes in the United States with respect to such payments as contemplated by Section 1.1441-1(b)(2)(iv) of the United States Treasury Regulations).</w:t>
      </w:r>
    </w:p>
    <w:p>
      <w:pPr>
        <w:spacing w:after="0" w:line="203" w:lineRule="exact"/>
        <w:rPr>
          <w:rFonts w:ascii="Arial" w:cs="Arial" w:eastAsia="Arial" w:hAnsi="Arial"/>
          <w:sz w:val="16"/>
          <w:szCs w:val="16"/>
          <w:color w:val="010000"/>
        </w:rPr>
      </w:pPr>
    </w:p>
    <w:p>
      <w:pPr>
        <w:jc w:val="both"/>
        <w:ind w:left="-640" w:right="40" w:firstLine="640"/>
        <w:spacing w:after="0" w:line="217" w:lineRule="auto"/>
        <w:tabs>
          <w:tab w:leader="none" w:pos="512"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such Lender shall deliver to the Borrowers and the Administrative Agent at the time or times prescribed by Laws and at such time or times reasonably requested by the Borrowers or the Administrative Agent such documentation prescribed by applicable Laws and such additional documentation reasonably requested by the Borrowers or the Administrative Agent as may be necessary for the Borrowers and the Administrative Agent to comply with their obligations under FATCA and to determine whether such Lender has or has not complied with such Lender’s obligations under FATCA and, if necessary, to determine the amount to deduct and withhold from such payment.</w:t>
      </w:r>
    </w:p>
    <w:p>
      <w:pPr>
        <w:spacing w:after="0" w:line="188" w:lineRule="exact"/>
        <w:rPr>
          <w:rFonts w:ascii="Arial" w:cs="Arial" w:eastAsia="Arial" w:hAnsi="Arial"/>
          <w:sz w:val="18"/>
          <w:szCs w:val="18"/>
          <w:color w:val="010000"/>
        </w:rPr>
      </w:pPr>
    </w:p>
    <w:p>
      <w:pPr>
        <w:ind w:left="-640" w:right="40" w:firstLine="640"/>
        <w:spacing w:after="0" w:line="235" w:lineRule="auto"/>
        <w:tabs>
          <w:tab w:leader="none" w:pos="512"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Each Lender hereby authorizes the Administrative Agent to deliver to the Loan Parties and to any successor Administrative Agent any documentation provided by such Lender to the Administrative Agent pursuant to Section 3.01(d) or (e) above.</w:t>
      </w:r>
    </w:p>
    <w:p>
      <w:pPr>
        <w:spacing w:after="0" w:line="202" w:lineRule="exact"/>
        <w:rPr>
          <w:rFonts w:ascii="Arial" w:cs="Arial" w:eastAsia="Arial" w:hAnsi="Arial"/>
          <w:sz w:val="18"/>
          <w:szCs w:val="18"/>
          <w:color w:val="010000"/>
        </w:rPr>
      </w:pPr>
    </w:p>
    <w:p>
      <w:pPr>
        <w:jc w:val="both"/>
        <w:ind w:left="-640" w:right="40" w:firstLine="640"/>
        <w:spacing w:after="0" w:line="223" w:lineRule="auto"/>
        <w:tabs>
          <w:tab w:leader="none" w:pos="512"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Any Lender or Agent claiming any additional amounts payable pursuant to this Section 3.01 shall use its reasonable efforts to mitigate or reduce the additional amounts payable, which reasonable efforts may include a change in the jurisdiction of its Lending Office (or any other measures reasonably requested by the Borrowers) if such a change or other measures would reduce any such additional amounts (or any similar amount that may</w:t>
      </w:r>
    </w:p>
    <w:p>
      <w:pPr>
        <w:sectPr>
          <w:pgSz w:w="11900" w:h="16838" w:orient="portrait"/>
          <w:cols w:equalWidth="0" w:num="1">
            <w:col w:w="10280"/>
          </w:cols>
          <w:pgMar w:left="1120" w:top="1440" w:right="499" w:bottom="1440" w:gutter="0" w:footer="0" w:header="0"/>
        </w:sectPr>
      </w:pPr>
    </w:p>
    <w:bookmarkStart w:id="156" w:name="page157"/>
    <w:bookmarkEnd w:id="156"/>
    <w:p>
      <w:pPr>
        <w:spacing w:after="0" w:line="211" w:lineRule="exact"/>
        <w:rPr>
          <w:sz w:val="20"/>
          <w:szCs w:val="20"/>
          <w:color w:val="auto"/>
        </w:rPr>
      </w:pPr>
    </w:p>
    <w:p>
      <w:pPr>
        <w:ind w:left="8"/>
        <w:spacing w:after="0" w:line="235" w:lineRule="auto"/>
        <w:rPr>
          <w:sz w:val="20"/>
          <w:szCs w:val="20"/>
          <w:color w:val="auto"/>
        </w:rPr>
      </w:pPr>
      <w:r>
        <w:rPr>
          <w:rFonts w:ascii="Arial" w:cs="Arial" w:eastAsia="Arial" w:hAnsi="Arial"/>
          <w:sz w:val="18"/>
          <w:szCs w:val="18"/>
          <w:color w:val="auto"/>
        </w:rPr>
        <w:t>thereafter accrue) and would not, in the sole determination of such Lender, result in any unreimbursed cost or expense or be otherwise disadvantageous to such Lender.</w:t>
      </w:r>
    </w:p>
    <w:p>
      <w:pPr>
        <w:spacing w:after="0" w:line="202" w:lineRule="exact"/>
        <w:rPr>
          <w:sz w:val="20"/>
          <w:szCs w:val="20"/>
          <w:color w:val="auto"/>
        </w:rPr>
      </w:pPr>
    </w:p>
    <w:p>
      <w:pPr>
        <w:ind w:left="8" w:right="160" w:firstLine="640"/>
        <w:spacing w:after="0" w:line="226" w:lineRule="auto"/>
        <w:tabs>
          <w:tab w:leader="none" w:pos="1160" w:val="left"/>
        </w:tabs>
        <w:numPr>
          <w:ilvl w:val="0"/>
          <w:numId w:val="166"/>
        </w:numPr>
        <w:rPr>
          <w:rFonts w:ascii="Arial" w:cs="Arial" w:eastAsia="Arial" w:hAnsi="Arial"/>
          <w:sz w:val="17"/>
          <w:szCs w:val="17"/>
          <w:color w:val="010000"/>
        </w:rPr>
      </w:pPr>
      <w:r>
        <w:rPr>
          <w:rFonts w:ascii="Arial" w:cs="Arial" w:eastAsia="Arial" w:hAnsi="Arial"/>
          <w:sz w:val="17"/>
          <w:szCs w:val="17"/>
          <w:color w:val="auto"/>
        </w:rPr>
        <w:t xml:space="preserve">If any Lender or Agent determines, in its sole discretion exercised in good faith, that it has received a refund in respect of any Indemnified Taxes or Other Taxes as to which indemnification or additional amounts have been paid to it by a Loan Party pursuant to this Section 3.01, it shall promptly remit to such Loan Party an amount equal to the amount of such refund (but only to the extent of indemnification or additional amounts paid by the Loan Party under this Section 3.01(h) with respect to the Indemnified Taxes or Other Taxes giving rise to such refund), net of all reasonable out-of-pocket expenses (including any Taxes) of the Lender or Agent, as the case may be, and without interest (other than any interest paid by the relevant taxing authority with respect to such refund net of any Taxes payable by any Agent or Lender on such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Loan Parties, upon the request of the Lender or Agent, as the case may be, shall promptly return such refund (plus any penalties, interest or other charges imposed by the relevant taxing authority) to such party in the event such party is required to repay such refund to the relevant taxing authority. The Administrative Agent or such Lender, as the case may be, shall provide the Loan Party with a copy of any notice of assessment or other evidence reasonably available of the requirement to repay such refund received from the relevant taxing authority. This Section shall not be construed to require any Agent or any Lender to make available its tax returns (or any other information relating to Taxes that it deems confidential) to the Borrowers or any other person.</w:t>
      </w:r>
    </w:p>
    <w:p>
      <w:pPr>
        <w:spacing w:after="0" w:line="194"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3.02</w:t>
      </w:r>
      <w:r>
        <w:rPr>
          <w:sz w:val="20"/>
          <w:szCs w:val="20"/>
          <w:color w:val="auto"/>
        </w:rPr>
        <w:tab/>
      </w:r>
      <w:r>
        <w:rPr>
          <w:rFonts w:ascii="Arial" w:cs="Arial" w:eastAsia="Arial" w:hAnsi="Arial"/>
          <w:sz w:val="17"/>
          <w:szCs w:val="17"/>
          <w:color w:val="auto"/>
        </w:rPr>
        <w:t>Illegality.</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If any Lender reasonably determines that any Law has made it unlawful, or that any Governmental Authority has asserted that it is unlawful,</w:t>
      </w:r>
    </w:p>
    <w:p>
      <w:pPr>
        <w:spacing w:after="0" w:line="21" w:lineRule="exact"/>
        <w:rPr>
          <w:sz w:val="20"/>
          <w:szCs w:val="20"/>
          <w:color w:val="auto"/>
        </w:rPr>
      </w:pPr>
    </w:p>
    <w:p>
      <w:pPr>
        <w:jc w:val="both"/>
        <w:ind w:left="8" w:right="140"/>
        <w:spacing w:after="0" w:line="234" w:lineRule="auto"/>
        <w:rPr>
          <w:sz w:val="20"/>
          <w:szCs w:val="20"/>
          <w:color w:val="auto"/>
        </w:rPr>
      </w:pPr>
      <w:r>
        <w:rPr>
          <w:rFonts w:ascii="Arial" w:cs="Arial" w:eastAsia="Arial" w:hAnsi="Arial"/>
          <w:sz w:val="16"/>
          <w:szCs w:val="16"/>
          <w:color w:val="auto"/>
        </w:rPr>
        <w:t xml:space="preserve">for any Lender or its applicable Lending Office to make, maintain or fund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or to determine or charge interest rates based upon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in each case after the Closing Date, then, on written notice thereof by such Lender to the Borrowers through the Administrative Agent, (i) any obligation of such Lender to make or continue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or to convert</w:t>
      </w:r>
    </w:p>
    <w:p>
      <w:pPr>
        <w:spacing w:after="0" w:line="2" w:lineRule="exact"/>
        <w:rPr>
          <w:sz w:val="20"/>
          <w:szCs w:val="20"/>
          <w:color w:val="auto"/>
        </w:rPr>
      </w:pPr>
    </w:p>
    <w:p>
      <w:pPr>
        <w:jc w:val="both"/>
        <w:ind w:left="8" w:right="140"/>
        <w:spacing w:after="0" w:line="233" w:lineRule="auto"/>
        <w:rPr>
          <w:sz w:val="20"/>
          <w:szCs w:val="20"/>
          <w:color w:val="auto"/>
        </w:rPr>
      </w:pPr>
      <w:r>
        <w:rPr>
          <w:rFonts w:ascii="Arial" w:cs="Arial" w:eastAsia="Arial" w:hAnsi="Arial"/>
          <w:sz w:val="16"/>
          <w:szCs w:val="16"/>
          <w:color w:val="auto"/>
        </w:rPr>
        <w:t xml:space="preserve">Base Rate Loans to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shall be suspended, and (ii) if such notice asserts the illegality of such Lender making or maintaining Base Rate Loans the interest rate on which is determined by reference to the </w:t>
      </w:r>
      <w:r>
        <w:rPr>
          <w:rFonts w:ascii="Arial" w:cs="Arial" w:eastAsia="Arial" w:hAnsi="Arial"/>
          <w:sz w:val="16"/>
          <w:szCs w:val="16"/>
          <w:color w:val="FF0000"/>
          <w:strike w:val="1"/>
        </w:rPr>
        <w:t>Eurocurrency Rate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component of the Base Rate, the interest rate on which Base Rate Loans of such Lender shall, if necessary to avoid such illegality, be determined by the Administrative Agent without reference to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component of the Base Rate, in each case until such Lender notifies the Administrative Agent</w:t>
      </w:r>
    </w:p>
    <w:p>
      <w:pPr>
        <w:spacing w:after="0" w:line="1" w:lineRule="exact"/>
        <w:rPr>
          <w:sz w:val="20"/>
          <w:szCs w:val="20"/>
          <w:color w:val="auto"/>
        </w:rPr>
      </w:pPr>
    </w:p>
    <w:p>
      <w:pPr>
        <w:jc w:val="both"/>
        <w:ind w:left="8" w:right="140"/>
        <w:spacing w:after="0" w:line="234" w:lineRule="auto"/>
        <w:rPr>
          <w:sz w:val="20"/>
          <w:szCs w:val="20"/>
          <w:color w:val="auto"/>
        </w:rPr>
      </w:pPr>
      <w:r>
        <w:rPr>
          <w:rFonts w:ascii="Arial" w:cs="Arial" w:eastAsia="Arial" w:hAnsi="Arial"/>
          <w:sz w:val="16"/>
          <w:szCs w:val="16"/>
          <w:color w:val="auto"/>
        </w:rPr>
        <w:t xml:space="preserve">and the Borrowers that the circumstances giving rise to such determination no longer exist. Upon receipt of such notice, (x) the Borrowers shall, upon demand from such Lender (with a copy to the Administrative Agent), prepay or, if applicable, convert all applicable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of such Lender to Base Rate Loans (the interest rate on which Base Rate Loans of such Lender shall, if necessary to avoid such illegality, be</w:t>
      </w:r>
    </w:p>
    <w:p>
      <w:pPr>
        <w:spacing w:after="0" w:line="2" w:lineRule="exact"/>
        <w:rPr>
          <w:sz w:val="20"/>
          <w:szCs w:val="20"/>
          <w:color w:val="auto"/>
        </w:rPr>
      </w:pPr>
    </w:p>
    <w:p>
      <w:pPr>
        <w:jc w:val="both"/>
        <w:ind w:left="8" w:right="140"/>
        <w:spacing w:after="0" w:line="208" w:lineRule="auto"/>
        <w:rPr>
          <w:sz w:val="20"/>
          <w:szCs w:val="20"/>
          <w:color w:val="auto"/>
        </w:rPr>
      </w:pPr>
      <w:r>
        <w:rPr>
          <w:rFonts w:ascii="Arial" w:cs="Arial" w:eastAsia="Arial" w:hAnsi="Arial"/>
          <w:sz w:val="18"/>
          <w:szCs w:val="18"/>
          <w:color w:val="auto"/>
        </w:rPr>
        <w:t xml:space="preserve">determined by the Administrative Agent without reference to the </w:t>
      </w:r>
      <w:r>
        <w:rPr>
          <w:rFonts w:ascii="Arial" w:cs="Arial" w:eastAsia="Arial" w:hAnsi="Arial"/>
          <w:sz w:val="18"/>
          <w:szCs w:val="18"/>
          <w:color w:val="FF0000"/>
          <w:strike w:val="1"/>
        </w:rPr>
        <w:t>Eurocurrency Rate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component of the Base Rate), either on the last day of the Interest Period therefor, if such Lender may lawfully continue to maintain such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to such day, or promptly, if such Lender may not lawfully continue to maintain such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and</w:t>
      </w:r>
    </w:p>
    <w:p>
      <w:pPr>
        <w:spacing w:after="0" w:line="2" w:lineRule="exact"/>
        <w:rPr>
          <w:sz w:val="20"/>
          <w:szCs w:val="20"/>
          <w:color w:val="auto"/>
        </w:rPr>
      </w:pPr>
    </w:p>
    <w:p>
      <w:pPr>
        <w:jc w:val="both"/>
        <w:ind w:left="8" w:right="140" w:hanging="8"/>
        <w:spacing w:after="0" w:line="241" w:lineRule="auto"/>
        <w:tabs>
          <w:tab w:leader="none" w:pos="26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if such notice asserts the illegality of such Lender determining or charging interest rates based upon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component of the Base Rate with respect to any Base Rate Loans, the Administrative Agent shall during the period of such suspension compute the Base Rate applicable to such Lender without reference to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component thereof until the Administrative Agent is advised in writing by such Lender that it is no longer illegal for such Lender to determine or charge interest rates based upon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Each Lender agrees to designate a different Lending Office if such designation will avoid the need for such notice and will not, in the good faith judgment of such Lender, otherwise be materially disadvantageous to such Lender. Upon any such prepayment or conversion, the Borrowers shall also pay accrued interest on the amount so prepaid or converted and all amounts due, if any, in connection with such prepayment and conversion.</w:t>
      </w:r>
    </w:p>
    <w:p>
      <w:pPr>
        <w:spacing w:after="0" w:line="203"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3.03</w:t>
      </w:r>
      <w:r>
        <w:rPr>
          <w:sz w:val="20"/>
          <w:szCs w:val="20"/>
          <w:color w:val="auto"/>
        </w:rPr>
        <w:tab/>
      </w:r>
      <w:r>
        <w:rPr>
          <w:rFonts w:ascii="Arial" w:cs="Arial" w:eastAsia="Arial" w:hAnsi="Arial"/>
          <w:sz w:val="16"/>
          <w:szCs w:val="16"/>
          <w:color w:val="auto"/>
        </w:rPr>
        <w:t>Inability to Determine Rates.</w:t>
      </w:r>
    </w:p>
    <w:p>
      <w:pPr>
        <w:spacing w:after="0" w:line="225" w:lineRule="exact"/>
        <w:rPr>
          <w:sz w:val="20"/>
          <w:szCs w:val="20"/>
          <w:color w:val="auto"/>
        </w:rPr>
      </w:pPr>
    </w:p>
    <w:p>
      <w:pPr>
        <w:jc w:val="both"/>
        <w:ind w:left="8" w:right="180" w:firstLine="640"/>
        <w:spacing w:after="0" w:line="224" w:lineRule="auto"/>
        <w:tabs>
          <w:tab w:leader="none" w:pos="1160"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 xml:space="preserve">If, after the Closing Date, the Required Lenders reasonably determine that for any reason in connection with any request for a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 or a conversion to or continuation thereof that (i)</w:t>
      </w:r>
      <w:r>
        <w:rPr>
          <w:rFonts w:ascii="Arial" w:cs="Arial" w:eastAsia="Arial" w:hAnsi="Arial"/>
          <w:sz w:val="18"/>
          <w:szCs w:val="18"/>
          <w:color w:val="FF0000"/>
        </w:rPr>
        <w:t xml:space="preserve"> </w:t>
      </w:r>
      <w:r>
        <w:rPr>
          <w:rFonts w:ascii="Arial" w:cs="Arial" w:eastAsia="Arial" w:hAnsi="Arial"/>
          <w:sz w:val="18"/>
          <w:szCs w:val="18"/>
          <w:color w:val="FF0000"/>
          <w:strike w:val="1"/>
        </w:rPr>
        <w:t>deposits are not being offered to banks in the London interbank</w:t>
      </w:r>
      <w:r>
        <w:rPr>
          <w:rFonts w:ascii="Arial" w:cs="Arial" w:eastAsia="Arial" w:hAnsi="Arial"/>
          <w:sz w:val="18"/>
          <w:szCs w:val="18"/>
          <w:color w:val="FF0000"/>
        </w:rPr>
        <w:t xml:space="preserve"> </w:t>
      </w:r>
      <w:r>
        <w:rPr>
          <w:rFonts w:ascii="Arial" w:cs="Arial" w:eastAsia="Arial" w:hAnsi="Arial"/>
          <w:sz w:val="18"/>
          <w:szCs w:val="18"/>
          <w:color w:val="FF0000"/>
          <w:strike w:val="1"/>
        </w:rPr>
        <w:t>eurodollar market for the applicable amount,</w:t>
      </w:r>
    </w:p>
    <w:p>
      <w:pPr>
        <w:sectPr>
          <w:pgSz w:w="11900" w:h="16838" w:orient="portrait"/>
          <w:cols w:equalWidth="0" w:num="1">
            <w:col w:w="11068"/>
          </w:cols>
          <w:pgMar w:left="472" w:top="1440" w:right="359" w:bottom="1440" w:gutter="0" w:footer="0" w:header="0"/>
        </w:sectPr>
      </w:pPr>
    </w:p>
    <w:bookmarkStart w:id="157" w:name="page158"/>
    <w:bookmarkEnd w:id="157"/>
    <w:p>
      <w:pPr>
        <w:spacing w:after="0" w:line="207" w:lineRule="exact"/>
        <w:rPr>
          <w:sz w:val="20"/>
          <w:szCs w:val="20"/>
          <w:color w:val="auto"/>
        </w:rPr>
      </w:pPr>
    </w:p>
    <w:p>
      <w:pPr>
        <w:jc w:val="both"/>
        <w:ind w:left="8" w:right="20"/>
        <w:spacing w:after="0" w:line="243" w:lineRule="auto"/>
        <w:rPr>
          <w:sz w:val="20"/>
          <w:szCs w:val="20"/>
          <w:color w:val="auto"/>
        </w:rPr>
      </w:pPr>
      <w:r>
        <w:rPr>
          <w:rFonts w:ascii="Arial" w:cs="Arial" w:eastAsia="Arial" w:hAnsi="Arial"/>
          <w:sz w:val="16"/>
          <w:szCs w:val="16"/>
          <w:color w:val="FF0000"/>
          <w:strike w:val="1"/>
        </w:rPr>
        <w:t>currency and Interest Period of such Eurocurrency Rate Loan (such Loans, the “</w:t>
      </w:r>
      <w:r>
        <w:rPr>
          <w:rFonts w:ascii="Arial" w:cs="Arial" w:eastAsia="Arial" w:hAnsi="Arial"/>
          <w:sz w:val="16"/>
          <w:szCs w:val="16"/>
          <w:b w:val="1"/>
          <w:bCs w:val="1"/>
          <w:color w:val="FF0000"/>
          <w:strike w:val="1"/>
        </w:rPr>
        <w:t>Impacted Loans</w:t>
      </w:r>
      <w:r>
        <w:rPr>
          <w:rFonts w:ascii="Arial" w:cs="Arial" w:eastAsia="Arial" w:hAnsi="Arial"/>
          <w:sz w:val="16"/>
          <w:szCs w:val="16"/>
          <w:color w:val="FF0000"/>
          <w:strike w:val="1"/>
        </w:rPr>
        <w:t>”), (ii)</w:t>
      </w:r>
      <w:r>
        <w:rPr>
          <w:rFonts w:ascii="Arial" w:cs="Arial" w:eastAsia="Arial" w:hAnsi="Arial"/>
          <w:sz w:val="16"/>
          <w:szCs w:val="16"/>
          <w:color w:val="FF0000"/>
        </w:rPr>
        <w:t xml:space="preserve"> </w:t>
      </w:r>
      <w:r>
        <w:rPr>
          <w:rFonts w:ascii="Arial" w:cs="Arial" w:eastAsia="Arial" w:hAnsi="Arial"/>
          <w:sz w:val="16"/>
          <w:szCs w:val="16"/>
          <w:color w:val="000000"/>
        </w:rPr>
        <w:t>adequate and reasonable means do not exist for</w:t>
      </w:r>
      <w:r>
        <w:rPr>
          <w:rFonts w:ascii="Arial" w:cs="Arial" w:eastAsia="Arial" w:hAnsi="Arial"/>
          <w:sz w:val="16"/>
          <w:szCs w:val="16"/>
          <w:color w:val="FF0000"/>
        </w:rPr>
        <w:t xml:space="preserve"> </w:t>
      </w:r>
      <w:r>
        <w:rPr>
          <w:rFonts w:ascii="Arial" w:cs="Arial" w:eastAsia="Arial" w:hAnsi="Arial"/>
          <w:sz w:val="16"/>
          <w:szCs w:val="16"/>
          <w:color w:val="000000"/>
        </w:rPr>
        <w:t xml:space="preserve">determining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for any requested Interest Period with respect to a proposed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Loan or in connection with an existing or proposed Base Rate Loan, or (</w:t>
      </w:r>
      <w:r>
        <w:rPr>
          <w:rFonts w:ascii="Arial" w:cs="Arial" w:eastAsia="Arial" w:hAnsi="Arial"/>
          <w:sz w:val="16"/>
          <w:szCs w:val="16"/>
          <w:color w:val="FF0000"/>
          <w:strike w:val="1"/>
        </w:rPr>
        <w:t>iii</w:t>
      </w:r>
      <w:r>
        <w:rPr>
          <w:rFonts w:ascii="Arial" w:cs="Arial" w:eastAsia="Arial" w:hAnsi="Arial"/>
          <w:sz w:val="16"/>
          <w:szCs w:val="16"/>
          <w:u w:val="single" w:color="auto"/>
          <w:color w:val="0000FF"/>
        </w:rPr>
        <w:t>ii</w:t>
      </w:r>
      <w:r>
        <w:rPr>
          <w:rFonts w:ascii="Arial" w:cs="Arial" w:eastAsia="Arial" w:hAnsi="Arial"/>
          <w:sz w:val="16"/>
          <w:szCs w:val="16"/>
          <w:color w:val="000000"/>
        </w:rPr>
        <w:t xml:space="preserve">) the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for any requested Interest Period with respect to a</w:t>
      </w:r>
    </w:p>
    <w:p>
      <w:pPr>
        <w:spacing w:after="0" w:line="1" w:lineRule="exact"/>
        <w:rPr>
          <w:sz w:val="20"/>
          <w:szCs w:val="20"/>
          <w:color w:val="auto"/>
        </w:rPr>
      </w:pPr>
    </w:p>
    <w:p>
      <w:pPr>
        <w:jc w:val="both"/>
        <w:ind w:left="8" w:right="20"/>
        <w:spacing w:after="0" w:line="203" w:lineRule="auto"/>
        <w:rPr>
          <w:sz w:val="20"/>
          <w:szCs w:val="20"/>
          <w:color w:val="auto"/>
        </w:rPr>
      </w:pPr>
      <w:r>
        <w:rPr>
          <w:rFonts w:ascii="Arial" w:cs="Arial" w:eastAsia="Arial" w:hAnsi="Arial"/>
          <w:sz w:val="18"/>
          <w:szCs w:val="18"/>
          <w:color w:val="auto"/>
        </w:rPr>
        <w:t xml:space="preserve">proposed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does not adequately and fairly reflect the cost to such Lenders of funding such Loan, the Administrative Agent will promptly so notify the Borrowers and each Lender. Thereafter,</w:t>
      </w:r>
    </w:p>
    <w:p>
      <w:pPr>
        <w:ind w:left="248" w:hanging="248"/>
        <w:spacing w:after="0" w:line="220" w:lineRule="auto"/>
        <w:tabs>
          <w:tab w:leader="none" w:pos="2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obligation of the Lenders to make or maintain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shall be suspended, and</w:t>
      </w:r>
    </w:p>
    <w:p>
      <w:pPr>
        <w:jc w:val="both"/>
        <w:ind w:left="8" w:right="40" w:hanging="8"/>
        <w:spacing w:after="0" w:line="228" w:lineRule="auto"/>
        <w:tabs>
          <w:tab w:leader="none" w:pos="26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in the event of a determination described in the preceding sentence with respect to the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of the Base Rate, the utilization of the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in determining the Base Rate shall be suspended, in each case until the Administrative Agent (upon the instruction of the Required Lenders) revokes such notice. Upon receipt of such notice, the Borrowers may revoke any pending request for a Borrowing of, conversion to or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or, failing that, will be deemed to have converted such request into a request for a Borrowing of Base Rate Loans in the amount specified therein.</w:t>
      </w:r>
    </w:p>
    <w:p>
      <w:pPr>
        <w:spacing w:after="0" w:line="189" w:lineRule="exact"/>
        <w:rPr>
          <w:rFonts w:ascii="Arial" w:cs="Arial" w:eastAsia="Arial" w:hAnsi="Arial"/>
          <w:sz w:val="17"/>
          <w:szCs w:val="17"/>
          <w:color w:val="auto"/>
        </w:rPr>
      </w:pPr>
    </w:p>
    <w:p>
      <w:pPr>
        <w:jc w:val="both"/>
        <w:ind w:left="8" w:right="40" w:firstLine="640"/>
        <w:spacing w:after="0" w:line="243" w:lineRule="auto"/>
        <w:tabs>
          <w:tab w:leader="none" w:pos="1211" w:val="left"/>
        </w:tabs>
        <w:numPr>
          <w:ilvl w:val="1"/>
          <w:numId w:val="169"/>
        </w:numPr>
        <w:rPr>
          <w:rFonts w:ascii="Arial" w:cs="Arial" w:eastAsia="Arial" w:hAnsi="Arial"/>
          <w:sz w:val="16"/>
          <w:szCs w:val="16"/>
          <w:color w:val="FF0000"/>
        </w:rPr>
      </w:pPr>
      <w:r>
        <w:rPr>
          <w:rFonts w:ascii="Arial" w:cs="Arial" w:eastAsia="Arial" w:hAnsi="Arial"/>
          <w:sz w:val="16"/>
          <w:szCs w:val="16"/>
          <w:color w:val="FF0000"/>
          <w:strike w:val="1"/>
        </w:rPr>
        <w:t>Notwithstanding the foregoing, if the Administrative Agent has made the determination described in</w:t>
      </w:r>
      <w:r>
        <w:rPr>
          <w:rFonts w:ascii="Arial" w:cs="Arial" w:eastAsia="Arial" w:hAnsi="Arial"/>
          <w:sz w:val="16"/>
          <w:szCs w:val="16"/>
          <w:color w:val="FF0000"/>
        </w:rPr>
        <w:t xml:space="preserve"> clause (i) of Section 3.03(a), the Administrative Agent, with the consent of the Parent Borrower, may establish an alternative interest rate for the Impacted Loans, in which case, such alternative rate of interest shall apply with respect to the Impacted Loans until (1) the Administrative Agent revokes the notice delivered with respect to the Impacted Loans under clause (i) of the first sentence of this Section 3.03(a), (2) the Administrative Agent or the Required Lenders notify the Administrative Agent and the Borrowers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w:t>
      </w:r>
      <w:r>
        <w:rPr>
          <w:rFonts w:ascii="Arial" w:cs="Arial" w:eastAsia="Arial" w:hAnsi="Arial"/>
          <w:sz w:val="16"/>
          <w:szCs w:val="16"/>
          <w:color w:val="FF0000"/>
          <w:strike w:val="1"/>
        </w:rPr>
        <w:t>the Administrative Agent and the Borrowers written notice thereof.</w:t>
      </w:r>
    </w:p>
    <w:p>
      <w:pPr>
        <w:spacing w:after="0" w:line="280" w:lineRule="exact"/>
        <w:rPr>
          <w:rFonts w:ascii="Arial" w:cs="Arial" w:eastAsia="Arial" w:hAnsi="Arial"/>
          <w:sz w:val="16"/>
          <w:szCs w:val="16"/>
          <w:color w:val="FF0000"/>
        </w:rPr>
      </w:pPr>
    </w:p>
    <w:p>
      <w:pPr>
        <w:ind w:left="1288" w:hanging="640"/>
        <w:spacing w:after="0"/>
        <w:tabs>
          <w:tab w:leader="none" w:pos="1288" w:val="left"/>
        </w:tabs>
        <w:numPr>
          <w:ilvl w:val="1"/>
          <w:numId w:val="170"/>
        </w:numPr>
        <w:rPr>
          <w:rFonts w:ascii="Arial" w:cs="Arial" w:eastAsia="Arial" w:hAnsi="Arial"/>
          <w:sz w:val="18"/>
          <w:szCs w:val="18"/>
          <w:color w:val="0000FF"/>
        </w:rPr>
      </w:pPr>
      <w:r>
        <w:rPr>
          <w:rFonts w:ascii="Arial" w:cs="Arial" w:eastAsia="Arial" w:hAnsi="Arial"/>
          <w:sz w:val="18"/>
          <w:szCs w:val="18"/>
          <w:u w:val="single" w:color="auto"/>
          <w:color w:val="0000FF"/>
        </w:rPr>
        <w:t>[Reserved.]</w:t>
      </w:r>
    </w:p>
    <w:p>
      <w:pPr>
        <w:spacing w:after="0" w:line="200" w:lineRule="exact"/>
        <w:rPr>
          <w:rFonts w:ascii="Arial" w:cs="Arial" w:eastAsia="Arial" w:hAnsi="Arial"/>
          <w:sz w:val="18"/>
          <w:szCs w:val="18"/>
          <w:color w:val="0000FF"/>
        </w:rPr>
      </w:pPr>
    </w:p>
    <w:p>
      <w:pPr>
        <w:spacing w:after="0" w:line="335" w:lineRule="exact"/>
        <w:rPr>
          <w:rFonts w:ascii="Arial" w:cs="Arial" w:eastAsia="Arial" w:hAnsi="Arial"/>
          <w:sz w:val="18"/>
          <w:szCs w:val="18"/>
          <w:color w:val="0000FF"/>
        </w:rPr>
      </w:pPr>
    </w:p>
    <w:p>
      <w:pPr>
        <w:ind w:left="1288" w:hanging="640"/>
        <w:spacing w:after="0"/>
        <w:tabs>
          <w:tab w:leader="none" w:pos="1288" w:val="left"/>
        </w:tabs>
        <w:numPr>
          <w:ilvl w:val="1"/>
          <w:numId w:val="170"/>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Agreement or any other Loan Documents:</w:t>
      </w:r>
    </w:p>
    <w:p>
      <w:pPr>
        <w:spacing w:after="0" w:line="221" w:lineRule="exact"/>
        <w:rPr>
          <w:rFonts w:ascii="Arial" w:cs="Arial" w:eastAsia="Arial" w:hAnsi="Arial"/>
          <w:sz w:val="18"/>
          <w:szCs w:val="18"/>
          <w:color w:val="010000"/>
        </w:rPr>
      </w:pPr>
    </w:p>
    <w:p>
      <w:pPr>
        <w:ind w:left="1288" w:right="20" w:hanging="640"/>
        <w:spacing w:after="0" w:line="243" w:lineRule="auto"/>
        <w:tabs>
          <w:tab w:leader="none" w:pos="858" w:val="left"/>
        </w:tabs>
        <w:numPr>
          <w:ilvl w:val="1"/>
          <w:numId w:val="171"/>
        </w:numPr>
        <w:rPr>
          <w:rFonts w:ascii="Arial" w:cs="Arial" w:eastAsia="Arial" w:hAnsi="Arial"/>
          <w:sz w:val="16"/>
          <w:szCs w:val="16"/>
          <w:color w:val="FF0000"/>
          <w:strike w:val="1"/>
        </w:rPr>
      </w:pPr>
      <w:r>
        <w:rPr>
          <w:rFonts w:ascii="Arial" w:cs="Arial" w:eastAsia="Arial" w:hAnsi="Arial"/>
          <w:sz w:val="16"/>
          <w:szCs w:val="16"/>
          <w:color w:val="FF0000"/>
          <w:strike w:val="1"/>
        </w:rPr>
        <w:t>On March 5, 2021 the Financial Conduct Authority (“</w:t>
      </w:r>
      <w:r>
        <w:rPr>
          <w:rFonts w:ascii="Arial" w:cs="Arial" w:eastAsia="Arial" w:hAnsi="Arial"/>
          <w:sz w:val="16"/>
          <w:szCs w:val="16"/>
          <w:b w:val="1"/>
          <w:bCs w:val="1"/>
          <w:color w:val="FF0000"/>
          <w:strike w:val="1"/>
        </w:rPr>
        <w:t>FCA</w:t>
      </w:r>
      <w:r>
        <w:rPr>
          <w:rFonts w:ascii="Arial" w:cs="Arial" w:eastAsia="Arial" w:hAnsi="Arial"/>
          <w:sz w:val="16"/>
          <w:szCs w:val="16"/>
          <w:color w:val="FF0000"/>
          <w:strike w:val="1"/>
        </w:rPr>
        <w:t>”), the regulatory supervisor of LIBOR’s</w:t>
      </w:r>
      <w:r>
        <w:rPr>
          <w:rFonts w:ascii="Arial" w:cs="Arial" w:eastAsia="Arial" w:hAnsi="Arial"/>
          <w:sz w:val="16"/>
          <w:szCs w:val="16"/>
          <w:color w:val="FF0000"/>
        </w:rPr>
        <w:t xml:space="preserve"> administrator (“</w:t>
      </w:r>
      <w:r>
        <w:rPr>
          <w:rFonts w:ascii="Arial" w:cs="Arial" w:eastAsia="Arial" w:hAnsi="Arial"/>
          <w:sz w:val="16"/>
          <w:szCs w:val="16"/>
          <w:b w:val="1"/>
          <w:bCs w:val="1"/>
          <w:color w:val="FF0000"/>
        </w:rPr>
        <w:t>IBA</w:t>
      </w:r>
      <w:r>
        <w:rPr>
          <w:rFonts w:ascii="Arial" w:cs="Arial" w:eastAsia="Arial" w:hAnsi="Arial"/>
          <w:sz w:val="16"/>
          <w:szCs w:val="16"/>
          <w:color w:val="FF0000"/>
        </w:rPr>
        <w:t xml:space="preserve">”),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w:t>
      </w:r>
      <w:r>
        <w:rPr>
          <w:rFonts w:ascii="Arial" w:cs="Arial" w:eastAsia="Arial" w:hAnsi="Arial"/>
          <w:sz w:val="16"/>
          <w:szCs w:val="16"/>
          <w:color w:val="FF0000"/>
          <w:strike w:val="1"/>
        </w:rPr>
        <w:t>quarterly basis.</w:t>
      </w:r>
    </w:p>
    <w:p>
      <w:pPr>
        <w:spacing w:after="0" w:line="285" w:lineRule="exact"/>
        <w:rPr>
          <w:sz w:val="20"/>
          <w:szCs w:val="20"/>
          <w:color w:val="auto"/>
        </w:rPr>
      </w:pPr>
    </w:p>
    <w:p>
      <w:pPr>
        <w:ind w:left="1288" w:hanging="640"/>
        <w:spacing w:after="0"/>
        <w:tabs>
          <w:tab w:leader="none" w:pos="1288" w:val="left"/>
        </w:tabs>
        <w:numPr>
          <w:ilvl w:val="0"/>
          <w:numId w:val="172"/>
        </w:numPr>
        <w:rPr>
          <w:rFonts w:ascii="Arial" w:cs="Arial" w:eastAsia="Arial" w:hAnsi="Arial"/>
          <w:sz w:val="18"/>
          <w:szCs w:val="18"/>
          <w:color w:val="0000FF"/>
        </w:rPr>
      </w:pPr>
      <w:r>
        <w:rPr>
          <w:rFonts w:ascii="Arial" w:cs="Arial" w:eastAsia="Arial" w:hAnsi="Arial"/>
          <w:sz w:val="18"/>
          <w:szCs w:val="18"/>
          <w:u w:val="single" w:color="auto"/>
          <w:color w:val="0000FF"/>
        </w:rPr>
        <w:t>[Reserved.]</w:t>
      </w:r>
    </w:p>
    <w:p>
      <w:pPr>
        <w:spacing w:after="0" w:line="292" w:lineRule="exact"/>
        <w:rPr>
          <w:rFonts w:ascii="Arial" w:cs="Arial" w:eastAsia="Arial" w:hAnsi="Arial"/>
          <w:sz w:val="18"/>
          <w:szCs w:val="18"/>
          <w:color w:val="0000FF"/>
        </w:rPr>
      </w:pPr>
    </w:p>
    <w:p>
      <w:pPr>
        <w:jc w:val="both"/>
        <w:ind w:left="1288" w:hanging="640"/>
        <w:spacing w:after="0" w:line="219" w:lineRule="auto"/>
        <w:tabs>
          <w:tab w:leader="none" w:pos="1288" w:val="left"/>
        </w:tabs>
        <w:numPr>
          <w:ilvl w:val="0"/>
          <w:numId w:val="172"/>
        </w:numPr>
        <w:rPr>
          <w:rFonts w:ascii="Arial" w:cs="Arial" w:eastAsia="Arial" w:hAnsi="Arial"/>
          <w:sz w:val="18"/>
          <w:szCs w:val="18"/>
          <w:color w:val="auto"/>
        </w:rPr>
      </w:pPr>
      <w:r>
        <w:rPr>
          <w:rFonts w:ascii="Arial" w:cs="Arial" w:eastAsia="Arial" w:hAnsi="Arial"/>
          <w:sz w:val="18"/>
          <w:szCs w:val="18"/>
          <w:color w:val="FF0000"/>
          <w:strike w:val="1"/>
        </w:rPr>
        <w:t>(x)</w:t>
      </w:r>
      <w:r>
        <w:rPr>
          <w:rFonts w:ascii="Arial" w:cs="Arial" w:eastAsia="Arial" w:hAnsi="Arial"/>
          <w:sz w:val="18"/>
          <w:szCs w:val="18"/>
          <w:color w:val="FF0000"/>
        </w:rPr>
        <w:t xml:space="preserve"> </w:t>
      </w:r>
      <w:r>
        <w:rPr>
          <w:rFonts w:ascii="Arial" w:cs="Arial" w:eastAsia="Arial" w:hAnsi="Arial"/>
          <w:sz w:val="18"/>
          <w:szCs w:val="18"/>
          <w:color w:val="000000"/>
        </w:rPr>
        <w:t>Upon (A) the occurrence of a Benchmark Transition Event or (B) a determination by the Administrative Agent that neither of the</w:t>
      </w:r>
      <w:r>
        <w:rPr>
          <w:rFonts w:ascii="Arial" w:cs="Arial" w:eastAsia="Arial" w:hAnsi="Arial"/>
          <w:sz w:val="18"/>
          <w:szCs w:val="18"/>
          <w:color w:val="FF0000"/>
        </w:rPr>
        <w:t xml:space="preserve"> </w:t>
      </w:r>
      <w:r>
        <w:rPr>
          <w:rFonts w:ascii="Arial" w:cs="Arial" w:eastAsia="Arial" w:hAnsi="Arial"/>
          <w:sz w:val="18"/>
          <w:szCs w:val="18"/>
          <w:color w:val="000000"/>
        </w:rPr>
        <w:t>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w:t>
      </w:r>
    </w:p>
    <w:p>
      <w:pPr>
        <w:sectPr>
          <w:pgSz w:w="11900" w:h="16838" w:orient="portrait"/>
          <w:cols w:equalWidth="0" w:num="1">
            <w:col w:w="10928"/>
          </w:cols>
          <w:pgMar w:left="472" w:top="1440" w:right="499" w:bottom="1440" w:gutter="0" w:footer="0" w:header="0"/>
        </w:sectPr>
      </w:pPr>
    </w:p>
    <w:bookmarkStart w:id="158" w:name="page159"/>
    <w:bookmarkEnd w:id="158"/>
    <w:p>
      <w:pPr>
        <w:spacing w:after="0" w:line="211" w:lineRule="exact"/>
        <w:rPr>
          <w:sz w:val="20"/>
          <w:szCs w:val="20"/>
          <w:color w:val="auto"/>
        </w:rPr>
      </w:pPr>
    </w:p>
    <w:p>
      <w:pPr>
        <w:jc w:val="both"/>
        <w:ind w:left="640"/>
        <w:spacing w:after="0" w:line="241" w:lineRule="auto"/>
        <w:rPr>
          <w:sz w:val="20"/>
          <w:szCs w:val="20"/>
          <w:color w:val="auto"/>
        </w:rPr>
      </w:pPr>
      <w:r>
        <w:rPr>
          <w:rFonts w:ascii="Arial" w:cs="Arial" w:eastAsia="Arial" w:hAnsi="Arial"/>
          <w:sz w:val="16"/>
          <w:szCs w:val="16"/>
          <w:color w:val="auto"/>
        </w:rPr>
        <w:t>Agent has not received, by such time, written notice of objection to such Benchmark Replacement from Lenders comprising the Required Lenders (and any such objection shall be conclusive and binding absent manifest error)</w:t>
      </w:r>
      <w:r>
        <w:rPr>
          <w:rFonts w:ascii="Arial" w:cs="Arial" w:eastAsia="Arial" w:hAnsi="Arial"/>
          <w:sz w:val="16"/>
          <w:szCs w:val="16"/>
          <w:color w:val="EE2724"/>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EE2724"/>
          <w:strike w:val="1"/>
        </w:rPr>
        <w:t>provided</w:t>
      </w:r>
      <w:r>
        <w:rPr>
          <w:rFonts w:ascii="Arial" w:cs="Arial" w:eastAsia="Arial" w:hAnsi="Arial"/>
          <w:sz w:val="16"/>
          <w:szCs w:val="16"/>
          <w:color w:val="auto"/>
        </w:rPr>
        <w:t xml:space="preserve"> </w:t>
      </w:r>
      <w:r>
        <w:rPr>
          <w:rFonts w:ascii="Arial" w:cs="Arial" w:eastAsia="Arial" w:hAnsi="Arial"/>
          <w:sz w:val="16"/>
          <w:szCs w:val="16"/>
          <w:color w:val="EE2724"/>
          <w:strike w:val="1"/>
        </w:rPr>
        <w:t>that solely in the event</w:t>
      </w:r>
      <w:r>
        <w:rPr>
          <w:rFonts w:ascii="Arial" w:cs="Arial" w:eastAsia="Arial" w:hAnsi="Arial"/>
          <w:sz w:val="16"/>
          <w:szCs w:val="16"/>
          <w:color w:val="auto"/>
        </w:rPr>
        <w:t xml:space="preserve"> </w:t>
      </w:r>
      <w:r>
        <w:rPr>
          <w:rFonts w:ascii="Arial" w:cs="Arial" w:eastAsia="Arial" w:hAnsi="Arial"/>
          <w:sz w:val="16"/>
          <w:szCs w:val="16"/>
          <w:color w:val="EE2724"/>
          <w:strike w:val="1"/>
        </w:rPr>
        <w:t>that the then-current Benchmark at the time of such Benchmark Transition Event is not a SOFR-based rate, the Benchmark</w:t>
      </w:r>
    </w:p>
    <w:p>
      <w:pPr>
        <w:spacing w:after="0" w:line="2" w:lineRule="exact"/>
        <w:rPr>
          <w:sz w:val="20"/>
          <w:szCs w:val="20"/>
          <w:color w:val="auto"/>
        </w:rPr>
      </w:pPr>
    </w:p>
    <w:p>
      <w:pPr>
        <w:jc w:val="both"/>
        <w:ind w:left="640"/>
        <w:spacing w:after="0" w:line="226" w:lineRule="auto"/>
        <w:rPr>
          <w:sz w:val="20"/>
          <w:szCs w:val="20"/>
          <w:color w:val="auto"/>
        </w:rPr>
      </w:pPr>
      <w:r>
        <w:rPr>
          <w:rFonts w:ascii="Arial" w:cs="Arial" w:eastAsia="Arial" w:hAnsi="Arial"/>
          <w:sz w:val="18"/>
          <w:szCs w:val="18"/>
          <w:color w:val="EE2724"/>
          <w:strike w:val="1"/>
        </w:rPr>
        <w:t>Replacement therefor shall be determined in accordance with clause (1) of the definition of Benchmark Replacement unless the Administrative Agent reasonably determines that neither of such alternative rates is available..</w:t>
      </w:r>
    </w:p>
    <w:p>
      <w:pPr>
        <w:spacing w:after="0" w:line="269" w:lineRule="exact"/>
        <w:rPr>
          <w:sz w:val="20"/>
          <w:szCs w:val="20"/>
          <w:color w:val="auto"/>
        </w:rPr>
      </w:pPr>
    </w:p>
    <w:p>
      <w:pPr>
        <w:jc w:val="both"/>
        <w:ind w:right="40" w:firstLine="648"/>
        <w:spacing w:after="0" w:line="267" w:lineRule="auto"/>
        <w:tabs>
          <w:tab w:leader="none" w:pos="916" w:val="left"/>
        </w:tabs>
        <w:numPr>
          <w:ilvl w:val="1"/>
          <w:numId w:val="173"/>
        </w:numPr>
        <w:rPr>
          <w:rFonts w:ascii="Arial" w:cs="Arial" w:eastAsia="Arial" w:hAnsi="Arial"/>
          <w:sz w:val="16"/>
          <w:szCs w:val="16"/>
          <w:color w:val="FF0000"/>
          <w:strike w:val="1"/>
        </w:rPr>
      </w:pPr>
      <w:r>
        <w:rPr>
          <w:rFonts w:ascii="Arial" w:cs="Arial" w:eastAsia="Arial" w:hAnsi="Arial"/>
          <w:sz w:val="16"/>
          <w:szCs w:val="16"/>
          <w:color w:val="FF0000"/>
          <w:strike w:val="1"/>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249" w:lineRule="exact"/>
        <w:rPr>
          <w:rFonts w:ascii="Arial" w:cs="Arial" w:eastAsia="Arial" w:hAnsi="Arial"/>
          <w:sz w:val="16"/>
          <w:szCs w:val="16"/>
          <w:color w:val="FF0000"/>
          <w:strike w:val="1"/>
        </w:rPr>
      </w:pPr>
    </w:p>
    <w:p>
      <w:pPr>
        <w:jc w:val="both"/>
        <w:ind w:left="640" w:right="20" w:hanging="640"/>
        <w:spacing w:after="0" w:line="228" w:lineRule="auto"/>
        <w:tabs>
          <w:tab w:leader="none" w:pos="64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205" w:lineRule="exact"/>
        <w:rPr>
          <w:rFonts w:ascii="Arial" w:cs="Arial" w:eastAsia="Arial" w:hAnsi="Arial"/>
          <w:sz w:val="17"/>
          <w:szCs w:val="17"/>
          <w:color w:val="auto"/>
        </w:rPr>
      </w:pPr>
    </w:p>
    <w:p>
      <w:pPr>
        <w:jc w:val="both"/>
        <w:ind w:left="640" w:right="40" w:hanging="640"/>
        <w:spacing w:after="0" w:line="223"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3" w:lineRule="exact"/>
        <w:rPr>
          <w:rFonts w:ascii="Arial" w:cs="Arial" w:eastAsia="Arial" w:hAnsi="Arial"/>
          <w:sz w:val="18"/>
          <w:szCs w:val="18"/>
          <w:color w:val="auto"/>
        </w:rPr>
      </w:pPr>
    </w:p>
    <w:p>
      <w:pPr>
        <w:ind w:left="640" w:hanging="640"/>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Administrative Borrower and the Lenders of</w:t>
      </w:r>
    </w:p>
    <w:p>
      <w:pPr>
        <w:jc w:val="both"/>
        <w:ind w:left="640" w:right="20"/>
        <w:spacing w:after="0" w:line="247" w:lineRule="auto"/>
        <w:rPr>
          <w:rFonts w:ascii="Arial" w:cs="Arial" w:eastAsia="Arial" w:hAnsi="Arial"/>
          <w:sz w:val="18"/>
          <w:szCs w:val="18"/>
          <w:color w:val="auto"/>
        </w:rPr>
      </w:pPr>
      <w:r>
        <w:rPr>
          <w:rFonts w:ascii="Arial" w:cs="Arial" w:eastAsia="Arial" w:hAnsi="Arial"/>
          <w:sz w:val="16"/>
          <w:szCs w:val="16"/>
          <w:color w:val="auto"/>
        </w:rPr>
        <w:t>(A)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w:t>
      </w:r>
    </w:p>
    <w:p>
      <w:pPr>
        <w:spacing w:after="0" w:line="198" w:lineRule="exact"/>
        <w:rPr>
          <w:rFonts w:ascii="Arial" w:cs="Arial" w:eastAsia="Arial" w:hAnsi="Arial"/>
          <w:sz w:val="18"/>
          <w:szCs w:val="18"/>
          <w:color w:val="auto"/>
        </w:rPr>
      </w:pPr>
    </w:p>
    <w:p>
      <w:pPr>
        <w:jc w:val="both"/>
        <w:ind w:left="640" w:right="40" w:hanging="640"/>
        <w:spacing w:after="0" w:line="236" w:lineRule="auto"/>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At any time (including in connection with the implementation of a Benchmark Replacement), (A) if the then-current Benchmark is a term rate (including Term SOFR </w:t>
      </w:r>
      <w:r>
        <w:rPr>
          <w:rFonts w:ascii="Arial" w:cs="Arial" w:eastAsia="Arial" w:hAnsi="Arial"/>
          <w:sz w:val="17"/>
          <w:szCs w:val="17"/>
          <w:color w:val="FF0000"/>
        </w:rPr>
        <w:t>or LIBOR</w:t>
      </w:r>
      <w:r>
        <w:rPr>
          <w:rFonts w:ascii="Arial" w:cs="Arial" w:eastAsia="Arial" w:hAnsi="Arial"/>
          <w:sz w:val="17"/>
          <w:szCs w:val="17"/>
          <w:color w:val="auto"/>
        </w:rPr>
        <w:t>),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-307340</wp:posOffset>
            </wp:positionV>
            <wp:extent cx="533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color w:val="auto"/>
        </w:rPr>
        <w:t xml:space="preserve">Increased Cost and Reduced Return; Capital Adequacy;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 Reserves.</w:t>
      </w:r>
    </w:p>
    <w:p>
      <w:pPr>
        <w:spacing w:after="0" w:line="225" w:lineRule="exact"/>
        <w:rPr>
          <w:sz w:val="20"/>
          <w:szCs w:val="20"/>
          <w:color w:val="auto"/>
        </w:rPr>
      </w:pPr>
    </w:p>
    <w:p>
      <w:pPr>
        <w:jc w:val="both"/>
        <w:ind w:left="-640" w:right="40" w:firstLine="640"/>
        <w:spacing w:after="0" w:line="267" w:lineRule="auto"/>
        <w:tabs>
          <w:tab w:leader="none" w:pos="512" w:val="left"/>
        </w:tabs>
        <w:numPr>
          <w:ilvl w:val="0"/>
          <w:numId w:val="175"/>
        </w:numPr>
        <w:rPr>
          <w:rFonts w:ascii="Arial" w:cs="Arial" w:eastAsia="Arial" w:hAnsi="Arial"/>
          <w:sz w:val="16"/>
          <w:szCs w:val="16"/>
          <w:color w:val="010000"/>
        </w:rPr>
      </w:pPr>
      <w:r>
        <w:rPr>
          <w:rFonts w:ascii="Arial" w:cs="Arial" w:eastAsia="Arial" w:hAnsi="Arial"/>
          <w:sz w:val="16"/>
          <w:szCs w:val="16"/>
          <w:color w:val="auto"/>
        </w:rPr>
        <w:t xml:space="preserve">If any Lender reasonably determines that as a result of a Change in Law, there shall be any increase in the cost to such Lender of agreeing to make or making, funding or maintaining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or a reduction in the amount received or receivable by such Lender in connection with any of the foregoing (including any Taxes (other than (i) Indemnified Taxes or Other Taxes or (ii) Taxes imposed on or with</w:t>
      </w:r>
    </w:p>
    <w:p>
      <w:pPr>
        <w:sectPr>
          <w:pgSz w:w="11900" w:h="16838" w:orient="portrait"/>
          <w:cols w:equalWidth="0" w:num="1">
            <w:col w:w="10280"/>
          </w:cols>
          <w:pgMar w:left="1120" w:top="1440" w:right="499" w:bottom="1440" w:gutter="0" w:footer="0" w:header="0"/>
        </w:sectPr>
      </w:pPr>
    </w:p>
    <w:bookmarkStart w:id="159" w:name="page160"/>
    <w:bookmarkEnd w:id="159"/>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respect to any payment made by or on account of any obligation of any Loan Party under any Loan Document that are excluded from the definition of Indemnified Taxes pursuant to clauses (i) through (vi) thereof), including by imposing, modifying or holding applicable any reserve, special deposit, compulsory loan, insurance charge or similar requirement against its loans, loan principal, letters of credit, commitments, or other obligations, or its</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 xml:space="preserve">deposits, reserves, other liabilities or capital attributable thereto, and excluding for purposes of this Section 3.04(a) any such increased costs or reduction in amount resulting from reserve requirements contemplated by Section 3.04(c) </w:t>
      </w:r>
      <w:r>
        <w:rPr>
          <w:rFonts w:ascii="Arial" w:cs="Arial" w:eastAsia="Arial" w:hAnsi="Arial"/>
          <w:sz w:val="16"/>
          <w:szCs w:val="16"/>
          <w:color w:val="FF0000"/>
        </w:rPr>
        <w:t>or the definition of Eurocurrency Rate</w:t>
      </w:r>
      <w:r>
        <w:rPr>
          <w:rFonts w:ascii="Arial" w:cs="Arial" w:eastAsia="Arial" w:hAnsi="Arial"/>
          <w:sz w:val="16"/>
          <w:szCs w:val="16"/>
          <w:color w:val="auto"/>
        </w:rPr>
        <w:t xml:space="preserve"> ), then from time to time within fifteen (15) days after demand by such Lender setting forth in reasonable detail such increased costs (with a copy of such demand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-170815</wp:posOffset>
            </wp:positionV>
            <wp:extent cx="1822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822450" cy="8890"/>
                    </a:xfrm>
                    <a:prstGeom prst="rect">
                      <a:avLst/>
                    </a:prstGeom>
                    <a:noFill/>
                  </pic:spPr>
                </pic:pic>
              </a:graphicData>
            </a:graphic>
          </wp:anchor>
        </w:drawing>
      </w:r>
    </w:p>
    <w:p>
      <w:pPr>
        <w:jc w:val="both"/>
        <w:ind w:right="40"/>
        <w:spacing w:after="0" w:line="226" w:lineRule="auto"/>
        <w:rPr>
          <w:sz w:val="20"/>
          <w:szCs w:val="20"/>
          <w:color w:val="auto"/>
        </w:rPr>
      </w:pPr>
      <w:r>
        <w:rPr>
          <w:rFonts w:ascii="Arial" w:cs="Arial" w:eastAsia="Arial" w:hAnsi="Arial"/>
          <w:sz w:val="18"/>
          <w:szCs w:val="18"/>
          <w:color w:val="auto"/>
        </w:rPr>
        <w:t>Administrative Agent given in accordance with Section 3.06), the Borrowers shall pay to such Lender such additional amounts as will compensate such Lender for such increased cost or reduction.</w:t>
      </w:r>
    </w:p>
    <w:p>
      <w:pPr>
        <w:spacing w:after="0" w:line="188" w:lineRule="exact"/>
        <w:rPr>
          <w:sz w:val="20"/>
          <w:szCs w:val="20"/>
          <w:color w:val="auto"/>
        </w:rPr>
      </w:pPr>
    </w:p>
    <w:p>
      <w:pPr>
        <w:jc w:val="both"/>
        <w:ind w:firstLine="640"/>
        <w:spacing w:after="0" w:line="230" w:lineRule="auto"/>
        <w:tabs>
          <w:tab w:leader="none" w:pos="1152"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If any Lender reasonably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any such Lender’s holding companies, if any, as a consequence of this Agreement, the Commitments of such Lender or the Loans made by it, to a level below that which such Lender or such Lender’s holding companies could have achieved but for such Change in Law (taking into consideration such Lender’s policies and the policies of such Lender’s holding companies with respect to capital adequacy and liquidity), then from time to time upon demand of such Lender (with a copy of such demand to the Administrative Agent), the Borrowers will pay to such Lender, as the case may be, within fifteen (15) days after demand by such Lender, such additional amount or amounts as will compensate such Lender or such Lender’s holding companies for any such reduction suffered.</w:t>
      </w:r>
    </w:p>
    <w:p>
      <w:pPr>
        <w:spacing w:after="0" w:line="188" w:lineRule="exact"/>
        <w:rPr>
          <w:rFonts w:ascii="Arial" w:cs="Arial" w:eastAsia="Arial" w:hAnsi="Arial"/>
          <w:sz w:val="17"/>
          <w:szCs w:val="17"/>
          <w:color w:val="010000"/>
        </w:rPr>
      </w:pPr>
    </w:p>
    <w:p>
      <w:pPr>
        <w:jc w:val="both"/>
        <w:ind w:right="20" w:firstLine="639"/>
        <w:spacing w:after="0" w:line="226" w:lineRule="auto"/>
        <w:tabs>
          <w:tab w:leader="none" w:pos="1153"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 xml:space="preserve">The Borrowers shall pay to each Lender, (i) as long as such Lender shall be required to maintain reserves with respect to liabilities or assets consisting of or including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funds or deposits, additional interest on the unpaid principal amount of each applicable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 of the Borrowers equal to the actual costs of such reserves allocated to such Loan by such Lender (as determined</w:t>
      </w:r>
      <w:r>
        <w:rPr>
          <w:rFonts w:ascii="Arial" w:cs="Arial" w:eastAsia="Arial" w:hAnsi="Arial"/>
          <w:sz w:val="17"/>
          <w:szCs w:val="17"/>
          <w:color w:val="FF0000"/>
        </w:rPr>
        <w:t xml:space="preserve"> </w:t>
      </w:r>
      <w:r>
        <w:rPr>
          <w:rFonts w:ascii="Arial" w:cs="Arial" w:eastAsia="Arial" w:hAnsi="Arial"/>
          <w:sz w:val="17"/>
          <w:szCs w:val="17"/>
          <w:color w:val="000000"/>
        </w:rPr>
        <w:t xml:space="preserve">by such Lender in good faith, which determination shall be conclusive in the absence of manifest error), and (ii) as long as such Lender shall be required to comply with any reserve ratio requirement or analogous requirement of any other central banking or financing regulatory authority imposed in respect of the maintenance of the Commitments or the funding of any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of the Borrowers,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Borrowers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spacing w:after="0" w:line="19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3.05</w:t>
      </w:r>
      <w:r>
        <w:rPr>
          <w:sz w:val="20"/>
          <w:szCs w:val="20"/>
          <w:color w:val="auto"/>
        </w:rPr>
        <w:tab/>
      </w:r>
      <w:r>
        <w:rPr>
          <w:rFonts w:ascii="Arial" w:cs="Arial" w:eastAsia="Arial" w:hAnsi="Arial"/>
          <w:sz w:val="16"/>
          <w:szCs w:val="16"/>
          <w:color w:val="auto"/>
        </w:rPr>
        <w:t>Funding Losses.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written demand of any Lender (with a copy to the Administrative Agent) from time to time, which demand shall set forth in reasonable</w:t>
      </w:r>
    </w:p>
    <w:p>
      <w:pPr>
        <w:spacing w:after="0" w:line="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detail the basis for requesting such amount, the Borrowers shall promptly compensate such Lender for and hold such Lender harmless from any loss, cost or expense (excluding loss of anticipated profits or margin) actually incurred by it as a result of:</w:t>
      </w:r>
    </w:p>
    <w:p>
      <w:pPr>
        <w:spacing w:after="0" w:line="188" w:lineRule="exact"/>
        <w:rPr>
          <w:sz w:val="20"/>
          <w:szCs w:val="20"/>
          <w:color w:val="auto"/>
        </w:rPr>
      </w:pPr>
    </w:p>
    <w:p>
      <w:pPr>
        <w:ind w:left="640" w:right="140" w:firstLine="648"/>
        <w:spacing w:after="0" w:line="246" w:lineRule="auto"/>
        <w:tabs>
          <w:tab w:leader="none" w:pos="179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continuation, conversion, payment or prepayment of any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of the Borrowers on a day other than the last day of the Interest Period for such Loan; or</w:t>
      </w:r>
    </w:p>
    <w:p>
      <w:pPr>
        <w:spacing w:after="0" w:line="264" w:lineRule="exact"/>
        <w:rPr>
          <w:rFonts w:ascii="Arial" w:cs="Arial" w:eastAsia="Arial" w:hAnsi="Arial"/>
          <w:sz w:val="18"/>
          <w:szCs w:val="18"/>
          <w:color w:val="auto"/>
        </w:rPr>
      </w:pPr>
    </w:p>
    <w:p>
      <w:pPr>
        <w:ind w:left="640" w:right="40" w:firstLine="648"/>
        <w:spacing w:after="0" w:line="258" w:lineRule="auto"/>
        <w:tabs>
          <w:tab w:leader="none" w:pos="179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any failure by the Borrowers (for a reason other than the failure of such Lender to make a Loan) to prepay, borrow, continue or convert any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of the Borrowers on the date or in the amount notified by the Borrowers;</w:t>
      </w:r>
    </w:p>
    <w:p>
      <w:pPr>
        <w:sectPr>
          <w:pgSz w:w="11900" w:h="16838" w:orient="portrait"/>
          <w:cols w:equalWidth="0" w:num="1">
            <w:col w:w="10920"/>
          </w:cols>
          <w:pgMar w:left="480" w:top="1440" w:right="499" w:bottom="1440" w:gutter="0" w:footer="0" w:header="0"/>
        </w:sectPr>
      </w:pPr>
    </w:p>
    <w:bookmarkStart w:id="160" w:name="page161"/>
    <w:bookmarkEnd w:id="160"/>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including any loss or expense (excluding loss of anticipated profits or margin) arising from the liquidation or reemployment of funds obtained by it to maintain such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or from fees payable to terminate the deposits from which such funds were obtained.</w:t>
      </w:r>
    </w:p>
    <w:p>
      <w:pPr>
        <w:spacing w:after="0" w:line="17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3.06</w:t>
      </w:r>
      <w:r>
        <w:rPr>
          <w:sz w:val="20"/>
          <w:szCs w:val="20"/>
          <w:color w:val="auto"/>
        </w:rPr>
        <w:tab/>
      </w:r>
      <w:r>
        <w:rPr>
          <w:rFonts w:ascii="Arial" w:cs="Arial" w:eastAsia="Arial" w:hAnsi="Arial"/>
          <w:sz w:val="16"/>
          <w:szCs w:val="16"/>
          <w:color w:val="auto"/>
        </w:rPr>
        <w:t>Matters Applicable to All Requests for Compensation.</w:t>
      </w:r>
    </w:p>
    <w:p>
      <w:pPr>
        <w:spacing w:after="0" w:line="225" w:lineRule="exact"/>
        <w:rPr>
          <w:sz w:val="20"/>
          <w:szCs w:val="20"/>
          <w:color w:val="auto"/>
        </w:rPr>
      </w:pPr>
    </w:p>
    <w:p>
      <w:pPr>
        <w:jc w:val="both"/>
        <w:ind w:firstLine="639"/>
        <w:spacing w:after="0" w:line="230" w:lineRule="auto"/>
        <w:tabs>
          <w:tab w:leader="none" w:pos="1153" w:val="left"/>
        </w:tabs>
        <w:numPr>
          <w:ilvl w:val="0"/>
          <w:numId w:val="178"/>
        </w:numPr>
        <w:rPr>
          <w:rFonts w:ascii="Arial" w:cs="Arial" w:eastAsia="Arial" w:hAnsi="Arial"/>
          <w:sz w:val="17"/>
          <w:szCs w:val="17"/>
          <w:color w:val="010000"/>
        </w:rPr>
      </w:pPr>
      <w:r>
        <w:rPr>
          <w:rFonts w:ascii="Arial" w:cs="Arial" w:eastAsia="Arial" w:hAnsi="Arial"/>
          <w:sz w:val="17"/>
          <w:szCs w:val="17"/>
          <w:color w:val="auto"/>
        </w:rPr>
        <w:t xml:space="preserve">If any Lender requests compensation under Section 3.04, or the Borrowers are required to pay any additional amount to any Lender or any Governmental Authority for the account of any Lender pursuant to Section 3.01, or if any Lender gives a notice pursuant to Section 3.02,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3.01 or 3.04, as the case may be, in the future, or eliminate the need for the notice pursuant to Section 3.02, as applicable, and (ii) in each case, would not subject such Lender to any material unreimbursed cost or expense and would not otherwise be disadvantageous to such Lender in any material economic, legal or regulatory respect;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Section 3.06(a) shall affect or postpone any Obligations of the Borrowers or the rights of the Lenders under this Article III.</w:t>
      </w:r>
    </w:p>
    <w:p>
      <w:pPr>
        <w:spacing w:after="0" w:line="188" w:lineRule="exact"/>
        <w:rPr>
          <w:rFonts w:ascii="Arial" w:cs="Arial" w:eastAsia="Arial" w:hAnsi="Arial"/>
          <w:sz w:val="17"/>
          <w:szCs w:val="17"/>
          <w:color w:val="010000"/>
        </w:rPr>
      </w:pPr>
    </w:p>
    <w:p>
      <w:pPr>
        <w:jc w:val="both"/>
        <w:ind w:firstLine="640"/>
        <w:spacing w:after="0" w:line="219" w:lineRule="auto"/>
        <w:tabs>
          <w:tab w:leader="none" w:pos="115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If any Lender requests compensation by the Borrowers under Section 3.04, the Borrowers may, by notice to such Lender (with a copy to the Administrative Agent), suspend the obligation of such Lender to make or continue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from one Interest Period to another Interest Period, or to convert Base Rate Loans into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until the event or condition giving rise to such request ceases to be in effect (in which case the provisions of Section 3.06(d) shall be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suspension shall not affect the right of such Lender to receive the compensation so requested.</w:t>
      </w:r>
    </w:p>
    <w:p>
      <w:pPr>
        <w:spacing w:after="0" w:line="203" w:lineRule="exact"/>
        <w:rPr>
          <w:rFonts w:ascii="Arial" w:cs="Arial" w:eastAsia="Arial" w:hAnsi="Arial"/>
          <w:sz w:val="18"/>
          <w:szCs w:val="18"/>
          <w:color w:val="010000"/>
        </w:rPr>
      </w:pPr>
    </w:p>
    <w:p>
      <w:pPr>
        <w:jc w:val="both"/>
        <w:ind w:firstLine="640"/>
        <w:spacing w:after="0" w:line="229" w:lineRule="auto"/>
        <w:tabs>
          <w:tab w:leader="none" w:pos="1152" w:val="left"/>
        </w:tabs>
        <w:numPr>
          <w:ilvl w:val="0"/>
          <w:numId w:val="178"/>
        </w:numPr>
        <w:rPr>
          <w:rFonts w:ascii="Arial" w:cs="Arial" w:eastAsia="Arial" w:hAnsi="Arial"/>
          <w:sz w:val="17"/>
          <w:szCs w:val="17"/>
          <w:color w:val="010000"/>
        </w:rPr>
      </w:pPr>
      <w:r>
        <w:rPr>
          <w:rFonts w:ascii="Arial" w:cs="Arial" w:eastAsia="Arial" w:hAnsi="Arial"/>
          <w:sz w:val="17"/>
          <w:szCs w:val="17"/>
          <w:color w:val="auto"/>
        </w:rPr>
        <w:t xml:space="preserve">Failure or delay on the part of any Lender to demand compensation pursuant to the foregoing provisions of Section 3.01, 3.02, 3.03 or 3.04 shall not constitute a waiver of such Lender’s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Borrowers shall not be required to compensate a Lender pursuant to the foregoing provisions of Section 3.01, 3.02, 3.03 or 3.04 for any increased costs incurred or reductions suffered more than one hundred and eighty (180) days prior to the date that such Lender notifies the Borrowers of the event giving rise to such claim and of such Lender’s intention to claim compensation therefor (except that, if the circumstance giving rise to such increased costs or reductions is retroactive, then the 180-day period referred to above shall be extended to include the period of retroactive effect thereof).</w:t>
      </w:r>
    </w:p>
    <w:p>
      <w:pPr>
        <w:spacing w:after="0" w:line="203" w:lineRule="exact"/>
        <w:rPr>
          <w:rFonts w:ascii="Arial" w:cs="Arial" w:eastAsia="Arial" w:hAnsi="Arial"/>
          <w:sz w:val="17"/>
          <w:szCs w:val="17"/>
          <w:color w:val="010000"/>
        </w:rPr>
      </w:pPr>
    </w:p>
    <w:p>
      <w:pPr>
        <w:jc w:val="both"/>
        <w:ind w:firstLine="640"/>
        <w:spacing w:after="0" w:line="226" w:lineRule="auto"/>
        <w:tabs>
          <w:tab w:leader="none" w:pos="1152" w:val="left"/>
        </w:tabs>
        <w:numPr>
          <w:ilvl w:val="0"/>
          <w:numId w:val="178"/>
        </w:numPr>
        <w:rPr>
          <w:rFonts w:ascii="Arial" w:cs="Arial" w:eastAsia="Arial" w:hAnsi="Arial"/>
          <w:sz w:val="17"/>
          <w:szCs w:val="17"/>
          <w:color w:val="010000"/>
        </w:rPr>
      </w:pPr>
      <w:r>
        <w:rPr>
          <w:rFonts w:ascii="Arial" w:cs="Arial" w:eastAsia="Arial" w:hAnsi="Arial"/>
          <w:sz w:val="17"/>
          <w:szCs w:val="17"/>
          <w:color w:val="auto"/>
        </w:rPr>
        <w:t xml:space="preserve">If the obligation of any Lender to make or continue any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or to convert Base Rate Loans into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shall be suspended pursuant to Section 3.06(b) hereof, such Lender’s applicable</w:t>
      </w:r>
      <w:r>
        <w:rPr>
          <w:rFonts w:ascii="Arial" w:cs="Arial" w:eastAsia="Arial" w:hAnsi="Arial"/>
          <w:sz w:val="17"/>
          <w:szCs w:val="17"/>
          <w:color w:val="FF0000"/>
        </w:rPr>
        <w:t xml:space="preserv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 xml:space="preserve">Loans shall be automatically converted into Base Rate Loans on the last day(s) of the then current Interest Period(s) for such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SOFR</w:t>
      </w:r>
      <w:r>
        <w:rPr>
          <w:rFonts w:ascii="Arial" w:cs="Arial" w:eastAsia="Arial" w:hAnsi="Arial"/>
          <w:sz w:val="17"/>
          <w:szCs w:val="17"/>
          <w:color w:val="0000FF"/>
        </w:rPr>
        <w:t xml:space="preserve"> </w:t>
      </w:r>
      <w:r>
        <w:rPr>
          <w:rFonts w:ascii="Arial" w:cs="Arial" w:eastAsia="Arial" w:hAnsi="Arial"/>
          <w:sz w:val="17"/>
          <w:szCs w:val="17"/>
          <w:color w:val="000000"/>
        </w:rPr>
        <w:t>Loans (or, in the case of any immediate conversion required by Section 3.02, on such earlier date as required by Law) and, unless and until such</w:t>
      </w:r>
      <w:r>
        <w:rPr>
          <w:rFonts w:ascii="Arial" w:cs="Arial" w:eastAsia="Arial" w:hAnsi="Arial"/>
          <w:sz w:val="17"/>
          <w:szCs w:val="17"/>
          <w:color w:val="0000FF"/>
        </w:rPr>
        <w:t xml:space="preserve"> </w:t>
      </w:r>
      <w:r>
        <w:rPr>
          <w:rFonts w:ascii="Arial" w:cs="Arial" w:eastAsia="Arial" w:hAnsi="Arial"/>
          <w:sz w:val="17"/>
          <w:szCs w:val="17"/>
          <w:color w:val="000000"/>
        </w:rPr>
        <w:t>Lender gives notice as provided below that the circumstances specified in Section 3.02, 3.03 or</w:t>
      </w:r>
    </w:p>
    <w:p>
      <w:pPr>
        <w:spacing w:after="0"/>
        <w:rPr>
          <w:rFonts w:ascii="Arial" w:cs="Arial" w:eastAsia="Arial" w:hAnsi="Arial"/>
          <w:sz w:val="17"/>
          <w:szCs w:val="17"/>
          <w:color w:val="010000"/>
        </w:rPr>
      </w:pPr>
      <w:r>
        <w:rPr>
          <w:rFonts w:ascii="Arial" w:cs="Arial" w:eastAsia="Arial" w:hAnsi="Arial"/>
          <w:sz w:val="18"/>
          <w:szCs w:val="18"/>
          <w:color w:val="auto"/>
        </w:rPr>
        <w:t>3.04 hereof that gave rise to such conversion no longer exist:</w:t>
      </w:r>
    </w:p>
    <w:p>
      <w:pPr>
        <w:spacing w:after="0" w:line="209" w:lineRule="exact"/>
        <w:rPr>
          <w:rFonts w:ascii="Arial" w:cs="Arial" w:eastAsia="Arial" w:hAnsi="Arial"/>
          <w:sz w:val="17"/>
          <w:szCs w:val="17"/>
          <w:color w:val="010000"/>
        </w:rPr>
      </w:pPr>
    </w:p>
    <w:p>
      <w:pPr>
        <w:jc w:val="both"/>
        <w:ind w:left="640" w:firstLine="648"/>
        <w:spacing w:after="0" w:line="224" w:lineRule="auto"/>
        <w:tabs>
          <w:tab w:leader="none" w:pos="1792" w:val="left"/>
        </w:tabs>
        <w:numPr>
          <w:ilvl w:val="1"/>
          <w:numId w:val="178"/>
        </w:numPr>
        <w:rPr>
          <w:rFonts w:ascii="Arial" w:cs="Arial" w:eastAsia="Arial" w:hAnsi="Arial"/>
          <w:sz w:val="18"/>
          <w:szCs w:val="18"/>
          <w:color w:val="010000"/>
        </w:rPr>
      </w:pPr>
      <w:r>
        <w:rPr>
          <w:rFonts w:ascii="Arial" w:cs="Arial" w:eastAsia="Arial" w:hAnsi="Arial"/>
          <w:sz w:val="18"/>
          <w:szCs w:val="18"/>
          <w:color w:val="auto"/>
        </w:rPr>
        <w:t xml:space="preserve">to the extent that such Lender’s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have been so converted, all payments and prepayments of principal that would otherwise be applied to such Lender’s applicable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shall be applied instead to its Base Rate Loans; and</w:t>
      </w:r>
    </w:p>
    <w:p>
      <w:pPr>
        <w:spacing w:after="0" w:line="284" w:lineRule="exact"/>
        <w:rPr>
          <w:rFonts w:ascii="Arial" w:cs="Arial" w:eastAsia="Arial" w:hAnsi="Arial"/>
          <w:sz w:val="18"/>
          <w:szCs w:val="18"/>
          <w:color w:val="010000"/>
        </w:rPr>
      </w:pPr>
    </w:p>
    <w:p>
      <w:pPr>
        <w:jc w:val="both"/>
        <w:ind w:left="640" w:firstLine="648"/>
        <w:spacing w:after="0" w:line="237" w:lineRule="auto"/>
        <w:tabs>
          <w:tab w:leader="none" w:pos="1792" w:val="left"/>
        </w:tabs>
        <w:numPr>
          <w:ilvl w:val="1"/>
          <w:numId w:val="178"/>
        </w:numPr>
        <w:rPr>
          <w:rFonts w:ascii="Arial" w:cs="Arial" w:eastAsia="Arial" w:hAnsi="Arial"/>
          <w:sz w:val="17"/>
          <w:szCs w:val="17"/>
          <w:color w:val="010000"/>
        </w:rPr>
      </w:pPr>
      <w:r>
        <w:rPr>
          <w:rFonts w:ascii="Arial" w:cs="Arial" w:eastAsia="Arial" w:hAnsi="Arial"/>
          <w:sz w:val="17"/>
          <w:szCs w:val="17"/>
          <w:color w:val="auto"/>
        </w:rPr>
        <w:t xml:space="preserve">all Loans that would otherwise be made or continued from one Interest Period to another by such Lender as </w:t>
      </w:r>
      <w:r>
        <w:rPr>
          <w:rFonts w:ascii="Arial" w:cs="Arial" w:eastAsia="Arial" w:hAnsi="Arial"/>
          <w:sz w:val="17"/>
          <w:szCs w:val="17"/>
          <w:color w:val="FF0000"/>
          <w:strike w:val="1"/>
        </w:rPr>
        <w:t>Eurocurrency</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shall be made or continued instead as Base Rate Loans (if possible), and all Base Rate Loans of such Lender that</w:t>
      </w:r>
      <w:r>
        <w:rPr>
          <w:rFonts w:ascii="Arial" w:cs="Arial" w:eastAsia="Arial" w:hAnsi="Arial"/>
          <w:sz w:val="17"/>
          <w:szCs w:val="17"/>
          <w:color w:val="FF0000"/>
        </w:rPr>
        <w:t xml:space="preserve"> </w:t>
      </w:r>
      <w:r>
        <w:rPr>
          <w:rFonts w:ascii="Arial" w:cs="Arial" w:eastAsia="Arial" w:hAnsi="Arial"/>
          <w:sz w:val="17"/>
          <w:szCs w:val="17"/>
          <w:color w:val="000000"/>
        </w:rPr>
        <w:t xml:space="preserve">would otherwise be converted into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shall remain as Base Rate Loans.</w:t>
      </w:r>
    </w:p>
    <w:p>
      <w:pPr>
        <w:spacing w:after="0" w:line="284" w:lineRule="exact"/>
        <w:rPr>
          <w:rFonts w:ascii="Arial" w:cs="Arial" w:eastAsia="Arial" w:hAnsi="Arial"/>
          <w:sz w:val="17"/>
          <w:szCs w:val="17"/>
          <w:color w:val="010000"/>
        </w:rPr>
      </w:pPr>
    </w:p>
    <w:p>
      <w:pPr>
        <w:jc w:val="both"/>
        <w:ind w:firstLine="639"/>
        <w:spacing w:after="0" w:line="229" w:lineRule="auto"/>
        <w:tabs>
          <w:tab w:leader="none" w:pos="1153"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If any Lender gives notice to the Borrowers (with a copy to the Administrative Agent) that the circumstances specified in Section 3.02, 3.03 or 3.04 hereof that gave rise to the conversion of any of such Lender’s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pursuant to this Section 3.06 no longer exist (which such Lender agrees to do</w:t>
      </w:r>
    </w:p>
    <w:p>
      <w:pPr>
        <w:sectPr>
          <w:pgSz w:w="11900" w:h="16838" w:orient="portrait"/>
          <w:cols w:equalWidth="0" w:num="1">
            <w:col w:w="10880"/>
          </w:cols>
          <w:pgMar w:left="480" w:top="1440" w:right="539" w:bottom="1440" w:gutter="0" w:footer="0" w:header="0"/>
        </w:sectPr>
      </w:pPr>
    </w:p>
    <w:bookmarkStart w:id="161" w:name="page162"/>
    <w:bookmarkEnd w:id="161"/>
    <w:p>
      <w:pPr>
        <w:spacing w:after="0" w:line="211" w:lineRule="exact"/>
        <w:rPr>
          <w:sz w:val="20"/>
          <w:szCs w:val="20"/>
          <w:color w:val="auto"/>
        </w:rPr>
      </w:pPr>
    </w:p>
    <w:p>
      <w:pPr>
        <w:jc w:val="both"/>
        <w:ind w:left="9" w:right="40"/>
        <w:spacing w:after="0" w:line="241" w:lineRule="auto"/>
        <w:rPr>
          <w:sz w:val="20"/>
          <w:szCs w:val="20"/>
          <w:color w:val="auto"/>
        </w:rPr>
      </w:pPr>
      <w:r>
        <w:rPr>
          <w:rFonts w:ascii="Arial" w:cs="Arial" w:eastAsia="Arial" w:hAnsi="Arial"/>
          <w:sz w:val="16"/>
          <w:szCs w:val="16"/>
          <w:color w:val="auto"/>
        </w:rPr>
        <w:t xml:space="preserve">promptly upon such circumstances ceasing to exist) at a time when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made by other Lenders under the applicable Facility are outstanding, if applicable, such Lender’s Base Rate Loans shall be automatically converted, on the first day(s) of the next succeeding Interest Period(s) for such outstanding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to the extent necessary so that, after giving effect thereto, all Loans held</w:t>
      </w:r>
    </w:p>
    <w:p>
      <w:pPr>
        <w:spacing w:after="0" w:line="2" w:lineRule="exact"/>
        <w:rPr>
          <w:sz w:val="20"/>
          <w:szCs w:val="20"/>
          <w:color w:val="auto"/>
        </w:rPr>
      </w:pPr>
    </w:p>
    <w:p>
      <w:pPr>
        <w:jc w:val="both"/>
        <w:ind w:left="9" w:right="40"/>
        <w:spacing w:after="0" w:line="226" w:lineRule="auto"/>
        <w:rPr>
          <w:sz w:val="20"/>
          <w:szCs w:val="20"/>
          <w:color w:val="auto"/>
        </w:rPr>
      </w:pPr>
      <w:r>
        <w:rPr>
          <w:rFonts w:ascii="Arial" w:cs="Arial" w:eastAsia="Arial" w:hAnsi="Arial"/>
          <w:sz w:val="18"/>
          <w:szCs w:val="18"/>
          <w:color w:val="auto"/>
        </w:rPr>
        <w:t xml:space="preserve">by the Lenders holding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under such Facility and by such Lender are held pro rata (as to principal amounts, interest rate basis, and Interest Periods) in accordance with their respective Commitments for the applicable Facility.</w:t>
      </w:r>
    </w:p>
    <w:p>
      <w:pPr>
        <w:spacing w:after="0" w:line="188" w:lineRule="exact"/>
        <w:rPr>
          <w:sz w:val="20"/>
          <w:szCs w:val="20"/>
          <w:color w:val="auto"/>
        </w:rPr>
      </w:pPr>
    </w:p>
    <w:p>
      <w:pPr>
        <w:jc w:val="both"/>
        <w:ind w:left="9" w:right="40" w:firstLine="639"/>
        <w:spacing w:after="0" w:line="229" w:lineRule="auto"/>
        <w:tabs>
          <w:tab w:leader="none" w:pos="1162"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Any Agent or Lender claiming compensation under this Article III shall deliver a certificate to the Borrowers setting forth in reasonable detail the additional amount or amounts to be paid to it hereunder, which shall be conclusive on the absence of manifest error. In determining such amounts, such Agent or Lender may use any reasonable averaging and attribution methods.</w:t>
      </w:r>
    </w:p>
    <w:p>
      <w:pPr>
        <w:spacing w:after="0" w:line="191"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3.07</w:t>
      </w:r>
      <w:r>
        <w:rPr>
          <w:sz w:val="20"/>
          <w:szCs w:val="20"/>
          <w:color w:val="auto"/>
        </w:rPr>
        <w:tab/>
      </w:r>
      <w:r>
        <w:rPr>
          <w:rFonts w:ascii="Arial" w:cs="Arial" w:eastAsia="Arial" w:hAnsi="Arial"/>
          <w:sz w:val="16"/>
          <w:szCs w:val="16"/>
          <w:color w:val="auto"/>
        </w:rPr>
        <w:t>Replacement of Lenders under Certain Circumstances.</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6"/>
          <w:szCs w:val="16"/>
          <w:color w:val="auto"/>
        </w:rPr>
        <w:t xml:space="preserve">If (i) any Lender ceases to make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as a result of any condition described in Section 3.02 or Section 3.04,</w:t>
      </w:r>
    </w:p>
    <w:p>
      <w:pPr>
        <w:spacing w:after="0" w:line="21" w:lineRule="exact"/>
        <w:rPr>
          <w:sz w:val="20"/>
          <w:szCs w:val="20"/>
          <w:color w:val="auto"/>
        </w:rPr>
      </w:pPr>
    </w:p>
    <w:p>
      <w:pPr>
        <w:jc w:val="both"/>
        <w:ind w:left="9" w:hanging="9"/>
        <w:spacing w:after="0" w:line="238" w:lineRule="auto"/>
        <w:tabs>
          <w:tab w:leader="none" w:pos="28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Borrowers are required to pay any additional amount to any Lender or any Governmental Authority for the account of any Lender pursuant to Section 3.01 or 3.04, (iii) any Lender is a Non-Consenting Lender, (iv) any Lender becomes a Defaulting Lender, or (v) any other circumstance exists hereunder that gives the Borrowers the right to replace a Lender as a party hereto, then the Borrowers may, at their sole expense and effort, upon notice to such Lender and the Administrative Agent, (x) require such Lender to assign and delegate, without recourse (in accordance with and subject to the restrictions contained in, and consents required by, Section 10.07), all of its interests, rights and obligations under this Agreement (or, with respect to clause (iii) above, all of its interests, rights and obligations with respect to the Class of Loans or Commitments that is the subject of the related consent, waiver and amendment) and the related Loan Documents to one or more Eligible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Administrative Agent nor any Lender shall have any obligation to the Borrowers to find a replacement Lender or other such Person) that shall assume such obligations (any of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04" w:lineRule="exact"/>
        <w:rPr>
          <w:rFonts w:ascii="Arial" w:cs="Arial" w:eastAsia="Arial" w:hAnsi="Arial"/>
          <w:sz w:val="16"/>
          <w:szCs w:val="16"/>
          <w:color w:val="auto"/>
        </w:rPr>
      </w:pPr>
    </w:p>
    <w:p>
      <w:pPr>
        <w:ind w:left="1809" w:hanging="350"/>
        <w:spacing w:after="0"/>
        <w:tabs>
          <w:tab w:leader="none" w:pos="1809" w:val="left"/>
        </w:tabs>
        <w:numPr>
          <w:ilvl w:val="2"/>
          <w:numId w:val="180"/>
        </w:numPr>
        <w:rPr>
          <w:rFonts w:ascii="Arial" w:cs="Arial" w:eastAsia="Arial" w:hAnsi="Arial"/>
          <w:sz w:val="16"/>
          <w:szCs w:val="16"/>
          <w:color w:val="010000"/>
        </w:rPr>
      </w:pPr>
      <w:r>
        <w:rPr>
          <w:rFonts w:ascii="Arial" w:cs="Arial" w:eastAsia="Arial" w:hAnsi="Arial"/>
          <w:sz w:val="16"/>
          <w:szCs w:val="16"/>
          <w:color w:val="auto"/>
        </w:rPr>
        <w:t>the Borrowers or the Assignee shall have paid to the Administrative Agent the assignment fee specified in Section 10.07(b)(ii)</w:t>
      </w:r>
    </w:p>
    <w:p>
      <w:pPr>
        <w:spacing w:after="0" w:line="7" w:lineRule="exact"/>
        <w:rPr>
          <w:rFonts w:ascii="Arial" w:cs="Arial" w:eastAsia="Arial" w:hAnsi="Arial"/>
          <w:sz w:val="16"/>
          <w:szCs w:val="16"/>
          <w:color w:val="010000"/>
        </w:rPr>
      </w:pPr>
    </w:p>
    <w:p>
      <w:pPr>
        <w:ind w:left="1089" w:hanging="278"/>
        <w:spacing w:after="0"/>
        <w:tabs>
          <w:tab w:leader="none" w:pos="108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(unless otherwise waived by the Administrative Agent);</w:t>
      </w:r>
    </w:p>
    <w:p>
      <w:pPr>
        <w:spacing w:after="0" w:line="209" w:lineRule="exact"/>
        <w:rPr>
          <w:rFonts w:ascii="Arial" w:cs="Arial" w:eastAsia="Arial" w:hAnsi="Arial"/>
          <w:sz w:val="18"/>
          <w:szCs w:val="18"/>
          <w:color w:val="auto"/>
        </w:rPr>
      </w:pPr>
    </w:p>
    <w:p>
      <w:pPr>
        <w:jc w:val="both"/>
        <w:ind w:left="809" w:right="20" w:firstLine="650"/>
        <w:spacing w:after="0" w:line="232" w:lineRule="auto"/>
        <w:tabs>
          <w:tab w:leader="none" w:pos="1799" w:val="left"/>
        </w:tabs>
        <w:numPr>
          <w:ilvl w:val="2"/>
          <w:numId w:val="181"/>
        </w:numPr>
        <w:rPr>
          <w:rFonts w:ascii="Arial" w:cs="Arial" w:eastAsia="Arial" w:hAnsi="Arial"/>
          <w:sz w:val="17"/>
          <w:szCs w:val="17"/>
          <w:color w:val="010000"/>
        </w:rPr>
      </w:pPr>
      <w:r>
        <w:rPr>
          <w:rFonts w:ascii="Arial" w:cs="Arial" w:eastAsia="Arial" w:hAnsi="Arial"/>
          <w:sz w:val="17"/>
          <w:szCs w:val="17"/>
          <w:color w:val="auto"/>
        </w:rPr>
        <w:t>such Lender shall have received payment of an amount equal to the applicable outstanding principal of its Loans, accrued interest thereon, accrued fees and all other amounts payable to it hereunder and under the other Loan Documents (including any amounts under Section 2.05(a)(vi) in connection with a Repricing Transaction and Section 3.05) from the assignee (to the extent of such outstanding principal and accrued interest and fees (other than any amount under Section 2.05(a)(vi))) or the Borrowers;</w:t>
      </w:r>
    </w:p>
    <w:p>
      <w:pPr>
        <w:spacing w:after="0" w:line="202" w:lineRule="exact"/>
        <w:rPr>
          <w:rFonts w:ascii="Arial" w:cs="Arial" w:eastAsia="Arial" w:hAnsi="Arial"/>
          <w:sz w:val="17"/>
          <w:szCs w:val="17"/>
          <w:color w:val="010000"/>
        </w:rPr>
      </w:pPr>
    </w:p>
    <w:p>
      <w:pPr>
        <w:jc w:val="both"/>
        <w:ind w:left="809" w:right="20" w:firstLine="650"/>
        <w:spacing w:after="0" w:line="248" w:lineRule="auto"/>
        <w:tabs>
          <w:tab w:leader="none" w:pos="1799" w:val="left"/>
        </w:tabs>
        <w:numPr>
          <w:ilvl w:val="2"/>
          <w:numId w:val="181"/>
        </w:numPr>
        <w:rPr>
          <w:rFonts w:ascii="Arial" w:cs="Arial" w:eastAsia="Arial" w:hAnsi="Arial"/>
          <w:sz w:val="16"/>
          <w:szCs w:val="16"/>
          <w:color w:val="010000"/>
        </w:rPr>
      </w:pPr>
      <w:r>
        <w:rPr>
          <w:rFonts w:ascii="Arial" w:cs="Arial" w:eastAsia="Arial" w:hAnsi="Arial"/>
          <w:sz w:val="16"/>
          <w:szCs w:val="16"/>
          <w:color w:val="auto"/>
        </w:rPr>
        <w:t xml:space="preserve">such Lender being replaced pursuant to this Section 3.07 shall (1) execute and deliver an Assignment and Assumption with respect to all, or a portion as applicable, of such Lender’s Commitment and outstanding Loans, and (2) deliver any Notes evidencing such Loans to the Borrowers or Administrative Agent (or a lost or destroyed note indemnity in lieu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such Lender to execute an Assignment and Assumption or deliver such Notes shall not render such sale and purchase (and the corresponding assignment) invalid and such assignment may be recorded in the Register and the Notes shall be deemed to be canceled upon such failure;</w:t>
      </w:r>
    </w:p>
    <w:p>
      <w:pPr>
        <w:spacing w:after="0" w:line="196" w:lineRule="exact"/>
        <w:rPr>
          <w:rFonts w:ascii="Arial" w:cs="Arial" w:eastAsia="Arial" w:hAnsi="Arial"/>
          <w:sz w:val="16"/>
          <w:szCs w:val="16"/>
          <w:color w:val="010000"/>
        </w:rPr>
      </w:pPr>
    </w:p>
    <w:p>
      <w:pPr>
        <w:jc w:val="both"/>
        <w:ind w:left="809" w:right="40" w:firstLine="650"/>
        <w:spacing w:after="0" w:line="259" w:lineRule="auto"/>
        <w:tabs>
          <w:tab w:leader="none" w:pos="1799" w:val="left"/>
        </w:tabs>
        <w:numPr>
          <w:ilvl w:val="2"/>
          <w:numId w:val="181"/>
        </w:numPr>
        <w:rPr>
          <w:rFonts w:ascii="Arial" w:cs="Arial" w:eastAsia="Arial" w:hAnsi="Arial"/>
          <w:sz w:val="16"/>
          <w:szCs w:val="16"/>
          <w:color w:val="010000"/>
        </w:rPr>
      </w:pPr>
      <w:r>
        <w:rPr>
          <w:rFonts w:ascii="Arial" w:cs="Arial" w:eastAsia="Arial" w:hAnsi="Arial"/>
          <w:sz w:val="16"/>
          <w:szCs w:val="16"/>
          <w:color w:val="auto"/>
        </w:rPr>
        <w:t>upon such payment set forth in clauses (a) and (b) above and, if so requested by the assignee Lender, delivery to the assignee Lender of the appropriate Note or Notes executed by the Borrowers, the assignee Lender shall become a Lender hereunder and the assigning Lender shall cease to constitute a Lender hereunder with respect to such assigned Loans, Commitments and participations,</w:t>
      </w:r>
    </w:p>
    <w:p>
      <w:pPr>
        <w:sectPr>
          <w:pgSz w:w="11900" w:h="16838" w:orient="portrait"/>
          <w:cols w:equalWidth="0" w:num="1">
            <w:col w:w="10929"/>
          </w:cols>
          <w:pgMar w:left="471" w:top="1440" w:right="499" w:bottom="1440" w:gutter="0" w:footer="0" w:header="0"/>
        </w:sectPr>
      </w:pPr>
    </w:p>
    <w:bookmarkStart w:id="162" w:name="page163"/>
    <w:bookmarkEnd w:id="162"/>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with respect to indemnification provisions under this Agreement, which shall survive as to such assigning Lender;</w:t>
      </w:r>
    </w:p>
    <w:p>
      <w:pPr>
        <w:spacing w:after="0" w:line="225" w:lineRule="exact"/>
        <w:rPr>
          <w:sz w:val="20"/>
          <w:szCs w:val="20"/>
          <w:color w:val="auto"/>
        </w:rPr>
      </w:pPr>
    </w:p>
    <w:p>
      <w:pPr>
        <w:ind w:left="800" w:right="40" w:firstLine="650"/>
        <w:spacing w:after="0" w:line="258" w:lineRule="auto"/>
        <w:tabs>
          <w:tab w:leader="none" w:pos="1790" w:val="left"/>
        </w:tabs>
        <w:numPr>
          <w:ilvl w:val="0"/>
          <w:numId w:val="182"/>
        </w:numPr>
        <w:rPr>
          <w:rFonts w:ascii="Arial" w:cs="Arial" w:eastAsia="Arial" w:hAnsi="Arial"/>
          <w:sz w:val="17"/>
          <w:szCs w:val="17"/>
          <w:color w:val="010000"/>
        </w:rPr>
      </w:pPr>
      <w:r>
        <w:rPr>
          <w:rFonts w:ascii="Arial" w:cs="Arial" w:eastAsia="Arial" w:hAnsi="Arial"/>
          <w:sz w:val="17"/>
          <w:szCs w:val="17"/>
          <w:color w:val="auto"/>
        </w:rPr>
        <w:t>in the case of any such assignment resulting from a claim for compensation under Section 3.04 or payments required to be made pursuant to Section 3.01, such assignment will result in a reduction in such compensation or payments thereafter;</w:t>
      </w:r>
    </w:p>
    <w:p>
      <w:pPr>
        <w:spacing w:after="0" w:line="173" w:lineRule="exact"/>
        <w:rPr>
          <w:rFonts w:ascii="Arial" w:cs="Arial" w:eastAsia="Arial" w:hAnsi="Arial"/>
          <w:sz w:val="17"/>
          <w:szCs w:val="17"/>
          <w:color w:val="010000"/>
        </w:rPr>
      </w:pPr>
    </w:p>
    <w:p>
      <w:pPr>
        <w:ind w:left="2100" w:hanging="650"/>
        <w:spacing w:after="0"/>
        <w:tabs>
          <w:tab w:leader="none" w:pos="2100"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such assignment does not conflict with applicable Laws;</w:t>
      </w:r>
    </w:p>
    <w:p>
      <w:pPr>
        <w:spacing w:after="0" w:line="225" w:lineRule="exact"/>
        <w:rPr>
          <w:rFonts w:ascii="Arial" w:cs="Arial" w:eastAsia="Arial" w:hAnsi="Arial"/>
          <w:sz w:val="18"/>
          <w:szCs w:val="18"/>
          <w:color w:val="010000"/>
        </w:rPr>
      </w:pPr>
    </w:p>
    <w:p>
      <w:pPr>
        <w:ind w:left="2100" w:hanging="650"/>
        <w:spacing w:after="0"/>
        <w:tabs>
          <w:tab w:leader="none" w:pos="2100"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010000"/>
        </w:rPr>
      </w:pPr>
    </w:p>
    <w:p>
      <w:pPr>
        <w:ind w:left="800" w:right="40" w:firstLine="650"/>
        <w:spacing w:after="0" w:line="246" w:lineRule="auto"/>
        <w:tabs>
          <w:tab w:leader="none" w:pos="1790"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the Lender that acts as the Administrative Agent cannot be replaced in its capacity as Administrative Agent other than in accordance with Section 9.06,</w:t>
      </w:r>
    </w:p>
    <w:p>
      <w:pPr>
        <w:spacing w:after="0" w:line="197"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 xml:space="preserve">or (y) terminate the Commitment of such Lender, and in the case of a Lender, repay all Obligations of the Borrowers owing to such Lender relating to the Loans and participations held by such Lender as of such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such termination of the Commitment of a Non-Consenting Lender such termination shall be sufficient (together with all other consenting Lenders) to cause the adoption of the applicable</w:t>
      </w:r>
    </w:p>
    <w:p>
      <w:pPr>
        <w:spacing w:after="0" w:line="2"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color w:val="auto"/>
        </w:rPr>
        <w:t>departure, waiver or amendment of the Loan Documents and such termination shall, with respect to clause (iii) above, be in respect of all of its interests, rights and obligations with respect to the Class of Loans or Commitments that is the subject of the related consent, waiver and amendment.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Notwithstanding the foregoing, in addition if a Non-Consenting Lender is being replaced in connection with any Extension Amendment,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Refinancing Amendment, Permitted Repricing Amendment or amendment effecting a Replacement Term Loan, the Borrowers shall have the option, with the consent of the Administrative Agent and subject to at least three Business Days’ advance notice (which notice may be rescinded if the transaction contemplated in such notice is not consummated) to such Non-Consenting Lenders, in lieu of execution of an Assignment and Assumption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otherwise provided for in this clause (b), effect such assignment by purchasing any such Non-Consenting Lender’s Loans (which shall be automatically cancelled upon consummation of such acquisition) and unfunded Commitments at par (allocated among the applicable Lenders in the same manner as would be required if such Loans were being optionally prepaid or such Commitments were being optionally reduced or terminated by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Borrowers), accompanied by payment of any accrued interest and fees thereon (and, if applicable, any amounts payable pursuant to clause (e) of this Section, Section 3.05 and any amounts under Section 2.05(a)(vi) in connection with a Repricing Transaction). By receiving such purchase price, the applicable Lenders shall automatically be deemed to have assigned such Loans or Commitments pursuant to the terms of an Assignment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Assumption, and accordingly no other action by such Lenders shall be required in connection therewith.</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event that (i) the Borrowers or the Administrative Agent has requested that the Lenders consent to a departure or waiver of any</w:t>
      </w:r>
    </w:p>
    <w:p>
      <w:pPr>
        <w:spacing w:after="0" w:line="10"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provisions of the Loan Documents or agree to any amendment thereto, (ii) the consent, waiver or amendment in question requires the agreement of each affected Lender or all the Lenders with respect to a certain Class or Classes of the Loans and/or Commitments and (iii) the Required Lenders (or, in the case of a consent, waiver or amendment involving all affected Lenders or all Lenders of a certain Class or Classes (including to the extent such</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Classes constitute all outstanding Classes), in lieu of the Required Lenders, the Required Class Lenders) have agreed (but solely to the extent required by Section 10.01) to such consent, waiver or amendment (including, in each case, by virtue of such Lender refusing to make or enter into an Extension Election pursuant to Section 2.16, a Refinancing Amendment pursuant to Section 2.15, a Permitted Repricing Amendment or an amendment effecting</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a Replacement Term Loan pursuant to Section 10.01), then any Lender who does not agree to such consent, waiver or amendment shall be deemed a “</w:t>
      </w:r>
      <w:r>
        <w:rPr>
          <w:rFonts w:ascii="Arial" w:cs="Arial" w:eastAsia="Arial" w:hAnsi="Arial"/>
          <w:sz w:val="18"/>
          <w:szCs w:val="18"/>
          <w:b w:val="1"/>
          <w:bCs w:val="1"/>
          <w:color w:val="auto"/>
        </w:rPr>
        <w:t>Non-Consenting Lender</w:t>
      </w:r>
      <w:r>
        <w:rPr>
          <w:rFonts w:ascii="Arial" w:cs="Arial" w:eastAsia="Arial" w:hAnsi="Arial"/>
          <w:sz w:val="18"/>
          <w:szCs w:val="18"/>
          <w:color w:val="auto"/>
        </w:rPr>
        <w: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any such replacement, if any such Non-Consenting Lender or Defaulting Lender does not execute and deliver to the</w:t>
      </w:r>
    </w:p>
    <w:p>
      <w:pPr>
        <w:spacing w:after="0" w:line="10"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Administrative Agent a duly executed Assignment and Assumption reflecting such replacement within five (5) Business Days of the date on which the assignee Lender executes and delivers such Assignment and Assumption to such Non-Consenting Lender or Defaulting Lender, then such Non-Consenting Lender or Defaulting Lender shall be deemed to have executed and delivered such Assignment and Assumption</w:t>
      </w:r>
    </w:p>
    <w:p>
      <w:pPr>
        <w:sectPr>
          <w:pgSz w:w="11900" w:h="16838" w:orient="portrait"/>
          <w:cols w:equalWidth="0" w:num="1">
            <w:col w:w="10920"/>
          </w:cols>
          <w:pgMar w:left="480" w:top="1440" w:right="499" w:bottom="1440" w:gutter="0" w:footer="0" w:header="0"/>
        </w:sectPr>
      </w:pPr>
    </w:p>
    <w:bookmarkStart w:id="163" w:name="page164"/>
    <w:bookmarkEnd w:id="163"/>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without any action on the part of the Non-Consenting Lender or Defaulting Lender. Notwithstanding the foregoing, in addition if a Non-Consenting Lender is being replaced in connection with any Extension Amendment, Refinancing Amendment, Permitted Repricing Amendment or amendment effecting a Replacement Term Loan, the Administrative Borrower shall have the option, with the consent of the Administrative Agent and subject to at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least three Business Days’ advance notice (which notice may be rescinded if the transaction contemplated in such notice is not consummated) to such Non-Consenting Lenders, in lieu of execution of an Assignment and Assumption as otherwise provided for in this clause (y), to effect such assignment by purchasing any such Non-Consenting Lender’s Loans (which shall automatically be cancelled upon consummation of such acquisition)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unfunded Commitments at par (allocated among the applicable Lenders in the same manner as would be required if such Loans were being optionally prepaid or such Commitments were being optionally reduced or terminated by the Borrowers), accompanied by payment of any accrued interest, premium and fees thereon (and, if applicable, any amounts payable pursuant to the immediately preceding paragraphs). By receiving such purchase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price, the applicable Lenders shall automatically be deemed to have assigned such Loans or Commitments pursuant to the terms of an Assignment and Assumption and accordingly no other action by such Lenders shall be required in connection therewith.</w:t>
      </w:r>
    </w:p>
    <w:p>
      <w:pPr>
        <w:spacing w:after="0" w:line="20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3.08</w:t>
      </w:r>
      <w:r>
        <w:rPr>
          <w:sz w:val="20"/>
          <w:szCs w:val="20"/>
          <w:color w:val="auto"/>
        </w:rPr>
        <w:tab/>
      </w:r>
      <w:r>
        <w:rPr>
          <w:rFonts w:ascii="Arial" w:cs="Arial" w:eastAsia="Arial" w:hAnsi="Arial"/>
          <w:sz w:val="17"/>
          <w:szCs w:val="17"/>
          <w:color w:val="auto"/>
        </w:rPr>
        <w:t>Survival.</w:t>
      </w:r>
    </w:p>
    <w:p>
      <w:pPr>
        <w:spacing w:after="0" w:line="22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All of the Loan Parties’ obligations under this Article III shall survive termination of the Aggregate Commitments and repayment of all other Obligations hereunder.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IV.</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 TO CREDIT EXTENSIONS</w:t>
      </w:r>
    </w:p>
    <w:p>
      <w:pPr>
        <w:spacing w:after="0" w:line="27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4.01</w:t>
      </w:r>
      <w:r>
        <w:rPr>
          <w:sz w:val="20"/>
          <w:szCs w:val="20"/>
          <w:color w:val="auto"/>
        </w:rPr>
        <w:tab/>
      </w:r>
      <w:r>
        <w:rPr>
          <w:rFonts w:ascii="Arial" w:cs="Arial" w:eastAsia="Arial" w:hAnsi="Arial"/>
          <w:sz w:val="16"/>
          <w:szCs w:val="16"/>
          <w:color w:val="auto"/>
        </w:rPr>
        <w:t>Conditions to Initial Credit Extension.</w:t>
      </w:r>
    </w:p>
    <w:p>
      <w:pPr>
        <w:spacing w:after="0" w:line="22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obligation of each Lender to make a Credit Extension hereunder on the Closing Date is subject to satisfaction (or waiver) of the following conditions precedent:</w:t>
      </w:r>
    </w:p>
    <w:p>
      <w:pPr>
        <w:spacing w:after="0" w:line="202" w:lineRule="exact"/>
        <w:rPr>
          <w:sz w:val="20"/>
          <w:szCs w:val="20"/>
          <w:color w:val="auto"/>
        </w:rPr>
      </w:pPr>
    </w:p>
    <w:p>
      <w:pPr>
        <w:ind w:left="800" w:firstLine="649"/>
        <w:spacing w:after="0" w:line="274" w:lineRule="auto"/>
        <w:tabs>
          <w:tab w:leader="none" w:pos="1791" w:val="left"/>
        </w:tabs>
        <w:numPr>
          <w:ilvl w:val="1"/>
          <w:numId w:val="183"/>
        </w:numPr>
        <w:rPr>
          <w:rFonts w:ascii="Arial" w:cs="Arial" w:eastAsia="Arial" w:hAnsi="Arial"/>
          <w:sz w:val="17"/>
          <w:szCs w:val="17"/>
          <w:color w:val="010000"/>
        </w:rPr>
      </w:pPr>
      <w:r>
        <w:rPr>
          <w:rFonts w:ascii="Arial" w:cs="Arial" w:eastAsia="Arial" w:hAnsi="Arial"/>
          <w:sz w:val="17"/>
          <w:szCs w:val="17"/>
          <w:color w:val="auto"/>
        </w:rPr>
        <w:t>The Administrative Agent’s receipt of the following, each of which shall be originals or pdf copies or other facsimiles (followed promptly by originals) unless otherwise specified, each properly executed by a Responsible Officer of the signing Loan Party:</w:t>
      </w:r>
    </w:p>
    <w:p>
      <w:pPr>
        <w:spacing w:after="0" w:line="174" w:lineRule="exact"/>
        <w:rPr>
          <w:rFonts w:ascii="Arial" w:cs="Arial" w:eastAsia="Arial" w:hAnsi="Arial"/>
          <w:sz w:val="17"/>
          <w:szCs w:val="17"/>
          <w:color w:val="010000"/>
        </w:rPr>
      </w:pPr>
    </w:p>
    <w:p>
      <w:pPr>
        <w:ind w:left="1940" w:hanging="653"/>
        <w:spacing w:after="0"/>
        <w:tabs>
          <w:tab w:leader="none" w:pos="194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a Request for Credit Extension in accordance with the requirements hereof;</w:t>
      </w:r>
    </w:p>
    <w:p>
      <w:pPr>
        <w:spacing w:after="0" w:line="225" w:lineRule="exact"/>
        <w:rPr>
          <w:rFonts w:ascii="Arial" w:cs="Arial" w:eastAsia="Arial" w:hAnsi="Arial"/>
          <w:sz w:val="18"/>
          <w:szCs w:val="18"/>
          <w:color w:val="010000"/>
        </w:rPr>
      </w:pPr>
    </w:p>
    <w:p>
      <w:pPr>
        <w:ind w:left="1940" w:hanging="653"/>
        <w:spacing w:after="0"/>
        <w:tabs>
          <w:tab w:leader="none" w:pos="194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640" w:right="40" w:firstLine="648"/>
        <w:spacing w:after="0" w:line="235" w:lineRule="auto"/>
        <w:tabs>
          <w:tab w:leader="none" w:pos="1792"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a Note executed by the Borrowers in favor of each Lender that has requested a Note at least three (3) Business Days in advance of the Closing Date;</w:t>
      </w:r>
    </w:p>
    <w:p>
      <w:pPr>
        <w:spacing w:after="0" w:line="202" w:lineRule="exact"/>
        <w:rPr>
          <w:rFonts w:ascii="Arial" w:cs="Arial" w:eastAsia="Arial" w:hAnsi="Arial"/>
          <w:sz w:val="18"/>
          <w:szCs w:val="18"/>
          <w:color w:val="010000"/>
        </w:rPr>
      </w:pPr>
    </w:p>
    <w:p>
      <w:pPr>
        <w:ind w:left="640" w:right="40" w:firstLine="648"/>
        <w:spacing w:after="0" w:line="258" w:lineRule="auto"/>
        <w:tabs>
          <w:tab w:leader="none" w:pos="1792" w:val="left"/>
        </w:tabs>
        <w:numPr>
          <w:ilvl w:val="0"/>
          <w:numId w:val="184"/>
        </w:numPr>
        <w:rPr>
          <w:rFonts w:ascii="Arial" w:cs="Arial" w:eastAsia="Arial" w:hAnsi="Arial"/>
          <w:sz w:val="17"/>
          <w:szCs w:val="17"/>
          <w:color w:val="010000"/>
        </w:rPr>
      </w:pPr>
      <w:r>
        <w:rPr>
          <w:rFonts w:ascii="Arial" w:cs="Arial" w:eastAsia="Arial" w:hAnsi="Arial"/>
          <w:sz w:val="17"/>
          <w:szCs w:val="17"/>
          <w:color w:val="auto"/>
        </w:rPr>
        <w:t>a copy of the charter or certificate of formation (or the equivalent thereof) of each Loan Party certified by the secretary of state of the state of formation, if applicable, of such Loan Party and the other Organization Documents of each Loan Party;</w:t>
      </w:r>
    </w:p>
    <w:p>
      <w:pPr>
        <w:spacing w:after="0" w:line="200" w:lineRule="exact"/>
        <w:rPr>
          <w:rFonts w:ascii="Arial" w:cs="Arial" w:eastAsia="Arial" w:hAnsi="Arial"/>
          <w:sz w:val="17"/>
          <w:szCs w:val="17"/>
          <w:color w:val="010000"/>
        </w:rPr>
      </w:pPr>
    </w:p>
    <w:p>
      <w:pPr>
        <w:ind w:left="1940" w:hanging="652"/>
        <w:spacing w:after="0"/>
        <w:tabs>
          <w:tab w:leader="none" w:pos="194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left="640" w:right="40" w:firstLine="648"/>
        <w:spacing w:after="0" w:line="224" w:lineRule="auto"/>
        <w:tabs>
          <w:tab w:leader="none" w:pos="1792"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such certificates of good standing (to the extent such concept exists) from the applicable secretary of state of the state of organization of each Loan Party, certificates of resolutions or other action and incumbency certificates evidencing the identity, authority and capacity of each Responsible Officer</w:t>
      </w:r>
    </w:p>
    <w:p>
      <w:pPr>
        <w:sectPr>
          <w:pgSz w:w="11900" w:h="16838" w:orient="portrait"/>
          <w:cols w:equalWidth="0" w:num="1">
            <w:col w:w="10920"/>
          </w:cols>
          <w:pgMar w:left="480" w:top="1440" w:right="499" w:bottom="1440" w:gutter="0" w:footer="0" w:header="0"/>
        </w:sectPr>
      </w:pPr>
    </w:p>
    <w:bookmarkStart w:id="164" w:name="page165"/>
    <w:bookmarkEnd w:id="164"/>
    <w:p>
      <w:pPr>
        <w:spacing w:after="0" w:line="211" w:lineRule="exact"/>
        <w:rPr>
          <w:sz w:val="20"/>
          <w:szCs w:val="20"/>
          <w:color w:val="auto"/>
        </w:rPr>
      </w:pPr>
    </w:p>
    <w:p>
      <w:pPr>
        <w:ind w:left="640"/>
        <w:spacing w:after="0" w:line="235" w:lineRule="auto"/>
        <w:rPr>
          <w:sz w:val="20"/>
          <w:szCs w:val="20"/>
          <w:color w:val="auto"/>
        </w:rPr>
      </w:pPr>
      <w:r>
        <w:rPr>
          <w:rFonts w:ascii="Arial" w:cs="Arial" w:eastAsia="Arial" w:hAnsi="Arial"/>
          <w:sz w:val="18"/>
          <w:szCs w:val="18"/>
          <w:color w:val="auto"/>
        </w:rPr>
        <w:t>thereof authorized to act as a Responsible Officer in connection with this Agreement and the other Loan Documents to which such Loan Party is a party or is to be a party on the Closing Date;</w:t>
      </w:r>
    </w:p>
    <w:p>
      <w:pPr>
        <w:spacing w:after="0" w:line="202" w:lineRule="exact"/>
        <w:rPr>
          <w:sz w:val="20"/>
          <w:szCs w:val="20"/>
          <w:color w:val="auto"/>
        </w:rPr>
      </w:pPr>
    </w:p>
    <w:p>
      <w:pPr>
        <w:ind w:left="1800" w:hanging="512"/>
        <w:spacing w:after="0"/>
        <w:tabs>
          <w:tab w:leader="none" w:pos="1800" w:val="left"/>
        </w:tabs>
        <w:numPr>
          <w:ilvl w:val="1"/>
          <w:numId w:val="185"/>
        </w:numPr>
        <w:rPr>
          <w:rFonts w:ascii="Arial" w:cs="Arial" w:eastAsia="Arial" w:hAnsi="Arial"/>
          <w:sz w:val="18"/>
          <w:szCs w:val="18"/>
          <w:color w:val="010000"/>
        </w:rPr>
      </w:pPr>
      <w:r>
        <w:rPr>
          <w:rFonts w:ascii="Arial" w:cs="Arial" w:eastAsia="Arial" w:hAnsi="Arial"/>
          <w:sz w:val="18"/>
          <w:szCs w:val="18"/>
          <w:color w:val="auto"/>
        </w:rPr>
        <w:t>customary opinions from Kirkland &amp; Ellis LLP and Taft, Stettinius &amp; Hollister LLP, counsel to the Loan Parties;</w:t>
      </w:r>
    </w:p>
    <w:p>
      <w:pPr>
        <w:spacing w:after="0" w:line="225" w:lineRule="exact"/>
        <w:rPr>
          <w:rFonts w:ascii="Arial" w:cs="Arial" w:eastAsia="Arial" w:hAnsi="Arial"/>
          <w:sz w:val="18"/>
          <w:szCs w:val="18"/>
          <w:color w:val="010000"/>
        </w:rPr>
      </w:pPr>
    </w:p>
    <w:p>
      <w:pPr>
        <w:ind w:left="640" w:right="900" w:firstLine="648"/>
        <w:spacing w:after="0" w:line="235" w:lineRule="auto"/>
        <w:tabs>
          <w:tab w:leader="none" w:pos="1792" w:val="left"/>
        </w:tabs>
        <w:numPr>
          <w:ilvl w:val="1"/>
          <w:numId w:val="185"/>
        </w:numPr>
        <w:rPr>
          <w:rFonts w:ascii="Arial" w:cs="Arial" w:eastAsia="Arial" w:hAnsi="Arial"/>
          <w:sz w:val="18"/>
          <w:szCs w:val="18"/>
          <w:color w:val="010000"/>
        </w:rPr>
      </w:pPr>
      <w:r>
        <w:rPr>
          <w:rFonts w:ascii="Arial" w:cs="Arial" w:eastAsia="Arial" w:hAnsi="Arial"/>
          <w:sz w:val="18"/>
          <w:szCs w:val="18"/>
          <w:color w:val="auto"/>
        </w:rPr>
        <w:t xml:space="preserve">a solvency certificate from the chief financial officer of the Parent Borrower (after giving effect to the Transactions)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hereto.</w:t>
      </w:r>
    </w:p>
    <w:p>
      <w:pPr>
        <w:spacing w:after="0" w:line="202" w:lineRule="exact"/>
        <w:rPr>
          <w:rFonts w:ascii="Arial" w:cs="Arial" w:eastAsia="Arial" w:hAnsi="Arial"/>
          <w:sz w:val="18"/>
          <w:szCs w:val="18"/>
          <w:color w:val="010000"/>
        </w:rPr>
      </w:pPr>
    </w:p>
    <w:p>
      <w:pPr>
        <w:jc w:val="both"/>
        <w:ind w:right="160" w:firstLine="640"/>
        <w:spacing w:after="0" w:line="229" w:lineRule="auto"/>
        <w:tabs>
          <w:tab w:leader="none" w:pos="1152"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Payment of all fees, closing payments and expenses required to be paid hereunder and due to the Administrative Agent and the Bookrunner, and in the case of expenses, to the extent invoiced at least three (3) Business Days prior to the Closing Date (except as otherwise reasonably agreed by the Borrowers), required to be paid on the Closing Date.</w:t>
      </w:r>
    </w:p>
    <w:p>
      <w:pPr>
        <w:spacing w:after="0" w:line="190" w:lineRule="exact"/>
        <w:rPr>
          <w:rFonts w:ascii="Arial" w:cs="Arial" w:eastAsia="Arial" w:hAnsi="Arial"/>
          <w:sz w:val="18"/>
          <w:szCs w:val="18"/>
          <w:color w:val="010000"/>
        </w:rPr>
      </w:pPr>
    </w:p>
    <w:p>
      <w:pPr>
        <w:jc w:val="both"/>
        <w:ind w:right="120" w:firstLine="640"/>
        <w:spacing w:after="0" w:line="229" w:lineRule="auto"/>
        <w:tabs>
          <w:tab w:leader="none" w:pos="1152"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The Administrative Agent shall have received a copy of the Third Amendment to ABL Credit Agreement (the “</w:t>
      </w:r>
      <w:r>
        <w:rPr>
          <w:rFonts w:ascii="Arial" w:cs="Arial" w:eastAsia="Arial" w:hAnsi="Arial"/>
          <w:sz w:val="18"/>
          <w:szCs w:val="18"/>
          <w:b w:val="1"/>
          <w:bCs w:val="1"/>
          <w:i w:val="1"/>
          <w:iCs w:val="1"/>
          <w:color w:val="auto"/>
        </w:rPr>
        <w:t>ABL Credit Agreement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duly executed by the Parent Borrower, each Guarantor party thereto, the Lenders (as such term is defined in the ABL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thereto and the ABL Agent.</w:t>
      </w:r>
    </w:p>
    <w:p>
      <w:pPr>
        <w:spacing w:after="0" w:line="190" w:lineRule="exact"/>
        <w:rPr>
          <w:rFonts w:ascii="Arial" w:cs="Arial" w:eastAsia="Arial" w:hAnsi="Arial"/>
          <w:sz w:val="18"/>
          <w:szCs w:val="18"/>
          <w:color w:val="010000"/>
        </w:rPr>
      </w:pPr>
    </w:p>
    <w:p>
      <w:pPr>
        <w:ind w:left="1280" w:hanging="640"/>
        <w:spacing w:after="0"/>
        <w:tabs>
          <w:tab w:leader="none" w:pos="128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1140" w:hanging="500"/>
        <w:spacing w:after="0"/>
        <w:tabs>
          <w:tab w:leader="none" w:pos="114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The Administrative Agent shall have received the Annual Financial Statements and Quarterly Financial Statements.</w:t>
      </w:r>
    </w:p>
    <w:p>
      <w:pPr>
        <w:spacing w:after="0" w:line="225" w:lineRule="exact"/>
        <w:rPr>
          <w:rFonts w:ascii="Arial" w:cs="Arial" w:eastAsia="Arial" w:hAnsi="Arial"/>
          <w:sz w:val="18"/>
          <w:szCs w:val="18"/>
          <w:color w:val="010000"/>
        </w:rPr>
      </w:pPr>
    </w:p>
    <w:p>
      <w:pPr>
        <w:ind w:left="1280" w:hanging="640"/>
        <w:spacing w:after="0"/>
        <w:tabs>
          <w:tab w:leader="none" w:pos="128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right="120" w:firstLine="639"/>
        <w:spacing w:after="0" w:line="217" w:lineRule="auto"/>
        <w:tabs>
          <w:tab w:leader="none" w:pos="1153"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So long as requested at least ten (10) business days prior to the Closing Date, (x) the Administrative Agent shall have received, at least three (3) Business Days prior to the Closing Date, all documentation and other information with respect to Borrowers and the Guarantors that is required by regulatory authorities under applicable “know your customer” and anti-money laundering rules and regulations, including, without limitation, the PATRIOT Act and (y) any Loan Party that qualifies as a “legal entity customer,” under the Beneficial Ownership Regulation shall deliver, at least three (3) Business Days prior to the Closing Date, a beneficial ownership certificate to the Administrative Agent,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in relations to such Loan Party</w:t>
      </w:r>
    </w:p>
    <w:p>
      <w:pPr>
        <w:spacing w:after="0" w:line="190" w:lineRule="exact"/>
        <w:rPr>
          <w:rFonts w:ascii="Arial" w:cs="Arial" w:eastAsia="Arial" w:hAnsi="Arial"/>
          <w:sz w:val="18"/>
          <w:szCs w:val="18"/>
          <w:color w:val="010000"/>
        </w:rPr>
      </w:pPr>
    </w:p>
    <w:p>
      <w:pPr>
        <w:ind w:left="1280" w:hanging="640"/>
        <w:spacing w:after="0"/>
        <w:tabs>
          <w:tab w:leader="none" w:pos="128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1280" w:hanging="640"/>
        <w:spacing w:after="0"/>
        <w:tabs>
          <w:tab w:leader="none" w:pos="128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010000"/>
        </w:rPr>
      </w:pPr>
    </w:p>
    <w:p>
      <w:pPr>
        <w:ind w:left="1140" w:hanging="500"/>
        <w:spacing w:after="0"/>
        <w:tabs>
          <w:tab w:leader="none" w:pos="114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Substantially concurrently with the initial Borrowing on the Closing Date, the Closing Date Refinancing shall have been</w:t>
      </w:r>
    </w:p>
    <w:p>
      <w:pPr>
        <w:spacing w:after="0"/>
        <w:rPr>
          <w:rFonts w:ascii="Arial" w:cs="Arial" w:eastAsia="Arial" w:hAnsi="Arial"/>
          <w:sz w:val="18"/>
          <w:szCs w:val="18"/>
          <w:color w:val="010000"/>
        </w:rPr>
      </w:pPr>
      <w:r>
        <w:rPr>
          <w:rFonts w:ascii="Arial" w:cs="Arial" w:eastAsia="Arial" w:hAnsi="Arial"/>
          <w:sz w:val="18"/>
          <w:szCs w:val="18"/>
          <w:color w:val="auto"/>
        </w:rPr>
        <w:t>consummated.</w:t>
      </w:r>
    </w:p>
    <w:p>
      <w:pPr>
        <w:spacing w:after="0" w:line="209" w:lineRule="exact"/>
        <w:rPr>
          <w:sz w:val="20"/>
          <w:szCs w:val="20"/>
          <w:color w:val="auto"/>
        </w:rPr>
      </w:pPr>
    </w:p>
    <w:p>
      <w:pPr>
        <w:jc w:val="both"/>
        <w:ind w:right="160" w:firstLine="648"/>
        <w:spacing w:after="0" w:line="241" w:lineRule="auto"/>
        <w:rPr>
          <w:sz w:val="20"/>
          <w:szCs w:val="20"/>
          <w:color w:val="auto"/>
        </w:rPr>
      </w:pPr>
      <w:r>
        <w:rPr>
          <w:rFonts w:ascii="Arial" w:cs="Arial" w:eastAsia="Arial" w:hAnsi="Arial"/>
          <w:sz w:val="16"/>
          <w:szCs w:val="16"/>
          <w:color w:val="auto"/>
        </w:rPr>
        <w:t>Without limiting the generality of the provisions of Section 9.03,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Agent shall have received notice from such Lender prior to the proposed Closing Date specifying its objection thereto.</w:t>
      </w:r>
    </w:p>
    <w:p>
      <w:pPr>
        <w:sectPr>
          <w:pgSz w:w="11900" w:h="16838" w:orient="portrait"/>
          <w:cols w:equalWidth="0" w:num="1">
            <w:col w:w="11040"/>
          </w:cols>
          <w:pgMar w:left="480" w:top="1440" w:right="379" w:bottom="1440" w:gutter="0" w:footer="0" w:header="0"/>
        </w:sectPr>
      </w:pPr>
    </w:p>
    <w:bookmarkStart w:id="165" w:name="page166"/>
    <w:bookmarkEnd w:id="165"/>
    <w:p>
      <w:pPr>
        <w:spacing w:after="0" w:line="211"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4.02</w:t>
      </w:r>
      <w:r>
        <w:rPr>
          <w:sz w:val="20"/>
          <w:szCs w:val="20"/>
          <w:color w:val="auto"/>
        </w:rPr>
        <w:tab/>
      </w:r>
      <w:r>
        <w:rPr>
          <w:rFonts w:ascii="Arial" w:cs="Arial" w:eastAsia="Arial" w:hAnsi="Arial"/>
          <w:sz w:val="16"/>
          <w:szCs w:val="16"/>
          <w:color w:val="auto"/>
        </w:rPr>
        <w:t>Conditions to All Credit Extensions.</w:t>
      </w:r>
    </w:p>
    <w:p>
      <w:pPr>
        <w:spacing w:after="0" w:line="225" w:lineRule="exact"/>
        <w:rPr>
          <w:sz w:val="20"/>
          <w:szCs w:val="20"/>
          <w:color w:val="auto"/>
        </w:rPr>
      </w:pPr>
    </w:p>
    <w:p>
      <w:pPr>
        <w:jc w:val="both"/>
        <w:ind w:left="8" w:right="40" w:firstLine="648"/>
        <w:spacing w:after="0" w:line="224" w:lineRule="auto"/>
        <w:rPr>
          <w:sz w:val="20"/>
          <w:szCs w:val="20"/>
          <w:color w:val="auto"/>
        </w:rPr>
      </w:pPr>
      <w:r>
        <w:rPr>
          <w:rFonts w:ascii="Arial" w:cs="Arial" w:eastAsia="Arial" w:hAnsi="Arial"/>
          <w:sz w:val="18"/>
          <w:szCs w:val="18"/>
          <w:color w:val="auto"/>
        </w:rPr>
        <w:t xml:space="preserve">The obligation of each Lender to honor any Request for Credit Extension (other than a Committed Loan Notice requesting only a conversion of Loans to the other Type, or a continuation of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after the Closing Date is subject to satisfaction (or waiver) of the following conditions precedent:</w:t>
      </w:r>
    </w:p>
    <w:p>
      <w:pPr>
        <w:spacing w:after="0" w:line="203" w:lineRule="exact"/>
        <w:rPr>
          <w:sz w:val="20"/>
          <w:szCs w:val="20"/>
          <w:color w:val="auto"/>
        </w:rPr>
      </w:pPr>
    </w:p>
    <w:p>
      <w:pPr>
        <w:jc w:val="both"/>
        <w:ind w:left="648" w:right="40" w:firstLine="647"/>
        <w:spacing w:after="0" w:line="252" w:lineRule="auto"/>
        <w:tabs>
          <w:tab w:leader="none" w:pos="1801" w:val="left"/>
        </w:tabs>
        <w:numPr>
          <w:ilvl w:val="0"/>
          <w:numId w:val="187"/>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each Loan Party set forth in Article V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1" w:lineRule="exact"/>
        <w:rPr>
          <w:rFonts w:ascii="Arial" w:cs="Arial" w:eastAsia="Arial" w:hAnsi="Arial"/>
          <w:sz w:val="16"/>
          <w:szCs w:val="16"/>
          <w:color w:val="010000"/>
        </w:rPr>
      </w:pPr>
    </w:p>
    <w:p>
      <w:pPr>
        <w:ind w:left="648" w:right="40" w:firstLine="648"/>
        <w:spacing w:after="0" w:line="235" w:lineRule="auto"/>
        <w:tabs>
          <w:tab w:leader="none" w:pos="1801"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No Default or Event of Default shall exist or would result from such proposed Credit Extension or from the application of the proceeds therefrom.</w:t>
      </w:r>
    </w:p>
    <w:p>
      <w:pPr>
        <w:spacing w:after="0" w:line="202" w:lineRule="exact"/>
        <w:rPr>
          <w:rFonts w:ascii="Arial" w:cs="Arial" w:eastAsia="Arial" w:hAnsi="Arial"/>
          <w:sz w:val="18"/>
          <w:szCs w:val="18"/>
          <w:color w:val="010000"/>
        </w:rPr>
      </w:pPr>
    </w:p>
    <w:p>
      <w:pPr>
        <w:ind w:left="1808" w:hanging="512"/>
        <w:spacing w:after="0"/>
        <w:tabs>
          <w:tab w:leader="none" w:pos="1808" w:val="left"/>
        </w:tabs>
        <w:numPr>
          <w:ilvl w:val="0"/>
          <w:numId w:val="187"/>
        </w:numPr>
        <w:rPr>
          <w:rFonts w:ascii="Arial" w:cs="Arial" w:eastAsia="Arial" w:hAnsi="Arial"/>
          <w:sz w:val="17"/>
          <w:szCs w:val="17"/>
          <w:color w:val="010000"/>
        </w:rPr>
      </w:pPr>
      <w:r>
        <w:rPr>
          <w:rFonts w:ascii="Arial" w:cs="Arial" w:eastAsia="Arial" w:hAnsi="Arial"/>
          <w:sz w:val="17"/>
          <w:szCs w:val="17"/>
          <w:color w:val="auto"/>
        </w:rPr>
        <w:t>The Administrative Agent shall have received a Request for Credit Extension in accordance with the requirements hereof.</w:t>
      </w:r>
    </w:p>
    <w:p>
      <w:pPr>
        <w:spacing w:after="0" w:line="237" w:lineRule="exact"/>
        <w:rPr>
          <w:sz w:val="20"/>
          <w:szCs w:val="20"/>
          <w:color w:val="auto"/>
        </w:rPr>
      </w:pPr>
    </w:p>
    <w:p>
      <w:pPr>
        <w:jc w:val="both"/>
        <w:ind w:left="8" w:firstLine="648"/>
        <w:spacing w:after="0" w:line="237" w:lineRule="auto"/>
        <w:rPr>
          <w:sz w:val="20"/>
          <w:szCs w:val="20"/>
          <w:color w:val="auto"/>
        </w:rPr>
      </w:pPr>
      <w:r>
        <w:rPr>
          <w:rFonts w:ascii="Arial" w:cs="Arial" w:eastAsia="Arial" w:hAnsi="Arial"/>
          <w:sz w:val="17"/>
          <w:szCs w:val="17"/>
          <w:color w:val="auto"/>
        </w:rPr>
        <w:t xml:space="preserve">Each Request for Credit Extension (other than a Committed Loan Notice requesting only a conversion of Loans to the other Type or a continuation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submitted by the Borrowers after the Closing Date shall be deemed to be a representation and warranty that the conditions specified in Sections 4.02(i) and (ii) have been satisfied on and as of the date of the applicable Credit Extension.</w:t>
      </w:r>
    </w:p>
    <w:p>
      <w:pPr>
        <w:spacing w:after="0" w:line="204" w:lineRule="exact"/>
        <w:rPr>
          <w:sz w:val="20"/>
          <w:szCs w:val="20"/>
          <w:color w:val="auto"/>
        </w:rPr>
      </w:pPr>
    </w:p>
    <w:p>
      <w:pPr>
        <w:jc w:val="both"/>
        <w:ind w:left="8" w:right="40" w:firstLine="648"/>
        <w:spacing w:after="0" w:line="241"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to the contrary, (i) the effectiveness of any Incremental Amendment shall be subject only to the conditions precedent set forth in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and to such conditions as are mutually agreed between the applicable Borrower and the Lenders party to the Incremental Amendment, (ii) the effectiveness of any Refinancing Amendment shall be subject only to the conditions precedent set forth in</w:t>
      </w:r>
    </w:p>
    <w:p>
      <w:pPr>
        <w:spacing w:after="0" w:line="2"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and such conditions as are mutually agreed between the applicable Borrower and the Lenders party to the applicable amendment, (iii) the effectiveness of any Extension Amendment shall be subject only to the conditions precedent set forth in </w:t>
      </w:r>
      <w:r>
        <w:rPr>
          <w:rFonts w:ascii="Arial" w:cs="Arial" w:eastAsia="Arial" w:hAnsi="Arial"/>
          <w:sz w:val="16"/>
          <w:szCs w:val="16"/>
          <w:u w:val="single" w:color="auto"/>
          <w:color w:val="auto"/>
        </w:rPr>
        <w:t>Section 2.16(d)</w:t>
      </w:r>
      <w:r>
        <w:rPr>
          <w:rFonts w:ascii="Arial" w:cs="Arial" w:eastAsia="Arial" w:hAnsi="Arial"/>
          <w:sz w:val="16"/>
          <w:szCs w:val="16"/>
          <w:color w:val="auto"/>
        </w:rPr>
        <w:t xml:space="preserve"> and to such conditions as are mutually agreed between the applicable Borrower and the Lenders party to the Extension Amendment and (iv) the effectiveness of any Permitted</w:t>
      </w:r>
    </w:p>
    <w:p>
      <w:pPr>
        <w:spacing w:after="0" w:line="2" w:lineRule="exact"/>
        <w:rPr>
          <w:sz w:val="20"/>
          <w:szCs w:val="20"/>
          <w:color w:val="auto"/>
        </w:rPr>
      </w:pPr>
    </w:p>
    <w:p>
      <w:pPr>
        <w:jc w:val="both"/>
        <w:ind w:left="8" w:right="40"/>
        <w:spacing w:after="0" w:line="226" w:lineRule="auto"/>
        <w:rPr>
          <w:sz w:val="20"/>
          <w:szCs w:val="20"/>
          <w:color w:val="auto"/>
        </w:rPr>
      </w:pPr>
      <w:r>
        <w:rPr>
          <w:rFonts w:ascii="Arial" w:cs="Arial" w:eastAsia="Arial" w:hAnsi="Arial"/>
          <w:sz w:val="18"/>
          <w:szCs w:val="18"/>
          <w:color w:val="auto"/>
        </w:rPr>
        <w:t>Repricing Amendment or any amendment with respect to Replacement Term Loans shall be subject only to such conditions as are mutually agreed between the applicable Borrower and the Lenders party to the applicable amendment.</w:t>
      </w:r>
    </w:p>
    <w:p>
      <w:pPr>
        <w:spacing w:after="0" w:line="184" w:lineRule="exact"/>
        <w:rPr>
          <w:sz w:val="20"/>
          <w:szCs w:val="20"/>
          <w:color w:val="auto"/>
        </w:rPr>
      </w:pPr>
    </w:p>
    <w:p>
      <w:pPr>
        <w:ind w:left="3688"/>
        <w:spacing w:after="0"/>
        <w:rPr>
          <w:sz w:val="20"/>
          <w:szCs w:val="20"/>
          <w:color w:val="auto"/>
        </w:rPr>
      </w:pPr>
      <w:r>
        <w:rPr>
          <w:rFonts w:ascii="Arial" w:cs="Arial" w:eastAsia="Arial" w:hAnsi="Arial"/>
          <w:sz w:val="18"/>
          <w:szCs w:val="18"/>
          <w:b w:val="1"/>
          <w:bCs w:val="1"/>
          <w:color w:val="010000"/>
        </w:rPr>
        <w:t xml:space="preserve">ARTICLE V. </w:t>
      </w:r>
      <w:r>
        <w:rPr>
          <w:rFonts w:ascii="Arial" w:cs="Arial" w:eastAsia="Arial" w:hAnsi="Arial"/>
          <w:sz w:val="18"/>
          <w:szCs w:val="18"/>
          <w:b w:val="1"/>
          <w:bCs w:val="1"/>
          <w:u w:val="single" w:color="auto"/>
          <w:color w:val="000000"/>
        </w:rPr>
        <w:t>REPRESENTATIONS AND WARRANTIES</w:t>
      </w:r>
    </w:p>
    <w:p>
      <w:pPr>
        <w:spacing w:after="0" w:line="310" w:lineRule="exact"/>
        <w:rPr>
          <w:sz w:val="20"/>
          <w:szCs w:val="20"/>
          <w:color w:val="auto"/>
        </w:rPr>
      </w:pPr>
    </w:p>
    <w:p>
      <w:pPr>
        <w:jc w:val="both"/>
        <w:ind w:left="8" w:right="40" w:firstLine="648"/>
        <w:spacing w:after="0" w:line="248" w:lineRule="auto"/>
        <w:rPr>
          <w:sz w:val="20"/>
          <w:szCs w:val="20"/>
          <w:color w:val="auto"/>
        </w:rPr>
      </w:pPr>
      <w:r>
        <w:rPr>
          <w:rFonts w:ascii="Arial" w:cs="Arial" w:eastAsia="Arial" w:hAnsi="Arial"/>
          <w:sz w:val="16"/>
          <w:szCs w:val="16"/>
          <w:color w:val="auto"/>
        </w:rPr>
        <w:t>Each Borrower and each of the Guarantors party hereto represent and warrant to the Agents and the Lenders (a) on and as of the Closing Date and (b) after the Closing Date, at the time of each Credit Extension (to the extent, in the case of clause (b), the representations and warranties in this</w:t>
      </w:r>
    </w:p>
    <w:p>
      <w:pPr>
        <w:ind w:left="8"/>
        <w:spacing w:after="0"/>
        <w:rPr>
          <w:sz w:val="20"/>
          <w:szCs w:val="20"/>
          <w:color w:val="auto"/>
        </w:rPr>
      </w:pPr>
      <w:r>
        <w:rPr>
          <w:rFonts w:ascii="Arial" w:cs="Arial" w:eastAsia="Arial" w:hAnsi="Arial"/>
          <w:sz w:val="16"/>
          <w:szCs w:val="16"/>
          <w:color w:val="auto"/>
        </w:rPr>
        <w:t>Article V are required to be true and correct in all material respects or otherwise as a condition to such Credit Extension pursuant to Article IV) that:</w:t>
      </w:r>
    </w:p>
    <w:p>
      <w:pPr>
        <w:spacing w:after="0" w:line="219"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5.01</w:t>
      </w:r>
      <w:r>
        <w:rPr>
          <w:sz w:val="20"/>
          <w:szCs w:val="20"/>
          <w:color w:val="auto"/>
        </w:rPr>
        <w:tab/>
      </w:r>
      <w:r>
        <w:rPr>
          <w:rFonts w:ascii="Arial" w:cs="Arial" w:eastAsia="Arial" w:hAnsi="Arial"/>
          <w:sz w:val="16"/>
          <w:szCs w:val="16"/>
          <w:color w:val="auto"/>
        </w:rPr>
        <w:t>Existence, Qualification and Power; Compliance with Laws.</w:t>
      </w:r>
    </w:p>
    <w:p>
      <w:pPr>
        <w:spacing w:after="0" w:line="225" w:lineRule="exact"/>
        <w:rPr>
          <w:sz w:val="20"/>
          <w:szCs w:val="20"/>
          <w:color w:val="auto"/>
        </w:rPr>
      </w:pPr>
    </w:p>
    <w:p>
      <w:pPr>
        <w:jc w:val="both"/>
        <w:ind w:left="8" w:right="40" w:firstLine="648"/>
        <w:spacing w:after="0" w:line="248" w:lineRule="auto"/>
        <w:rPr>
          <w:sz w:val="20"/>
          <w:szCs w:val="20"/>
          <w:color w:val="auto"/>
        </w:rPr>
      </w:pPr>
      <w:r>
        <w:rPr>
          <w:rFonts w:ascii="Arial" w:cs="Arial" w:eastAsia="Arial" w:hAnsi="Arial"/>
          <w:sz w:val="16"/>
          <w:szCs w:val="16"/>
          <w:color w:val="auto"/>
        </w:rPr>
        <w:t>Each Loan Party and each Restricted Subsidiary that is a Material Subsidiary (a) is a Person duly organized or formed, validly existing and in good standing under the Laws of the jurisdiction of its incorporation, organization or formation (to the extent such concept exists in such jurisdiction),</w:t>
      </w:r>
    </w:p>
    <w:p>
      <w:pPr>
        <w:jc w:val="both"/>
        <w:ind w:left="8" w:right="40" w:hanging="8"/>
        <w:spacing w:after="0" w:line="215" w:lineRule="auto"/>
        <w:tabs>
          <w:tab w:leader="none" w:pos="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case of the Loan Parties has all requisite corporate power, limited liability power or other organizational power and authority to execute, deliver and perform its obligations under the Loan Documents to which it is a party, (c) is duly qualified and in good standing (to the extent such concept exists in such jurisdiction) under the Laws of each jurisdiction where its ownership, lease or operation of properties or the conduct of its business as currently conducted requires such qualification, (d) is in compliance with all applicable Laws (including the United States Foreign Corrupt Practices Act of 1977, as</w:t>
      </w:r>
    </w:p>
    <w:p>
      <w:pPr>
        <w:sectPr>
          <w:pgSz w:w="11900" w:h="16838" w:orient="portrait"/>
          <w:cols w:equalWidth="0" w:num="1">
            <w:col w:w="10928"/>
          </w:cols>
          <w:pgMar w:left="472" w:top="1440" w:right="499" w:bottom="1440" w:gutter="0" w:footer="0" w:header="0"/>
        </w:sectPr>
      </w:pPr>
    </w:p>
    <w:bookmarkStart w:id="166" w:name="page167"/>
    <w:bookmarkEnd w:id="166"/>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amended), orders, writs and injunctions and (e) has all requisite governmental licenses, authorizations, consents and approvals to operate its business as currently conducted; except in each case referred to in clause (a) (other than with respect to the Parent Borrower), (c), (d) or (e), to the extent that failure to do so could not reasonably be expected to have, individually or in the aggregate, a Material Adverse Effect.</w:t>
      </w:r>
    </w:p>
    <w:p>
      <w:pPr>
        <w:spacing w:after="0" w:line="20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5.02</w:t>
      </w:r>
      <w:r>
        <w:rPr>
          <w:sz w:val="20"/>
          <w:szCs w:val="20"/>
          <w:color w:val="auto"/>
        </w:rPr>
        <w:tab/>
      </w:r>
      <w:r>
        <w:rPr>
          <w:rFonts w:ascii="Arial" w:cs="Arial" w:eastAsia="Arial" w:hAnsi="Arial"/>
          <w:sz w:val="16"/>
          <w:szCs w:val="16"/>
          <w:color w:val="auto"/>
        </w:rPr>
        <w:t>Authorization; No Contravention.</w:t>
      </w:r>
    </w:p>
    <w:p>
      <w:pPr>
        <w:spacing w:after="0" w:line="22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a party (a) have been duly authorized by all necessary corporate or other organizational action, and (b) do not (i) contravene the terms of any of such Person’s Organization Documents, (ii) result in any breach or contravention of, or the creation of any Lien upon any of the property or assets of such Loan Party (other than</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as permitted by Section 7.01), or require any payment to be made under (x) any Contractual Obligation to which such Person is a party or (y) any material order, injunction, writ or decree of any Governmental Authority or any arbitral award to which such Person or its property is subject or (iii) violate any Law; except with respect to any breach or contravention or payment (but not creation of Liens) referred to in clauses (ii) and (iii),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extent that such violation, breach, contravention or payment could not reasonably be expected to have a Material Adverse Effect.</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5.03</w:t>
      </w:r>
      <w:r>
        <w:rPr>
          <w:sz w:val="20"/>
          <w:szCs w:val="20"/>
          <w:color w:val="auto"/>
        </w:rPr>
        <w:tab/>
      </w:r>
      <w:r>
        <w:rPr>
          <w:rFonts w:ascii="Arial" w:cs="Arial" w:eastAsia="Arial" w:hAnsi="Arial"/>
          <w:sz w:val="16"/>
          <w:szCs w:val="16"/>
          <w:color w:val="auto"/>
        </w:rPr>
        <w:t>Governmental Authorization; Other Consents.</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No material approval, consent, exemption, authorization, or other action by, or notice to, or filing with, any Governmental Authority is necessary or required in connection with the execution, delivery or performance by, enforcement by the Administrative Agent of its rights under the</w:t>
      </w:r>
    </w:p>
    <w:p>
      <w:pPr>
        <w:jc w:val="both"/>
        <w:ind w:right="20"/>
        <w:spacing w:after="0" w:line="234" w:lineRule="auto"/>
        <w:rPr>
          <w:sz w:val="20"/>
          <w:szCs w:val="20"/>
          <w:color w:val="auto"/>
        </w:rPr>
      </w:pPr>
      <w:r>
        <w:rPr>
          <w:rFonts w:ascii="Arial" w:cs="Arial" w:eastAsia="Arial" w:hAnsi="Arial"/>
          <w:sz w:val="16"/>
          <w:szCs w:val="16"/>
          <w:color w:val="auto"/>
        </w:rPr>
        <w:t>Loan Documents against, any Loan Party of this Agreement or any other Loan Document, the grant by any Loan Party of the Liens granted by it pursuant to the Collateral Documents, the perfection (if and to the extent required by the Collateral and Guarantee Requirement) or maintenance of the Liens created under the Collateral Documents (including the priority thereof) or the exercise by the Administrative Agent or any Lender of its rights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under the Loan Documents or the remedies in respect of the Collateral pursuant to the Collateral Documents, except for (i) filings and registrations necessary to perfect the Liens on the Collateral granted by the Loan Parties in favor of the Secured Parties, (ii) the approvals, consents, exemptions, authorizations, actions, notices and filings which have been duly obtained, taken, given or made and are in full force and effect (except to the extent</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not required to be obtained, taken, given or made or in full force and effect pursuant to the Collateral and Guarantee Requirement) and (iii) those approvals, consents, exemptions, authorizations or other actions, notices or filings, the failure of which to obtain or make could not reasonably be expected to have, individually or in the aggregate, a Material Adverse Effect.</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5.04</w:t>
      </w:r>
      <w:r>
        <w:rPr>
          <w:sz w:val="20"/>
          <w:szCs w:val="20"/>
          <w:color w:val="auto"/>
        </w:rPr>
        <w:tab/>
      </w:r>
      <w:r>
        <w:rPr>
          <w:rFonts w:ascii="Arial" w:cs="Arial" w:eastAsia="Arial" w:hAnsi="Arial"/>
          <w:sz w:val="17"/>
          <w:szCs w:val="17"/>
          <w:color w:val="auto"/>
        </w:rPr>
        <w:t>Binding Effect.</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This Agreement and each other Loan Document has been duly executed and delivered by each Loan Party that is party thereto. This Agreement and each other Loan Document constitutes a legal, valid and binding obligation of such Loan Party, enforceable against each Loan Party</w:t>
      </w:r>
    </w:p>
    <w:p>
      <w:pPr>
        <w:jc w:val="both"/>
        <w:spacing w:after="0" w:line="218" w:lineRule="auto"/>
        <w:rPr>
          <w:sz w:val="20"/>
          <w:szCs w:val="20"/>
          <w:color w:val="auto"/>
        </w:rPr>
      </w:pPr>
      <w:r>
        <w:rPr>
          <w:rFonts w:ascii="Arial" w:cs="Arial" w:eastAsia="Arial" w:hAnsi="Arial"/>
          <w:sz w:val="18"/>
          <w:szCs w:val="18"/>
          <w:color w:val="auto"/>
        </w:rPr>
        <w:t>that is a party thereto in accordance with its terms, except as such enforceability may be limited by (i) Debtor Relief Laws and by general principles of equity and principles of good faith and fair dealing and (ii) the effect of foreign Laws, rules and regulations as they relate to pledges of Equity Interests in Foreign Subsidiaries.</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5.05</w:t>
      </w:r>
      <w:r>
        <w:rPr>
          <w:sz w:val="20"/>
          <w:szCs w:val="20"/>
          <w:color w:val="auto"/>
        </w:rPr>
        <w:tab/>
      </w:r>
      <w:r>
        <w:rPr>
          <w:rFonts w:ascii="Arial" w:cs="Arial" w:eastAsia="Arial" w:hAnsi="Arial"/>
          <w:sz w:val="16"/>
          <w:szCs w:val="16"/>
          <w:color w:val="auto"/>
        </w:rPr>
        <w:t>Financial Statements; No Material Adverse Effect.</w:t>
      </w:r>
    </w:p>
    <w:p>
      <w:pPr>
        <w:spacing w:after="0" w:line="225" w:lineRule="exact"/>
        <w:rPr>
          <w:sz w:val="20"/>
          <w:szCs w:val="20"/>
          <w:color w:val="auto"/>
        </w:rPr>
      </w:pPr>
    </w:p>
    <w:p>
      <w:pPr>
        <w:ind w:left="1280" w:hanging="640"/>
        <w:spacing w:after="0"/>
        <w:tabs>
          <w:tab w:leader="none" w:pos="128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right="380" w:firstLine="640"/>
        <w:spacing w:after="0" w:line="235" w:lineRule="auto"/>
        <w:tabs>
          <w:tab w:leader="none" w:pos="1152"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Since December 31, 2020, there has been no event, circumstance or change, either individually or in the aggregate, that has had or could reasonably be expected to have a Material Adverse Effect.</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5.06</w:t>
      </w:r>
      <w:r>
        <w:rPr>
          <w:sz w:val="20"/>
          <w:szCs w:val="20"/>
          <w:color w:val="auto"/>
        </w:rPr>
        <w:tab/>
      </w:r>
      <w:r>
        <w:rPr>
          <w:rFonts w:ascii="Arial" w:cs="Arial" w:eastAsia="Arial" w:hAnsi="Arial"/>
          <w:sz w:val="17"/>
          <w:szCs w:val="17"/>
          <w:color w:val="auto"/>
        </w:rPr>
        <w:t>Litigation.</w:t>
      </w:r>
    </w:p>
    <w:p>
      <w:pPr>
        <w:spacing w:after="0" w:line="22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Except as set forth on Schedule 5.06, (a) there are no actions, suits or proceedings, pending or (b) to the knowledge of any Borrower, there are no actions, suits, proceedings, claims or disputes overtly threatened in writing,</w:t>
      </w:r>
    </w:p>
    <w:p>
      <w:pPr>
        <w:sectPr>
          <w:pgSz w:w="11900" w:h="16838" w:orient="portrait"/>
          <w:cols w:equalWidth="0" w:num="1">
            <w:col w:w="10900"/>
          </w:cols>
          <w:pgMar w:left="480" w:top="1440" w:right="519" w:bottom="1440" w:gutter="0" w:footer="0" w:header="0"/>
        </w:sectPr>
      </w:pPr>
    </w:p>
    <w:bookmarkStart w:id="167" w:name="page168"/>
    <w:bookmarkEnd w:id="167"/>
    <w:p>
      <w:pPr>
        <w:spacing w:after="0" w:line="211"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in each case of (a) and (b), at law, in equity, in arbitration or before any Governmental Authority, by or against any Borrower or any Restricted Subsidiary or against any of their properties or revenues that either individually or in the aggregate, could reasonably be expected to have a Material Adverse Effect.</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5.07</w:t>
      </w:r>
      <w:r>
        <w:rPr>
          <w:sz w:val="20"/>
          <w:szCs w:val="20"/>
          <w:color w:val="auto"/>
        </w:rPr>
        <w:tab/>
      </w:r>
      <w:r>
        <w:rPr>
          <w:rFonts w:ascii="Arial" w:cs="Arial" w:eastAsia="Arial" w:hAnsi="Arial"/>
          <w:sz w:val="16"/>
          <w:szCs w:val="16"/>
          <w:color w:val="auto"/>
        </w:rPr>
        <w:t>Ownership of Property; Liens.</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Each of the Borrowers and each of its Restricted Subsidiaries has good record title to, or valid leasehold interests in, or easements or other limited property interests in, all Real Property necessary in the ordinary conduct of its business, free and clear of all Liens except as set forth on Schedule 5.07 and except for minor defects in title that do not materially interfere with its ability to conduct its business or to utilize such assets for</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their intended purposes and Liens permitted by Section 7.01 and except where the failure to have such title or other interest could not reasonably be expected to have, individually or in the aggregate, a Material Adverse Effect.</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5.08</w:t>
      </w:r>
      <w:r>
        <w:rPr>
          <w:sz w:val="20"/>
          <w:szCs w:val="20"/>
          <w:color w:val="auto"/>
        </w:rPr>
        <w:tab/>
      </w:r>
      <w:r>
        <w:rPr>
          <w:rFonts w:ascii="Arial" w:cs="Arial" w:eastAsia="Arial" w:hAnsi="Arial"/>
          <w:sz w:val="16"/>
          <w:szCs w:val="16"/>
          <w:color w:val="auto"/>
        </w:rPr>
        <w:t>Environmental Matters.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could not reasonably be expected to have, individually or in the aggregate, a Material Adverse</w:t>
      </w:r>
    </w:p>
    <w:p>
      <w:pPr>
        <w:spacing w:after="0"/>
        <w:rPr>
          <w:sz w:val="20"/>
          <w:szCs w:val="20"/>
          <w:color w:val="auto"/>
        </w:rPr>
      </w:pPr>
      <w:r>
        <w:rPr>
          <w:rFonts w:ascii="Arial" w:cs="Arial" w:eastAsia="Arial" w:hAnsi="Arial"/>
          <w:sz w:val="18"/>
          <w:szCs w:val="18"/>
          <w:color w:val="auto"/>
        </w:rPr>
        <w:t>Effect:</w:t>
      </w:r>
    </w:p>
    <w:p>
      <w:pPr>
        <w:spacing w:after="0" w:line="277" w:lineRule="exact"/>
        <w:rPr>
          <w:sz w:val="20"/>
          <w:szCs w:val="20"/>
          <w:color w:val="auto"/>
        </w:rPr>
      </w:pPr>
    </w:p>
    <w:p>
      <w:pPr>
        <w:jc w:val="both"/>
        <w:ind w:left="640" w:right="40" w:firstLine="648"/>
        <w:spacing w:after="0" w:line="229" w:lineRule="auto"/>
        <w:tabs>
          <w:tab w:leader="none" w:pos="17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Loan Party and its respective properties and operations are and have been in compliance with all Environmental Laws, which includes obtaining and maintaining all applicable Environmental Permits required under such Environmental Laws to carry on the business of the Loan Parties;</w:t>
      </w:r>
    </w:p>
    <w:p>
      <w:pPr>
        <w:spacing w:after="0" w:line="190" w:lineRule="exact"/>
        <w:rPr>
          <w:rFonts w:ascii="Arial" w:cs="Arial" w:eastAsia="Arial" w:hAnsi="Arial"/>
          <w:sz w:val="18"/>
          <w:szCs w:val="18"/>
          <w:color w:val="auto"/>
        </w:rPr>
      </w:pPr>
    </w:p>
    <w:p>
      <w:pPr>
        <w:jc w:val="both"/>
        <w:ind w:left="640" w:right="40" w:firstLine="648"/>
        <w:spacing w:after="0" w:line="223" w:lineRule="auto"/>
        <w:tabs>
          <w:tab w:leader="none" w:pos="17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Loan Parties have not received any written notice that alleges any of them is in violation of or potentially liable under any Environmental Laws and none of the Loan Parties nor any Real Property is the subject of any claims, investigations, liens, demands, or judicial, administrative or arbitral proceedings pending or, to the knowledge of any Borrower, threatened in writing, under any Environmental Law or to revoke or modify any Environmental Permit held by any of the Loan Parties;</w:t>
      </w:r>
    </w:p>
    <w:p>
      <w:pPr>
        <w:spacing w:after="0" w:line="202" w:lineRule="exact"/>
        <w:rPr>
          <w:rFonts w:ascii="Arial" w:cs="Arial" w:eastAsia="Arial" w:hAnsi="Arial"/>
          <w:sz w:val="18"/>
          <w:szCs w:val="18"/>
          <w:color w:val="auto"/>
        </w:rPr>
      </w:pPr>
    </w:p>
    <w:p>
      <w:pPr>
        <w:ind w:left="640" w:right="60" w:firstLine="648"/>
        <w:spacing w:after="0" w:line="219" w:lineRule="auto"/>
        <w:tabs>
          <w:tab w:leader="none" w:pos="17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has been no Release of Hazardous Materials on, at, under or from any Real Property or facilities owned, operated or leased by any of the Loan Parties, or, to the knowledge of any Borrower, Real Property formerly owned, operated or leased by any Loan Party or arising out of the conduct of the Loan Parties, in any case, that could reasonably be expected to require investigation, remedial activity or corrective action or cleanup under Environmental Laws or could reasonably be expected to result in the Borrowers or any other Loan Party incurring liability under Environmental Laws; and</w:t>
      </w:r>
    </w:p>
    <w:p>
      <w:pPr>
        <w:spacing w:after="0" w:line="189" w:lineRule="exact"/>
        <w:rPr>
          <w:rFonts w:ascii="Arial" w:cs="Arial" w:eastAsia="Arial" w:hAnsi="Arial"/>
          <w:sz w:val="18"/>
          <w:szCs w:val="18"/>
          <w:color w:val="auto"/>
        </w:rPr>
      </w:pPr>
    </w:p>
    <w:p>
      <w:pPr>
        <w:jc w:val="both"/>
        <w:ind w:left="640" w:right="40" w:firstLine="648"/>
        <w:spacing w:after="0" w:line="223" w:lineRule="auto"/>
        <w:tabs>
          <w:tab w:leader="none" w:pos="17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are no existing facts, circumstances or conditions arising out of or relating to the operations of the Loan Parties or Real Property or facilities owned, operated or leased by any of the Loan Parties or, to the knowledge of any Borrower, Real Property or facilities formerly owned, operated or leased by the Loan Parties that could reasonably be expected to result in the Borrowers or any other Loan Party incurring liability under Environmental Laws.</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5.09</w:t>
      </w:r>
      <w:r>
        <w:rPr>
          <w:sz w:val="20"/>
          <w:szCs w:val="20"/>
          <w:color w:val="auto"/>
        </w:rPr>
        <w:tab/>
      </w:r>
      <w:r>
        <w:rPr>
          <w:rFonts w:ascii="Arial" w:cs="Arial" w:eastAsia="Arial" w:hAnsi="Arial"/>
          <w:sz w:val="15"/>
          <w:szCs w:val="15"/>
          <w:color w:val="auto"/>
        </w:rPr>
        <w:t>Taxes.</w:t>
      </w:r>
    </w:p>
    <w:p>
      <w:pPr>
        <w:spacing w:after="0" w:line="22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Except as could not, either individually or in the aggregate, reasonably be expected to result in a Material Adverse Effect, the Borrowers and the Restricted Subsidiaries have timely filed all tax returns required to be filed by them, and have paid all Taxes levied or imposed upon them or their properties, income, profits or assets, that are due and payable (including in their capacity as a withholding agent), except those which are being</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contested in good faith by appropriate actions diligently conducted and for which adequate reserves have been provided in accordance with GAAP. There is no proposed Tax deficiency or assessment known to any Loan Parties against the Loan Parties or their Restricted Subsidiaries that, if made, could, individually or in the aggregate, reasonably be expected to result in a Material Adverse Effect. No written adjustment relating to any such</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returns and involving a material amount of tax has been proposed or otherwise assessed by a taxing authority, and there are no pending audits, proceedings or</w:t>
      </w:r>
    </w:p>
    <w:p>
      <w:pPr>
        <w:sectPr>
          <w:pgSz w:w="11900" w:h="16838" w:orient="portrait"/>
          <w:cols w:equalWidth="0" w:num="1">
            <w:col w:w="10920"/>
          </w:cols>
          <w:pgMar w:left="480" w:top="1440" w:right="499" w:bottom="1440" w:gutter="0" w:footer="0" w:header="0"/>
        </w:sectPr>
      </w:pPr>
    </w:p>
    <w:bookmarkStart w:id="168" w:name="page169"/>
    <w:bookmarkEnd w:id="168"/>
    <w:p>
      <w:pPr>
        <w:spacing w:after="0" w:line="21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actions related to the assessment or collection of taxes against any Loan Party that could, individually or in the aggregate, in each case, reasonably be expected to have a Material Adverse Effect.</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5.10</w:t>
      </w:r>
      <w:r>
        <w:rPr>
          <w:sz w:val="20"/>
          <w:szCs w:val="20"/>
          <w:color w:val="auto"/>
        </w:rPr>
        <w:tab/>
      </w:r>
      <w:r>
        <w:rPr>
          <w:rFonts w:ascii="Arial" w:cs="Arial" w:eastAsia="Arial" w:hAnsi="Arial"/>
          <w:sz w:val="16"/>
          <w:szCs w:val="16"/>
          <w:color w:val="auto"/>
        </w:rPr>
        <w:t>ERISA Compliance.</w:t>
      </w:r>
    </w:p>
    <w:p>
      <w:pPr>
        <w:spacing w:after="0" w:line="225" w:lineRule="exact"/>
        <w:rPr>
          <w:sz w:val="20"/>
          <w:szCs w:val="20"/>
          <w:color w:val="auto"/>
        </w:rPr>
      </w:pPr>
    </w:p>
    <w:p>
      <w:pPr>
        <w:ind w:right="20" w:firstLine="640"/>
        <w:spacing w:after="0" w:line="289" w:lineRule="auto"/>
        <w:tabs>
          <w:tab w:leader="none" w:pos="1152" w:val="left"/>
        </w:tabs>
        <w:numPr>
          <w:ilvl w:val="0"/>
          <w:numId w:val="191"/>
        </w:numPr>
        <w:rPr>
          <w:rFonts w:ascii="Arial" w:cs="Arial" w:eastAsia="Arial" w:hAnsi="Arial"/>
          <w:sz w:val="16"/>
          <w:szCs w:val="16"/>
          <w:color w:val="010000"/>
        </w:rPr>
      </w:pPr>
      <w:r>
        <w:rPr>
          <w:rFonts w:ascii="Arial" w:cs="Arial" w:eastAsia="Arial" w:hAnsi="Arial"/>
          <w:sz w:val="16"/>
          <w:szCs w:val="16"/>
          <w:color w:val="auto"/>
        </w:rPr>
        <w:t>Except as could not, either individually or in the aggregate, reasonably be expected to result in a Material Adverse Effect, each Plan is in compliance in form and operation with its terms and with the applicable provisions of ERISA, the Code and other applicable federal or state Laws.</w:t>
      </w:r>
    </w:p>
    <w:p>
      <w:pPr>
        <w:spacing w:after="0" w:line="164" w:lineRule="exact"/>
        <w:rPr>
          <w:rFonts w:ascii="Arial" w:cs="Arial" w:eastAsia="Arial" w:hAnsi="Arial"/>
          <w:sz w:val="16"/>
          <w:szCs w:val="16"/>
          <w:color w:val="010000"/>
        </w:rPr>
      </w:pPr>
    </w:p>
    <w:p>
      <w:pPr>
        <w:jc w:val="both"/>
        <w:ind w:right="20" w:firstLine="639"/>
        <w:spacing w:after="0" w:line="244" w:lineRule="auto"/>
        <w:tabs>
          <w:tab w:leader="none" w:pos="1153" w:val="left"/>
        </w:tabs>
        <w:numPr>
          <w:ilvl w:val="0"/>
          <w:numId w:val="191"/>
        </w:numPr>
        <w:rPr>
          <w:rFonts w:ascii="Arial" w:cs="Arial" w:eastAsia="Arial" w:hAnsi="Arial"/>
          <w:sz w:val="16"/>
          <w:szCs w:val="16"/>
          <w:color w:val="010000"/>
        </w:rPr>
      </w:pPr>
      <w:r>
        <w:rPr>
          <w:rFonts w:ascii="Arial" w:cs="Arial" w:eastAsia="Arial" w:hAnsi="Arial"/>
          <w:sz w:val="16"/>
          <w:szCs w:val="16"/>
          <w:color w:val="auto"/>
        </w:rPr>
        <w:t>(i) No ERISA Event has occurred or is reasonably expected to occur; (ii) neither any Loan Party, Restricted Subsidiary nor any ERISA Affiliate has incurred, or reasonably expects to incur, any liability under Title IV of ERISA with respect to any Pension Plan (other than premiums due but not delinquent under Section 4007 of ERISA); (iii) neither any Loan Party, Restricted Subsidiary nor any ERISA Affiliate has incurred, or reasonably expects to incur, any liability (and no event has occurred which, with the giving of notice under Section 4219 of ERISA, would result in such liability) under Section 4201 of ERISA with respect to a Multiemployer Plan; and (iv) to the knowledge of the Borrowers, neither any Loan Party, nor any ERISA Affiliate has engaged in a transaction that could be subject to Sections 4069 or 4212(c) of ERISA; except, with respect to each of the foregoing clauses of this Section 5.10(b), as could not reasonably be expected, individually or in the aggregate, to result in a Material Adverse Effect.</w:t>
      </w:r>
    </w:p>
    <w:p>
      <w:pPr>
        <w:spacing w:after="0" w:line="18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5.11</w:t>
      </w:r>
      <w:r>
        <w:rPr>
          <w:sz w:val="20"/>
          <w:szCs w:val="20"/>
          <w:color w:val="auto"/>
        </w:rPr>
        <w:tab/>
      </w:r>
      <w:r>
        <w:rPr>
          <w:rFonts w:ascii="Arial" w:cs="Arial" w:eastAsia="Arial" w:hAnsi="Arial"/>
          <w:sz w:val="16"/>
          <w:szCs w:val="16"/>
          <w:color w:val="auto"/>
        </w:rPr>
        <w:t>Subsidiaries; Equity Interests.</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As of the Closing Date (after giving effect to the Transactions), no Loan Party has any Material Subsidiaries other than those specifically disclosed on Schedule 5.11 (it being understood that the disclosure of any Subsidiary on Schedule 5.11 shall not be an admission that such Subsidiary</w:t>
      </w:r>
    </w:p>
    <w:p>
      <w:pPr>
        <w:jc w:val="both"/>
        <w:ind w:right="20"/>
        <w:spacing w:after="0" w:line="234" w:lineRule="auto"/>
        <w:rPr>
          <w:sz w:val="20"/>
          <w:szCs w:val="20"/>
          <w:color w:val="auto"/>
        </w:rPr>
      </w:pPr>
      <w:r>
        <w:rPr>
          <w:rFonts w:ascii="Arial" w:cs="Arial" w:eastAsia="Arial" w:hAnsi="Arial"/>
          <w:sz w:val="16"/>
          <w:szCs w:val="16"/>
          <w:color w:val="auto"/>
        </w:rPr>
        <w:t>is a Material Subsidiary), and all of the outstanding Equity Interests owned by the Loan Parties (or a Subsidiary of any Loan Party) in such Material Subsidiaries have been validly issued and are fully paid and all Equity Interests owned by a Loan Party (or a Subsidiary of any Loan Party) in such Material Subsidiaries are owned free and clear of all Liens except (i) those created under the Collateral Documents and (ii) any nonconsensual Lien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that is permitted under Section 7.01.</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5.12</w:t>
      </w:r>
      <w:r>
        <w:rPr>
          <w:sz w:val="20"/>
          <w:szCs w:val="20"/>
          <w:color w:val="auto"/>
        </w:rPr>
        <w:tab/>
      </w:r>
      <w:r>
        <w:rPr>
          <w:rFonts w:ascii="Arial" w:cs="Arial" w:eastAsia="Arial" w:hAnsi="Arial"/>
          <w:sz w:val="16"/>
          <w:szCs w:val="16"/>
          <w:color w:val="auto"/>
        </w:rPr>
        <w:t>Margin Regulations; Investment Company Act.</w:t>
      </w:r>
    </w:p>
    <w:p>
      <w:pPr>
        <w:spacing w:after="0" w:line="225" w:lineRule="exact"/>
        <w:rPr>
          <w:sz w:val="20"/>
          <w:szCs w:val="20"/>
          <w:color w:val="auto"/>
        </w:rPr>
      </w:pPr>
    </w:p>
    <w:p>
      <w:pPr>
        <w:jc w:val="both"/>
        <w:ind w:right="20" w:firstLine="640"/>
        <w:spacing w:after="0" w:line="267" w:lineRule="auto"/>
        <w:tabs>
          <w:tab w:leader="none" w:pos="1152" w:val="left"/>
        </w:tabs>
        <w:numPr>
          <w:ilvl w:val="0"/>
          <w:numId w:val="192"/>
        </w:numPr>
        <w:rPr>
          <w:rFonts w:ascii="Arial" w:cs="Arial" w:eastAsia="Arial" w:hAnsi="Arial"/>
          <w:sz w:val="16"/>
          <w:szCs w:val="16"/>
          <w:color w:val="010000"/>
        </w:rPr>
      </w:pPr>
      <w:r>
        <w:rPr>
          <w:rFonts w:ascii="Arial" w:cs="Arial" w:eastAsia="Arial" w:hAnsi="Arial"/>
          <w:sz w:val="16"/>
          <w:szCs w:val="16"/>
          <w:color w:val="auto"/>
        </w:rPr>
        <w:t>Each Borrower is not and will not engage, principally or as one of its important activities, in the business of purchasing or carrying Margin Stock, or extending credit for the purpose of purchasing or carrying Margin Stock, and no proceeds of any Borrowings or drawings under any Letter of Credit will be used for any purpose that violates Regulation U of the Board of Governors of the United States Federal Reserve System.</w:t>
      </w:r>
    </w:p>
    <w:p>
      <w:pPr>
        <w:spacing w:after="0" w:line="168" w:lineRule="exact"/>
        <w:rPr>
          <w:rFonts w:ascii="Arial" w:cs="Arial" w:eastAsia="Arial" w:hAnsi="Arial"/>
          <w:sz w:val="16"/>
          <w:szCs w:val="16"/>
          <w:color w:val="010000"/>
        </w:rPr>
      </w:pPr>
    </w:p>
    <w:p>
      <w:pPr>
        <w:ind w:left="1140" w:hanging="500"/>
        <w:spacing w:after="0"/>
        <w:tabs>
          <w:tab w:leader="none" w:pos="1140" w:val="left"/>
        </w:tabs>
        <w:numPr>
          <w:ilvl w:val="0"/>
          <w:numId w:val="192"/>
        </w:numPr>
        <w:rPr>
          <w:rFonts w:ascii="Arial" w:cs="Arial" w:eastAsia="Arial" w:hAnsi="Arial"/>
          <w:sz w:val="16"/>
          <w:szCs w:val="16"/>
          <w:color w:val="010000"/>
        </w:rPr>
      </w:pPr>
      <w:r>
        <w:rPr>
          <w:rFonts w:ascii="Arial" w:cs="Arial" w:eastAsia="Arial" w:hAnsi="Arial"/>
          <w:sz w:val="16"/>
          <w:szCs w:val="16"/>
          <w:color w:val="auto"/>
        </w:rPr>
        <w:t>None of the Borrowers or any Guarantor is required to be registered as an “investment company” under the Investment Company Act</w:t>
      </w:r>
    </w:p>
    <w:p>
      <w:pPr>
        <w:spacing w:after="0" w:line="21"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of 1940.</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5.13</w:t>
      </w:r>
      <w:r>
        <w:rPr>
          <w:sz w:val="20"/>
          <w:szCs w:val="20"/>
          <w:color w:val="auto"/>
        </w:rPr>
        <w:tab/>
      </w:r>
      <w:r>
        <w:rPr>
          <w:rFonts w:ascii="Arial" w:cs="Arial" w:eastAsia="Arial" w:hAnsi="Arial"/>
          <w:sz w:val="16"/>
          <w:szCs w:val="16"/>
          <w:color w:val="auto"/>
        </w:rPr>
        <w:t>Disclosure.</w:t>
      </w:r>
    </w:p>
    <w:p>
      <w:pPr>
        <w:spacing w:after="0" w:line="239" w:lineRule="exact"/>
        <w:rPr>
          <w:sz w:val="20"/>
          <w:szCs w:val="20"/>
          <w:color w:val="auto"/>
        </w:rPr>
      </w:pPr>
    </w:p>
    <w:p>
      <w:pPr>
        <w:jc w:val="both"/>
        <w:ind w:left="800" w:firstLine="650"/>
        <w:spacing w:after="0" w:line="212" w:lineRule="auto"/>
        <w:tabs>
          <w:tab w:leader="none" w:pos="179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 xml:space="preserve">As of the Closing Date, no written report, financial statement, certificate or other written information furnished by or on behalf of the Parent Borrower concerning it or its Subsidiaries or the Transactions (other than projected financial information,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budgets, estimates, other forward looking statements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and as supplemented contains any material misstatement of fact or omits to state any material fact necessary to make the statements therein (when taken as a whole), in the light of the circumstances under which they were made, not materially misleading. With respect to written projected financial information and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furnished by or on behalf of the Initial Borrower on or prior to the Closing Date concerning the Company and its Subsidiaries or the Transactions, the Initial Borrower represents, as of the Closing date, that such</w:t>
      </w:r>
    </w:p>
    <w:p>
      <w:pPr>
        <w:sectPr>
          <w:pgSz w:w="11900" w:h="16838" w:orient="portrait"/>
          <w:cols w:equalWidth="0" w:num="1">
            <w:col w:w="10900"/>
          </w:cols>
          <w:pgMar w:left="480" w:top="1440" w:right="519" w:bottom="1440" w:gutter="0" w:footer="0" w:header="0"/>
        </w:sectPr>
      </w:pPr>
    </w:p>
    <w:bookmarkStart w:id="169" w:name="page170"/>
    <w:bookmarkEnd w:id="169"/>
    <w:p>
      <w:pPr>
        <w:spacing w:after="0" w:line="211" w:lineRule="exact"/>
        <w:rPr>
          <w:sz w:val="20"/>
          <w:szCs w:val="20"/>
          <w:color w:val="auto"/>
        </w:rPr>
      </w:pPr>
    </w:p>
    <w:p>
      <w:pPr>
        <w:jc w:val="both"/>
        <w:ind w:left="808" w:right="20"/>
        <w:spacing w:after="0" w:line="241" w:lineRule="auto"/>
        <w:rPr>
          <w:sz w:val="20"/>
          <w:szCs w:val="20"/>
          <w:color w:val="auto"/>
        </w:rPr>
      </w:pPr>
      <w:r>
        <w:rPr>
          <w:rFonts w:ascii="Arial" w:cs="Arial" w:eastAsia="Arial" w:hAnsi="Arial"/>
          <w:sz w:val="16"/>
          <w:szCs w:val="16"/>
          <w:color w:val="auto"/>
        </w:rPr>
        <w:t xml:space="preserve">written information was prepared in good faith based upon assumptions believed to be reasonable at the time such information was furnished to the Lenders (it being understood that (i) such projected financial information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are not to be viewed as facts or a guarantee of performance and are subject to significant uncertainties and contingencies many of which are beyond the</w:t>
      </w:r>
    </w:p>
    <w:p>
      <w:pPr>
        <w:spacing w:after="0" w:line="2" w:lineRule="exact"/>
        <w:rPr>
          <w:sz w:val="20"/>
          <w:szCs w:val="20"/>
          <w:color w:val="auto"/>
        </w:rPr>
      </w:pPr>
    </w:p>
    <w:p>
      <w:pPr>
        <w:jc w:val="both"/>
        <w:ind w:left="808" w:right="20"/>
        <w:spacing w:after="0" w:line="234" w:lineRule="auto"/>
        <w:rPr>
          <w:sz w:val="20"/>
          <w:szCs w:val="20"/>
          <w:color w:val="auto"/>
        </w:rPr>
      </w:pPr>
      <w:r>
        <w:rPr>
          <w:rFonts w:ascii="Arial" w:cs="Arial" w:eastAsia="Arial" w:hAnsi="Arial"/>
          <w:sz w:val="16"/>
          <w:szCs w:val="16"/>
          <w:color w:val="auto"/>
        </w:rPr>
        <w:t xml:space="preserve">control of the Parent Borrower and its Subsidiaries and (ii) no assurance can be given that any particular financial projections will be realized, and that actual results during the period or periods covered by any such written projected financial information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may vary from such forecasts and that such variations may be material and that no assurance can be given that the</w:t>
      </w:r>
    </w:p>
    <w:p>
      <w:pPr>
        <w:spacing w:after="0" w:line="2" w:lineRule="exact"/>
        <w:rPr>
          <w:sz w:val="20"/>
          <w:szCs w:val="20"/>
          <w:color w:val="auto"/>
        </w:rPr>
      </w:pPr>
    </w:p>
    <w:p>
      <w:pPr>
        <w:ind w:left="808"/>
        <w:spacing w:after="0"/>
        <w:rPr>
          <w:sz w:val="20"/>
          <w:szCs w:val="20"/>
          <w:color w:val="auto"/>
        </w:rPr>
      </w:pPr>
      <w:r>
        <w:rPr>
          <w:rFonts w:ascii="Arial" w:cs="Arial" w:eastAsia="Arial" w:hAnsi="Arial"/>
          <w:sz w:val="18"/>
          <w:szCs w:val="18"/>
          <w:color w:val="auto"/>
        </w:rPr>
        <w:t>projected results will be realized).</w:t>
      </w:r>
    </w:p>
    <w:p>
      <w:pPr>
        <w:spacing w:after="0" w:line="196" w:lineRule="exact"/>
        <w:rPr>
          <w:sz w:val="20"/>
          <w:szCs w:val="20"/>
          <w:color w:val="auto"/>
        </w:rPr>
      </w:pPr>
    </w:p>
    <w:p>
      <w:pPr>
        <w:ind w:left="808" w:right="20" w:firstLine="650"/>
        <w:spacing w:after="0" w:line="235" w:lineRule="auto"/>
        <w:tabs>
          <w:tab w:leader="none" w:pos="1798"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As of the Closing Date, the information included in the beneficial ownership certification delivered pursuant to Section 4.01(g) is true and correct in all material respects.</w:t>
      </w:r>
    </w:p>
    <w:p>
      <w:pPr>
        <w:spacing w:after="0" w:line="202"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5.14</w:t>
      </w:r>
      <w:r>
        <w:rPr>
          <w:sz w:val="20"/>
          <w:szCs w:val="20"/>
          <w:color w:val="auto"/>
        </w:rPr>
        <w:tab/>
      </w:r>
      <w:r>
        <w:rPr>
          <w:rFonts w:ascii="Arial" w:cs="Arial" w:eastAsia="Arial" w:hAnsi="Arial"/>
          <w:sz w:val="16"/>
          <w:szCs w:val="16"/>
          <w:color w:val="auto"/>
        </w:rPr>
        <w:t>Labor Matters.</w:t>
      </w:r>
    </w:p>
    <w:p>
      <w:pPr>
        <w:spacing w:after="0" w:line="225" w:lineRule="exact"/>
        <w:rPr>
          <w:sz w:val="20"/>
          <w:szCs w:val="20"/>
          <w:color w:val="auto"/>
        </w:rPr>
      </w:pPr>
    </w:p>
    <w:p>
      <w:pPr>
        <w:ind w:left="8" w:right="20" w:firstLine="648"/>
        <w:spacing w:after="0" w:line="239" w:lineRule="auto"/>
        <w:rPr>
          <w:sz w:val="20"/>
          <w:szCs w:val="20"/>
          <w:color w:val="auto"/>
        </w:rPr>
      </w:pPr>
      <w:r>
        <w:rPr>
          <w:rFonts w:ascii="Arial" w:cs="Arial" w:eastAsia="Arial" w:hAnsi="Arial"/>
          <w:sz w:val="16"/>
          <w:szCs w:val="16"/>
          <w:color w:val="auto"/>
        </w:rPr>
        <w:t>Except as, individually or in the aggregate, could not reasonably be expected to have a Material Adverse Effect: (a) there are no strikes or other labor disputes against any Borrower or any of its Restricted Subsidiaries pending or, to the knowledge of the Borrowers, overtly threatened and</w:t>
      </w:r>
    </w:p>
    <w:p>
      <w:pPr>
        <w:spacing w:after="0" w:line="1" w:lineRule="exact"/>
        <w:rPr>
          <w:sz w:val="20"/>
          <w:szCs w:val="20"/>
          <w:color w:val="auto"/>
        </w:rPr>
      </w:pPr>
    </w:p>
    <w:p>
      <w:pPr>
        <w:ind w:left="8" w:right="20" w:hanging="8"/>
        <w:spacing w:after="0" w:line="233" w:lineRule="auto"/>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Borrower and each of its Restricted Subsidiaries have not been in violation of the Fair Labor Standards Act or any other applicable Laws dealing with wage and hour matters.</w:t>
      </w:r>
    </w:p>
    <w:p>
      <w:pPr>
        <w:spacing w:after="0" w:line="190"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5.15</w:t>
      </w:r>
      <w:r>
        <w:rPr>
          <w:sz w:val="20"/>
          <w:szCs w:val="20"/>
          <w:color w:val="auto"/>
        </w:rPr>
        <w:tab/>
      </w:r>
      <w:r>
        <w:rPr>
          <w:rFonts w:ascii="Arial" w:cs="Arial" w:eastAsia="Arial" w:hAnsi="Arial"/>
          <w:sz w:val="16"/>
          <w:szCs w:val="16"/>
          <w:color w:val="auto"/>
        </w:rPr>
        <w:t>Intellectual Property; Licenses, Etc.</w:t>
      </w:r>
    </w:p>
    <w:p>
      <w:pPr>
        <w:spacing w:after="0" w:line="225" w:lineRule="exact"/>
        <w:rPr>
          <w:sz w:val="20"/>
          <w:szCs w:val="20"/>
          <w:color w:val="auto"/>
        </w:rPr>
      </w:pPr>
    </w:p>
    <w:p>
      <w:pPr>
        <w:jc w:val="both"/>
        <w:ind w:left="8" w:firstLine="648"/>
        <w:spacing w:after="0" w:line="248" w:lineRule="auto"/>
        <w:rPr>
          <w:sz w:val="20"/>
          <w:szCs w:val="20"/>
          <w:color w:val="auto"/>
        </w:rPr>
      </w:pPr>
      <w:r>
        <w:rPr>
          <w:rFonts w:ascii="Arial" w:cs="Arial" w:eastAsia="Arial" w:hAnsi="Arial"/>
          <w:sz w:val="16"/>
          <w:szCs w:val="16"/>
          <w:color w:val="auto"/>
        </w:rPr>
        <w:t>The Borrowers and the Restricted Subsidiaries own, license or otherwise possess the right to use (free and clear of all Liens, except for the Liens permitted by Section 7.01) all of the intellectual property rights, including without limitation, trademarks, service marks, trade names, domain</w:t>
      </w:r>
    </w:p>
    <w:p>
      <w:pPr>
        <w:jc w:val="both"/>
        <w:ind w:left="8"/>
        <w:spacing w:after="0" w:line="234" w:lineRule="auto"/>
        <w:rPr>
          <w:sz w:val="20"/>
          <w:szCs w:val="20"/>
          <w:color w:val="auto"/>
        </w:rPr>
      </w:pPr>
      <w:r>
        <w:rPr>
          <w:rFonts w:ascii="Arial" w:cs="Arial" w:eastAsia="Arial" w:hAnsi="Arial"/>
          <w:sz w:val="16"/>
          <w:szCs w:val="16"/>
          <w:color w:val="auto"/>
        </w:rPr>
        <w:t xml:space="preserve">names, copyrights, patents, patent rights, licenses, technology, software, know-how database rights, design rights, works of authorship, trade secrets, all registrations and applications related to any of the above, and other intellectual property rights (collectively, “ </w:t>
      </w:r>
      <w:r>
        <w:rPr>
          <w:rFonts w:ascii="Arial" w:cs="Arial" w:eastAsia="Arial" w:hAnsi="Arial"/>
          <w:sz w:val="16"/>
          <w:szCs w:val="16"/>
          <w:b w:val="1"/>
          <w:bCs w:val="1"/>
          <w:color w:val="auto"/>
        </w:rPr>
        <w:t>IP Rights</w:t>
      </w:r>
      <w:r>
        <w:rPr>
          <w:rFonts w:ascii="Arial" w:cs="Arial" w:eastAsia="Arial" w:hAnsi="Arial"/>
          <w:sz w:val="16"/>
          <w:szCs w:val="16"/>
          <w:color w:val="auto"/>
        </w:rPr>
        <w:t>”) that are necessary for the operation of their respective businesses as currently conducted, except to the extent the absence of such IP Rights, either individually or in the</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aggregate, could not reasonably be expected to have a Material Adverse Effect. To the knowledge of each Borrower, the operation of the respective businesses of the Borrowers and the Restricted Subsidiaries as currently conducted does not infringe upon any IP Rights held by any Person except for such infringements, individually or in the aggregate, which could not reasonably be expected to have a Material Adverse Effect. No claim or litigation</w:t>
      </w:r>
    </w:p>
    <w:p>
      <w:pPr>
        <w:spacing w:after="0" w:line="2" w:lineRule="exact"/>
        <w:rPr>
          <w:sz w:val="20"/>
          <w:szCs w:val="20"/>
          <w:color w:val="auto"/>
        </w:rPr>
      </w:pPr>
    </w:p>
    <w:p>
      <w:pPr>
        <w:jc w:val="both"/>
        <w:ind w:left="8"/>
        <w:spacing w:after="0" w:line="239" w:lineRule="auto"/>
        <w:rPr>
          <w:sz w:val="20"/>
          <w:szCs w:val="20"/>
          <w:color w:val="auto"/>
        </w:rPr>
      </w:pPr>
      <w:r>
        <w:rPr>
          <w:rFonts w:ascii="Arial" w:cs="Arial" w:eastAsia="Arial" w:hAnsi="Arial"/>
          <w:sz w:val="17"/>
          <w:szCs w:val="17"/>
          <w:color w:val="auto"/>
        </w:rPr>
        <w:t>regarding any of the IP Rights is pending or, to the knowledge of any Borrower, overtly threatened in writing against any Loan Party or any of the Restricted Subsidiaries, which, either individually or in the aggregate, could reasonably be expected to have a Material Adverse Effect.</w:t>
      </w:r>
    </w:p>
    <w:p>
      <w:pPr>
        <w:spacing w:after="0" w:line="202"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5.16</w:t>
      </w:r>
      <w:r>
        <w:rPr>
          <w:sz w:val="20"/>
          <w:szCs w:val="20"/>
          <w:color w:val="auto"/>
        </w:rPr>
        <w:tab/>
      </w:r>
      <w:r>
        <w:rPr>
          <w:rFonts w:ascii="Arial" w:cs="Arial" w:eastAsia="Arial" w:hAnsi="Arial"/>
          <w:sz w:val="16"/>
          <w:szCs w:val="16"/>
          <w:color w:val="auto"/>
        </w:rPr>
        <w:t>Solvency.</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On the Closing Date, after giving effect to the Transactions, the Parent Borrower and the Restricted Subsidiaries, on a consolidated basis, are</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Solvent.</w:t>
      </w:r>
    </w:p>
    <w:p>
      <w:pPr>
        <w:spacing w:after="0" w:line="209"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5.17</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5.18</w:t>
      </w:r>
      <w:r>
        <w:rPr>
          <w:sz w:val="20"/>
          <w:szCs w:val="20"/>
          <w:color w:val="auto"/>
        </w:rPr>
        <w:tab/>
      </w:r>
      <w:r>
        <w:rPr>
          <w:rFonts w:ascii="Arial" w:cs="Arial" w:eastAsia="Arial" w:hAnsi="Arial"/>
          <w:sz w:val="16"/>
          <w:szCs w:val="16"/>
          <w:color w:val="auto"/>
        </w:rPr>
        <w:t>USA Patriot Act, FCPA and OFAC.</w:t>
      </w:r>
    </w:p>
    <w:p>
      <w:pPr>
        <w:spacing w:after="0" w:line="225" w:lineRule="exact"/>
        <w:rPr>
          <w:sz w:val="20"/>
          <w:szCs w:val="20"/>
          <w:color w:val="auto"/>
        </w:rPr>
      </w:pPr>
    </w:p>
    <w:p>
      <w:pPr>
        <w:jc w:val="both"/>
        <w:ind w:left="808" w:right="20" w:firstLine="650"/>
        <w:spacing w:after="0" w:line="219" w:lineRule="auto"/>
        <w:tabs>
          <w:tab w:leader="none" w:pos="1798" w:val="left"/>
        </w:tabs>
        <w:numPr>
          <w:ilvl w:val="0"/>
          <w:numId w:val="196"/>
        </w:numPr>
        <w:rPr>
          <w:rFonts w:ascii="Arial" w:cs="Arial" w:eastAsia="Arial" w:hAnsi="Arial"/>
          <w:sz w:val="18"/>
          <w:szCs w:val="18"/>
          <w:color w:val="010000"/>
        </w:rPr>
      </w:pPr>
      <w:r>
        <w:rPr>
          <w:rFonts w:ascii="Arial" w:cs="Arial" w:eastAsia="Arial" w:hAnsi="Arial"/>
          <w:sz w:val="18"/>
          <w:szCs w:val="18"/>
          <w:color w:val="auto"/>
        </w:rPr>
        <w:t>To the extent applicable, each of the Guarantors, the Borrowers and the Restricted Subsidiaries is in compliance, in all material respects, with (i) the Trading with the Enemy Act and each of the foreign assets control regulations of the United States Treasury Department (31 CFR Subtitle B, Chapter V) and any other enabling legislation or executive order relating thereto and (ii) the USA Patriot Act, solely for purposes of Section 4.01 to the extent a breach or violation of the representation in this clause (ii) would reasonably be expected to result in a Material Adverse Effect.</w:t>
      </w:r>
    </w:p>
    <w:p>
      <w:pPr>
        <w:sectPr>
          <w:pgSz w:w="11900" w:h="16838" w:orient="portrait"/>
          <w:cols w:equalWidth="0" w:num="1">
            <w:col w:w="10908"/>
          </w:cols>
          <w:pgMar w:left="472" w:top="1440" w:right="519" w:bottom="1440" w:gutter="0" w:footer="0" w:header="0"/>
        </w:sectPr>
      </w:pPr>
    </w:p>
    <w:bookmarkStart w:id="170" w:name="page171"/>
    <w:bookmarkEnd w:id="170"/>
    <w:p>
      <w:pPr>
        <w:spacing w:after="0" w:line="211" w:lineRule="exact"/>
        <w:rPr>
          <w:sz w:val="20"/>
          <w:szCs w:val="20"/>
          <w:color w:val="auto"/>
        </w:rPr>
      </w:pPr>
    </w:p>
    <w:p>
      <w:pPr>
        <w:jc w:val="both"/>
        <w:ind w:left="800" w:firstLine="650"/>
        <w:spacing w:after="0" w:line="223" w:lineRule="auto"/>
        <w:tabs>
          <w:tab w:leader="none" w:pos="1790"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No part of the proceeds of the Loans will be used by the Guarantors, the Borrowers or any Restricted Subsidiary,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9" w:lineRule="exact"/>
        <w:rPr>
          <w:rFonts w:ascii="Arial" w:cs="Arial" w:eastAsia="Arial" w:hAnsi="Arial"/>
          <w:sz w:val="18"/>
          <w:szCs w:val="18"/>
          <w:color w:val="010000"/>
        </w:rPr>
      </w:pPr>
    </w:p>
    <w:p>
      <w:pPr>
        <w:jc w:val="both"/>
        <w:ind w:left="800" w:firstLine="650"/>
        <w:spacing w:after="0" w:line="217" w:lineRule="auto"/>
        <w:tabs>
          <w:tab w:leader="none" w:pos="1790"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(i) None of the Guarantors, the Borrowers or any Restricted Subsidiaries nor, to the knowledge of any Borrower, any director or officer of any Guarantor, Borrower or Restricted Subsidiary is currently the subject of any U.S. sanctions program administered by the Office of Foreign Assets Control of the United States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 and (ii) none of the Guarantors, the Borrowers or any Restricted Subsidiary will directly or indirectly knowingly use the proceeds of the Loans or otherwise knowingly make available such proceeds to any Person, for the purpose of financing the activities of any Person, or in any country or territory that, at the time of such financing, is the subject of any U.S. sanctions program administered by OFAC, except to the extent licensed or otherwise approved by OFAC.</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5.19</w:t>
      </w:r>
      <w:r>
        <w:rPr>
          <w:sz w:val="20"/>
          <w:szCs w:val="20"/>
          <w:color w:val="auto"/>
        </w:rPr>
        <w:tab/>
      </w:r>
      <w:r>
        <w:rPr>
          <w:rFonts w:ascii="Arial" w:cs="Arial" w:eastAsia="Arial" w:hAnsi="Arial"/>
          <w:sz w:val="16"/>
          <w:szCs w:val="16"/>
          <w:color w:val="auto"/>
        </w:rPr>
        <w:t>Collateral Documents.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Except as otherwise contemplated hereby or under any other Loan Documents and subject to the limitations set forth in the Collateral and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Guarantee Requirement, the provisions of the Collateral Documents, together with such filings and other actions required to be taken hereby or by the applicable Collateral Documents (including the delivery to the Administrative Agent of any Pledged Debt and any Pledged Equity required to be delivered pursuant to the applicable Collateral Documents), are effective to create in favor of the Administrative Agent for the benefit of the Secured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Parties, except as otherwise provided hereunder or pursuant to the applicable Loan Documents, including subject to Liens permitted by Section 7.01, a legal, valid, enforceable and perfected Lien on all right, title and interest of the respective Loan Parties in the Collateral described therein.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herein (including this Section 5.19) or in any other Loan Document to the contrary, neither the Borrowers nor any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other Loan Party makes any representation or warranty as to (A) the effects of perfection or non-perfection, the priority or the enforceability of any pledge of or security interest in any Equity Interests of any Foreign Subsidiary that is not a Guarantor, or as to the rights and remedies of the Agents or any Lender with respect thereto, under foreign Law, (B) the pledge or creation of any security interest, or the effects of perfection or non-perfection,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priority or the enforceability of any pledge of or security interest to the extent such pledge, security interest, perfection or priority is not required pursuant to the Collateral and Guarantee Requirement or (C) on the Closing Date and until required pursuant to Section 6.13, 6.17 or 4.01(a)(v), the pledge or creation of any security interest, or the effects of perfection or non-perfection, the priority or enforceability of any pledge or security interest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required on the Closing Date pursuant to Section 4.01(a)(v).</w:t>
      </w:r>
    </w:p>
    <w:p>
      <w:pPr>
        <w:spacing w:after="0" w:line="31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5.20</w:t>
      </w:r>
      <w:r>
        <w:rPr>
          <w:sz w:val="20"/>
          <w:szCs w:val="20"/>
          <w:color w:val="auto"/>
        </w:rPr>
        <w:tab/>
      </w:r>
      <w:r>
        <w:rPr>
          <w:rFonts w:ascii="Arial" w:cs="Arial" w:eastAsia="Arial" w:hAnsi="Arial"/>
          <w:sz w:val="16"/>
          <w:szCs w:val="16"/>
          <w:color w:val="auto"/>
        </w:rPr>
        <w:t>Affected Financial Institution and Covered Party. No Loan Party is an Affected Financial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Institution or a Covered Party.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10000"/>
        </w:rPr>
        <w:t xml:space="preserve">ARTICLE VI. </w:t>
      </w:r>
      <w:r>
        <w:rPr>
          <w:rFonts w:ascii="Arial" w:cs="Arial" w:eastAsia="Arial" w:hAnsi="Arial"/>
          <w:sz w:val="18"/>
          <w:szCs w:val="18"/>
          <w:b w:val="1"/>
          <w:bCs w:val="1"/>
          <w:u w:val="single" w:color="auto"/>
          <w:color w:val="000000"/>
        </w:rPr>
        <w:t>AFFIRMATIVE COVENANTS</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 long as any Lender shall have any Commitment, any Loan or other Obligation (other than contingent indemnification obligations as to</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no claim has been asserted) hereunder shall remain unpaid or unsatisfied, then from and after the Closing Date, the Parent Borrower shall, and shall cause the Restricted Subsidiaries to:</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6.01</w:t>
      </w:r>
      <w:r>
        <w:rPr>
          <w:sz w:val="20"/>
          <w:szCs w:val="20"/>
          <w:color w:val="auto"/>
        </w:rPr>
        <w:tab/>
      </w:r>
      <w:r>
        <w:rPr>
          <w:rFonts w:ascii="Arial" w:cs="Arial" w:eastAsia="Arial" w:hAnsi="Arial"/>
          <w:sz w:val="16"/>
          <w:szCs w:val="16"/>
          <w:color w:val="auto"/>
        </w:rPr>
        <w:t>Financial Statements.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Deliver to the Administrative Agent for prompt further distribution to each Lender:</w:t>
      </w:r>
    </w:p>
    <w:p>
      <w:pPr>
        <w:sectPr>
          <w:pgSz w:w="11900" w:h="16838" w:orient="portrait"/>
          <w:cols w:equalWidth="0" w:num="1">
            <w:col w:w="10880"/>
          </w:cols>
          <w:pgMar w:left="480" w:top="1440" w:right="539" w:bottom="1440" w:gutter="0" w:footer="0" w:header="0"/>
        </w:sectPr>
      </w:pPr>
    </w:p>
    <w:bookmarkStart w:id="171" w:name="page172"/>
    <w:bookmarkEnd w:id="171"/>
    <w:p>
      <w:pPr>
        <w:spacing w:after="0" w:line="211" w:lineRule="exact"/>
        <w:rPr>
          <w:sz w:val="20"/>
          <w:szCs w:val="20"/>
          <w:color w:val="auto"/>
        </w:rPr>
      </w:pPr>
    </w:p>
    <w:p>
      <w:pPr>
        <w:jc w:val="both"/>
        <w:ind w:left="-320" w:right="20" w:firstLine="648"/>
        <w:spacing w:after="0" w:line="225" w:lineRule="auto"/>
        <w:tabs>
          <w:tab w:leader="none" w:pos="83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within one hundred and twenty (120) days after the end of each fiscal year of the Parent Borrower, a consolidated statement of financial condition of the Parent Borrower and its Subsidiaries as at the end of such fiscal year, and the related consolidated statements of income or operations, stockholders’ equity and cash flows for such fiscal year, setting forth in each case in comparative form the figures for the previous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no event shall any comparison be required to be furnished to the Administrative Agent with respect to any period occurring prior to the first day of the fiscal year of the Parent Borrower ended December 31, 2019;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in no event shall any prior year comparison financial be required to include information with respect to Omega and its Subsidiaries prior to the Closing Date), all in reasonable detail and prepared in accordance with GAAP, audited and accompanied by a report and opinion of any independent registered public accounting firm of nationally recognized standing or any other independent registered public accounting firm approved by the Administrative Agent (such consent not to be unreasonably withheld, delayed or conditioned), which report and opinion (i) shall be prepared in accordance with generally accepted auditing standards and (ii) shall not be subject to any “going concern” or like qualification or exception or any qualification or exception as to the scope of such audit (other than a “going concern” or like qualification or exception as a result of a prospective or actual default or event of default with respect to any financial covenant, or the impending maturity of any Indebtedness);</w:t>
      </w:r>
    </w:p>
    <w:p>
      <w:pPr>
        <w:spacing w:after="0" w:line="196" w:lineRule="exact"/>
        <w:rPr>
          <w:rFonts w:ascii="Arial" w:cs="Arial" w:eastAsia="Arial" w:hAnsi="Arial"/>
          <w:sz w:val="17"/>
          <w:szCs w:val="17"/>
          <w:color w:val="auto"/>
        </w:rPr>
      </w:pPr>
    </w:p>
    <w:p>
      <w:pPr>
        <w:jc w:val="both"/>
        <w:ind w:left="-320" w:firstLine="648"/>
        <w:spacing w:after="0" w:line="227" w:lineRule="auto"/>
        <w:tabs>
          <w:tab w:leader="none" w:pos="83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within forty-five (45) days after the end of each of the first three (3) fiscal quarters of each fiscal year of the Parent Borrower, beginning with the fiscal quarter ending September 30, 2021, a consolidated unaudited statement of financial condition of the Parent Borrower and its Subsidiaries as at the end of such fiscal quarter and the related (i) consolidated unaudited statements of income or operations for such fiscal quarter and for the portion of the fiscal year then ended and (ii) consolidated unaudited statements of cash flows for such fiscal quarter and for the portion of the fiscal year then ended, and beginning one full fiscal year following the Closing Date, setting forth, in each case, in comparative form the figures for the corresponding fiscal quarter of the previous fiscal year and the corresponding portion of the previous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no comparison to any period prior to the Closing Date shall be required), all in reasonable detail and certified by a Responsible Officer of the Administrative Borrower as fairly presenting in all material respects the financial condition, results of operations and cash flows of the Parent Borrower and their Restricted Subsidiaries in accordance with GAAP, subject only to normal year-end adjustments and the absence of footnotes;</w:t>
      </w:r>
    </w:p>
    <w:p>
      <w:pPr>
        <w:spacing w:after="0" w:line="203" w:lineRule="exact"/>
        <w:rPr>
          <w:rFonts w:ascii="Arial" w:cs="Arial" w:eastAsia="Arial" w:hAnsi="Arial"/>
          <w:sz w:val="17"/>
          <w:szCs w:val="17"/>
          <w:color w:val="auto"/>
        </w:rPr>
      </w:pPr>
    </w:p>
    <w:p>
      <w:pPr>
        <w:jc w:val="both"/>
        <w:ind w:left="-320" w:right="20" w:firstLine="648"/>
        <w:spacing w:after="0" w:line="225" w:lineRule="auto"/>
        <w:tabs>
          <w:tab w:leader="none" w:pos="83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Parent Borrower (beginning with the fiscal year ended December 31, 2019), a reasonably detailed consolidated budget for the then-current fiscal year as customarily prepared by management of the Borrower for their internal use (including a projected consolidated balance sheet of the Parent Borrower and its Restricted Subsidiaries as of the end of such fiscal year and the related consolidated statements of projected cash flow and income for such fiscal year and a summary of the material underlying assumptions applicable thereto (the “</w:t>
      </w:r>
      <w:r>
        <w:rPr>
          <w:rFonts w:ascii="Arial" w:cs="Arial" w:eastAsia="Arial" w:hAnsi="Arial"/>
          <w:sz w:val="17"/>
          <w:szCs w:val="17"/>
          <w:b w:val="1"/>
          <w:bCs w:val="1"/>
          <w:color w:val="auto"/>
        </w:rPr>
        <w:t>Projections</w:t>
      </w:r>
      <w:r>
        <w:rPr>
          <w:rFonts w:ascii="Arial" w:cs="Arial" w:eastAsia="Arial" w:hAnsi="Arial"/>
          <w:sz w:val="17"/>
          <w:szCs w:val="17"/>
          <w:color w:val="auto"/>
        </w:rPr>
        <w:t xml:space="preserve">”), which Projections shall in each case be accompanied by a certificate of a Responsible Officer stating that such Projections have been prepared in good faith on the basis of the assumptions stated therein, which assumptions were believed by the Borrowers to be reasonable at the time such Projections were furnished to the Administrative Agent, it being understood that such Projections are not to be viewed as facts or as a guarantee of performance or achievement of any particular results, are subject to significant uncertainties and contingencies many of which are beyond the control of the Parent Borrower and their Restricted Subsidiaries, and that actual results may vary from such Projections and that such variations may be material and that no assurance can be given that the projected results will be realized; </w:t>
      </w:r>
      <w:r>
        <w:rPr>
          <w:rFonts w:ascii="Arial" w:cs="Arial" w:eastAsia="Arial" w:hAnsi="Arial"/>
          <w:sz w:val="17"/>
          <w:szCs w:val="17"/>
          <w:i w:val="1"/>
          <w:iCs w:val="1"/>
          <w:color w:val="auto"/>
        </w:rPr>
        <w:t>provided</w:t>
      </w:r>
      <w:r>
        <w:rPr>
          <w:rFonts w:ascii="Arial" w:cs="Arial" w:eastAsia="Arial" w:hAnsi="Arial"/>
          <w:sz w:val="17"/>
          <w:szCs w:val="17"/>
          <w:color w:val="auto"/>
        </w:rPr>
        <w:t>, that such Projections shall only be delivered to Lenders that are not Public Lenders;</w:t>
      </w:r>
    </w:p>
    <w:p>
      <w:pPr>
        <w:spacing w:after="0" w:line="203" w:lineRule="exact"/>
        <w:rPr>
          <w:rFonts w:ascii="Arial" w:cs="Arial" w:eastAsia="Arial" w:hAnsi="Arial"/>
          <w:sz w:val="17"/>
          <w:szCs w:val="17"/>
          <w:color w:val="auto"/>
        </w:rPr>
      </w:pPr>
    </w:p>
    <w:p>
      <w:pPr>
        <w:jc w:val="both"/>
        <w:ind w:left="-320" w:right="20" w:firstLine="648"/>
        <w:spacing w:after="0" w:line="223" w:lineRule="auto"/>
        <w:tabs>
          <w:tab w:leader="none" w:pos="83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simultaneously with the delivery of each set of consolidated financial statements referred to in Section 6.01(a) and Section 6.01(b) above, the related consolidating financial statements reflecting the adjustments necessary to eliminate the accounts of Unrestricted Subsidiaries (if any and which are not required to be audited and may be in footnote form only) from such consolidated financial statements; and</w:t>
      </w:r>
    </w:p>
    <w:p>
      <w:pPr>
        <w:sectPr>
          <w:pgSz w:w="11900" w:h="16838" w:orient="portrait"/>
          <w:cols w:equalWidth="0" w:num="1">
            <w:col w:w="9940"/>
          </w:cols>
          <w:pgMar w:left="1440" w:top="1440" w:right="519" w:bottom="1440" w:gutter="0" w:footer="0" w:header="0"/>
        </w:sectPr>
      </w:pPr>
    </w:p>
    <w:bookmarkStart w:id="172" w:name="page173"/>
    <w:bookmarkEnd w:id="172"/>
    <w:p>
      <w:pPr>
        <w:spacing w:after="0" w:line="211" w:lineRule="exact"/>
        <w:rPr>
          <w:sz w:val="20"/>
          <w:szCs w:val="20"/>
          <w:color w:val="auto"/>
        </w:rPr>
      </w:pPr>
    </w:p>
    <w:p>
      <w:pPr>
        <w:jc w:val="both"/>
        <w:ind w:left="640" w:right="40" w:firstLine="648"/>
        <w:spacing w:after="0" w:line="227" w:lineRule="auto"/>
        <w:tabs>
          <w:tab w:leader="none" w:pos="179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within ten (10) Business Days after the Closing Date, (x) a consolidated unaudited statement of financial condition of the Company and its Subsidiaries as at June 30, 2019 and the related (i) consolidated unaudited statements of income or operations for the fiscal quarter ended June 30, 2019 and for the portion of the fiscal year then ended and (ii) consolidated unaudited statements of cash flows for the fiscal quarter ended June 30, 2019 and for the portion of the fiscal year then ended and (y) a consolidated unaudited statement of financial condition of Omega III and its Subsidiaries as at June 30, 2019 and the related (i) consolidated unaudited statements of income or operations for the fiscal quarter ended June 30, 2019 and for the portion of the fiscal year then ended and (ii) consolidated unaudited statements of cash flows for the fiscal quarter ended June 30, 2019 and for the portion of the fiscal year then ended, all in reasonable detail and certified by a Responsible Officer of the Company or Omega III, as applicable, as fairly presenting in all material respects the financial condition, results of operations and cash flows of the Company or Omega III, as applicable, and their respective Subsidiaries in accordance with GAAP, subject only to normal year-end adjustments and the absence of footnotes.</w:t>
      </w:r>
    </w:p>
    <w:p>
      <w:pPr>
        <w:spacing w:after="0" w:line="190" w:lineRule="exact"/>
        <w:rPr>
          <w:sz w:val="20"/>
          <w:szCs w:val="20"/>
          <w:color w:val="auto"/>
        </w:rPr>
      </w:pPr>
    </w:p>
    <w:p>
      <w:pPr>
        <w:jc w:val="both"/>
        <w:ind w:right="40" w:firstLine="648"/>
        <w:spacing w:after="0" w:line="233" w:lineRule="auto"/>
        <w:rPr>
          <w:sz w:val="20"/>
          <w:szCs w:val="20"/>
          <w:color w:val="auto"/>
        </w:rPr>
      </w:pPr>
      <w:r>
        <w:rPr>
          <w:rFonts w:ascii="Arial" w:cs="Arial" w:eastAsia="Arial" w:hAnsi="Arial"/>
          <w:sz w:val="17"/>
          <w:szCs w:val="17"/>
          <w:color w:val="auto"/>
        </w:rPr>
        <w:t>Notwithstanding the foregoing, the obligations in paragraphs (a) through (e) of this Section 6.01 may be satisfied with respect to such applicable financial information by furnishing the Parent Borrower’s Form 10-K, 10-Q or 8-K, as applicable, filed with the SEC (or, with respect to</w:t>
      </w:r>
    </w:p>
    <w:p>
      <w:pPr>
        <w:spacing w:after="0" w:line="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 xml:space="preserve">clause (e) only, by furnishing the Company’s or the Parent Borrower’s, as applicable, Form 10-Q or 8-K filed with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information is in lieu of information required to be provided under Section 6.01(a), such materials are, to the extent applicable, accompanied by a report and opinion of any independent registered public accounting firm of nationally recognized standing or any other independent</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registered public accounting firm approved by the Administrative Agent (such consent not to be unreasonably withheld, delayed or conditioned), which report and opinion shall be prepared in accordance with generally accepted auditing standards and shall not be subject to any “going concern” or like qualification or exception or any qualification or exception as to the scope of such audit (other than a “going concern” or like qualification or</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exception as a result of a prospective or actual default or event of default with respect to any financial covenant, or the impending maturity of any Indebtedness).</w:t>
      </w:r>
    </w:p>
    <w:p>
      <w:pPr>
        <w:spacing w:after="0" w:line="202"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Any financial statement required to be delivered pursuant to Section 6.01(a), (b) or (e) shall not be required to include purchase accounting or recapitalization accounting adjustments relating to the Transactions or any other acquisition to the extent it is not practicable to include any such adjustments in such financial statement.</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6.02</w:t>
      </w:r>
      <w:r>
        <w:rPr>
          <w:sz w:val="20"/>
          <w:szCs w:val="20"/>
          <w:color w:val="auto"/>
        </w:rPr>
        <w:tab/>
      </w:r>
      <w:r>
        <w:rPr>
          <w:rFonts w:ascii="Arial" w:cs="Arial" w:eastAsia="Arial" w:hAnsi="Arial"/>
          <w:sz w:val="16"/>
          <w:szCs w:val="16"/>
          <w:color w:val="auto"/>
        </w:rPr>
        <w:t>Certificates; Other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Deliver to the Administrative Agent for prompt further distribution to each Lender:</w:t>
      </w:r>
    </w:p>
    <w:p>
      <w:pPr>
        <w:spacing w:after="0" w:line="225" w:lineRule="exact"/>
        <w:rPr>
          <w:sz w:val="20"/>
          <w:szCs w:val="20"/>
          <w:color w:val="auto"/>
        </w:rPr>
      </w:pPr>
    </w:p>
    <w:p>
      <w:pPr>
        <w:ind w:left="640" w:firstLine="647"/>
        <w:spacing w:after="0" w:line="246" w:lineRule="auto"/>
        <w:tabs>
          <w:tab w:leader="none" w:pos="17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later than five (5) Business Days after the delivery of the financial statements referred to in Section 6.01(a) and Section 6.01(b), a duly completed Compliance Certificate signed by a Responsible Officer of the Administrative Borrower;</w:t>
      </w:r>
    </w:p>
    <w:p>
      <w:pPr>
        <w:spacing w:after="0" w:line="196" w:lineRule="exact"/>
        <w:rPr>
          <w:rFonts w:ascii="Arial" w:cs="Arial" w:eastAsia="Arial" w:hAnsi="Arial"/>
          <w:sz w:val="18"/>
          <w:szCs w:val="18"/>
          <w:color w:val="auto"/>
        </w:rPr>
      </w:pPr>
    </w:p>
    <w:p>
      <w:pPr>
        <w:jc w:val="both"/>
        <w:ind w:left="640" w:right="40" w:firstLine="647"/>
        <w:spacing w:after="0" w:line="232" w:lineRule="auto"/>
        <w:tabs>
          <w:tab w:leader="none" w:pos="179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promptly after the same are publicly available, copies of all annual, regular, periodic and special reports and registration statements which any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to any other clause of this Section 6.02;</w:t>
      </w:r>
    </w:p>
    <w:p>
      <w:pPr>
        <w:spacing w:after="0" w:line="187" w:lineRule="exact"/>
        <w:rPr>
          <w:rFonts w:ascii="Arial" w:cs="Arial" w:eastAsia="Arial" w:hAnsi="Arial"/>
          <w:sz w:val="17"/>
          <w:szCs w:val="17"/>
          <w:color w:val="auto"/>
        </w:rPr>
      </w:pPr>
    </w:p>
    <w:p>
      <w:pPr>
        <w:ind w:left="1800" w:hanging="512"/>
        <w:spacing w:after="0"/>
        <w:tabs>
          <w:tab w:leader="none" w:pos="18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amendment, written modification or waiver of the ABL Credit</w:t>
      </w:r>
    </w:p>
    <w:p>
      <w:pPr>
        <w:ind w:left="640"/>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209" w:lineRule="exact"/>
        <w:rPr>
          <w:rFonts w:ascii="Arial" w:cs="Arial" w:eastAsia="Arial" w:hAnsi="Arial"/>
          <w:sz w:val="18"/>
          <w:szCs w:val="18"/>
          <w:color w:val="auto"/>
        </w:rPr>
      </w:pPr>
    </w:p>
    <w:p>
      <w:pPr>
        <w:jc w:val="both"/>
        <w:ind w:left="640" w:right="40" w:firstLine="648"/>
        <w:spacing w:after="0" w:line="267" w:lineRule="auto"/>
        <w:tabs>
          <w:tab w:leader="none" w:pos="179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together with the delivery of each Compliance Certificate pursuant to Section 6.02(a), (i) a description of each event, condition or circumstance during the last fiscal year covered by such Compliance Certificate requiring a mandatory prepayment under Section 2.05(b) and (ii) a list of each Subsidiary of the Borrowers that identifies each Subsidiary as a Restricted Subsidiary or an Unrestricted</w:t>
      </w:r>
    </w:p>
    <w:p>
      <w:pPr>
        <w:sectPr>
          <w:pgSz w:w="11900" w:h="16838" w:orient="portrait"/>
          <w:cols w:equalWidth="0" w:num="1">
            <w:col w:w="10920"/>
          </w:cols>
          <w:pgMar w:left="480" w:top="1440" w:right="499" w:bottom="1440" w:gutter="0" w:footer="0" w:header="0"/>
        </w:sectPr>
      </w:pPr>
    </w:p>
    <w:bookmarkStart w:id="173" w:name="page174"/>
    <w:bookmarkEnd w:id="173"/>
    <w:p>
      <w:pPr>
        <w:spacing w:after="0" w:line="211" w:lineRule="exact"/>
        <w:rPr>
          <w:sz w:val="20"/>
          <w:szCs w:val="20"/>
          <w:color w:val="auto"/>
        </w:rPr>
      </w:pPr>
    </w:p>
    <w:p>
      <w:pPr>
        <w:jc w:val="both"/>
        <w:ind w:left="648" w:right="40"/>
        <w:spacing w:after="0" w:line="224" w:lineRule="auto"/>
        <w:rPr>
          <w:sz w:val="20"/>
          <w:szCs w:val="20"/>
          <w:color w:val="auto"/>
        </w:rPr>
      </w:pPr>
      <w:r>
        <w:rPr>
          <w:rFonts w:ascii="Arial" w:cs="Arial" w:eastAsia="Arial" w:hAnsi="Arial"/>
          <w:sz w:val="18"/>
          <w:szCs w:val="18"/>
          <w:color w:val="auto"/>
        </w:rPr>
        <w:t>Subsidiary as of the date of delivery of such Compliance Certificate (to the extent that there have been any changes in the identity or status as a Restricted Subsidiary or Unrestricted Subsidiary of any such Subsidiaries since the later of the Closing Date or the most recent list provided); and</w:t>
      </w:r>
    </w:p>
    <w:p>
      <w:pPr>
        <w:spacing w:after="0" w:line="203" w:lineRule="exact"/>
        <w:rPr>
          <w:sz w:val="20"/>
          <w:szCs w:val="20"/>
          <w:color w:val="auto"/>
        </w:rPr>
      </w:pPr>
    </w:p>
    <w:p>
      <w:pPr>
        <w:jc w:val="both"/>
        <w:ind w:left="648" w:right="20" w:firstLine="648"/>
        <w:spacing w:after="0" w:line="224" w:lineRule="auto"/>
        <w:tabs>
          <w:tab w:leader="none" w:pos="18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legal, financial or corporate affairs of the Loan Parties or any of their respective Restricted Subsidiaries, or compliance with the terms of the Loan Documents, as the Administrative Agent or any Lender through the Administrative Agent may from time to time reasonably request.</w:t>
      </w:r>
    </w:p>
    <w:p>
      <w:pPr>
        <w:spacing w:after="0" w:line="203" w:lineRule="exact"/>
        <w:rPr>
          <w:sz w:val="20"/>
          <w:szCs w:val="20"/>
          <w:color w:val="auto"/>
        </w:rPr>
      </w:pPr>
    </w:p>
    <w:p>
      <w:pPr>
        <w:jc w:val="both"/>
        <w:ind w:left="8" w:firstLine="648"/>
        <w:spacing w:after="0" w:line="241" w:lineRule="auto"/>
        <w:rPr>
          <w:sz w:val="20"/>
          <w:szCs w:val="20"/>
          <w:color w:val="auto"/>
        </w:rPr>
      </w:pPr>
      <w:r>
        <w:rPr>
          <w:rFonts w:ascii="Arial" w:cs="Arial" w:eastAsia="Arial" w:hAnsi="Arial"/>
          <w:sz w:val="16"/>
          <w:szCs w:val="16"/>
          <w:color w:val="auto"/>
        </w:rPr>
        <w:t>Documents required to be delivered pursuant to Section 6.01 and Section 6.02(b) and (c) may be delivered electronically and if so delivered, shall be deemed to have been delivered on the date (i) on which the Administrative Borrower posts such documents, or provides a link thereto on the website on the Internet at the website address listed on Schedule 10.02; or (ii) on which such documents are posted on the Borrowers’ behalf on the</w:t>
      </w:r>
    </w:p>
    <w:p>
      <w:pPr>
        <w:spacing w:after="0" w:line="2"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6"/>
          <w:szCs w:val="16"/>
          <w:color w:val="auto"/>
        </w:rPr>
        <w:t xml:space="preserve">Platform, if any, to which each Lender and the Administrative Agent have access (whether a commercial, third-party website or whether sponsored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upon written request by the Administrative Agent, the Administrative Borrower shall deliver paper copies of such documents (which may be electronic copies delivered via electronic mail) to the Administrative Agent for further distribution to each Lender</w:t>
      </w:r>
    </w:p>
    <w:p>
      <w:pPr>
        <w:spacing w:after="0" w:line="2" w:lineRule="exact"/>
        <w:rPr>
          <w:sz w:val="20"/>
          <w:szCs w:val="20"/>
          <w:color w:val="auto"/>
        </w:rPr>
      </w:pPr>
    </w:p>
    <w:p>
      <w:pPr>
        <w:jc w:val="both"/>
        <w:ind w:left="8"/>
        <w:spacing w:after="0" w:line="233" w:lineRule="auto"/>
        <w:rPr>
          <w:sz w:val="20"/>
          <w:szCs w:val="20"/>
          <w:color w:val="auto"/>
        </w:rPr>
      </w:pPr>
      <w:r>
        <w:rPr>
          <w:rFonts w:ascii="Arial" w:cs="Arial" w:eastAsia="Arial" w:hAnsi="Arial"/>
          <w:sz w:val="16"/>
          <w:szCs w:val="16"/>
          <w:color w:val="auto"/>
        </w:rPr>
        <w:t>until a written request to cease delivering paper copies is given by the Administrative Agent and (y) the Administrative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6"/>
          <w:szCs w:val="16"/>
          <w:color w:val="auto"/>
        </w:rPr>
        <w:t>Notwithstanding anything to the contrary in this Section 6.02, none of the Borrowers or any of the Restricted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w:t>
      </w:r>
    </w:p>
    <w:p>
      <w:pPr>
        <w:spacing w:after="0" w:line="2" w:lineRule="exact"/>
        <w:rPr>
          <w:sz w:val="20"/>
          <w:szCs w:val="20"/>
          <w:color w:val="auto"/>
        </w:rPr>
      </w:pPr>
    </w:p>
    <w:p>
      <w:pPr>
        <w:jc w:val="both"/>
        <w:ind w:left="8" w:right="20"/>
        <w:spacing w:after="0" w:line="226" w:lineRule="auto"/>
        <w:rPr>
          <w:sz w:val="20"/>
          <w:szCs w:val="20"/>
          <w:color w:val="auto"/>
        </w:rPr>
      </w:pPr>
      <w:r>
        <w:rPr>
          <w:rFonts w:ascii="Arial" w:cs="Arial" w:eastAsia="Arial" w:hAnsi="Arial"/>
          <w:sz w:val="18"/>
          <w:szCs w:val="18"/>
          <w:color w:val="auto"/>
        </w:rPr>
        <w:t>their respective representatives or contractors) is prohibited by Law or any binding agreement or (c) is subject to attorney-client or similar privilege or constitutes attorney work product.</w:t>
      </w:r>
    </w:p>
    <w:p>
      <w:pPr>
        <w:spacing w:after="0" w:line="202" w:lineRule="exact"/>
        <w:rPr>
          <w:sz w:val="20"/>
          <w:szCs w:val="20"/>
          <w:color w:val="auto"/>
        </w:rPr>
      </w:pPr>
    </w:p>
    <w:p>
      <w:pPr>
        <w:jc w:val="both"/>
        <w:ind w:left="8" w:firstLine="648"/>
        <w:spacing w:after="0" w:line="233" w:lineRule="auto"/>
        <w:rPr>
          <w:sz w:val="20"/>
          <w:szCs w:val="20"/>
          <w:color w:val="auto"/>
        </w:rPr>
      </w:pPr>
      <w:r>
        <w:rPr>
          <w:rFonts w:ascii="Arial" w:cs="Arial" w:eastAsia="Arial" w:hAnsi="Arial"/>
          <w:sz w:val="17"/>
          <w:szCs w:val="17"/>
          <w:color w:val="auto"/>
        </w:rPr>
        <w:t>Each Borrower hereby acknowledges that (a) the Administrative Agent and/or the Arranger will make available to the Lenders materials and/or information provided by or on behalf of any Borrower hereunder (collectively,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the Borrower Materials on</w:t>
      </w:r>
    </w:p>
    <w:p>
      <w:pPr>
        <w:spacing w:after="0" w:line="1"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the Platform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and who may be engaged in investment and other market-related activities with respect to such Persons’ securities. Each Borrower hereby agrees that it will use commercially reasonable efforts to identify that portion of the Borrower Materials that may be distributed to the Public Lenders</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and that (w) all such Borrower Materials shall be clearly and conspicuously marked “PUBLIC” which, at a minimum, shall mean that the word “PUBLIC” shall appear prominently on the first page thereof; (x) by marking Borrower Materials “PUBLIC,” the Borrowers shall be deemed to have authorized the Administrative Agent, the Arranger, and the Lenders to treat such Borrower Materials as not containing any Material Non-Public</w:t>
      </w:r>
    </w:p>
    <w:p>
      <w:pPr>
        <w:spacing w:after="0" w:line="2" w:lineRule="exact"/>
        <w:rPr>
          <w:sz w:val="20"/>
          <w:szCs w:val="20"/>
          <w:color w:val="auto"/>
        </w:rPr>
      </w:pPr>
    </w:p>
    <w:p>
      <w:pPr>
        <w:jc w:val="both"/>
        <w:ind w:left="8"/>
        <w:spacing w:after="0" w:line="208" w:lineRule="auto"/>
        <w:rPr>
          <w:sz w:val="20"/>
          <w:szCs w:val="20"/>
          <w:color w:val="auto"/>
        </w:rPr>
      </w:pPr>
      <w:r>
        <w:rPr>
          <w:rFonts w:ascii="Arial" w:cs="Arial" w:eastAsia="Arial" w:hAnsi="Arial"/>
          <w:sz w:val="18"/>
          <w:szCs w:val="18"/>
          <w:color w:val="auto"/>
        </w:rPr>
        <w:t>Information (although it may be sensitive and proprietary) with respect to the Borrowers or their securities for purposes of United States federal and state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such Borrower Materials constitute Information, they shall be treated as set forth in Section 10.08);</w:t>
      </w:r>
    </w:p>
    <w:p>
      <w:pPr>
        <w:spacing w:after="0" w:line="2" w:lineRule="exact"/>
        <w:rPr>
          <w:sz w:val="20"/>
          <w:szCs w:val="20"/>
          <w:color w:val="auto"/>
        </w:rPr>
      </w:pPr>
    </w:p>
    <w:p>
      <w:pPr>
        <w:jc w:val="both"/>
        <w:ind w:left="8" w:right="40" w:hanging="8"/>
        <w:spacing w:after="0" w:line="218" w:lineRule="auto"/>
        <w:tabs>
          <w:tab w:leader="none" w:pos="3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Borrower Materials marked “PUBLIC” are permitted to be made available through a portion of the Platform designated “Public Side Information”; and (z) the Administrative Agent and the Arranger shall treat any Borrower Materials that are not marked “PUBLIC” as being suitable only for posting on a portion of the Platform not designated “Public Side Information.” Notwithstanding the foregoing, the Borrowers shall be under no obligation to mark the Borrower Materials “PUBLIC.”</w:t>
      </w:r>
    </w:p>
    <w:p>
      <w:pPr>
        <w:spacing w:after="0" w:line="190"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6.03</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left="8" w:right="40" w:firstLine="648"/>
        <w:spacing w:after="0" w:line="246" w:lineRule="auto"/>
        <w:rPr>
          <w:sz w:val="20"/>
          <w:szCs w:val="20"/>
          <w:color w:val="auto"/>
        </w:rPr>
      </w:pPr>
      <w:r>
        <w:rPr>
          <w:rFonts w:ascii="Arial" w:cs="Arial" w:eastAsia="Arial" w:hAnsi="Arial"/>
          <w:sz w:val="18"/>
          <w:szCs w:val="18"/>
          <w:color w:val="auto"/>
        </w:rPr>
        <w:t>Promptly after a Responsible Officer of the Administrative Borrower has obtained actual knowledge thereof, notify the Administrative Agent (which will promptly thereafter furnish such notice to each Lender):</w:t>
      </w:r>
    </w:p>
    <w:p>
      <w:pPr>
        <w:sectPr>
          <w:pgSz w:w="11900" w:h="16838" w:orient="portrait"/>
          <w:cols w:equalWidth="0" w:num="1">
            <w:col w:w="10928"/>
          </w:cols>
          <w:pgMar w:left="472" w:top="1440" w:right="499" w:bottom="1440" w:gutter="0" w:footer="0" w:header="0"/>
        </w:sectPr>
      </w:pPr>
    </w:p>
    <w:bookmarkStart w:id="174" w:name="page175"/>
    <w:bookmarkEnd w:id="174"/>
    <w:p>
      <w:pPr>
        <w:spacing w:after="0" w:line="211" w:lineRule="exact"/>
        <w:rPr>
          <w:sz w:val="20"/>
          <w:szCs w:val="20"/>
          <w:color w:val="auto"/>
        </w:rPr>
      </w:pPr>
    </w:p>
    <w:p>
      <w:pPr>
        <w:ind w:left="1948" w:hanging="652"/>
        <w:spacing w:after="0"/>
        <w:tabs>
          <w:tab w:leader="none" w:pos="194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 the occurrence of any Event of Default;</w:t>
      </w:r>
    </w:p>
    <w:p>
      <w:pPr>
        <w:spacing w:after="0" w:line="225" w:lineRule="exact"/>
        <w:rPr>
          <w:rFonts w:ascii="Arial" w:cs="Arial" w:eastAsia="Arial" w:hAnsi="Arial"/>
          <w:sz w:val="18"/>
          <w:szCs w:val="18"/>
          <w:color w:val="auto"/>
        </w:rPr>
      </w:pPr>
    </w:p>
    <w:p>
      <w:pPr>
        <w:ind w:left="1808" w:hanging="512"/>
        <w:spacing w:after="0"/>
        <w:tabs>
          <w:tab w:leader="none" w:pos="180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 the occurrence of an ERISA Event which would reasonably be expected to result in a Material Adverse Effect;</w:t>
      </w:r>
    </w:p>
    <w:p>
      <w:pPr>
        <w:spacing w:after="0" w:line="225" w:lineRule="exact"/>
        <w:rPr>
          <w:rFonts w:ascii="Arial" w:cs="Arial" w:eastAsia="Arial" w:hAnsi="Arial"/>
          <w:sz w:val="18"/>
          <w:szCs w:val="18"/>
          <w:color w:val="auto"/>
        </w:rPr>
      </w:pPr>
    </w:p>
    <w:p>
      <w:pPr>
        <w:jc w:val="both"/>
        <w:ind w:left="648" w:right="40" w:firstLine="648"/>
        <w:spacing w:after="0" w:line="223" w:lineRule="auto"/>
        <w:tabs>
          <w:tab w:leader="none" w:pos="18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 the filing or commencement of, or any written overt threat or notice of intention of any person to file or commence, any action, suit, litigation or proceeding, whether at law or in equity by or before any Governmental Authority against any Borrower or any Restricted Subsidiary that would reasonably be expected to be adversely determined and, if so determined, would reasonably be expected to result in a Material Adverse Effect; or</w:t>
      </w:r>
    </w:p>
    <w:p>
      <w:pPr>
        <w:spacing w:after="0" w:line="189" w:lineRule="exact"/>
        <w:rPr>
          <w:rFonts w:ascii="Arial" w:cs="Arial" w:eastAsia="Arial" w:hAnsi="Arial"/>
          <w:sz w:val="18"/>
          <w:szCs w:val="18"/>
          <w:color w:val="auto"/>
        </w:rPr>
      </w:pPr>
    </w:p>
    <w:p>
      <w:pPr>
        <w:jc w:val="both"/>
        <w:ind w:left="648" w:firstLine="647"/>
        <w:spacing w:after="0" w:line="229" w:lineRule="auto"/>
        <w:tabs>
          <w:tab w:leader="none" w:pos="180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 any violation by any Loan Party or any of their respective Restricted Subsidiaries of, or liability of any Loan Party or any of their respective Restricted Subsidiaries under, any Environmental Law which would reasonably be expected to have a Material Adverse Effect.</w:t>
      </w:r>
    </w:p>
    <w:p>
      <w:pPr>
        <w:spacing w:after="0" w:line="191" w:lineRule="exact"/>
        <w:rPr>
          <w:sz w:val="20"/>
          <w:szCs w:val="20"/>
          <w:color w:val="auto"/>
        </w:rPr>
      </w:pPr>
    </w:p>
    <w:p>
      <w:pPr>
        <w:ind w:left="8" w:right="40" w:firstLine="648"/>
        <w:spacing w:after="0" w:line="220" w:lineRule="auto"/>
        <w:rPr>
          <w:sz w:val="20"/>
          <w:szCs w:val="20"/>
          <w:color w:val="auto"/>
        </w:rPr>
      </w:pPr>
      <w:r>
        <w:rPr>
          <w:rFonts w:ascii="Arial" w:cs="Arial" w:eastAsia="Arial" w:hAnsi="Arial"/>
          <w:sz w:val="18"/>
          <w:szCs w:val="18"/>
          <w:color w:val="auto"/>
        </w:rPr>
        <w:t>Each notice pursuant to this Section 6.03 shall be accompanied by a written statement of a Responsible Officer of the Administrative Borrower (x) that such notice is being delivered pursuant to Section 6.03(a), (b), (c) or</w:t>
      </w:r>
    </w:p>
    <w:p>
      <w:pPr>
        <w:spacing w:after="0" w:line="1" w:lineRule="exact"/>
        <w:rPr>
          <w:sz w:val="20"/>
          <w:szCs w:val="20"/>
          <w:color w:val="auto"/>
        </w:rPr>
      </w:pPr>
    </w:p>
    <w:p>
      <w:pPr>
        <w:ind w:left="8" w:right="220" w:hanging="8"/>
        <w:spacing w:after="0" w:line="226" w:lineRule="auto"/>
        <w:tabs>
          <w:tab w:leader="none" w:pos="51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 applicable) and (y) setting forth details of the occurrence referred to therein and stating what action the Borrowers have taken and propose to take with respect thereto.</w:t>
      </w:r>
    </w:p>
    <w:p>
      <w:pPr>
        <w:spacing w:after="0" w:line="202"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6.04</w:t>
      </w:r>
      <w:r>
        <w:rPr>
          <w:sz w:val="20"/>
          <w:szCs w:val="20"/>
          <w:color w:val="auto"/>
        </w:rPr>
        <w:tab/>
      </w:r>
      <w:r>
        <w:rPr>
          <w:rFonts w:ascii="Arial" w:cs="Arial" w:eastAsia="Arial" w:hAnsi="Arial"/>
          <w:sz w:val="15"/>
          <w:szCs w:val="15"/>
          <w:color w:val="auto"/>
        </w:rPr>
        <w:t>Payment of Taxes.</w:t>
      </w:r>
    </w:p>
    <w:p>
      <w:pPr>
        <w:spacing w:after="0" w:line="225" w:lineRule="exact"/>
        <w:rPr>
          <w:sz w:val="20"/>
          <w:szCs w:val="20"/>
          <w:color w:val="auto"/>
        </w:rPr>
      </w:pPr>
    </w:p>
    <w:p>
      <w:pPr>
        <w:ind w:left="8" w:right="20" w:firstLine="648"/>
        <w:spacing w:after="0" w:line="248" w:lineRule="auto"/>
        <w:rPr>
          <w:sz w:val="20"/>
          <w:szCs w:val="20"/>
          <w:color w:val="auto"/>
        </w:rPr>
      </w:pPr>
      <w:r>
        <w:rPr>
          <w:rFonts w:ascii="Arial" w:cs="Arial" w:eastAsia="Arial" w:hAnsi="Arial"/>
          <w:sz w:val="16"/>
          <w:szCs w:val="16"/>
          <w:color w:val="auto"/>
        </w:rPr>
        <w:t>Pay, discharge or otherwise satisfy, as the same shall become due and payable in the normal conduct of its business, all its obligations and liabilities in respect of Taxes imposed upon it or upon its income or profits or in respect of its property, except, in each case, to the extent (a) any such</w:t>
      </w:r>
    </w:p>
    <w:p>
      <w:pPr>
        <w:ind w:left="8" w:right="20"/>
        <w:spacing w:after="0" w:line="268" w:lineRule="auto"/>
        <w:rPr>
          <w:sz w:val="20"/>
          <w:szCs w:val="20"/>
          <w:color w:val="auto"/>
        </w:rPr>
      </w:pPr>
      <w:r>
        <w:rPr>
          <w:rFonts w:ascii="Arial" w:cs="Arial" w:eastAsia="Arial" w:hAnsi="Arial"/>
          <w:sz w:val="16"/>
          <w:szCs w:val="16"/>
          <w:color w:val="auto"/>
        </w:rPr>
        <w:t>Tax is being contested in good faith and by appropriate actions for which appropriate reserves have been established in accordance with GAAP or (b) the failure to pay or discharge the same would not reasonably be expected to have, individually or in the aggregate, a Material Adverse Effect.</w:t>
      </w:r>
    </w:p>
    <w:p>
      <w:pPr>
        <w:spacing w:after="0" w:line="167"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6.05</w:t>
      </w:r>
      <w:r>
        <w:rPr>
          <w:sz w:val="20"/>
          <w:szCs w:val="20"/>
          <w:color w:val="auto"/>
        </w:rPr>
        <w:tab/>
      </w:r>
      <w:r>
        <w:rPr>
          <w:rFonts w:ascii="Arial" w:cs="Arial" w:eastAsia="Arial" w:hAnsi="Arial"/>
          <w:sz w:val="16"/>
          <w:szCs w:val="16"/>
          <w:color w:val="auto"/>
        </w:rPr>
        <w:t>Preservation of Existence, Etc.</w:t>
      </w:r>
    </w:p>
    <w:p>
      <w:pPr>
        <w:spacing w:after="0" w:line="225" w:lineRule="exact"/>
        <w:rPr>
          <w:sz w:val="20"/>
          <w:szCs w:val="20"/>
          <w:color w:val="auto"/>
        </w:rPr>
      </w:pPr>
    </w:p>
    <w:p>
      <w:pPr>
        <w:ind w:left="1148" w:hanging="500"/>
        <w:spacing w:after="0"/>
        <w:tabs>
          <w:tab w:leader="none" w:pos="1148" w:val="left"/>
        </w:tabs>
        <w:numPr>
          <w:ilvl w:val="0"/>
          <w:numId w:val="205"/>
        </w:numPr>
        <w:rPr>
          <w:rFonts w:ascii="Arial" w:cs="Arial" w:eastAsia="Arial" w:hAnsi="Arial"/>
          <w:sz w:val="17"/>
          <w:szCs w:val="17"/>
          <w:color w:val="010000"/>
        </w:rPr>
      </w:pPr>
      <w:r>
        <w:rPr>
          <w:rFonts w:ascii="Arial" w:cs="Arial" w:eastAsia="Arial" w:hAnsi="Arial"/>
          <w:sz w:val="17"/>
          <w:szCs w:val="17"/>
          <w:color w:val="auto"/>
        </w:rPr>
        <w:t>Preserve, renew and maintain in full force and effect its legal existence under the Laws of the jurisdiction of its organization, and</w:t>
      </w:r>
    </w:p>
    <w:p>
      <w:pPr>
        <w:spacing w:after="0" w:line="236" w:lineRule="exact"/>
        <w:rPr>
          <w:rFonts w:ascii="Arial" w:cs="Arial" w:eastAsia="Arial" w:hAnsi="Arial"/>
          <w:sz w:val="17"/>
          <w:szCs w:val="17"/>
          <w:color w:val="010000"/>
        </w:rPr>
      </w:pPr>
    </w:p>
    <w:p>
      <w:pPr>
        <w:ind w:left="8" w:right="40" w:firstLine="640"/>
        <w:spacing w:after="0" w:line="235" w:lineRule="auto"/>
        <w:tabs>
          <w:tab w:leader="none" w:pos="1160" w:val="left"/>
        </w:tabs>
        <w:numPr>
          <w:ilvl w:val="0"/>
          <w:numId w:val="205"/>
        </w:numPr>
        <w:rPr>
          <w:rFonts w:ascii="Arial" w:cs="Arial" w:eastAsia="Arial" w:hAnsi="Arial"/>
          <w:sz w:val="18"/>
          <w:szCs w:val="18"/>
          <w:color w:val="010000"/>
        </w:rPr>
      </w:pPr>
      <w:r>
        <w:rPr>
          <w:rFonts w:ascii="Arial" w:cs="Arial" w:eastAsia="Arial" w:hAnsi="Arial"/>
          <w:sz w:val="18"/>
          <w:szCs w:val="18"/>
          <w:color w:val="auto"/>
        </w:rPr>
        <w:t>take all reasonable action to maintain all rights, privileges (including its good standing where applicable in the relevant jurisdiction), permits, approvals, licenses and franchises material to the ordinary conduct of its business,</w:t>
      </w:r>
    </w:p>
    <w:p>
      <w:pPr>
        <w:spacing w:after="0" w:line="202" w:lineRule="exact"/>
        <w:rPr>
          <w:sz w:val="20"/>
          <w:szCs w:val="20"/>
          <w:color w:val="auto"/>
        </w:rPr>
      </w:pPr>
    </w:p>
    <w:p>
      <w:pPr>
        <w:ind w:left="8" w:right="40" w:firstLine="648"/>
        <w:spacing w:after="0" w:line="248" w:lineRule="auto"/>
        <w:rPr>
          <w:sz w:val="20"/>
          <w:szCs w:val="20"/>
          <w:color w:val="auto"/>
        </w:rPr>
      </w:pPr>
      <w:r>
        <w:rPr>
          <w:rFonts w:ascii="Arial" w:cs="Arial" w:eastAsia="Arial" w:hAnsi="Arial"/>
          <w:sz w:val="16"/>
          <w:szCs w:val="16"/>
          <w:color w:val="auto"/>
        </w:rPr>
        <w:t>except, in the case of clause (a) or (b), to the extent (i) that failure to do so would not reasonably be expected to have, individually or in the aggregate, a Material Adverse Effect (except in the case of clause (a) with respect to the Parent Borrower) or (ii) pursuant to any transaction permitted</w:t>
      </w:r>
    </w:p>
    <w:p>
      <w:pPr>
        <w:ind w:left="8"/>
        <w:spacing w:after="0"/>
        <w:rPr>
          <w:sz w:val="20"/>
          <w:szCs w:val="20"/>
          <w:color w:val="auto"/>
        </w:rPr>
      </w:pPr>
      <w:r>
        <w:rPr>
          <w:rFonts w:ascii="Arial" w:cs="Arial" w:eastAsia="Arial" w:hAnsi="Arial"/>
          <w:sz w:val="18"/>
          <w:szCs w:val="18"/>
          <w:color w:val="auto"/>
        </w:rPr>
        <w:t>by Sections 7.04 and 7.05.</w:t>
      </w:r>
    </w:p>
    <w:p>
      <w:pPr>
        <w:spacing w:after="0" w:line="196"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6.06</w:t>
      </w:r>
      <w:r>
        <w:rPr>
          <w:sz w:val="20"/>
          <w:szCs w:val="20"/>
          <w:color w:val="auto"/>
        </w:rPr>
        <w:tab/>
      </w:r>
      <w:r>
        <w:rPr>
          <w:rFonts w:ascii="Arial" w:cs="Arial" w:eastAsia="Arial" w:hAnsi="Arial"/>
          <w:sz w:val="16"/>
          <w:szCs w:val="16"/>
          <w:color w:val="auto"/>
        </w:rPr>
        <w:t>Maintenance of Properties.</w:t>
      </w:r>
    </w:p>
    <w:p>
      <w:pPr>
        <w:spacing w:after="0" w:line="225" w:lineRule="exact"/>
        <w:rPr>
          <w:sz w:val="20"/>
          <w:szCs w:val="20"/>
          <w:color w:val="auto"/>
        </w:rPr>
      </w:pPr>
    </w:p>
    <w:p>
      <w:pPr>
        <w:jc w:val="both"/>
        <w:ind w:left="8" w:right="40" w:firstLine="648"/>
        <w:spacing w:after="0" w:line="248" w:lineRule="auto"/>
        <w:rPr>
          <w:sz w:val="20"/>
          <w:szCs w:val="20"/>
          <w:color w:val="auto"/>
        </w:rPr>
      </w:pPr>
      <w:r>
        <w:rPr>
          <w:rFonts w:ascii="Arial" w:cs="Arial" w:eastAsia="Arial" w:hAnsi="Arial"/>
          <w:sz w:val="16"/>
          <w:szCs w:val="16"/>
          <w:color w:val="auto"/>
        </w:rPr>
        <w:t>Except if the failure to do so would not reasonably be expected to have, individually or in the aggregate, a Material Adverse Effect, maintain, preserve and protect all of its material properties and equipment necessary in the operation of its business in good working order, repair and condition,</w:t>
      </w:r>
    </w:p>
    <w:p>
      <w:pPr>
        <w:ind w:left="8"/>
        <w:spacing w:after="0"/>
        <w:rPr>
          <w:sz w:val="20"/>
          <w:szCs w:val="20"/>
          <w:color w:val="auto"/>
        </w:rPr>
      </w:pPr>
      <w:r>
        <w:rPr>
          <w:rFonts w:ascii="Arial" w:cs="Arial" w:eastAsia="Arial" w:hAnsi="Arial"/>
          <w:sz w:val="18"/>
          <w:szCs w:val="18"/>
          <w:color w:val="auto"/>
        </w:rPr>
        <w:t>ordinary wear and tear excepted and fire, casualty or condemnation excepted.</w:t>
      </w:r>
    </w:p>
    <w:p>
      <w:pPr>
        <w:spacing w:after="0" w:line="196"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6.07</w:t>
      </w:r>
      <w:r>
        <w:rPr>
          <w:sz w:val="20"/>
          <w:szCs w:val="20"/>
          <w:color w:val="auto"/>
        </w:rPr>
        <w:tab/>
      </w:r>
      <w:r>
        <w:rPr>
          <w:rFonts w:ascii="Arial" w:cs="Arial" w:eastAsia="Arial" w:hAnsi="Arial"/>
          <w:sz w:val="16"/>
          <w:szCs w:val="16"/>
          <w:color w:val="auto"/>
        </w:rPr>
        <w:t>Maintenance of Insurance.</w:t>
      </w:r>
    </w:p>
    <w:p>
      <w:pPr>
        <w:spacing w:after="0" w:line="225" w:lineRule="exact"/>
        <w:rPr>
          <w:sz w:val="20"/>
          <w:szCs w:val="20"/>
          <w:color w:val="auto"/>
        </w:rPr>
      </w:pPr>
    </w:p>
    <w:p>
      <w:pPr>
        <w:ind w:left="8" w:right="20" w:firstLine="648"/>
        <w:spacing w:after="0" w:line="248" w:lineRule="auto"/>
        <w:rPr>
          <w:sz w:val="20"/>
          <w:szCs w:val="20"/>
          <w:color w:val="auto"/>
        </w:rPr>
      </w:pPr>
      <w:r>
        <w:rPr>
          <w:rFonts w:ascii="Arial" w:cs="Arial" w:eastAsia="Arial" w:hAnsi="Arial"/>
          <w:sz w:val="16"/>
          <w:szCs w:val="16"/>
          <w:color w:val="auto"/>
        </w:rPr>
        <w:t>Maintain with insurance companies that the Borrowers believe (in the good faith judgment of management) are financially sound and reputable at the time the relevant coverage is placed or renewed, insurance with respect to its properties and business against loss or damage of the</w:t>
      </w:r>
    </w:p>
    <w:p>
      <w:pPr>
        <w:ind w:left="8"/>
        <w:spacing w:after="0"/>
        <w:rPr>
          <w:sz w:val="20"/>
          <w:szCs w:val="20"/>
          <w:color w:val="auto"/>
        </w:rPr>
      </w:pPr>
      <w:r>
        <w:rPr>
          <w:rFonts w:ascii="Arial" w:cs="Arial" w:eastAsia="Arial" w:hAnsi="Arial"/>
          <w:sz w:val="18"/>
          <w:szCs w:val="18"/>
          <w:color w:val="auto"/>
        </w:rPr>
        <w:t>kinds customarily insured against by Persons engaged in the</w:t>
      </w:r>
    </w:p>
    <w:p>
      <w:pPr>
        <w:sectPr>
          <w:pgSz w:w="11900" w:h="16838" w:orient="portrait"/>
          <w:cols w:equalWidth="0" w:num="1">
            <w:col w:w="10928"/>
          </w:cols>
          <w:pgMar w:left="472" w:top="1440" w:right="499" w:bottom="1440" w:gutter="0" w:footer="0" w:header="0"/>
        </w:sectPr>
      </w:pPr>
    </w:p>
    <w:bookmarkStart w:id="175" w:name="page176"/>
    <w:bookmarkEnd w:id="175"/>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same or similar business, of such types and in such amounts (after giving effect to any self-insurance reasonable and customary for similarly situated Persons engaged in the same or similar businesses as the Borrowers and the Restricted Subsidiaries) as are customarily carried under similar circumstances by such other Persons. Each such policy of insurance (other than business interruption insurance (if any), director and officer insurance</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and worker’s compensation insurance) shall as appropriate (i) name the Administrative Agent, on behalf of the Secured Parties, as an additional insured thereunder as its interest may appear or (ii) in the case of each casualty insurance policy, contain a loss payable clause or endorsement that names the Administrative Agent, on behalf of the Secured Parties, as loss payee thereunder.</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6.08</w:t>
      </w:r>
      <w:r>
        <w:rPr>
          <w:sz w:val="20"/>
          <w:szCs w:val="20"/>
          <w:color w:val="auto"/>
        </w:rPr>
        <w:tab/>
      </w:r>
      <w:r>
        <w:rPr>
          <w:rFonts w:ascii="Arial" w:cs="Arial" w:eastAsia="Arial" w:hAnsi="Arial"/>
          <w:sz w:val="16"/>
          <w:szCs w:val="16"/>
          <w:color w:val="auto"/>
        </w:rPr>
        <w:t>Compliance with Laws.</w:t>
      </w:r>
    </w:p>
    <w:p>
      <w:pPr>
        <w:spacing w:after="0" w:line="22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Comply with the requirements of all Laws and all orders, writs, injunctions and decrees of any Governmental Authority applicable to it or to its business or property, except if the failure to comply therewith would not reasonably be expected to have, individually or in the aggregate, a Material Adverse Effect.</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6.09</w:t>
      </w:r>
      <w:r>
        <w:rPr>
          <w:sz w:val="20"/>
          <w:szCs w:val="20"/>
          <w:color w:val="auto"/>
        </w:rPr>
        <w:tab/>
      </w:r>
      <w:r>
        <w:rPr>
          <w:rFonts w:ascii="Arial" w:cs="Arial" w:eastAsia="Arial" w:hAnsi="Arial"/>
          <w:sz w:val="15"/>
          <w:szCs w:val="15"/>
          <w:color w:val="auto"/>
        </w:rPr>
        <w:t>Books and Records.</w:t>
      </w:r>
    </w:p>
    <w:p>
      <w:pPr>
        <w:spacing w:after="0" w:line="22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Maintain proper books of record and account, in which entries that are full, true and correct in all material respects and are in conformity with GAAP and which reflect all material financial transactions and matters involving the assets and business of a Borrower or a Restricted Subsidiary, as the case may be (it being understood and agreed that certain Foreign Subsidiaries maintain individual books and records in conformity with generally</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accepted accounting principles in their respective countries of organization and that such maintenance shall not constitute a breach of the representations, warranties or covenants hereunder).</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6.10</w:t>
      </w:r>
      <w:r>
        <w:rPr>
          <w:sz w:val="20"/>
          <w:szCs w:val="20"/>
          <w:color w:val="auto"/>
        </w:rPr>
        <w:tab/>
      </w:r>
      <w:r>
        <w:rPr>
          <w:rFonts w:ascii="Arial" w:cs="Arial" w:eastAsia="Arial" w:hAnsi="Arial"/>
          <w:sz w:val="16"/>
          <w:szCs w:val="16"/>
          <w:color w:val="auto"/>
        </w:rPr>
        <w:t>Inspection Rights.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Permit representatives and independent contractors of the Administrative Agent to visit and inspect any of its properties, to examine its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corporate, financial and operating records, and make copies thereof or abstracts therefrom (other than the records of the Board of Directors of such Loan Party or such Restricted Subsidiary), and to discuss its affairs, finances and accounts with its directors, officers, and independent public accountants (subject to such accountants’ customary policies and procedures), all at the reasonable expense of the Borrowers and at such reasonable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times during normal business hours and as often as may be reasonably desired, upon reasonable advance notice to the Borrowers;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only the Administrative Agent on behalf of the Lenders may exercise rights of the Administrative Agent and the Lenders under this Section 6.10 and the Administrative Agent shall not exercise such rights more often than one time during any calendar year and such time shall be at the Borrowers’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during the continuance of an Event of Default, the Administrative Agent (or any of its respective representatives or independent contractors), on behalf of the Lenders, may do any of the foregoing at the expense of the Borrowers at any time during normal business hours and upon reasonable advance notice. The Administrative Agent shall give the Borrowers the opportunity to participate in any discussions with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Borrowers’ independent public accountants. Notwithstanding anything to the contrary in this Section 6.10, none of the Borrowers or any of the Restricted Subsidiaries will be required to disclose, permit the inspection, examination or making copies or abstracts of, or discussion of, any document, information or other matter that (a) constitutes non-financial trade secrets or non-financial proprietary information, (b) in respect of which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disclosure to the Administrative Agent or any Lender (or their respective representatives or contractors) is prohibited by Law, fiduciary duty or any binding agreement or (c) is subject to attorney-client or similar privilege or constitutes attorney work product.</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6.11</w:t>
      </w:r>
      <w:r>
        <w:rPr>
          <w:sz w:val="20"/>
          <w:szCs w:val="20"/>
          <w:color w:val="auto"/>
        </w:rPr>
        <w:tab/>
      </w:r>
      <w:r>
        <w:rPr>
          <w:rFonts w:ascii="Arial" w:cs="Arial" w:eastAsia="Arial" w:hAnsi="Arial"/>
          <w:sz w:val="16"/>
          <w:szCs w:val="16"/>
          <w:color w:val="auto"/>
        </w:rPr>
        <w:t>Additional Collateral; Additional Guarantors.</w:t>
      </w:r>
    </w:p>
    <w:p>
      <w:pPr>
        <w:spacing w:after="0" w:line="22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At the Borrowers’ expense, subject to the limitations and exceptions of this Agreement, including, without limitation, the provisions of the Collateral and Guarantee Requirement, the Intercreditor Agreements and any applicable limitation in any Collateral Document, take all action necessary or reasonably requested by the Administrative Agent to ensure that the Collateral and Guarantee Requirement continues to be satisfied,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ectPr>
          <w:pgSz w:w="11900" w:h="16838" w:orient="portrait"/>
          <w:cols w:equalWidth="0" w:num="1">
            <w:col w:w="10900"/>
          </w:cols>
          <w:pgMar w:left="480" w:top="1440" w:right="519" w:bottom="1440" w:gutter="0" w:footer="0" w:header="0"/>
        </w:sectPr>
      </w:pPr>
    </w:p>
    <w:bookmarkStart w:id="176" w:name="page177"/>
    <w:bookmarkEnd w:id="176"/>
    <w:p>
      <w:pPr>
        <w:spacing w:after="0" w:line="211" w:lineRule="exact"/>
        <w:rPr>
          <w:sz w:val="20"/>
          <w:szCs w:val="20"/>
          <w:color w:val="auto"/>
        </w:rPr>
      </w:pPr>
    </w:p>
    <w:p>
      <w:pPr>
        <w:jc w:val="both"/>
        <w:ind w:firstLine="648"/>
        <w:spacing w:after="0" w:line="214" w:lineRule="auto"/>
        <w:tabs>
          <w:tab w:leader="none" w:pos="115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upon (v) the formation or acquisition of any new direct or indirect wholly-owned Material Domestic Subsidiary (in each case, other than an Excluded Subsidiary) by any Loan Party, (w) an election by the Borrower to designate a Restricted Subsidiary as a Guarantor pursuant to the definition of Guarantor,</w:t>
      </w:r>
    </w:p>
    <w:p>
      <w:pPr>
        <w:spacing w:after="0" w:line="2" w:lineRule="exact"/>
        <w:rPr>
          <w:rFonts w:ascii="Arial" w:cs="Arial" w:eastAsia="Arial" w:hAnsi="Arial"/>
          <w:sz w:val="18"/>
          <w:szCs w:val="18"/>
          <w:color w:val="auto"/>
        </w:rPr>
      </w:pPr>
    </w:p>
    <w:p>
      <w:pPr>
        <w:ind w:right="40"/>
        <w:spacing w:after="0" w:line="203" w:lineRule="auto"/>
        <w:tabs>
          <w:tab w:leader="none" w:pos="50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designation in accordance with Section 6.14 of any existing direct or indirect wholly-owned Material Domestic Subsidiary as a Restricted Subsidiary (in each case, other than an Excluded Subsidiary),</w:t>
      </w:r>
    </w:p>
    <w:p>
      <w:pPr>
        <w:ind w:right="40"/>
        <w:spacing w:after="0" w:line="233" w:lineRule="auto"/>
        <w:tabs>
          <w:tab w:leader="none" w:pos="50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Subsidiary becoming a wholly-owned Material Domestic Subsidiary (in each case, other than an Excluded Subsidiary) or (z) any Restricted Subsidiary ceasing to be an Excluded Subsidiary:</w:t>
      </w:r>
    </w:p>
    <w:p>
      <w:pPr>
        <w:spacing w:after="0" w:line="203" w:lineRule="exact"/>
        <w:rPr>
          <w:rFonts w:ascii="Arial" w:cs="Arial" w:eastAsia="Arial" w:hAnsi="Arial"/>
          <w:sz w:val="18"/>
          <w:szCs w:val="18"/>
          <w:color w:val="auto"/>
        </w:rPr>
      </w:pPr>
    </w:p>
    <w:p>
      <w:pPr>
        <w:ind w:left="640" w:firstLine="729"/>
        <w:spacing w:after="0" w:line="235" w:lineRule="auto"/>
        <w:tabs>
          <w:tab w:leader="none" w:pos="1792" w:val="left"/>
        </w:tabs>
        <w:numPr>
          <w:ilvl w:val="2"/>
          <w:numId w:val="207"/>
        </w:numPr>
        <w:rPr>
          <w:rFonts w:ascii="Arial" w:cs="Arial" w:eastAsia="Arial" w:hAnsi="Arial"/>
          <w:sz w:val="18"/>
          <w:szCs w:val="18"/>
          <w:color w:val="auto"/>
        </w:rPr>
      </w:pPr>
      <w:r>
        <w:rPr>
          <w:rFonts w:ascii="Arial" w:cs="Arial" w:eastAsia="Arial" w:hAnsi="Arial"/>
          <w:sz w:val="18"/>
          <w:szCs w:val="18"/>
          <w:color w:val="auto"/>
        </w:rPr>
        <w:t>within 60 (or such greater number of days specified below) days after such formation, acquisition or designation, or such longer period as the Administrative Agent may agree in writing in its reasonable discretion:</w:t>
      </w:r>
    </w:p>
    <w:p>
      <w:pPr>
        <w:spacing w:after="0" w:line="188" w:lineRule="exact"/>
        <w:rPr>
          <w:rFonts w:ascii="Arial" w:cs="Arial" w:eastAsia="Arial" w:hAnsi="Arial"/>
          <w:sz w:val="18"/>
          <w:szCs w:val="18"/>
          <w:color w:val="auto"/>
        </w:rPr>
      </w:pPr>
    </w:p>
    <w:p>
      <w:pPr>
        <w:jc w:val="both"/>
        <w:ind w:left="1300" w:right="20" w:firstLine="644"/>
        <w:spacing w:after="0" w:line="217" w:lineRule="auto"/>
        <w:tabs>
          <w:tab w:leader="none" w:pos="2452" w:val="left"/>
        </w:tabs>
        <w:numPr>
          <w:ilvl w:val="3"/>
          <w:numId w:val="207"/>
        </w:numPr>
        <w:rPr>
          <w:rFonts w:ascii="Arial" w:cs="Arial" w:eastAsia="Arial" w:hAnsi="Arial"/>
          <w:sz w:val="18"/>
          <w:szCs w:val="18"/>
          <w:color w:val="auto"/>
        </w:rPr>
      </w:pPr>
      <w:r>
        <w:rPr>
          <w:rFonts w:ascii="Arial" w:cs="Arial" w:eastAsia="Arial" w:hAnsi="Arial"/>
          <w:sz w:val="18"/>
          <w:szCs w:val="18"/>
          <w:color w:val="auto"/>
        </w:rPr>
        <w:t>cause each such Subsidiary to duly execute and deliver to the Administrative Agent, other than with respect to any Excluded Assets, a Guarantor Joinder Agreement to this Agreement as Guarantors, completed Security Agreement Supplements, Intellectual Property Security Agreements, a counterpart of the Intercompany Note and other security agreements and documents as reasonably requested by and in form and substance reasonably satisfactory to the Administrative Agent (consistent with the Security Agreement, Intellectual Property Security Agreements and other security agreements in effect on the Closing Date), in each case granting Liens required by the Collateral and Guarantee Requirement;</w:t>
      </w:r>
    </w:p>
    <w:p>
      <w:pPr>
        <w:spacing w:after="0" w:line="201" w:lineRule="exact"/>
        <w:rPr>
          <w:rFonts w:ascii="Arial" w:cs="Arial" w:eastAsia="Arial" w:hAnsi="Arial"/>
          <w:sz w:val="18"/>
          <w:szCs w:val="18"/>
          <w:color w:val="auto"/>
        </w:rPr>
      </w:pPr>
    </w:p>
    <w:p>
      <w:pPr>
        <w:jc w:val="both"/>
        <w:ind w:left="1300" w:right="20" w:firstLine="644"/>
        <w:spacing w:after="0" w:line="254" w:lineRule="auto"/>
        <w:tabs>
          <w:tab w:leader="none" w:pos="2452" w:val="left"/>
        </w:tabs>
        <w:numPr>
          <w:ilvl w:val="3"/>
          <w:numId w:val="207"/>
        </w:numPr>
        <w:rPr>
          <w:rFonts w:ascii="Arial" w:cs="Arial" w:eastAsia="Arial" w:hAnsi="Arial"/>
          <w:sz w:val="16"/>
          <w:szCs w:val="16"/>
          <w:color w:val="auto"/>
        </w:rPr>
      </w:pPr>
      <w:r>
        <w:rPr>
          <w:rFonts w:ascii="Arial" w:cs="Arial" w:eastAsia="Arial" w:hAnsi="Arial"/>
          <w:sz w:val="16"/>
          <w:szCs w:val="16"/>
          <w:color w:val="auto"/>
        </w:rPr>
        <w:t>cause each such Subsidiary (and the parent of each such Subsidiary that is a Guarantor) to deliver any and all certificates representing Equity Interests (to the extent certificated), intercompany notes (to the extent certificated) and instruments evidencing Indebtedness that, in each case, are required to be pledged pursuant to the Collateral and Guarantee Requirement, accompanied by undated stock powers or other appropriate instruments of transfer executed in blank; and</w:t>
      </w:r>
    </w:p>
    <w:p>
      <w:pPr>
        <w:spacing w:after="0" w:line="179" w:lineRule="exact"/>
        <w:rPr>
          <w:rFonts w:ascii="Arial" w:cs="Arial" w:eastAsia="Arial" w:hAnsi="Arial"/>
          <w:sz w:val="16"/>
          <w:szCs w:val="16"/>
          <w:color w:val="auto"/>
        </w:rPr>
      </w:pPr>
    </w:p>
    <w:p>
      <w:pPr>
        <w:jc w:val="both"/>
        <w:ind w:left="1300" w:firstLine="644"/>
        <w:spacing w:after="0" w:line="219" w:lineRule="auto"/>
        <w:tabs>
          <w:tab w:leader="none" w:pos="2452" w:val="left"/>
        </w:tabs>
        <w:numPr>
          <w:ilvl w:val="3"/>
          <w:numId w:val="207"/>
        </w:numPr>
        <w:rPr>
          <w:rFonts w:ascii="Arial" w:cs="Arial" w:eastAsia="Arial" w:hAnsi="Arial"/>
          <w:sz w:val="18"/>
          <w:szCs w:val="18"/>
          <w:color w:val="auto"/>
        </w:rPr>
      </w:pPr>
      <w:r>
        <w:rPr>
          <w:rFonts w:ascii="Arial" w:cs="Arial" w:eastAsia="Arial" w:hAnsi="Arial"/>
          <w:sz w:val="18"/>
          <w:szCs w:val="18"/>
          <w:color w:val="auto"/>
        </w:rPr>
        <w:t>take and cause such Subsidiary (and the parent of such Subsidiary that is a Guarantor) to take whatever action (including the filing of UCC financing statements and delivery of stock and membership interest certificates to the extent certificated) as may be required pursuant to the terms of the Loan Documents or as may be necessary in the reasonable opinion of the Administrative Agent to vest in the Administrative Agent (or in any representative of the Administrative Agent designated by it) valid and perfected first priority Liens (to the extent required by the Collateral Documents) to the extent required by the Collateral and Guarantee Requirement;</w:t>
      </w:r>
    </w:p>
    <w:p>
      <w:pPr>
        <w:spacing w:after="0" w:line="189" w:lineRule="exact"/>
        <w:rPr>
          <w:rFonts w:ascii="Arial" w:cs="Arial" w:eastAsia="Arial" w:hAnsi="Arial"/>
          <w:sz w:val="18"/>
          <w:szCs w:val="18"/>
          <w:color w:val="auto"/>
        </w:rPr>
      </w:pPr>
    </w:p>
    <w:p>
      <w:pPr>
        <w:jc w:val="both"/>
        <w:ind w:left="640" w:firstLine="679"/>
        <w:spacing w:after="0" w:line="248" w:lineRule="auto"/>
        <w:tabs>
          <w:tab w:leader="none" w:pos="1792" w:val="left"/>
        </w:tabs>
        <w:numPr>
          <w:ilvl w:val="2"/>
          <w:numId w:val="207"/>
        </w:numPr>
        <w:rPr>
          <w:rFonts w:ascii="Arial" w:cs="Arial" w:eastAsia="Arial" w:hAnsi="Arial"/>
          <w:sz w:val="16"/>
          <w:szCs w:val="16"/>
          <w:color w:val="auto"/>
        </w:rPr>
      </w:pPr>
      <w:r>
        <w:rPr>
          <w:rFonts w:ascii="Arial" w:cs="Arial" w:eastAsia="Arial" w:hAnsi="Arial"/>
          <w:sz w:val="16"/>
          <w:szCs w:val="16"/>
          <w:color w:val="auto"/>
        </w:rPr>
        <w:t>if reasonably requested by the Administrative Agent, within sixty (60) days after such request (or such longer period as the Administrative Agent may agree in writing in its reasonable discretion), deliver to the Administrative Agent customary legal opinions, board resolutions, good standing certificates and secretary’s or assistant secretary’s certificates consistent with those delivered on the Closing Date under Section 4.01 (conformed as appropriate) other than changes to such legal opinions resulting from a change in Law, change in fact or change to counsel’s form of opinion reasonably satisfactory to the Administrative Agent as to such matters set forth in this Section 6.11(a) as the Administrative Agent may reasonably request;</w:t>
      </w:r>
    </w:p>
    <w:p>
      <w:pPr>
        <w:spacing w:after="0" w:line="182" w:lineRule="exact"/>
        <w:rPr>
          <w:rFonts w:ascii="Arial" w:cs="Arial" w:eastAsia="Arial" w:hAnsi="Arial"/>
          <w:sz w:val="16"/>
          <w:szCs w:val="16"/>
          <w:color w:val="auto"/>
        </w:rPr>
      </w:pPr>
    </w:p>
    <w:p>
      <w:pPr>
        <w:ind w:left="1940" w:hanging="670"/>
        <w:spacing w:after="0"/>
        <w:tabs>
          <w:tab w:leader="none" w:pos="194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jc w:val="both"/>
        <w:ind w:left="640" w:right="40" w:firstLine="640"/>
        <w:spacing w:after="0" w:line="236" w:lineRule="auto"/>
        <w:tabs>
          <w:tab w:leader="none" w:pos="1792" w:val="left"/>
        </w:tabs>
        <w:numPr>
          <w:ilvl w:val="2"/>
          <w:numId w:val="207"/>
        </w:numPr>
        <w:rPr>
          <w:rFonts w:ascii="Arial" w:cs="Arial" w:eastAsia="Arial" w:hAnsi="Arial"/>
          <w:sz w:val="17"/>
          <w:szCs w:val="17"/>
          <w:color w:val="auto"/>
        </w:rPr>
      </w:pPr>
      <w:r>
        <w:rPr>
          <w:rFonts w:ascii="Arial" w:cs="Arial" w:eastAsia="Arial" w:hAnsi="Arial"/>
          <w:sz w:val="17"/>
          <w:szCs w:val="17"/>
          <w:color w:val="auto"/>
        </w:rPr>
        <w:t>if reasonably requested by the Administrative Agent, within sixty (60) days after such request (or such longer period as the Administrative Agent may agree in writing in its reasonable discretion), deliver to the Administrative Agent any other items necessary from time to time to satisfy the Collateral and Guarantee Requirement with respect to perfection and existence of security interests with respect to property of any Guarantor acquired after the Closing Date and</w:t>
      </w:r>
    </w:p>
    <w:p>
      <w:pPr>
        <w:sectPr>
          <w:pgSz w:w="11900" w:h="16838" w:orient="portrait"/>
          <w:cols w:equalWidth="0" w:num="1">
            <w:col w:w="10280"/>
          </w:cols>
          <w:pgMar w:left="1120" w:top="1440" w:right="499" w:bottom="1440" w:gutter="0" w:footer="0" w:header="0"/>
        </w:sectPr>
      </w:pPr>
    </w:p>
    <w:bookmarkStart w:id="177" w:name="page178"/>
    <w:bookmarkEnd w:id="177"/>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subject to the Collateral and Guarantee Requirement, but not specifically covered by the preceding clauses (i) or (ii).</w:t>
      </w:r>
    </w:p>
    <w:p>
      <w:pPr>
        <w:spacing w:after="0" w:line="225" w:lineRule="exact"/>
        <w:rPr>
          <w:sz w:val="20"/>
          <w:szCs w:val="20"/>
          <w:color w:val="auto"/>
        </w:rPr>
      </w:pPr>
    </w:p>
    <w:p>
      <w:pPr>
        <w:ind w:left="1940" w:hanging="652"/>
        <w:spacing w:after="0"/>
        <w:tabs>
          <w:tab w:leader="none" w:pos="19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40" w:right="40" w:firstLine="648"/>
        <w:spacing w:after="0" w:line="224" w:lineRule="auto"/>
        <w:tabs>
          <w:tab w:leader="none" w:pos="17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Requiring each Domestic Subsidiary required to be designated as a “Material Domestic Subsidiary” pursuant to the proviso in the definition of “Material Domestic Subsidiary” to have taken all actions to comply with the provisions of Section 6.11 within the time frame required by the definition of “Material Domestic Subsidiary”.</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6.12</w:t>
      </w:r>
      <w:r>
        <w:rPr>
          <w:sz w:val="20"/>
          <w:szCs w:val="20"/>
          <w:color w:val="auto"/>
        </w:rPr>
        <w:tab/>
      </w:r>
      <w:r>
        <w:rPr>
          <w:rFonts w:ascii="Arial" w:cs="Arial" w:eastAsia="Arial" w:hAnsi="Arial"/>
          <w:sz w:val="16"/>
          <w:szCs w:val="16"/>
          <w:color w:val="auto"/>
        </w:rPr>
        <w:t>Compliance with Environmental Laws.</w:t>
      </w:r>
    </w:p>
    <w:p>
      <w:pPr>
        <w:spacing w:after="0" w:line="225"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16"/>
          <w:szCs w:val="16"/>
          <w:color w:val="auto"/>
        </w:rPr>
        <w:t>Except, in each case, to the extent that the failure to do so would not reasonably be expected to have, individually or in the aggregate, a Material Adverse Effect: (a) comply, and use commercially reasonable efforts to take all reasonable actions to cause all lessees and other Persons operating or occupying its properties to comply, with all applicable Environmental Laws and Environmental Permits; (b) obtain and renew all</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Environmental Permits necessary for its operations and properties; and (c) in each case to the extent the Loan Parties are required by applicable Environmental Laws, conduct any investigation, remedial, cleanup or other corrective action necessary to address Hazardous Materials at any property or facility in accordance with applicable Environmental Laws.</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6.13</w:t>
      </w:r>
      <w:r>
        <w:rPr>
          <w:sz w:val="20"/>
          <w:szCs w:val="20"/>
          <w:color w:val="auto"/>
        </w:rPr>
        <w:tab/>
      </w:r>
      <w:r>
        <w:rPr>
          <w:rFonts w:ascii="Arial" w:cs="Arial" w:eastAsia="Arial" w:hAnsi="Arial"/>
          <w:sz w:val="15"/>
          <w:szCs w:val="15"/>
          <w:color w:val="auto"/>
        </w:rPr>
        <w:t>Further Assurances.</w:t>
      </w:r>
    </w:p>
    <w:p>
      <w:pPr>
        <w:spacing w:after="0" w:line="225"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17"/>
          <w:szCs w:val="17"/>
          <w:color w:val="auto"/>
        </w:rPr>
        <w:t>Promptly upon reasonable request by the Administrative Agent (i) correct any mutually identified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certificates, assurances and other instruments as the Administrative Agent may reasonably request from time to time in order to (x) carry out more effectively the purposes of the Collateral Documents and/or (y) perfect and maintain the validity, effectiveness and priority of any of the Collateral Documents and any of the Liens (subject to Liens permitted hereunder) intended to be created thereunder, in each case, to the extent required pursuant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the Collateral and Guarantee Requirement.</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6.14</w:t>
      </w:r>
      <w:r>
        <w:rPr>
          <w:sz w:val="20"/>
          <w:szCs w:val="20"/>
          <w:color w:val="auto"/>
        </w:rPr>
        <w:tab/>
      </w:r>
      <w:r>
        <w:rPr>
          <w:rFonts w:ascii="Arial" w:cs="Arial" w:eastAsia="Arial" w:hAnsi="Arial"/>
          <w:sz w:val="16"/>
          <w:szCs w:val="16"/>
          <w:color w:val="auto"/>
        </w:rPr>
        <w:t>Designation of Subsidiaries.</w:t>
      </w:r>
    </w:p>
    <w:p>
      <w:pPr>
        <w:spacing w:after="0" w:line="225"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6"/>
          <w:szCs w:val="16"/>
          <w:color w:val="auto"/>
        </w:rPr>
        <w:t>The Borrowers may at any time after the Closing Date designate any Restricted Subsidiary of a Borrower (other than any Borrower (unless the Administrative Borrower has delivered a notice terminating such Borrower’s status as a Borrower hereunder in accordance with the definition of</w:t>
      </w:r>
    </w:p>
    <w:p>
      <w:pPr>
        <w:jc w:val="both"/>
        <w:ind w:right="40"/>
        <w:spacing w:after="0" w:line="234" w:lineRule="auto"/>
        <w:rPr>
          <w:sz w:val="20"/>
          <w:szCs w:val="20"/>
          <w:color w:val="auto"/>
        </w:rPr>
      </w:pPr>
      <w:r>
        <w:rPr>
          <w:rFonts w:ascii="Arial" w:cs="Arial" w:eastAsia="Arial" w:hAnsi="Arial"/>
          <w:sz w:val="16"/>
          <w:szCs w:val="16"/>
          <w:color w:val="auto"/>
        </w:rPr>
        <w:t xml:space="preserve">“Borrower”)) as an Unrestricted Subsidiary or any Unrestricted Subsidiary as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immediately before and after such designation, no Event of Default under Section 8.01(a) or (f) (solely with respect to the Parent Borrower) shall have occurred and be continuing and (ii) in no event shall an Unrestricted Subsidiary acquire (including pursuant to the designation of a Restricted Subsidiary as an Unrestricted</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Subsidiary) Material IP from the Parent Borrower or any Restricted Subsidiary. The designation of any Subsidiary as an Unrestricted Subsidiary after the Closing Date shall constitute an Investment by the applicable Borrower therein at the date of designation as set forth in the definition of Investment. The designation of any Unrestricted Subsidiary as a Restricted Subsidiary shall constitute (a) the incurrence (at the time of designation) of</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any Investment, Indebtedness or Liens of such Subsidiary existing at such time and (b) a Return on any Investment by the applicable Borrower in Unrestricted Subsidiaries pursuant to the definition of Investment.</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6.15</w:t>
      </w:r>
      <w:r>
        <w:rPr>
          <w:sz w:val="20"/>
          <w:szCs w:val="20"/>
          <w:color w:val="auto"/>
        </w:rPr>
        <w:tab/>
      </w:r>
      <w:r>
        <w:rPr>
          <w:rFonts w:ascii="Arial" w:cs="Arial" w:eastAsia="Arial" w:hAnsi="Arial"/>
          <w:sz w:val="16"/>
          <w:szCs w:val="16"/>
          <w:color w:val="auto"/>
        </w:rPr>
        <w:t>Maintenance of Ratings.</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Use commercially reasonable efforts to maintain (i) a public corporate credit rating (but not any specific rating) from S&amp;P and a public corporate family rating (but not any specific rating) from Moody’s, in each case in respect of the Parent Borrower (or such other entity as reasonably determined by the Administrative Agent) and (ii) a public rating (but not any specific rating) in respect of each Class of Term Loans from each of S&amp;P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Moody’s unless a given Class has waived the requirement to maintain any rating for such Class at the time of establishment</w:t>
      </w:r>
    </w:p>
    <w:p>
      <w:pPr>
        <w:sectPr>
          <w:pgSz w:w="11900" w:h="16838" w:orient="portrait"/>
          <w:cols w:equalWidth="0" w:num="1">
            <w:col w:w="10920"/>
          </w:cols>
          <w:pgMar w:left="480" w:top="1440" w:right="499" w:bottom="1440" w:gutter="0" w:footer="0" w:header="0"/>
        </w:sectPr>
      </w:pPr>
    </w:p>
    <w:bookmarkStart w:id="178" w:name="page179"/>
    <w:bookmarkEnd w:id="178"/>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thereof pursuant to the applicable Loan Documents, or after the consent of the Required Class Lenders of such Class.</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6.16</w:t>
      </w:r>
      <w:r>
        <w:rPr>
          <w:sz w:val="20"/>
          <w:szCs w:val="20"/>
          <w:color w:val="auto"/>
        </w:rPr>
        <w:tab/>
      </w:r>
      <w:r>
        <w:rPr>
          <w:rFonts w:ascii="Arial" w:cs="Arial" w:eastAsia="Arial" w:hAnsi="Arial"/>
          <w:sz w:val="15"/>
          <w:szCs w:val="15"/>
          <w:color w:val="auto"/>
        </w:rPr>
        <w:t>Use of Proceeds.</w:t>
      </w:r>
    </w:p>
    <w:p>
      <w:pPr>
        <w:spacing w:after="0" w:line="22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Use the proceeds of any Borrowing on the Closing Date, whether directly or indirectly, in a manner consistent with the uses set forth in the preliminary statements to this Agreement, and after the Closing Date, use the proceeds of any Borrowing for any purpose not otherwise prohibited under this Agreement.</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6.17</w:t>
      </w:r>
      <w:r>
        <w:rPr>
          <w:sz w:val="20"/>
          <w:szCs w:val="20"/>
          <w:color w:val="auto"/>
        </w:rPr>
        <w:tab/>
      </w:r>
      <w:r>
        <w:rPr>
          <w:rFonts w:ascii="Arial" w:cs="Arial" w:eastAsia="Arial" w:hAnsi="Arial"/>
          <w:sz w:val="16"/>
          <w:szCs w:val="16"/>
          <w:color w:val="auto"/>
        </w:rPr>
        <w:t>Post-Closing Matters.</w:t>
      </w:r>
    </w:p>
    <w:p>
      <w:pPr>
        <w:spacing w:after="0" w:line="22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Cause to be delivered or performed the documents and other agreements set forth on Schedule 6.17 within the time frames specified in such Schedule 6.17.</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All conditions precedent and representations contained in this Agreement and the other Loan Documents shall be deemed modified to the extent necessary to effect the foregoing (and to permit the taking of the actions described above within the time periods required above, rather than as</w:t>
      </w:r>
    </w:p>
    <w:p>
      <w:pPr>
        <w:jc w:val="both"/>
        <w:spacing w:after="0" w:line="234" w:lineRule="auto"/>
        <w:rPr>
          <w:sz w:val="20"/>
          <w:szCs w:val="20"/>
          <w:color w:val="auto"/>
        </w:rPr>
      </w:pPr>
      <w:r>
        <w:rPr>
          <w:rFonts w:ascii="Arial" w:cs="Arial" w:eastAsia="Arial" w:hAnsi="Arial"/>
          <w:sz w:val="16"/>
          <w:szCs w:val="16"/>
          <w:color w:val="auto"/>
        </w:rPr>
        <w:t xml:space="preserve">elsewhere provided in the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to the extent any representation and warranty would not be true because the foregoing actions were not taken on the Closing Date, the respective representation and warranty shall be required to be true and correct in all material respects at the time the respective action is taken (or was required to be taken) in accordance with the foregoing provisions of this Section 6.17 and (y) all</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representations and warranties relating to the Collateral Documents shall be required to be true immediately after the actions required to be taken by this Section 6.17 have been taken (or were required to be taken) and the parties hereto acknowledge and agree that the failure to take any of the actions required above, within the relevant time periods required above, shall give rise to an immediate Event of Default pursuant to this Agreement.</w:t>
      </w:r>
    </w:p>
    <w:p>
      <w:pPr>
        <w:spacing w:after="0" w:line="19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6.18</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6.19</w:t>
      </w:r>
      <w:r>
        <w:rPr>
          <w:sz w:val="20"/>
          <w:szCs w:val="20"/>
          <w:color w:val="auto"/>
        </w:rPr>
        <w:tab/>
      </w:r>
      <w:r>
        <w:rPr>
          <w:rFonts w:ascii="Arial" w:cs="Arial" w:eastAsia="Arial" w:hAnsi="Arial"/>
          <w:sz w:val="15"/>
          <w:szCs w:val="15"/>
          <w:color w:val="auto"/>
        </w:rPr>
        <w:t>Fiscal Year.</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 xml:space="preserve">From and after the Closing Date, maintain its fiscal year as in effect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that the Borrowers may (x) align the dates of such fiscal year of any Restricted Subsidiary whose fiscal year ends on a date other than that of the Parent Borrower or (y) upon written</w:t>
      </w:r>
    </w:p>
    <w:p>
      <w:pPr>
        <w:jc w:val="both"/>
        <w:ind w:right="20"/>
        <w:spacing w:after="0" w:line="218" w:lineRule="auto"/>
        <w:rPr>
          <w:sz w:val="20"/>
          <w:szCs w:val="20"/>
          <w:color w:val="auto"/>
        </w:rPr>
      </w:pPr>
      <w:r>
        <w:rPr>
          <w:rFonts w:ascii="Arial" w:cs="Arial" w:eastAsia="Arial" w:hAnsi="Arial"/>
          <w:sz w:val="18"/>
          <w:szCs w:val="18"/>
          <w:color w:val="auto"/>
        </w:rPr>
        <w:t xml:space="preserve">notice to the Administrative Agent, change its fiscal year to any other fiscal year, and, in the case of this </w:t>
      </w:r>
      <w:r>
        <w:rPr>
          <w:rFonts w:ascii="Arial" w:cs="Arial" w:eastAsia="Arial" w:hAnsi="Arial"/>
          <w:sz w:val="18"/>
          <w:szCs w:val="18"/>
          <w:u w:val="single" w:color="auto"/>
          <w:color w:val="auto"/>
        </w:rPr>
        <w:t>clause (y)</w:t>
      </w:r>
      <w:r>
        <w:rPr>
          <w:rFonts w:ascii="Arial" w:cs="Arial" w:eastAsia="Arial" w:hAnsi="Arial"/>
          <w:sz w:val="18"/>
          <w:szCs w:val="18"/>
          <w:color w:val="auto"/>
        </w:rPr>
        <w:t>, the Administrative Borrower and the Administrative Agent will, and are hereby authorized by the Lenders to, make any adjustments to this Agreement that are necessary to reflect such change in fiscal year.</w:t>
      </w:r>
    </w:p>
    <w:p>
      <w:pPr>
        <w:spacing w:after="0" w:line="20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Section 6.20 </w:t>
      </w:r>
      <w:r>
        <w:rPr>
          <w:rFonts w:ascii="Arial" w:cs="Arial" w:eastAsia="Arial" w:hAnsi="Arial"/>
          <w:sz w:val="16"/>
          <w:szCs w:val="16"/>
          <w:color w:val="000000"/>
        </w:rPr>
        <w:t>Quarterly Lender Call. Following delivery (or, if later, required delivery) of financial statements pursuant to</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6.01(a)</w:t>
      </w:r>
      <w:r>
        <w:rPr>
          <w:rFonts w:ascii="Arial" w:cs="Arial" w:eastAsia="Arial" w:hAnsi="Arial"/>
          <w:sz w:val="16"/>
          <w:szCs w:val="16"/>
          <w:color w:val="010000"/>
        </w:rPr>
        <w:t xml:space="preserve"> </w:t>
      </w:r>
      <w:r>
        <w:rPr>
          <w:rFonts w:ascii="Arial" w:cs="Arial" w:eastAsia="Arial" w:hAnsi="Arial"/>
          <w:sz w:val="16"/>
          <w:szCs w:val="16"/>
          <w:color w:val="000000"/>
        </w:rPr>
        <w:t>or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6.01(b)</w:t>
      </w:r>
      <w:r>
        <w:rPr>
          <w:rFonts w:ascii="Arial" w:cs="Arial" w:eastAsia="Arial" w:hAnsi="Arial"/>
          <w:sz w:val="16"/>
          <w:szCs w:val="16"/>
          <w:color w:val="000000"/>
        </w:rPr>
        <w:t>, upon the request of the Administrative Agent, the Parent Borrower will host, at times selected by the Parent Borrower and reasonably acceptable to the Administrative Agent, quarterly conference calls with the Administrative Agent and the Lenders to review the financial results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operations and the financial condition of the Parent Borrower and the Restricted Subsidiaries; it being understood and agreed that such conference calls may be a single conference call together with investors holding other securities or debt of the Parent Borrower and/or Restricted Subsidiaries, so long as the Lenders are given an opportunity to ask questions on such conference call.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ARTICLE VII. </w:t>
      </w:r>
      <w:r>
        <w:rPr>
          <w:rFonts w:ascii="Arial" w:cs="Arial" w:eastAsia="Arial" w:hAnsi="Arial"/>
          <w:sz w:val="18"/>
          <w:szCs w:val="18"/>
          <w:b w:val="1"/>
          <w:bCs w:val="1"/>
          <w:u w:val="single" w:color="auto"/>
          <w:color w:val="000000"/>
        </w:rPr>
        <w:t>NEGATIVE COVENANTS</w:t>
      </w:r>
    </w:p>
    <w:p>
      <w:pPr>
        <w:spacing w:after="0" w:line="29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So long as any Lender shall have any Commitment, any Loan or other Obligation (other than contingent indemnification obligations as to which no claim has been asserted) hereunder, then from and after the Closing Date, the Parent Borrower shall not and the Parent Borrower shall not</w:t>
      </w:r>
    </w:p>
    <w:p>
      <w:pPr>
        <w:spacing w:after="0"/>
        <w:rPr>
          <w:sz w:val="20"/>
          <w:szCs w:val="20"/>
          <w:color w:val="auto"/>
        </w:rPr>
      </w:pPr>
      <w:r>
        <w:rPr>
          <w:rFonts w:ascii="Arial" w:cs="Arial" w:eastAsia="Arial" w:hAnsi="Arial"/>
          <w:sz w:val="18"/>
          <w:szCs w:val="18"/>
          <w:color w:val="auto"/>
        </w:rPr>
        <w:t>permit any of its Restricted Subsidiaries to, directly or indirectly:</w:t>
      </w:r>
    </w:p>
    <w:p>
      <w:pPr>
        <w:sectPr>
          <w:pgSz w:w="11900" w:h="16838" w:orient="portrait"/>
          <w:cols w:equalWidth="0" w:num="1">
            <w:col w:w="10900"/>
          </w:cols>
          <w:pgMar w:left="480" w:top="1440" w:right="519" w:bottom="1440" w:gutter="0" w:footer="0" w:header="0"/>
        </w:sectPr>
      </w:pPr>
    </w:p>
    <w:bookmarkStart w:id="179" w:name="page180"/>
    <w:bookmarkEnd w:id="179"/>
    <w:p>
      <w:pPr>
        <w:spacing w:after="0" w:line="21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7.01</w:t>
      </w:r>
      <w:r>
        <w:rPr>
          <w:sz w:val="20"/>
          <w:szCs w:val="20"/>
          <w:color w:val="auto"/>
        </w:rPr>
        <w:tab/>
      </w:r>
      <w:r>
        <w:rPr>
          <w:rFonts w:ascii="Arial" w:cs="Arial" w:eastAsia="Arial" w:hAnsi="Arial"/>
          <w:sz w:val="16"/>
          <w:szCs w:val="16"/>
          <w:color w:val="auto"/>
        </w:rPr>
        <w:t>Liens.</w:t>
      </w:r>
    </w:p>
    <w:p>
      <w:pPr>
        <w:spacing w:after="0" w:line="22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202" w:lineRule="exact"/>
        <w:rPr>
          <w:sz w:val="20"/>
          <w:szCs w:val="20"/>
          <w:color w:val="auto"/>
        </w:rPr>
      </w:pPr>
    </w:p>
    <w:p>
      <w:pPr>
        <w:ind w:left="1940" w:hanging="652"/>
        <w:spacing w:after="0"/>
        <w:tabs>
          <w:tab w:leader="none" w:pos="19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Liens created pursuant to any Loan Document securing the Secured Obligations;</w:t>
      </w:r>
    </w:p>
    <w:p>
      <w:pPr>
        <w:spacing w:after="0" w:line="225" w:lineRule="exact"/>
        <w:rPr>
          <w:rFonts w:ascii="Arial" w:cs="Arial" w:eastAsia="Arial" w:hAnsi="Arial"/>
          <w:sz w:val="18"/>
          <w:szCs w:val="18"/>
          <w:color w:val="auto"/>
        </w:rPr>
      </w:pPr>
    </w:p>
    <w:p>
      <w:pPr>
        <w:ind w:left="1800" w:hanging="513"/>
        <w:spacing w:after="0"/>
        <w:tabs>
          <w:tab w:leader="none" w:pos="18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Liens existing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Lien securing Indebtedness in excess of (x) $2,000,000 individually or</w:t>
      </w:r>
    </w:p>
    <w:p>
      <w:pPr>
        <w:spacing w:after="0" w:line="7" w:lineRule="exact"/>
        <w:rPr>
          <w:rFonts w:ascii="Arial" w:cs="Arial" w:eastAsia="Arial" w:hAnsi="Arial"/>
          <w:sz w:val="16"/>
          <w:szCs w:val="16"/>
          <w:color w:val="auto"/>
        </w:rPr>
      </w:pPr>
    </w:p>
    <w:p>
      <w:pPr>
        <w:ind w:left="900" w:hanging="261"/>
        <w:spacing w:after="0"/>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$10,000,000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w:t>
      </w:r>
    </w:p>
    <w:p>
      <w:pPr>
        <w:spacing w:after="0" w:line="5" w:lineRule="exact"/>
        <w:rPr>
          <w:sz w:val="20"/>
          <w:szCs w:val="20"/>
          <w:color w:val="auto"/>
        </w:rPr>
      </w:pPr>
    </w:p>
    <w:p>
      <w:pPr>
        <w:jc w:val="both"/>
        <w:ind w:left="640" w:right="20"/>
        <w:spacing w:after="0" w:line="221" w:lineRule="auto"/>
        <w:rPr>
          <w:sz w:val="20"/>
          <w:szCs w:val="20"/>
          <w:color w:val="auto"/>
        </w:rPr>
      </w:pPr>
      <w:r>
        <w:rPr>
          <w:rFonts w:ascii="Arial" w:cs="Arial" w:eastAsia="Arial" w:hAnsi="Arial"/>
          <w:sz w:val="17"/>
          <w:szCs w:val="17"/>
          <w:color w:val="auto"/>
        </w:rPr>
        <w:t xml:space="preserve">are not listed in </w:t>
      </w:r>
      <w:r>
        <w:rPr>
          <w:rFonts w:ascii="Arial" w:cs="Arial" w:eastAsia="Arial" w:hAnsi="Arial"/>
          <w:sz w:val="17"/>
          <w:szCs w:val="17"/>
          <w:u w:val="single" w:color="auto"/>
          <w:color w:val="auto"/>
        </w:rPr>
        <w:t>Schedule 7.01(b)</w:t>
      </w:r>
      <w:r>
        <w:rPr>
          <w:rFonts w:ascii="Arial" w:cs="Arial" w:eastAsia="Arial" w:hAnsi="Arial"/>
          <w:sz w:val="17"/>
          <w:szCs w:val="17"/>
          <w:color w:val="auto"/>
        </w:rPr>
        <w:t xml:space="preserve">) shall only be permitted to the extent such Lien is listed on in </w:t>
      </w:r>
      <w:r>
        <w:rPr>
          <w:rFonts w:ascii="Arial" w:cs="Arial" w:eastAsia="Arial" w:hAnsi="Arial"/>
          <w:sz w:val="17"/>
          <w:szCs w:val="17"/>
          <w:u w:val="single" w:color="auto"/>
          <w:color w:val="auto"/>
        </w:rPr>
        <w:t>Schedule 7.01(b)</w:t>
      </w:r>
      <w:r>
        <w:rPr>
          <w:rFonts w:ascii="Arial" w:cs="Arial" w:eastAsia="Arial" w:hAnsi="Arial"/>
          <w:sz w:val="17"/>
          <w:szCs w:val="17"/>
          <w:color w:val="auto"/>
        </w:rPr>
        <w:t xml:space="preserve">, and any modifications, replacements, renewals, refinancings or extensions thereof, which may provide that individual financings of equipment provided by one lender may be cross-collateralized to other financings of equipment provided by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 the Lien does not</w:t>
      </w:r>
    </w:p>
    <w:p>
      <w:pPr>
        <w:jc w:val="both"/>
        <w:ind w:left="640" w:right="20"/>
        <w:spacing w:after="0" w:line="234" w:lineRule="auto"/>
        <w:rPr>
          <w:sz w:val="20"/>
          <w:szCs w:val="20"/>
          <w:color w:val="auto"/>
        </w:rPr>
      </w:pPr>
      <w:r>
        <w:rPr>
          <w:rFonts w:ascii="Arial" w:cs="Arial" w:eastAsia="Arial" w:hAnsi="Arial"/>
          <w:sz w:val="16"/>
          <w:szCs w:val="16"/>
          <w:color w:val="auto"/>
        </w:rPr>
        <w:t xml:space="preserve">extend to any additional property other than (A) after-acquired property that is affixed or incorporated into the property covered by such Lien or financed by Indebtedness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customary security deposits in connection therewith and (B) proceeds and products thereof and (ii) the replacement, renewal, extension or refinancing of the obligations secured or benefited by such Liens, to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extent constituting Indebtedness,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96" w:lineRule="exact"/>
        <w:rPr>
          <w:sz w:val="20"/>
          <w:szCs w:val="20"/>
          <w:color w:val="auto"/>
        </w:rPr>
      </w:pPr>
    </w:p>
    <w:p>
      <w:pPr>
        <w:jc w:val="both"/>
        <w:ind w:left="640" w:right="20" w:firstLine="648"/>
        <w:spacing w:after="0" w:line="223" w:lineRule="auto"/>
        <w:tabs>
          <w:tab w:leader="none" w:pos="179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that are not overdue for a period of more than thirty (30) days (or any applicable grace period related thereto, if longer) or that are being contested in good faith and by appropriate actions, if adequate reserves with respect thereto are maintained on the books of the applicable Person in accordance with GAAP or the equivalent accounting principles in the relevant local jurisdiction;</w:t>
      </w:r>
    </w:p>
    <w:p>
      <w:pPr>
        <w:spacing w:after="0" w:line="189" w:lineRule="exact"/>
        <w:rPr>
          <w:rFonts w:ascii="Arial" w:cs="Arial" w:eastAsia="Arial" w:hAnsi="Arial"/>
          <w:sz w:val="18"/>
          <w:szCs w:val="18"/>
          <w:color w:val="auto"/>
        </w:rPr>
      </w:pPr>
    </w:p>
    <w:p>
      <w:pPr>
        <w:jc w:val="both"/>
        <w:ind w:left="640" w:firstLine="648"/>
        <w:spacing w:after="0" w:line="254" w:lineRule="auto"/>
        <w:tabs>
          <w:tab w:leader="none" w:pos="179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statutory or common law Liens of landlords, sublandlords, carriers, warehousemen, mechanics, materialmen, repairmen, construction contractors or other like Liens or other customary Liens (other than in respect of Indebtedness) in favor of landlords, so long as, in each case, such Liens secure amounts not overdue for a period of more than sixty (60) days or if more than sixty (60) days overdue, are unfiled and no other action has been taken to enforce such Liens or are being contested in good faith and by appropriate actions;</w:t>
      </w:r>
    </w:p>
    <w:p>
      <w:pPr>
        <w:spacing w:after="0" w:line="193" w:lineRule="exact"/>
        <w:rPr>
          <w:rFonts w:ascii="Arial" w:cs="Arial" w:eastAsia="Arial" w:hAnsi="Arial"/>
          <w:sz w:val="16"/>
          <w:szCs w:val="16"/>
          <w:color w:val="auto"/>
        </w:rPr>
      </w:pPr>
    </w:p>
    <w:p>
      <w:pPr>
        <w:jc w:val="both"/>
        <w:ind w:left="640" w:right="20" w:firstLine="648"/>
        <w:spacing w:after="0" w:line="244" w:lineRule="auto"/>
        <w:tabs>
          <w:tab w:leader="none" w:pos="179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 pledges or deposits in the ordinary course of business in connection with, and obligations in respect of letters of credit (other than Letters of Credit (as defined in the ABL Credit Agreement)) or bank guarantees incurred in the ordinary course of business with respect to, workers’ compensation, health, disability or employee benefits, unemployment insurance and other social security laws or similar legislation or regulation or other insurance-related obligations (including, but not limited to, in respect of deductibles, self-insured retention amounts and premiums and adjustments thereto)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Parent Borrower or any of the Restricted Subsidiaries;</w:t>
      </w:r>
    </w:p>
    <w:p>
      <w:pPr>
        <w:spacing w:after="0" w:line="189" w:lineRule="exact"/>
        <w:rPr>
          <w:rFonts w:ascii="Arial" w:cs="Arial" w:eastAsia="Arial" w:hAnsi="Arial"/>
          <w:sz w:val="16"/>
          <w:szCs w:val="16"/>
          <w:color w:val="auto"/>
        </w:rPr>
      </w:pPr>
    </w:p>
    <w:p>
      <w:pPr>
        <w:jc w:val="both"/>
        <w:ind w:left="640" w:right="20" w:firstLine="648"/>
        <w:spacing w:after="0" w:line="235" w:lineRule="auto"/>
        <w:tabs>
          <w:tab w:leader="none" w:pos="179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pledges or deposits to secure, and obligations in respect of letters of credit (other than Letters of Credit (as defined in the ABL Credit Agreement)) or bank guarantees incurred in the ordinary course of business with respect to the performance of bids, trade contracts, warranties, governmental contracts and leases (other than Indebtedness for borrowed money), statutory obligations, surety, stay, customs and appeal bonds, performance bonds and other obligations of a like nature (including those to secure health, safety and environmental obligations) incurred in the ordinary course of business or consistent with industry practice;</w:t>
      </w:r>
    </w:p>
    <w:p>
      <w:pPr>
        <w:spacing w:after="0" w:line="190" w:lineRule="exact"/>
        <w:rPr>
          <w:rFonts w:ascii="Arial" w:cs="Arial" w:eastAsia="Arial" w:hAnsi="Arial"/>
          <w:sz w:val="17"/>
          <w:szCs w:val="17"/>
          <w:color w:val="auto"/>
        </w:rPr>
      </w:pPr>
    </w:p>
    <w:p>
      <w:pPr>
        <w:ind w:left="640" w:right="20" w:firstLine="648"/>
        <w:spacing w:after="0" w:line="235" w:lineRule="auto"/>
        <w:tabs>
          <w:tab w:leader="none" w:pos="179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easements, rights-of-way, building codes, covenants, conditions, restrictions (including zoning restrictions), encroachments, licenses, protrusions and other similar encumbrances and minor title</w:t>
      </w:r>
    </w:p>
    <w:p>
      <w:pPr>
        <w:sectPr>
          <w:pgSz w:w="11900" w:h="16838" w:orient="portrait"/>
          <w:cols w:equalWidth="0" w:num="1">
            <w:col w:w="10900"/>
          </w:cols>
          <w:pgMar w:left="480" w:top="1440" w:right="519" w:bottom="1440" w:gutter="0" w:footer="0" w:header="0"/>
        </w:sectPr>
      </w:pPr>
    </w:p>
    <w:bookmarkStart w:id="180" w:name="page181"/>
    <w:bookmarkEnd w:id="180"/>
    <w:p>
      <w:pPr>
        <w:spacing w:after="0" w:line="21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defects affecting Real Property and that do not in the aggregate materially interfere with the ordinary conduct of the business of the Parent Borrower or the Restricted Subsidiaries, taken as a whole;</w:t>
      </w:r>
    </w:p>
    <w:p>
      <w:pPr>
        <w:spacing w:after="0" w:line="202" w:lineRule="exact"/>
        <w:rPr>
          <w:sz w:val="20"/>
          <w:szCs w:val="20"/>
          <w:color w:val="auto"/>
        </w:rPr>
      </w:pPr>
    </w:p>
    <w:p>
      <w:pPr>
        <w:ind w:left="1160" w:hanging="512"/>
        <w:spacing w:after="0"/>
        <w:tabs>
          <w:tab w:leader="none" w:pos="116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Liens (i) securing judgments or orders for the payment of money not constituting an Event of Default under Section 8.01(h)</w:t>
      </w:r>
    </w:p>
    <w:p>
      <w:pPr>
        <w:spacing w:after="0" w:line="7" w:lineRule="exact"/>
        <w:rPr>
          <w:rFonts w:ascii="Arial" w:cs="Arial" w:eastAsia="Arial" w:hAnsi="Arial"/>
          <w:sz w:val="16"/>
          <w:szCs w:val="16"/>
          <w:color w:val="auto"/>
        </w:rPr>
      </w:pPr>
    </w:p>
    <w:p>
      <w:pPr>
        <w:ind w:left="260" w:hanging="260"/>
        <w:spacing w:after="0"/>
        <w:tabs>
          <w:tab w:leader="none" w:pos="2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arising out of judgments or awards against any Borrower or any Restricted Subsidiary with respect to which an appeal or other proceeding</w:t>
      </w:r>
    </w:p>
    <w:p>
      <w:pPr>
        <w:spacing w:after="0" w:line="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for review is then being pursued and (iii)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related to litigation being contested in good faith by appropriate proceedings for which adequate reserves have been made;</w:t>
      </w:r>
    </w:p>
    <w:p>
      <w:pPr>
        <w:spacing w:after="0" w:line="188" w:lineRule="exact"/>
        <w:rPr>
          <w:sz w:val="20"/>
          <w:szCs w:val="20"/>
          <w:color w:val="auto"/>
        </w:rPr>
      </w:pPr>
    </w:p>
    <w:p>
      <w:pPr>
        <w:ind w:right="60" w:firstLine="648"/>
        <w:spacing w:after="0" w:line="252" w:lineRule="auto"/>
        <w:tabs>
          <w:tab w:leader="none" w:pos="115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leases, licenses, subleases or sublicenses (including the provision of software or the licensing of other intellectual property rights) and terminations thereof, in each case granted to others in the ordinary course of business (or other agreements under which the Parent Borrower or any Restricted Subsidiary has granted rights to end users to access and use the Parent Borrower’s or any Restricted Subsidiary’s products, technologies or services in the ordinary course of business) which (i) do not interfere in any material respect with the business of the Parent Borrower and the Restricted Subsidiaries, taken as a whole and (ii) do not secure any Indebtedness;</w:t>
      </w:r>
    </w:p>
    <w:p>
      <w:pPr>
        <w:spacing w:after="0" w:line="181" w:lineRule="exact"/>
        <w:rPr>
          <w:rFonts w:ascii="Arial" w:cs="Arial" w:eastAsia="Arial" w:hAnsi="Arial"/>
          <w:sz w:val="16"/>
          <w:szCs w:val="16"/>
          <w:color w:val="auto"/>
        </w:rPr>
      </w:pPr>
    </w:p>
    <w:p>
      <w:pPr>
        <w:jc w:val="both"/>
        <w:ind w:right="20" w:firstLine="648"/>
        <w:spacing w:after="0" w:line="254" w:lineRule="auto"/>
        <w:tabs>
          <w:tab w:leader="none" w:pos="115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goods in the ordinary course of business;</w:t>
      </w:r>
    </w:p>
    <w:p>
      <w:pPr>
        <w:spacing w:after="0" w:line="179" w:lineRule="exact"/>
        <w:rPr>
          <w:rFonts w:ascii="Arial" w:cs="Arial" w:eastAsia="Arial" w:hAnsi="Arial"/>
          <w:sz w:val="16"/>
          <w:szCs w:val="16"/>
          <w:color w:val="auto"/>
        </w:rPr>
      </w:pPr>
    </w:p>
    <w:p>
      <w:pPr>
        <w:jc w:val="both"/>
        <w:ind w:right="20" w:firstLine="648"/>
        <w:spacing w:after="0" w:line="248" w:lineRule="auto"/>
        <w:tabs>
          <w:tab w:leader="none" w:pos="115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4-208 of the Uniform Commercial Code on items in the course of collection, (ii) attaching to commodity trading accounts or other commodities brokerage accounts incurred in the ordinary course of business,</w:t>
      </w:r>
    </w:p>
    <w:p>
      <w:pPr>
        <w:jc w:val="both"/>
        <w:ind w:right="20"/>
        <w:spacing w:after="0" w:line="216" w:lineRule="auto"/>
        <w:tabs>
          <w:tab w:leader="none" w:pos="3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in favor of a banking or other financial institution arising as a matter of Law or under customary general terms and conditions encumbering deposits or other funds maintained with a financial institution (including the right of set-off) and that are customary in the banking industry or arising pursuant to such banking institution’s general terms and conditions, (iv) in respect of Cash Management Services permitted under Section 7.03(l) and (v) in respect of Swap Contracts; </w:t>
      </w:r>
      <w:r>
        <w:rPr>
          <w:rFonts w:ascii="Arial" w:cs="Arial" w:eastAsia="Arial" w:hAnsi="Arial"/>
          <w:sz w:val="18"/>
          <w:szCs w:val="18"/>
          <w:i w:val="1"/>
          <w:iCs w:val="1"/>
          <w:color w:val="auto"/>
        </w:rPr>
        <w:t>provided</w:t>
      </w:r>
      <w:r>
        <w:rPr>
          <w:rFonts w:ascii="Arial" w:cs="Arial" w:eastAsia="Arial" w:hAnsi="Arial"/>
          <w:sz w:val="18"/>
          <w:szCs w:val="18"/>
          <w:color w:val="auto"/>
        </w:rPr>
        <w:t>, that the aggregate amount of secured obligations under Swap Contracts (other than Secured Hedge Agreements and ABL Banking Services Agreements (each as defined in the ABL Intercreditor Agreement)) shall not at any time exceed $5,000,000;</w:t>
      </w:r>
    </w:p>
    <w:p>
      <w:pPr>
        <w:spacing w:after="0" w:line="189" w:lineRule="exact"/>
        <w:rPr>
          <w:rFonts w:ascii="Arial" w:cs="Arial" w:eastAsia="Arial" w:hAnsi="Arial"/>
          <w:sz w:val="18"/>
          <w:szCs w:val="18"/>
          <w:color w:val="auto"/>
        </w:rPr>
      </w:pPr>
    </w:p>
    <w:p>
      <w:pPr>
        <w:jc w:val="both"/>
        <w:ind w:right="20" w:firstLine="647"/>
        <w:spacing w:after="0" w:line="222" w:lineRule="auto"/>
        <w:tabs>
          <w:tab w:leader="none" w:pos="115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Liens (i) on cash advances in favor of the seller of any property to be acquired in an Permitted Acquisition or other similar Investment permitted pursuant to this Agreement, in each case to be applied against the purchase price for such Permitted Acquisition or other permitted Investment and (ii) consisting of an agreement to Dispose of any property in a Disposition permitted under Section 7.05, in each case, solely to the extent such Permitted Acquisition or other acquisition or Disposition, as the case may be, would have been permitted under this Agreement on the date of the creation of such Lien;</w:t>
      </w:r>
    </w:p>
    <w:p>
      <w:pPr>
        <w:spacing w:after="0" w:line="190" w:lineRule="exact"/>
        <w:rPr>
          <w:rFonts w:ascii="Arial" w:cs="Arial" w:eastAsia="Arial" w:hAnsi="Arial"/>
          <w:sz w:val="18"/>
          <w:szCs w:val="18"/>
          <w:color w:val="auto"/>
        </w:rPr>
      </w:pPr>
    </w:p>
    <w:p>
      <w:pPr>
        <w:ind w:right="20" w:firstLine="648"/>
        <w:spacing w:after="0" w:line="235" w:lineRule="auto"/>
        <w:tabs>
          <w:tab w:leader="none" w:pos="115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Liens (i) in favor of the Parent Borrower or a Restricted Subsidiary on assets of a Non-Loan Party or (ii) in favor of the Parent Borrower or any Guarantor on assets of a Restricted Subsidiary;</w:t>
      </w:r>
    </w:p>
    <w:p>
      <w:pPr>
        <w:spacing w:after="0" w:line="202" w:lineRule="exact"/>
        <w:rPr>
          <w:rFonts w:ascii="Arial" w:cs="Arial" w:eastAsia="Arial" w:hAnsi="Arial"/>
          <w:sz w:val="18"/>
          <w:szCs w:val="18"/>
          <w:color w:val="auto"/>
        </w:rPr>
      </w:pPr>
    </w:p>
    <w:p>
      <w:pPr>
        <w:jc w:val="both"/>
        <w:ind w:firstLine="648"/>
        <w:spacing w:after="0" w:line="229" w:lineRule="auto"/>
        <w:tabs>
          <w:tab w:leader="none" w:pos="115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interest or title (and all encumbrances and other matters affecting such interest or title) of a lessor, sublessor, licensor or sublicensor or secured by a lessor’s, sublessor’s, licensor’s or sublicensor’s interest under leases, subleases, licenses or sublicenses entered into by the Parent Borrower or any Restricted Subsidiary in the ordinary course of business;</w:t>
      </w:r>
    </w:p>
    <w:p>
      <w:pPr>
        <w:sectPr>
          <w:pgSz w:w="11900" w:h="16838" w:orient="portrait"/>
          <w:cols w:equalWidth="0" w:num="1">
            <w:col w:w="10260"/>
          </w:cols>
          <w:pgMar w:left="1120" w:top="1440" w:right="519" w:bottom="1440" w:gutter="0" w:footer="0" w:header="0"/>
        </w:sectPr>
      </w:pPr>
    </w:p>
    <w:bookmarkStart w:id="181" w:name="page182"/>
    <w:bookmarkEnd w:id="181"/>
    <w:p>
      <w:pPr>
        <w:spacing w:after="0" w:line="211" w:lineRule="exact"/>
        <w:rPr>
          <w:sz w:val="20"/>
          <w:szCs w:val="20"/>
          <w:color w:val="auto"/>
        </w:rPr>
      </w:pPr>
    </w:p>
    <w:p>
      <w:pPr>
        <w:ind w:right="20" w:firstLine="648"/>
        <w:spacing w:after="0" w:line="235" w:lineRule="auto"/>
        <w:tabs>
          <w:tab w:leader="none" w:pos="115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Parent Borrower or any Restricted Subsidiary in the ordinary course of business;</w:t>
      </w:r>
    </w:p>
    <w:p>
      <w:pPr>
        <w:spacing w:after="0" w:line="188" w:lineRule="exact"/>
        <w:rPr>
          <w:rFonts w:ascii="Arial" w:cs="Arial" w:eastAsia="Arial" w:hAnsi="Arial"/>
          <w:sz w:val="18"/>
          <w:szCs w:val="18"/>
          <w:color w:val="auto"/>
        </w:rPr>
      </w:pPr>
    </w:p>
    <w:p>
      <w:pPr>
        <w:ind w:firstLine="648"/>
        <w:spacing w:after="0" w:line="246" w:lineRule="auto"/>
        <w:tabs>
          <w:tab w:leader="none" w:pos="115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7.06 or the definition of “Permitted Investments”;</w:t>
      </w:r>
    </w:p>
    <w:p>
      <w:pPr>
        <w:spacing w:after="0" w:line="196" w:lineRule="exact"/>
        <w:rPr>
          <w:rFonts w:ascii="Arial" w:cs="Arial" w:eastAsia="Arial" w:hAnsi="Arial"/>
          <w:sz w:val="18"/>
          <w:szCs w:val="18"/>
          <w:color w:val="auto"/>
        </w:rPr>
      </w:pPr>
    </w:p>
    <w:p>
      <w:pPr>
        <w:ind w:right="20" w:firstLine="648"/>
        <w:spacing w:after="0" w:line="258" w:lineRule="auto"/>
        <w:tabs>
          <w:tab w:leader="none" w:pos="1152" w:val="left"/>
        </w:tabs>
        <w:numPr>
          <w:ilvl w:val="1"/>
          <w:numId w:val="216"/>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maintained in the ordinary course of business and not for speculative purposes;</w:t>
      </w:r>
    </w:p>
    <w:p>
      <w:pPr>
        <w:spacing w:after="0" w:line="187" w:lineRule="exact"/>
        <w:rPr>
          <w:rFonts w:ascii="Arial" w:cs="Arial" w:eastAsia="Arial" w:hAnsi="Arial"/>
          <w:sz w:val="17"/>
          <w:szCs w:val="17"/>
          <w:color w:val="auto"/>
        </w:rPr>
      </w:pPr>
    </w:p>
    <w:p>
      <w:pPr>
        <w:jc w:val="both"/>
        <w:ind w:right="20" w:firstLine="648"/>
        <w:spacing w:after="0" w:line="248" w:lineRule="auto"/>
        <w:tabs>
          <w:tab w:leader="none" w:pos="115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Liens that are contractual rights of set-off or rights of pledge (i) relating to the establishment of depository relations with banks or other deposit-taking financial institutions and not given in connection with the issuance of Indebtedness, (ii) relating to pooled deposit or sweep accounts of the Parent Borrower or any Restricted Subsidiary to permit satisfaction of overdraft or similar obligations incurred in the ordinary course of business of the Parent Borrower or any Restricted Subsidiary or (iii) relating to purchase orders and other agreements entered into with customers or suppliers of the Parent Borrower or any Restricted Subsidiaries in the ordinary course of business;</w:t>
      </w:r>
    </w:p>
    <w:p>
      <w:pPr>
        <w:spacing w:after="0" w:line="196" w:lineRule="exact"/>
        <w:rPr>
          <w:rFonts w:ascii="Arial" w:cs="Arial" w:eastAsia="Arial" w:hAnsi="Arial"/>
          <w:sz w:val="16"/>
          <w:szCs w:val="16"/>
          <w:color w:val="auto"/>
        </w:rPr>
      </w:pPr>
    </w:p>
    <w:p>
      <w:pPr>
        <w:ind w:right="20" w:firstLine="648"/>
        <w:spacing w:after="0" w:line="235" w:lineRule="auto"/>
        <w:tabs>
          <w:tab w:leader="none" w:pos="115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Liens solely on any cash earnest money deposits, escrow arrangements or similar arrangements made by the Parent Borrower or any Restricted Subsidiary in connection with any letter of intent or purchase agreement permitted hereunder;</w:t>
      </w:r>
    </w:p>
    <w:p>
      <w:pPr>
        <w:spacing w:after="0" w:line="202" w:lineRule="exact"/>
        <w:rPr>
          <w:rFonts w:ascii="Arial" w:cs="Arial" w:eastAsia="Arial" w:hAnsi="Arial"/>
          <w:sz w:val="18"/>
          <w:szCs w:val="18"/>
          <w:color w:val="auto"/>
        </w:rPr>
      </w:pPr>
    </w:p>
    <w:p>
      <w:pPr>
        <w:ind w:right="20" w:firstLine="648"/>
        <w:spacing w:after="0" w:line="235" w:lineRule="auto"/>
        <w:tabs>
          <w:tab w:leader="none" w:pos="115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Parent Borrower or any Restricted Subsidiary are located;</w:t>
      </w:r>
    </w:p>
    <w:p>
      <w:pPr>
        <w:spacing w:after="0" w:line="202" w:lineRule="exact"/>
        <w:rPr>
          <w:rFonts w:ascii="Arial" w:cs="Arial" w:eastAsia="Arial" w:hAnsi="Arial"/>
          <w:sz w:val="18"/>
          <w:szCs w:val="18"/>
          <w:color w:val="auto"/>
        </w:rPr>
      </w:pPr>
    </w:p>
    <w:p>
      <w:pPr>
        <w:jc w:val="both"/>
        <w:ind w:firstLine="648"/>
        <w:spacing w:after="0" w:line="248" w:lineRule="auto"/>
        <w:tabs>
          <w:tab w:leader="none" w:pos="115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Liens to secure Indebtedness (other than Refinancing Indebtedness) permitted under Section 7.03(e);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Liens are created no later than 270 days after the acquisition, construction, repair, lease or improvement of the property subject to such Liens,</w:t>
      </w:r>
    </w:p>
    <w:p>
      <w:pPr>
        <w:jc w:val="both"/>
        <w:spacing w:after="0" w:line="228" w:lineRule="auto"/>
        <w:tabs>
          <w:tab w:leader="none" w:pos="28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such Liens do not at any time encumber property (except for replacements, additions and accessions to such property) other than the property financed by such Indebtedness and the proceeds and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192" w:lineRule="exact"/>
        <w:rPr>
          <w:rFonts w:ascii="Arial" w:cs="Arial" w:eastAsia="Arial" w:hAnsi="Arial"/>
          <w:sz w:val="17"/>
          <w:szCs w:val="17"/>
          <w:color w:val="auto"/>
        </w:rPr>
      </w:pPr>
    </w:p>
    <w:p>
      <w:pPr>
        <w:ind w:right="20" w:firstLine="648"/>
        <w:spacing w:after="0" w:line="246" w:lineRule="auto"/>
        <w:tabs>
          <w:tab w:leader="none" w:pos="115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Liens on property of any Non-Loan Party, which Liens secure Indebtedness of any Non-Loan Party permitted under Section 7.03 or other obligations of any Non-Loan Party not constituting Indebtedness;</w:t>
      </w:r>
    </w:p>
    <w:p>
      <w:pPr>
        <w:spacing w:after="0" w:line="183" w:lineRule="exact"/>
        <w:rPr>
          <w:rFonts w:ascii="Arial" w:cs="Arial" w:eastAsia="Arial" w:hAnsi="Arial"/>
          <w:sz w:val="18"/>
          <w:szCs w:val="18"/>
          <w:color w:val="auto"/>
        </w:rPr>
      </w:pPr>
    </w:p>
    <w:p>
      <w:pPr>
        <w:jc w:val="both"/>
        <w:ind w:firstLine="647"/>
        <w:spacing w:after="0" w:line="227" w:lineRule="auto"/>
        <w:tabs>
          <w:tab w:leader="none" w:pos="115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Liens existing on property at the time of its acquisition or existing on the property of any Person at the time such Person becomes a Restricted Subsidiary (other than by designation as a Restricted Subsidiary pursuant to Section 6.14) or otherwise assumed pursuant to Section 7.03(g), in each case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 was not entered into in anticipation of such acquisition or such Person becoming a Restricted Subsidiary, (ii) such Lien does not extend to or cover any other assets or property (other than the proceeds or products thereof and other than after-acquired property and customary security deposits in connection therewith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 and (iii) the</w:t>
      </w:r>
    </w:p>
    <w:p>
      <w:pPr>
        <w:sectPr>
          <w:pgSz w:w="11900" w:h="16838" w:orient="portrait"/>
          <w:cols w:equalWidth="0" w:num="1">
            <w:col w:w="10260"/>
          </w:cols>
          <w:pgMar w:left="1120" w:top="1440" w:right="519" w:bottom="1440" w:gutter="0" w:footer="0" w:header="0"/>
        </w:sectPr>
      </w:pPr>
    </w:p>
    <w:bookmarkStart w:id="182" w:name="page183"/>
    <w:bookmarkEnd w:id="182"/>
    <w:p>
      <w:pPr>
        <w:spacing w:after="0" w:line="211" w:lineRule="exact"/>
        <w:rPr>
          <w:sz w:val="20"/>
          <w:szCs w:val="20"/>
          <w:color w:val="auto"/>
        </w:rPr>
      </w:pPr>
    </w:p>
    <w:p>
      <w:pPr>
        <w:ind w:left="1" w:right="20"/>
        <w:spacing w:after="0" w:line="235" w:lineRule="auto"/>
        <w:rPr>
          <w:sz w:val="20"/>
          <w:szCs w:val="20"/>
          <w:color w:val="auto"/>
        </w:rPr>
      </w:pPr>
      <w:r>
        <w:rPr>
          <w:rFonts w:ascii="Arial" w:cs="Arial" w:eastAsia="Arial" w:hAnsi="Arial"/>
          <w:sz w:val="18"/>
          <w:szCs w:val="18"/>
          <w:color w:val="auto"/>
        </w:rPr>
        <w:t>Indebtedness secured thereby is permitted under Section 7.03(e), (g), (m)(ii) or (s) (and any Refinancing Indebtedness in respect of the foregoing);</w:t>
      </w:r>
    </w:p>
    <w:p>
      <w:pPr>
        <w:spacing w:after="0" w:line="202" w:lineRule="exact"/>
        <w:rPr>
          <w:sz w:val="20"/>
          <w:szCs w:val="20"/>
          <w:color w:val="auto"/>
        </w:rPr>
      </w:pPr>
    </w:p>
    <w:p>
      <w:pPr>
        <w:jc w:val="both"/>
        <w:ind w:left="1" w:right="20" w:firstLine="648"/>
        <w:spacing w:after="0" w:line="223" w:lineRule="auto"/>
        <w:tabs>
          <w:tab w:leader="none" w:pos="115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Parent Borrower and the Restricted Subsidiaries, taken as a whole;</w:t>
      </w:r>
    </w:p>
    <w:p>
      <w:pPr>
        <w:spacing w:after="0" w:line="189" w:lineRule="exact"/>
        <w:rPr>
          <w:rFonts w:ascii="Arial" w:cs="Arial" w:eastAsia="Arial" w:hAnsi="Arial"/>
          <w:sz w:val="18"/>
          <w:szCs w:val="18"/>
          <w:color w:val="auto"/>
        </w:rPr>
      </w:pPr>
    </w:p>
    <w:p>
      <w:pPr>
        <w:ind w:left="1161" w:hanging="512"/>
        <w:spacing w:after="0"/>
        <w:tabs>
          <w:tab w:leader="none" w:pos="116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 or similar filings;</w:t>
      </w:r>
    </w:p>
    <w:p>
      <w:pPr>
        <w:spacing w:after="0" w:line="225" w:lineRule="exact"/>
        <w:rPr>
          <w:rFonts w:ascii="Arial" w:cs="Arial" w:eastAsia="Arial" w:hAnsi="Arial"/>
          <w:sz w:val="18"/>
          <w:szCs w:val="18"/>
          <w:color w:val="auto"/>
        </w:rPr>
      </w:pPr>
    </w:p>
    <w:p>
      <w:pPr>
        <w:ind w:left="1161" w:hanging="512"/>
        <w:spacing w:after="0"/>
        <w:tabs>
          <w:tab w:leader="none" w:pos="116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sz w:val="20"/>
          <w:szCs w:val="20"/>
          <w:color w:val="auto"/>
        </w:rPr>
      </w:pPr>
    </w:p>
    <w:p>
      <w:pPr>
        <w:jc w:val="both"/>
        <w:ind w:left="1" w:firstLine="647"/>
        <w:spacing w:after="0" w:line="242" w:lineRule="auto"/>
        <w:tabs>
          <w:tab w:leader="none" w:pos="97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the modification, replacement, renewal or extension of any Lien permitted by clauses (b), (u), (v), (w), (aa), (cc), (dd), (gg), (ii) and (jj) of this Section 7.01;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subject, in the case of Liens permitted by Section 7.01(dd), (gg) and (jj) (and any Liens permitted under this clause (aa) which were originally granted under Section 7.01 (dd), (gg) or (jj) respectively), to the final proviso of this clause (aa), at the time of such modification, replacement, renewal or extension the Lien does not extend to any additional property, other than</w:t>
      </w:r>
    </w:p>
    <w:p>
      <w:pPr>
        <w:spacing w:after="0" w:line="2" w:lineRule="exact"/>
        <w:rPr>
          <w:rFonts w:ascii="Arial" w:cs="Arial" w:eastAsia="Arial" w:hAnsi="Arial"/>
          <w:sz w:val="16"/>
          <w:szCs w:val="16"/>
          <w:color w:val="auto"/>
        </w:rPr>
      </w:pPr>
    </w:p>
    <w:p>
      <w:pPr>
        <w:jc w:val="both"/>
        <w:ind w:left="1" w:hanging="1"/>
        <w:spacing w:after="0" w:line="208" w:lineRule="auto"/>
        <w:tabs>
          <w:tab w:leader="none" w:pos="30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after-acquired property that is affixed or incorporated into the property covered by such Lien and (B) proceeds and products thereof and, in the case of Liens permitted by Section 7.01(w) (and any Liens permitted under this clause (aa) which were originally granted under Section 7.01(w)), after-acquired property of the applicable Restricted Subsidiary to the extent the security agreements in place at the time of the acquisition of such Restricted Subsidiary required the grant of such Lien in after-acquired property and (ii) the renewal, extension or refinancing of the obligations secured or benefited by such Liens is permitted by Section 7.03 (to the extent constituting Indebtedness) ;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 if any Lien (prior to the modification, replacement, renewal or extension thereof) was subject to the ABL Intercreditor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such Lien (subsequent to the modification, replacement, renewal or extension thereof) shall be subject to the ABL Intercreditor Agreement and accorded the same (or lesser) priority as was accorded to such Lien (prior to the modification, replacement, renewal or extension thereof)</w:t>
      </w:r>
    </w:p>
    <w:p>
      <w:pPr>
        <w:spacing w:after="0" w:line="5" w:lineRule="exact"/>
        <w:rPr>
          <w:rFonts w:ascii="Arial" w:cs="Arial" w:eastAsia="Arial" w:hAnsi="Arial"/>
          <w:sz w:val="18"/>
          <w:szCs w:val="18"/>
          <w:color w:val="auto"/>
        </w:rPr>
      </w:pPr>
    </w:p>
    <w:p>
      <w:pPr>
        <w:jc w:val="both"/>
        <w:ind w:left="1"/>
        <w:spacing w:after="0" w:line="223" w:lineRule="auto"/>
        <w:rPr>
          <w:rFonts w:ascii="Arial" w:cs="Arial" w:eastAsia="Arial" w:hAnsi="Arial"/>
          <w:sz w:val="18"/>
          <w:szCs w:val="18"/>
          <w:color w:val="auto"/>
        </w:rPr>
      </w:pPr>
      <w:r>
        <w:rPr>
          <w:rFonts w:ascii="Arial" w:cs="Arial" w:eastAsia="Arial" w:hAnsi="Arial"/>
          <w:sz w:val="17"/>
          <w:szCs w:val="17"/>
          <w:color w:val="auto"/>
        </w:rPr>
        <w:t xml:space="preserve">, (x) if any Lien (prior to the modification, replacement, renewal or extension thereof) was subject to the First Lien Intercreditor Agreement, such Lien (subsequent to the modification, replacement, renewal or extension thereof) shall be subject to the First Lien Intercreditor Agreement or the Second Lien Intercreditor Agreement and accorded the same (or lesser) priority with respect to the Collateral (without regard to control of remedies) as was accorded to such Lien (prior to the modification, replacement, renewal or extension thereof), (y) if any Lien (prior to the modification, replacement, renewal or extension thereof) was subject to the Second Lien Intercreditor Agreement, such Lien (subsequent to the modification, replacement, renewal or extension thereof) shall be subject to the Second Lien Intercreditor Agreement and accorded the same (or lesser) priority with respect to the Collateral (without regard to control of remedies) as was accorded to such Lien (prior to the modification, replacement, renewal or extension thereof) and (z) if any Lien (prior to the modification, replacement, renewal or extension thereof) was subject to a lien subordination and intercreditor agreement (other than an Intercreditor Agreement), such Lien (subsequent to the modification, replacement, renewal or extension thereof) shall be subject to such lien subordination and intercreditor agreement and accorded the same (or lesser) priority with respect to the Collateral (without regard to control of remedies) as was accorded to such Lien (prior to the modification, replacement, renewal or extension thereof) or in each case of subclauses (w), (x), (y) and (z) shall be subject to a substantially similar or more junior lien subordination and intercreditor agreement reasonably satisfactory to the Administrative Borrower and the Administrative Agent so long as such Lien (subsequent to the modification, replacement, renewal or extension thereof) is accorded the same (or lesser) priority with respect to the Collateral (without regard to control of remedies) as was accorded to such Lien (prior to the modification, replacement, renewal or extension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modifications, replacements, renewals or extensions of Liens permitted by Section 7.01(dd), (gg) and (jj) (and any Liens permitted under this clause (aa) which were originally granted under Section 7.01(dd), (gg) or (jj),</w:t>
      </w:r>
    </w:p>
    <w:p>
      <w:pPr>
        <w:sectPr>
          <w:pgSz w:w="11900" w:h="16838" w:orient="portrait"/>
          <w:cols w:equalWidth="0" w:num="1">
            <w:col w:w="10261"/>
          </w:cols>
          <w:pgMar w:left="1119" w:top="1440" w:right="519" w:bottom="1440" w:gutter="0" w:footer="0" w:header="0"/>
        </w:sectPr>
      </w:pPr>
    </w:p>
    <w:bookmarkStart w:id="183" w:name="page184"/>
    <w:bookmarkEnd w:id="183"/>
    <w:p>
      <w:pPr>
        <w:spacing w:after="0" w:line="211"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respectively), in each case may be secured by after-acquired Collateral of the applicable Loan Party to the extent the security agreements in place at the time of the initial grant of Liens under Section 7.01(dd), (gg) or (jj), as applicable, by such Loan Party required the grant of such Lien in after-acquired Collateral;</w:t>
      </w:r>
    </w:p>
    <w:p>
      <w:pPr>
        <w:spacing w:after="0" w:line="203" w:lineRule="exact"/>
        <w:rPr>
          <w:sz w:val="20"/>
          <w:szCs w:val="20"/>
          <w:color w:val="auto"/>
        </w:rPr>
      </w:pPr>
    </w:p>
    <w:p>
      <w:pPr>
        <w:jc w:val="both"/>
        <w:ind w:right="40" w:firstLine="648"/>
        <w:spacing w:after="0" w:line="215" w:lineRule="auto"/>
        <w:tabs>
          <w:tab w:leader="none" w:pos="103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Liens with respect to property or assets of the Parent Borrower or any Restricted Subsidiary securing obligations in an aggregate principal amount outstanding at any time not to exceed the greater of $130,000,000 and 50.0% of Trailing Four Quarter Consolidated EBITDA, in each case determined as of the date of incurrence, which Liens may be subject to the First Lien Intercreditor Agreement, Second Lien Intercreditor Agreement, ABL Intercreditor Agreement or another junior lien subordination and intercreditor agreement reasonably satisfactory to the Administrative Borrower and the Administrative Agent,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on the Term Loan Priority Collateral may be on a pari passu basis with, or junior to, the Liens on the Term Loan Priority Collateral securing the First Lien Obligations, and any such Lien on the ABL Priority Collateral may be on a pari passu basis with, or junior to the Liens on the ABL Priority Collateral securing the ABL Obligations;</w:t>
      </w:r>
    </w:p>
    <w:p>
      <w:pPr>
        <w:spacing w:after="0" w:line="190" w:lineRule="exact"/>
        <w:rPr>
          <w:rFonts w:ascii="Arial" w:cs="Arial" w:eastAsia="Arial" w:hAnsi="Arial"/>
          <w:sz w:val="18"/>
          <w:szCs w:val="18"/>
          <w:color w:val="auto"/>
        </w:rPr>
      </w:pPr>
    </w:p>
    <w:p>
      <w:pPr>
        <w:ind w:left="1100" w:hanging="452"/>
        <w:spacing w:after="0"/>
        <w:tabs>
          <w:tab w:leader="none" w:pos="11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48"/>
        <w:spacing w:after="0" w:line="246" w:lineRule="auto"/>
        <w:tabs>
          <w:tab w:leader="none" w:pos="102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granted in accordance with Section 2.15(h) on the Collateral securing obligations in respect of Permitted Pari Passu Secured Refinancing Debt or Permitted Junior Secured Refinancing Debt incurred in accordance with Section 2.15(h);</w:t>
      </w:r>
    </w:p>
    <w:p>
      <w:pPr>
        <w:spacing w:after="0" w:line="183" w:lineRule="exact"/>
        <w:rPr>
          <w:rFonts w:ascii="Arial" w:cs="Arial" w:eastAsia="Arial" w:hAnsi="Arial"/>
          <w:sz w:val="18"/>
          <w:szCs w:val="18"/>
          <w:color w:val="auto"/>
        </w:rPr>
      </w:pPr>
    </w:p>
    <w:p>
      <w:pPr>
        <w:jc w:val="both"/>
        <w:ind w:right="40" w:firstLine="648"/>
        <w:spacing w:after="0" w:line="229" w:lineRule="auto"/>
        <w:tabs>
          <w:tab w:leader="none" w:pos="9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190" w:lineRule="exact"/>
        <w:rPr>
          <w:rFonts w:ascii="Arial" w:cs="Arial" w:eastAsia="Arial" w:hAnsi="Arial"/>
          <w:sz w:val="18"/>
          <w:szCs w:val="18"/>
          <w:color w:val="auto"/>
        </w:rPr>
      </w:pPr>
    </w:p>
    <w:p>
      <w:pPr>
        <w:ind w:right="40" w:firstLine="648"/>
        <w:spacing w:after="0" w:line="258" w:lineRule="auto"/>
        <w:tabs>
          <w:tab w:leader="none" w:pos="93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deposits of cash with the owner or lessor of premises leased and operated by the Parent Borrower or any Subsidiary to secure the performance of the Parent Borrower’s or such Subsidiary’s obligations under the terms of the lease for such premises;</w:t>
      </w:r>
    </w:p>
    <w:p>
      <w:pPr>
        <w:spacing w:after="0" w:line="187" w:lineRule="exact"/>
        <w:rPr>
          <w:rFonts w:ascii="Arial" w:cs="Arial" w:eastAsia="Arial" w:hAnsi="Arial"/>
          <w:sz w:val="17"/>
          <w:szCs w:val="17"/>
          <w:color w:val="auto"/>
        </w:rPr>
      </w:pPr>
    </w:p>
    <w:p>
      <w:pPr>
        <w:ind w:right="20" w:firstLine="648"/>
        <w:spacing w:after="0" w:line="235" w:lineRule="auto"/>
        <w:tabs>
          <w:tab w:leader="none" w:pos="101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granted in accordance with Section 2.14(g) on the Collateral securing obligations in respect of Indebtedness permitted under Section 7.03(p) (other than Incremental Equivalent Debt that is unsecured);</w:t>
      </w:r>
    </w:p>
    <w:p>
      <w:pPr>
        <w:spacing w:after="0" w:line="202" w:lineRule="exact"/>
        <w:rPr>
          <w:rFonts w:ascii="Arial" w:cs="Arial" w:eastAsia="Arial" w:hAnsi="Arial"/>
          <w:sz w:val="18"/>
          <w:szCs w:val="18"/>
          <w:color w:val="auto"/>
        </w:rPr>
      </w:pPr>
    </w:p>
    <w:p>
      <w:pPr>
        <w:ind w:left="1000" w:hanging="352"/>
        <w:spacing w:after="0"/>
        <w:tabs>
          <w:tab w:leader="none" w:pos="10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on the Securitization Assets arising in connection with a Qualified Securitization Financing;</w:t>
      </w:r>
    </w:p>
    <w:p>
      <w:pPr>
        <w:spacing w:after="0" w:line="225" w:lineRule="exact"/>
        <w:rPr>
          <w:rFonts w:ascii="Arial" w:cs="Arial" w:eastAsia="Arial" w:hAnsi="Arial"/>
          <w:sz w:val="18"/>
          <w:szCs w:val="18"/>
          <w:color w:val="auto"/>
        </w:rPr>
      </w:pPr>
    </w:p>
    <w:p>
      <w:pPr>
        <w:ind w:left="1160" w:hanging="512"/>
        <w:spacing w:after="0"/>
        <w:tabs>
          <w:tab w:leader="none" w:pos="11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Liens encumbering the Equity Interests of an Unrestricted Subsidiary of the Parent Borrower or a Restricted Subsidiary;</w:t>
      </w:r>
    </w:p>
    <w:p>
      <w:pPr>
        <w:spacing w:after="0" w:line="236" w:lineRule="exact"/>
        <w:rPr>
          <w:rFonts w:ascii="Arial" w:cs="Arial" w:eastAsia="Arial" w:hAnsi="Arial"/>
          <w:sz w:val="17"/>
          <w:szCs w:val="17"/>
          <w:color w:val="auto"/>
        </w:rPr>
      </w:pPr>
    </w:p>
    <w:p>
      <w:pPr>
        <w:ind w:left="1040" w:hanging="392"/>
        <w:spacing w:after="0"/>
        <w:tabs>
          <w:tab w:leader="none" w:pos="10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5" w:lineRule="exact"/>
        <w:rPr>
          <w:rFonts w:ascii="Arial" w:cs="Arial" w:eastAsia="Arial" w:hAnsi="Arial"/>
          <w:sz w:val="18"/>
          <w:szCs w:val="18"/>
          <w:color w:val="auto"/>
        </w:rPr>
      </w:pPr>
    </w:p>
    <w:p>
      <w:pPr>
        <w:jc w:val="both"/>
        <w:ind w:left="640" w:firstLine="729"/>
        <w:spacing w:after="0" w:line="228" w:lineRule="auto"/>
        <w:tabs>
          <w:tab w:leader="none" w:pos="1792"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after giving Pro Forma Effect (or, in the case of Indebtedness under Designated Revolving Commitments, on the date such Designated Revolving Commitments are established after giving Pro Forma Effect to the incurrence of the entire committed amount of Indebtedness thereunder, in which case such committed amount under such Designated Revolving Commitments may thereafter be borrowed and reborrowed, in whole or in part, from time to time, without further compliance with this clause (jj)) to the incurrence of such Indebtedness, (x) with respect to any Indebtedness that is secured by any Applicable Lien described in clause (y) of the definition thereof, the First Lien Net Leverage Ratio shall be no greater than 4.50 to 1.00 and (y) with respect to any Indebtedness that is secured by Liens on the Collateral (other than Applicable Liens described in clause (y) of the definition thereof), the Senior Secured Net Leverage Ratio shall be no greater than 5.75 to 1.00,</w:t>
      </w:r>
    </w:p>
    <w:p>
      <w:pPr>
        <w:sectPr>
          <w:pgSz w:w="11900" w:h="16838" w:orient="portrait"/>
          <w:cols w:equalWidth="0" w:num="1">
            <w:col w:w="10280"/>
          </w:cols>
          <w:pgMar w:left="1120" w:top="1440" w:right="499" w:bottom="1440" w:gutter="0" w:footer="0" w:header="0"/>
        </w:sectPr>
      </w:pPr>
    </w:p>
    <w:bookmarkStart w:id="184" w:name="page185"/>
    <w:bookmarkEnd w:id="184"/>
    <w:p>
      <w:pPr>
        <w:spacing w:after="0" w:line="207" w:lineRule="exact"/>
        <w:rPr>
          <w:sz w:val="20"/>
          <w:szCs w:val="20"/>
          <w:color w:val="auto"/>
        </w:rPr>
      </w:pPr>
    </w:p>
    <w:p>
      <w:pPr>
        <w:ind w:left="2449" w:hanging="481"/>
        <w:spacing w:after="0"/>
        <w:tabs>
          <w:tab w:leader="none" w:pos="2449"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obligations in respect thereof shall not be subject to any Guarantee by any Restricted Subsidiary other than a</w:t>
      </w:r>
    </w:p>
    <w:p>
      <w:pPr>
        <w:ind w:left="1289"/>
        <w:spacing w:after="0"/>
        <w:rPr>
          <w:rFonts w:ascii="Arial" w:cs="Arial" w:eastAsia="Arial" w:hAnsi="Arial"/>
          <w:sz w:val="17"/>
          <w:szCs w:val="17"/>
          <w:color w:val="auto"/>
        </w:rPr>
      </w:pPr>
      <w:r>
        <w:rPr>
          <w:rFonts w:ascii="Arial" w:cs="Arial" w:eastAsia="Arial" w:hAnsi="Arial"/>
          <w:sz w:val="18"/>
          <w:szCs w:val="18"/>
          <w:color w:val="auto"/>
        </w:rPr>
        <w:t>Loan Party;</w:t>
      </w:r>
    </w:p>
    <w:p>
      <w:pPr>
        <w:spacing w:after="0" w:line="209" w:lineRule="exact"/>
        <w:rPr>
          <w:rFonts w:ascii="Arial" w:cs="Arial" w:eastAsia="Arial" w:hAnsi="Arial"/>
          <w:sz w:val="17"/>
          <w:szCs w:val="17"/>
          <w:color w:val="auto"/>
        </w:rPr>
      </w:pPr>
    </w:p>
    <w:p>
      <w:pPr>
        <w:ind w:left="1289" w:right="40" w:firstLine="630"/>
        <w:spacing w:after="0" w:line="235" w:lineRule="auto"/>
        <w:tabs>
          <w:tab w:leader="none" w:pos="244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obligations in respect thereof shall not be secured by any Lien on any asset of the Parent Borrower or any Restricted Subsidiary, other than any asset constituting Collateral;</w:t>
      </w:r>
    </w:p>
    <w:p>
      <w:pPr>
        <w:spacing w:after="0" w:line="202" w:lineRule="exact"/>
        <w:rPr>
          <w:rFonts w:ascii="Arial" w:cs="Arial" w:eastAsia="Arial" w:hAnsi="Arial"/>
          <w:sz w:val="18"/>
          <w:szCs w:val="18"/>
          <w:color w:val="auto"/>
        </w:rPr>
      </w:pPr>
    </w:p>
    <w:p>
      <w:pPr>
        <w:jc w:val="both"/>
        <w:ind w:left="1289" w:right="40" w:firstLine="640"/>
        <w:spacing w:after="0" w:line="254" w:lineRule="auto"/>
        <w:tabs>
          <w:tab w:leader="none" w:pos="244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such obligations shall be secured only by Liens on the Collateral and such Liens shall rank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in respect of the Collateral relative to the Liens securing the Obligations (and subject to the ABL Intercreditor Agreement, the Second Lien Intercreditor Agreement and, if applicable, the First Lien Intercreditor Agreement, or other lien subordination and intercreditor arrangement reasonably satisfactory to the Administrative Borrower and the Administrative Agent, as applicable);</w:t>
      </w:r>
    </w:p>
    <w:p>
      <w:pPr>
        <w:spacing w:after="0" w:line="193" w:lineRule="exact"/>
        <w:rPr>
          <w:rFonts w:ascii="Arial" w:cs="Arial" w:eastAsia="Arial" w:hAnsi="Arial"/>
          <w:sz w:val="16"/>
          <w:szCs w:val="16"/>
          <w:color w:val="auto"/>
        </w:rPr>
      </w:pPr>
    </w:p>
    <w:p>
      <w:pPr>
        <w:jc w:val="both"/>
        <w:ind w:left="1289" w:firstLine="690"/>
        <w:spacing w:after="0" w:line="228" w:lineRule="auto"/>
        <w:tabs>
          <w:tab w:leader="none" w:pos="244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to the extent incurred by the Loan Parties, as of the date of the incurrence of such Liens, the obligations in respect thereof (x) shall not have a final scheduled maturity date earlier than the Maturity Date of the Term B Loans and (y) shall have a Weighted Average Life to Maturity not shorter than the remaining Weighted Average Life to Maturity of the Term B Loans (prior to giving effect to any extension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obligations (I) consisting of a customary bridge facility so long as the long-term Indebtedness into which such customary bridge facility is to be converted satisfies this criteria or (II) incurred in an aggregate amount not to exceed the then available Inside Maturity Basket may, in each case, have a final scheduled maturity date earlier than the Maturity Date of the Term B Loans and a Weighted Average Life to Maturity shorter than the remaining Weighted Average Life to Maturity of the Term B Loans; and</w:t>
      </w:r>
    </w:p>
    <w:p>
      <w:pPr>
        <w:spacing w:after="0" w:line="201" w:lineRule="exact"/>
        <w:rPr>
          <w:rFonts w:ascii="Arial" w:cs="Arial" w:eastAsia="Arial" w:hAnsi="Arial"/>
          <w:sz w:val="17"/>
          <w:szCs w:val="17"/>
          <w:color w:val="auto"/>
        </w:rPr>
      </w:pPr>
    </w:p>
    <w:p>
      <w:pPr>
        <w:jc w:val="both"/>
        <w:ind w:left="1289" w:right="40" w:firstLine="640"/>
        <w:spacing w:after="0" w:line="235" w:lineRule="auto"/>
        <w:tabs>
          <w:tab w:leader="none" w:pos="244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no Event of Default shall have occurred and be continuing or would exist immediately after giving effect to such incurrence;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Indebtedness which is used to finance any Permitted Acquisition or Investment, including any Limited Condition Transaction, such condition shall be limited to no Event of Default pursuant to Section 8.01(a) or</w:t>
      </w:r>
    </w:p>
    <w:p>
      <w:pPr>
        <w:spacing w:after="0" w:line="2" w:lineRule="exact"/>
        <w:rPr>
          <w:rFonts w:ascii="Arial" w:cs="Arial" w:eastAsia="Arial" w:hAnsi="Arial"/>
          <w:sz w:val="16"/>
          <w:szCs w:val="16"/>
          <w:color w:val="auto"/>
        </w:rPr>
      </w:pPr>
    </w:p>
    <w:p>
      <w:pPr>
        <w:ind w:left="1529" w:hanging="232"/>
        <w:spacing w:after="0"/>
        <w:tabs>
          <w:tab w:leader="none" w:pos="152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(with respect to the Parent Borrower only);</w:t>
      </w:r>
    </w:p>
    <w:p>
      <w:pPr>
        <w:spacing w:after="0" w:line="209"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Indebtedness in the form of syndicated term loans (other than a bridge loan incurred outside of this Agreement, the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of which provides for an automatic extension of the maturity date thereof so long as the long-term Indebtedness into which any such bridge loan is to be converted satisfies the criteria above), that (I) is incurred prior to the one-year anniversary of the Closing Date, (II)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w:t>
      </w:r>
    </w:p>
    <w:p>
      <w:pPr>
        <w:spacing w:after="0" w:line="2" w:lineRule="exact"/>
        <w:rPr>
          <w:sz w:val="20"/>
          <w:szCs w:val="20"/>
          <w:color w:val="auto"/>
        </w:rPr>
      </w:pPr>
    </w:p>
    <w:p>
      <w:pPr>
        <w:jc w:val="both"/>
        <w:ind w:left="9"/>
        <w:spacing w:after="0" w:line="228" w:lineRule="auto"/>
        <w:rPr>
          <w:sz w:val="20"/>
          <w:szCs w:val="20"/>
          <w:color w:val="auto"/>
        </w:rPr>
      </w:pPr>
      <w:r>
        <w:rPr>
          <w:rFonts w:ascii="Arial" w:cs="Arial" w:eastAsia="Arial" w:hAnsi="Arial"/>
          <w:sz w:val="16"/>
          <w:szCs w:val="16"/>
          <w:color w:val="auto"/>
        </w:rPr>
        <w:t xml:space="preserve">payment with, and secured by a Lien on the Collateral that ranks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any Lien on the Collateral securing, the Obligations, (III) is obtained pursuant to Sections 2.14(d)(iv)(B) or 2.14(d)(iv)(C), (IV) has a Maturity Date within one year of the Maturity Date of the Term B Loans and</w:t>
      </w:r>
    </w:p>
    <w:p>
      <w:pPr>
        <w:spacing w:after="0" w:line="1" w:lineRule="exact"/>
        <w:rPr>
          <w:sz w:val="20"/>
          <w:szCs w:val="20"/>
          <w:color w:val="auto"/>
        </w:rPr>
      </w:pPr>
    </w:p>
    <w:p>
      <w:pPr>
        <w:jc w:val="both"/>
        <w:ind w:left="9" w:hanging="9"/>
        <w:spacing w:after="0" w:line="225" w:lineRule="auto"/>
        <w:tabs>
          <w:tab w:leader="none" w:pos="31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is not incurred in connection with any Permitted Acquisition or permitted Investment may be secured pursuant to this Section 7.01(jj) unless the All-In Yield applicable to such secured Indebtedness is not greater than the applicable All-In Yield payable pursuant to the terms of this Agreement as amended through the date of such calculation ith respect to Term B Loans plus 50 basis points per annum unless the interest rate (together with, as provided in the proviso below, the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or Base Rate floor) with respect to the Term B Loans is increased so as to cause the then applicable All-In Yield under this Agreement on the Term B Loans to equal the All-In Yield then applicable to such secured Indebtedness minus 50 basis points;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increase in All-In Yield to any Term B Loan due to the application or imposition of a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or Base Rate floor on any Incremental Term Loan shall be effected, at the Parent Borrower’s option, (i) solely through an increase in (or implementation of, as applicable) any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or Base Rate floor applicable to such Term B Loan, (ii) through an increase in the Applicable Rate for such Term B Loan or (iii) any combination of (i) and (ii)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Parent Borrower and Administrative Agent shall be permitted to amend this Agreement without the consent of the Lenders to give effect to any increase in the interest rate, </w:t>
      </w:r>
      <w:r>
        <w:rPr>
          <w:rFonts w:ascii="Arial" w:cs="Arial" w:eastAsia="Arial" w:hAnsi="Arial"/>
          <w:sz w:val="17"/>
          <w:szCs w:val="17"/>
          <w:color w:val="FF0000"/>
          <w:strike w:val="1"/>
        </w:rPr>
        <w:t>Eurocurrency</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or Base Rate floor pursuant to the immediately preceding proviso;</w:t>
      </w:r>
    </w:p>
    <w:p>
      <w:pPr>
        <w:sectPr>
          <w:pgSz w:w="11900" w:h="16838" w:orient="portrait"/>
          <w:cols w:equalWidth="0" w:num="1">
            <w:col w:w="10929"/>
          </w:cols>
          <w:pgMar w:left="471" w:top="1440" w:right="499" w:bottom="1440" w:gutter="0" w:footer="0" w:header="0"/>
        </w:sectPr>
      </w:pPr>
    </w:p>
    <w:bookmarkStart w:id="185" w:name="page186"/>
    <w:bookmarkEnd w:id="185"/>
    <w:p>
      <w:pPr>
        <w:spacing w:after="0" w:line="211" w:lineRule="exact"/>
        <w:rPr>
          <w:sz w:val="20"/>
          <w:szCs w:val="20"/>
          <w:color w:val="auto"/>
        </w:rPr>
      </w:pPr>
    </w:p>
    <w:p>
      <w:pPr>
        <w:ind w:left="640" w:right="20" w:firstLine="648"/>
        <w:spacing w:after="0" w:line="289" w:lineRule="auto"/>
        <w:tabs>
          <w:tab w:leader="none" w:pos="163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 the case of any non-wholly-owned Restricted Subsidiary or any joint venture, any put and call arrangements or restrictions on disposition related to its Equity Interests set forth in its organizational documents or any related joint venture or similar agreement;</w:t>
      </w:r>
    </w:p>
    <w:p>
      <w:pPr>
        <w:spacing w:after="0" w:line="150" w:lineRule="exact"/>
        <w:rPr>
          <w:rFonts w:ascii="Arial" w:cs="Arial" w:eastAsia="Arial" w:hAnsi="Arial"/>
          <w:sz w:val="16"/>
          <w:szCs w:val="16"/>
          <w:color w:val="auto"/>
        </w:rPr>
      </w:pPr>
    </w:p>
    <w:p>
      <w:pPr>
        <w:jc w:val="both"/>
        <w:ind w:left="640" w:right="20" w:firstLine="648"/>
        <w:spacing w:after="0" w:line="223" w:lineRule="auto"/>
        <w:tabs>
          <w:tab w:leader="none" w:pos="15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by Section 7.03(k); </w:t>
      </w:r>
      <w:r>
        <w:rPr>
          <w:rFonts w:ascii="Arial" w:cs="Arial" w:eastAsia="Arial" w:hAnsi="Arial"/>
          <w:sz w:val="18"/>
          <w:szCs w:val="18"/>
          <w:i w:val="1"/>
          <w:iCs w:val="1"/>
          <w:color w:val="auto"/>
        </w:rPr>
        <w:t>provided</w:t>
      </w:r>
      <w:r>
        <w:rPr>
          <w:rFonts w:ascii="Arial" w:cs="Arial" w:eastAsia="Arial" w:hAnsi="Arial"/>
          <w:sz w:val="18"/>
          <w:szCs w:val="18"/>
          <w:color w:val="auto"/>
        </w:rPr>
        <w:t>, that (i) any such Lien on the Term Loan Priority Collateral shall be junior to the Liens on the Term Loan Priority Collateral securing the Obligations and any such Lien on the ABL Priority Collateral shall be senior to the Liens on the ABL Priority Collateral securing the Obligations and (ii) such Liens are subject to the ABL Intercreditor Agreement or other applicable Intercreditor Agreement;</w:t>
      </w:r>
    </w:p>
    <w:p>
      <w:pPr>
        <w:spacing w:after="0" w:line="202" w:lineRule="exact"/>
        <w:rPr>
          <w:rFonts w:ascii="Arial" w:cs="Arial" w:eastAsia="Arial" w:hAnsi="Arial"/>
          <w:sz w:val="18"/>
          <w:szCs w:val="18"/>
          <w:color w:val="auto"/>
        </w:rPr>
      </w:pPr>
    </w:p>
    <w:p>
      <w:pPr>
        <w:ind w:left="1740" w:hanging="452"/>
        <w:spacing w:after="0"/>
        <w:tabs>
          <w:tab w:leader="none" w:pos="17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subject to compliance with Section 6.18, Liens existing on the Closing Date and set forth on Schedule 6.18;</w:t>
      </w:r>
    </w:p>
    <w:p>
      <w:pPr>
        <w:spacing w:after="0" w:line="225" w:lineRule="exact"/>
        <w:rPr>
          <w:rFonts w:ascii="Arial" w:cs="Arial" w:eastAsia="Arial" w:hAnsi="Arial"/>
          <w:sz w:val="18"/>
          <w:szCs w:val="18"/>
          <w:color w:val="auto"/>
        </w:rPr>
      </w:pPr>
    </w:p>
    <w:p>
      <w:pPr>
        <w:ind w:left="640" w:right="20" w:firstLine="648"/>
        <w:spacing w:after="0" w:line="235" w:lineRule="auto"/>
        <w:tabs>
          <w:tab w:leader="none" w:pos="164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other Liens or imperfections on property existing on the Closing Date which are not material in amount or do not materially detract from the value of or materially impair the existing use of the property affected by such Lien or imperfection; and</w:t>
      </w:r>
    </w:p>
    <w:p>
      <w:pPr>
        <w:spacing w:after="0" w:line="188" w:lineRule="exact"/>
        <w:rPr>
          <w:rFonts w:ascii="Arial" w:cs="Arial" w:eastAsia="Arial" w:hAnsi="Arial"/>
          <w:sz w:val="18"/>
          <w:szCs w:val="18"/>
          <w:color w:val="auto"/>
        </w:rPr>
      </w:pPr>
    </w:p>
    <w:p>
      <w:pPr>
        <w:ind w:left="640" w:right="20" w:firstLine="648"/>
        <w:spacing w:after="0" w:line="246" w:lineRule="auto"/>
        <w:tabs>
          <w:tab w:leader="none" w:pos="16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on property of any Foreign Subsidiary arising mandatorily under the Laws of the jurisdiction of organization of such Foreign Subsidiary.</w:t>
      </w:r>
    </w:p>
    <w:p>
      <w:pPr>
        <w:spacing w:after="0" w:line="197"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The expansion of Liens by virtue of accrual of interest, the accretion of accreted value, the payment of interest or dividends in the form of additional Indebtedness, amortization of OID and increases in the amount of Indebtedness outstanding solely as a result of fluctuations in the exchange rate of currencies will not be deemed to be an incurrence of Liens for purposes of this Section 7.01.</w:t>
      </w:r>
    </w:p>
    <w:p>
      <w:pPr>
        <w:spacing w:after="0" w:line="203"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For purposes of determining compliance with this Section 7.01, (A) a Lien need not be incurred solely by reference to one categories of permitted Liens described in Section 7.01(a) through (oo) above, but is permitted to be incurred in part under any combination thereof and of any other available exemption and (B) in the event that a Lien (or any portion thereof) meets the criteria of one or more of the categories of permitted Liens</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described in Section 7.01(a) through (oo) above, the Parent Borrower will, in its sole discretion, be entitled to divide, classify or reclassify, in whole or in part, any such Lien (or any portion thereof) among one or more of such categories or clauses in any manner at any time.</w:t>
      </w:r>
    </w:p>
    <w:p>
      <w:pPr>
        <w:spacing w:after="0" w:line="18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7.02</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7.03</w:t>
      </w:r>
      <w:r>
        <w:rPr>
          <w:sz w:val="20"/>
          <w:szCs w:val="20"/>
          <w:color w:val="auto"/>
        </w:rPr>
        <w:tab/>
      </w:r>
      <w:r>
        <w:rPr>
          <w:rFonts w:ascii="Arial" w:cs="Arial" w:eastAsia="Arial" w:hAnsi="Arial"/>
          <w:sz w:val="16"/>
          <w:szCs w:val="16"/>
          <w:color w:val="auto"/>
        </w:rPr>
        <w:t>Indebtedness, Disqualified Equity Interests and Preferred Stock.</w:t>
      </w:r>
    </w:p>
    <w:p>
      <w:pPr>
        <w:spacing w:after="0" w:line="22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Create, incur, assume or suffer to exist any Indebtedness or issue any Disqualified Equity Interest, or issue any Preferred Stock of a Restricted Subsidiary, except:</w:t>
      </w:r>
    </w:p>
    <w:p>
      <w:pPr>
        <w:spacing w:after="0" w:line="197" w:lineRule="exact"/>
        <w:rPr>
          <w:sz w:val="20"/>
          <w:szCs w:val="20"/>
          <w:color w:val="auto"/>
        </w:rPr>
      </w:pPr>
    </w:p>
    <w:p>
      <w:pPr>
        <w:ind w:left="1940" w:hanging="652"/>
        <w:spacing w:after="0"/>
        <w:tabs>
          <w:tab w:leader="none" w:pos="1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left="640" w:right="20" w:firstLine="648"/>
        <w:spacing w:after="0" w:line="235" w:lineRule="auto"/>
        <w:tabs>
          <w:tab w:leader="none" w:pos="179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in Schedule 7.03(b);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Indebtedness of any Loan Party owed to any Non-Loan Party shall be subject to the Intercompany Note;</w:t>
      </w:r>
    </w:p>
    <w:p>
      <w:pPr>
        <w:spacing w:after="0" w:line="202" w:lineRule="exact"/>
        <w:rPr>
          <w:rFonts w:ascii="Arial" w:cs="Arial" w:eastAsia="Arial" w:hAnsi="Arial"/>
          <w:sz w:val="18"/>
          <w:szCs w:val="18"/>
          <w:color w:val="auto"/>
        </w:rPr>
      </w:pPr>
    </w:p>
    <w:p>
      <w:pPr>
        <w:jc w:val="both"/>
        <w:ind w:left="640" w:firstLine="648"/>
        <w:spacing w:after="0" w:line="248" w:lineRule="auto"/>
        <w:tabs>
          <w:tab w:leader="none" w:pos="179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Guarantees by the Parent Borrower and any Restricted Subsidiary in respect of Indebtedness of the Parent Borrower or any Restricted Subsidiary otherwise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Guarantee by any Restricted Subsidiary of any Indebtedness constituting ABL Obligations, Second Lien Obligations, a Specified Junior Financing Obligation, Incremental Equivalent Debt or Refinancing Equivalent Debt shall be permitted unless such guaranteeing party shall have also provided a Guarantee of the Obligations on substantially the terms set forth herein, (B) if the Indebtedness being guaranteed is subordinated to the Obligations, such Guarantee shall be subordinated to the Guarantee of the Obligations on terms at least as favorable (as reasonably determined by the Administrative Borrower) to the</w:t>
      </w:r>
    </w:p>
    <w:p>
      <w:pPr>
        <w:sectPr>
          <w:pgSz w:w="11900" w:h="16838" w:orient="portrait"/>
          <w:cols w:equalWidth="0" w:num="1">
            <w:col w:w="10900"/>
          </w:cols>
          <w:pgMar w:left="480" w:top="1440" w:right="519" w:bottom="1440" w:gutter="0" w:footer="0" w:header="0"/>
        </w:sectPr>
      </w:pPr>
    </w:p>
    <w:bookmarkStart w:id="186" w:name="page187"/>
    <w:bookmarkEnd w:id="186"/>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Lenders as those contained in the subordination of such Indebtedness, (C) any Guarantee by a Loan Party of Indebtedness of a Non-Loan Party shall either constitute a Permitted Investment or a Restricted Investment permitted by Section 7.06 and (D) any Guarantee by a Non-Loan Party of any Permitted Ratio Debt or Indebtedness under Sections 7.03(g) (or any Refinancing Indebtedness in respect of any of the</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foregoing) shall only be permitted if such Guarantee meets the requirements of the first proviso in the definition of “Permitted Ratio Debt” or the proviso in Section 7.03(g), as the case may be;</w:t>
      </w:r>
    </w:p>
    <w:p>
      <w:pPr>
        <w:spacing w:after="0" w:line="188" w:lineRule="exact"/>
        <w:rPr>
          <w:sz w:val="20"/>
          <w:szCs w:val="20"/>
          <w:color w:val="auto"/>
        </w:rPr>
      </w:pPr>
    </w:p>
    <w:p>
      <w:pPr>
        <w:jc w:val="both"/>
        <w:ind w:right="40" w:firstLine="648"/>
        <w:spacing w:after="0" w:line="254" w:lineRule="auto"/>
        <w:tabs>
          <w:tab w:leader="none" w:pos="115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Indebtedness of the Parent Borrower or any Restricted Subsidiary owing to any Loan Party or any other Restricted Subsidiary (or issued or transferred to any direct or indirect parent of a Loan Party which is substantially contemporaneously transferred to a Loan Party or any Restricted Subsidiary of a Loan Party) to the extent constituting a Permitted Investment or a Restricted Investment permitted by Section 7.06,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Indebtedness of any Loan Party owed to any Non-Loan Party shall be subject to the Intercompany Note;</w:t>
      </w:r>
    </w:p>
    <w:p>
      <w:pPr>
        <w:spacing w:after="0" w:line="193" w:lineRule="exact"/>
        <w:rPr>
          <w:rFonts w:ascii="Arial" w:cs="Arial" w:eastAsia="Arial" w:hAnsi="Arial"/>
          <w:sz w:val="16"/>
          <w:szCs w:val="16"/>
          <w:color w:val="auto"/>
        </w:rPr>
      </w:pPr>
    </w:p>
    <w:p>
      <w:pPr>
        <w:ind w:firstLine="648"/>
        <w:spacing w:after="0" w:line="238" w:lineRule="auto"/>
        <w:tabs>
          <w:tab w:leader="none" w:pos="115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(i) Indebtedness (including Capitalized Leases) and Disqualified Equity Interests incurred or issued by the Parent Borrower or any Restricted Subsidiary and Preferred Stock incurred or issued by any Restricted Subsidiary, to finance the purchase, lease, replacement or improvement of property (real or personal), equipment or fixed or capital assets, in an aggregate principal amount, together with all other Indebtedness, Preferred Stock and/or Disqualified Equity Interests incurred or issued and outstanding under this clause (e)(i) at such time, not to exceed the greater of (x) $50,00,000 and (y) 20.0% of Trailing Four Quarter Consolidated EBITDA, in each case, determined at the time of incurrence (and any Refinancing Indebtedness thereof); </w:t>
      </w:r>
      <w:r>
        <w:rPr>
          <w:rFonts w:ascii="Arial" w:cs="Arial" w:eastAsia="Arial" w:hAnsi="Arial"/>
          <w:sz w:val="16"/>
          <w:szCs w:val="16"/>
          <w:i w:val="1"/>
          <w:iCs w:val="1"/>
          <w:color w:val="auto"/>
        </w:rPr>
        <w:t>plus</w:t>
      </w:r>
      <w:r>
        <w:rPr>
          <w:rFonts w:ascii="Arial" w:cs="Arial" w:eastAsia="Arial" w:hAnsi="Arial"/>
          <w:sz w:val="16"/>
          <w:szCs w:val="16"/>
          <w:color w:val="auto"/>
        </w:rPr>
        <w:t>, in the event of any extension, replacement, refinancing, renewal or defeasance of such Indebtedness with Refinancing Indebtedness pursuant to this clause (e)(i), Disqualified Equity Interests or Preferred Stock, the amount of Refinancing Indebtedness incurred pursuant to this clause (e)(i) to finance (I) any tender premium or penalty or premium required to be paid under the terms of the instrument or documents governing such Indebtedness, Disqualified Equity Interests or Preferred Stock and any defeasance costs and (II) any fees and expenses (including OID, upfront fees or similar fees) incurred in connection with the issuance of such new Indebtedness, Disqualified Equity Interests or Preferred Stock or the extension, replacement, refinancing, renewal or defeasance of such Indebtedness, Disqualified Equity Interests or Preferred Stock; so long as (other than in the case of any such Refinancing Indebtedness) such Indebtedness, Disqualified Equity Interests or Preferred Stock is incurred or issued no later than 270 days after such purchase, lease, replacement or improvement and (ii) Attributable Indebtedness arising out of sale-leaseback transactions permitted by Section 7.05(f) and any Refinancing Indebtedness of such Attributable Indebtedness;</w:t>
      </w:r>
    </w:p>
    <w:p>
      <w:pPr>
        <w:spacing w:after="0" w:line="206" w:lineRule="exact"/>
        <w:rPr>
          <w:rFonts w:ascii="Arial" w:cs="Arial" w:eastAsia="Arial" w:hAnsi="Arial"/>
          <w:sz w:val="16"/>
          <w:szCs w:val="16"/>
          <w:color w:val="auto"/>
        </w:rPr>
      </w:pPr>
    </w:p>
    <w:p>
      <w:pPr>
        <w:jc w:val="both"/>
        <w:ind w:right="20" w:firstLine="648"/>
        <w:spacing w:after="0" w:line="229" w:lineRule="auto"/>
        <w:tabs>
          <w:tab w:leader="none" w:pos="11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Indebtedness in respect of Swap Contracts designed to hedge against the Parent Borrower’s or any Restricted Subsidiary’s exposure to interest rates, foreign exchange rates or commodities pricing risks incurred in the ordinary course of business and not for speculative purposes and Guarantees thereof;</w:t>
      </w:r>
    </w:p>
    <w:p>
      <w:pPr>
        <w:spacing w:after="0" w:line="190" w:lineRule="exact"/>
        <w:rPr>
          <w:rFonts w:ascii="Arial" w:cs="Arial" w:eastAsia="Arial" w:hAnsi="Arial"/>
          <w:sz w:val="18"/>
          <w:szCs w:val="18"/>
          <w:color w:val="auto"/>
        </w:rPr>
      </w:pPr>
    </w:p>
    <w:p>
      <w:pPr>
        <w:jc w:val="both"/>
        <w:ind w:right="40" w:firstLine="648"/>
        <w:spacing w:after="0" w:line="248" w:lineRule="auto"/>
        <w:tabs>
          <w:tab w:leader="none" w:pos="115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Indebtedness or Disqualified Equity Interests of the Parent Borrower or Indebtedness, Disqualified Equity Interests or Preferred Stock of any Restricted Subsidiary (including any Person that becomes a Restricted Subsidiary in connection with a Permitted Acquisition or other permitted Investment) incurred, issued or assumed in connection with any Permitted Acquisition or other permitted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Pro Forma Effect to such Permitted Acquisition and the Indebtedness, Disqualified Equity Interests or Preferred Stock incurred, issued, guaranteed or assumed pursuant to this Section 7.03(g), any of (at the Administrative Borrower’s election):</w:t>
      </w:r>
    </w:p>
    <w:p>
      <w:pPr>
        <w:spacing w:after="0" w:line="196" w:lineRule="exact"/>
        <w:rPr>
          <w:rFonts w:ascii="Arial" w:cs="Arial" w:eastAsia="Arial" w:hAnsi="Arial"/>
          <w:sz w:val="16"/>
          <w:szCs w:val="16"/>
          <w:color w:val="auto"/>
        </w:rPr>
      </w:pPr>
    </w:p>
    <w:p>
      <w:pPr>
        <w:ind w:left="400" w:right="40" w:firstLine="654"/>
        <w:spacing w:after="0" w:line="235" w:lineRule="auto"/>
        <w:tabs>
          <w:tab w:leader="none" w:pos="1794" w:val="left"/>
        </w:tabs>
        <w:numPr>
          <w:ilvl w:val="1"/>
          <w:numId w:val="227"/>
        </w:numPr>
        <w:rPr>
          <w:rFonts w:ascii="Arial" w:cs="Arial" w:eastAsia="Arial" w:hAnsi="Arial"/>
          <w:sz w:val="18"/>
          <w:szCs w:val="18"/>
          <w:color w:val="010000"/>
        </w:rPr>
      </w:pPr>
      <w:r>
        <w:rPr>
          <w:rFonts w:ascii="Arial" w:cs="Arial" w:eastAsia="Arial" w:hAnsi="Arial"/>
          <w:sz w:val="18"/>
          <w:szCs w:val="18"/>
          <w:color w:val="auto"/>
        </w:rPr>
        <w:t>the Fixed Charge Coverage Ratio of the Parent Borrower is equal to or greater than the Fixed Charge Coverage Ratio immediately prior to such Permitted Acquisition; or</w:t>
      </w:r>
    </w:p>
    <w:p>
      <w:pPr>
        <w:spacing w:after="0" w:line="202" w:lineRule="exact"/>
        <w:rPr>
          <w:rFonts w:ascii="Arial" w:cs="Arial" w:eastAsia="Arial" w:hAnsi="Arial"/>
          <w:sz w:val="18"/>
          <w:szCs w:val="18"/>
          <w:color w:val="010000"/>
        </w:rPr>
      </w:pPr>
    </w:p>
    <w:p>
      <w:pPr>
        <w:ind w:left="400" w:right="100" w:firstLine="654"/>
        <w:spacing w:after="0" w:line="235" w:lineRule="auto"/>
        <w:tabs>
          <w:tab w:leader="none" w:pos="1794" w:val="left"/>
        </w:tabs>
        <w:numPr>
          <w:ilvl w:val="1"/>
          <w:numId w:val="227"/>
        </w:numPr>
        <w:rPr>
          <w:rFonts w:ascii="Arial" w:cs="Arial" w:eastAsia="Arial" w:hAnsi="Arial"/>
          <w:sz w:val="18"/>
          <w:szCs w:val="18"/>
          <w:color w:val="010000"/>
        </w:rPr>
      </w:pPr>
      <w:r>
        <w:rPr>
          <w:rFonts w:ascii="Arial" w:cs="Arial" w:eastAsia="Arial" w:hAnsi="Arial"/>
          <w:sz w:val="18"/>
          <w:szCs w:val="18"/>
          <w:color w:val="auto"/>
        </w:rPr>
        <w:t>the Parent Borrower would be permitted to incur at least $1.00 of Permitted Ratio Debt pursuant to clause (iii) of the definition of “Permitted Ratio Debt”;</w:t>
      </w:r>
    </w:p>
    <w:p>
      <w:pPr>
        <w:sectPr>
          <w:pgSz w:w="11900" w:h="16838" w:orient="portrait"/>
          <w:cols w:equalWidth="0" w:num="1">
            <w:col w:w="10280"/>
          </w:cols>
          <w:pgMar w:left="1120" w:top="1440" w:right="499" w:bottom="1440" w:gutter="0" w:footer="0" w:header="0"/>
        </w:sectPr>
      </w:pPr>
    </w:p>
    <w:bookmarkStart w:id="187" w:name="page188"/>
    <w:bookmarkEnd w:id="187"/>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principal amount of Indebtedness, Disqualified Equity Interests and Preferred Stock the primary obligations under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outstanding in reliance on this Section 7.03(g) or Section 7.03(w) (to the extent initially incurred, issued or assumed under this Section 7.03(g)) shall not exceed, together with the aggregate principal amount of any Indebtedness, Disqualified Equity Interests and Preferred Stock of Non-Loan</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Parties the primary obligations under which are outstanding in reliance on Section 7.03(s), Section 7.03(w) (to the extent initially incurred, issued or assumed under Section 7.03(s) or Section 7.03(aa)) or Section 7.03(aa), the greater of (x)</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$65,000,000 and (y) 25.0% of Trailing Four Quarter Consolidated EBITDA, in each case determined at the time of assumption, guarantee, incurrence</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or issuance;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Liens securing any Indebtedness, Disqualified Equity Interests or Preferred Stock incurred, guaranteed, issued or assumed pursuant to this Section 7.03(g) shall be permitted to be incurred pursuant to Sections 7.01(v), 7.01(w), 7.01(bb) or 7.01(jj);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Indebtedness incurred (and not, for the avoidance of doubt, assumed) by any Loan Party pursuant to this Section 7.03(g), as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relevant closing date, shall not have a final scheduled maturity date earlier than the Maturity Date of the Term B Loans and shall have a Weighted Average Life to Maturity not shorter than the remaining Weighted Average Life to Maturity of the Term B Loans (in each case other than any such Indebtedness, Disqualified Equity Interests or Preferred Stock (I) consisting of a customary bridge facility so long as the long-term Indebtedness into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any such customary bridge facility is to be converted satisfies such criteria or (II) incurred in reliance upon the then available Inside Maturity Basket);</w:t>
      </w:r>
    </w:p>
    <w:p>
      <w:pPr>
        <w:spacing w:after="0" w:line="202" w:lineRule="exact"/>
        <w:rPr>
          <w:sz w:val="20"/>
          <w:szCs w:val="20"/>
          <w:color w:val="auto"/>
        </w:rPr>
      </w:pPr>
    </w:p>
    <w:p>
      <w:pPr>
        <w:ind w:left="640" w:right="20" w:firstLine="648"/>
        <w:spacing w:after="0" w:line="235" w:lineRule="auto"/>
        <w:tabs>
          <w:tab w:leader="none" w:pos="17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Indebtedness representing deferred compensation or similar arrangements to employees and independent contractors of the Parent Borrower or any Restricted Subsidiary, in each case, incurred in the ordinary course of business;</w:t>
      </w:r>
    </w:p>
    <w:p>
      <w:pPr>
        <w:spacing w:after="0" w:line="202" w:lineRule="exact"/>
        <w:rPr>
          <w:rFonts w:ascii="Arial" w:cs="Arial" w:eastAsia="Arial" w:hAnsi="Arial"/>
          <w:sz w:val="18"/>
          <w:szCs w:val="18"/>
          <w:color w:val="auto"/>
        </w:rPr>
      </w:pPr>
    </w:p>
    <w:p>
      <w:pPr>
        <w:jc w:val="both"/>
        <w:ind w:left="640" w:right="20" w:firstLine="648"/>
        <w:spacing w:after="0" w:line="219" w:lineRule="auto"/>
        <w:tabs>
          <w:tab w:leader="none" w:pos="17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Indebtedness consisting of promissory notes issued or incurred by the Parent Borrower or any Restricted Subsidiary to future, present or former employees, directors, officers, members of management, independent contractors, advisors, service providers and consultants of the Parent Borrower or any Restricted Subsidiary, or, in each case, to their respective Controlled Investment Affiliates or Immediate Family Members, in each case to finance the purchase or redemption of Equity Interests or other equity-based awards of the Parent Borrower permitted by Section 7.06(b)(iv);</w:t>
      </w:r>
    </w:p>
    <w:p>
      <w:pPr>
        <w:spacing w:after="0" w:line="203" w:lineRule="exact"/>
        <w:rPr>
          <w:rFonts w:ascii="Arial" w:cs="Arial" w:eastAsia="Arial" w:hAnsi="Arial"/>
          <w:sz w:val="18"/>
          <w:szCs w:val="18"/>
          <w:color w:val="auto"/>
        </w:rPr>
      </w:pPr>
    </w:p>
    <w:p>
      <w:pPr>
        <w:jc w:val="both"/>
        <w:ind w:left="640" w:right="20" w:firstLine="648"/>
        <w:spacing w:after="0" w:line="219" w:lineRule="auto"/>
        <w:tabs>
          <w:tab w:leader="none" w:pos="17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Indebtedness (i) incurred by the Parent Borrower or any Restricted Subsidiary in any transaction or arrangement not prohibited hereunder constituting indemnification obligations or obligations in respect of purchase price (including earnouts) or other similar adjustments and obligations in respect of transaction tax benefits and (ii) consisting of obligations of any Borrower or any Restricted Subsidiary under deferred compensation or other similar arrangements incurred by such Person in connection with the Transactions, Permitted Acquisitions or any other Investment permitted hereunder;</w:t>
      </w:r>
    </w:p>
    <w:p>
      <w:pPr>
        <w:spacing w:after="0" w:line="189" w:lineRule="exact"/>
        <w:rPr>
          <w:rFonts w:ascii="Arial" w:cs="Arial" w:eastAsia="Arial" w:hAnsi="Arial"/>
          <w:sz w:val="18"/>
          <w:szCs w:val="18"/>
          <w:color w:val="auto"/>
        </w:rPr>
      </w:pPr>
    </w:p>
    <w:p>
      <w:pPr>
        <w:jc w:val="both"/>
        <w:ind w:left="640" w:right="20" w:firstLine="648"/>
        <w:spacing w:after="0" w:line="223" w:lineRule="auto"/>
        <w:tabs>
          <w:tab w:leader="none" w:pos="17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Indebtedness incurred under the ABL Credit Agreement, including guarantee obligations in respect thereof and so long as (A) any Liens securing such Indebtedness are subject to the ABL Intercreditor Agreement and (B) the aggregate principal amount of such Indebtedness does not exceed the aggregate principal amount permitted to be incurred under the ABL Credit Agreement (as in effect on the Closing Date and whether or not in effect on the relevant date of determination);</w:t>
      </w:r>
    </w:p>
    <w:p>
      <w:pPr>
        <w:spacing w:after="0" w:line="202" w:lineRule="exact"/>
        <w:rPr>
          <w:rFonts w:ascii="Arial" w:cs="Arial" w:eastAsia="Arial" w:hAnsi="Arial"/>
          <w:sz w:val="18"/>
          <w:szCs w:val="18"/>
          <w:color w:val="auto"/>
        </w:rPr>
      </w:pPr>
    </w:p>
    <w:p>
      <w:pPr>
        <w:ind w:left="640" w:right="20" w:firstLine="648"/>
        <w:spacing w:after="0" w:line="235" w:lineRule="auto"/>
        <w:tabs>
          <w:tab w:leader="none" w:pos="17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ABL Banking Services Obligations (as defined in the ABL Intercreditor Agreement), other Indebtedness in respect of Cash Management Services in the ordinary course of business and any Guarantees thereof;</w:t>
      </w:r>
    </w:p>
    <w:p>
      <w:pPr>
        <w:spacing w:after="0" w:line="202" w:lineRule="exact"/>
        <w:rPr>
          <w:rFonts w:ascii="Arial" w:cs="Arial" w:eastAsia="Arial" w:hAnsi="Arial"/>
          <w:sz w:val="18"/>
          <w:szCs w:val="18"/>
          <w:color w:val="auto"/>
        </w:rPr>
      </w:pPr>
    </w:p>
    <w:p>
      <w:pPr>
        <w:jc w:val="both"/>
        <w:ind w:left="640" w:firstLine="648"/>
        <w:spacing w:after="0" w:line="217" w:lineRule="auto"/>
        <w:tabs>
          <w:tab w:leader="none" w:pos="17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unsecured Indebtedness or Disqualified Equity Interests of the Parent Borrower and unsecured Indebtedness, Disqualified Equity Interests or Preferred Stock of any Restricted Subsidiary in an aggregate principal amount up to 100% of the net cash proceeds received by the Parent Borrower since immediately after the Closing Date from the issue or sale of Equity Interests of the Parent Borrower or cash contributed to the capital of the Parent Borrower (in each case, other than proceeds of Disqualified Equity Interests, sales of Equity Interests to the Parent Borrower or any Subsidiary, proceeds which have been designated as Excluded Contributions, or proceeds which have been designated as an ABL Cure Amount) as determined in accordance with Section 7.06(a)(iii)(B) and (a)(iii)(C) to the extent such net cash proceeds</w:t>
      </w:r>
    </w:p>
    <w:p>
      <w:pPr>
        <w:sectPr>
          <w:pgSz w:w="11900" w:h="16838" w:orient="portrait"/>
          <w:cols w:equalWidth="0" w:num="1">
            <w:col w:w="10900"/>
          </w:cols>
          <w:pgMar w:left="480" w:top="1440" w:right="519" w:bottom="1440" w:gutter="0" w:footer="0" w:header="0"/>
        </w:sectPr>
      </w:pPr>
    </w:p>
    <w:bookmarkStart w:id="188" w:name="page189"/>
    <w:bookmarkEnd w:id="188"/>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or cash have not been applied pursuant to such clauses to make Restricted Payments pursuant to Section 7.06(a)(iii) or to make Permitted Investments (other than Permitted Investments specified in clauses (1), (2) or (3) of the definition thereof) and (ii) Indebtedness or Disqualified Equity Interests of the Parent Borrower and Indebtedness, Disqualified Equity Interests or Preferred Stock of any Restricted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Subsidiary in an aggregate principal amount which, when aggregated with the principal amount of all other Indebtedness, Disqualified Equity Interests and Preferred Stock then outstanding and incurred or issued, as applicable, pursuant to this Section 7.03(m)(ii), does not exceed the greater of (x) $130,000,000 and (y) 50.0% of Trailing Four Quarter Consolidated EBITDA (in each case, determined on the date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incurrence) (and any Refinancing Indebtedness thereof); </w:t>
      </w:r>
      <w:r>
        <w:rPr>
          <w:rFonts w:ascii="Arial" w:cs="Arial" w:eastAsia="Arial" w:hAnsi="Arial"/>
          <w:sz w:val="16"/>
          <w:szCs w:val="16"/>
          <w:i w:val="1"/>
          <w:iCs w:val="1"/>
          <w:color w:val="auto"/>
        </w:rPr>
        <w:t>plus</w:t>
      </w:r>
      <w:r>
        <w:rPr>
          <w:rFonts w:ascii="Arial" w:cs="Arial" w:eastAsia="Arial" w:hAnsi="Arial"/>
          <w:sz w:val="16"/>
          <w:szCs w:val="16"/>
          <w:color w:val="auto"/>
        </w:rPr>
        <w:t>, in the event of any extension, replacement, refinancing, renewal or defeasance of such Indebtedness, Disqualified Equity Interests or Preferred Stock with Refinancing Indebtedness pursuant to this clause (m)(ii), the amount of Refinancing Indebtedness incurred pursuant to this clause (m)(ii) to finance (I) any tender premium or penalty or premium required</w:t>
      </w:r>
    </w:p>
    <w:p>
      <w:pPr>
        <w:spacing w:after="0" w:line="231" w:lineRule="auto"/>
        <w:rPr>
          <w:sz w:val="20"/>
          <w:szCs w:val="20"/>
          <w:color w:val="auto"/>
        </w:rPr>
      </w:pPr>
      <w:r>
        <w:rPr>
          <w:rFonts w:ascii="Arial" w:cs="Arial" w:eastAsia="Arial" w:hAnsi="Arial"/>
          <w:sz w:val="16"/>
          <w:szCs w:val="16"/>
          <w:color w:val="auto"/>
        </w:rPr>
        <w:t>to be paid under the terms of the instrument or documents governing such Indebtedness, Disqualified Equity Interests or Preferred Stock and</w:t>
      </w:r>
    </w:p>
    <w:p>
      <w:pPr>
        <w:jc w:val="both"/>
        <w:spacing w:after="0" w:line="223" w:lineRule="auto"/>
        <w:tabs>
          <w:tab w:leader="none" w:pos="29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defeasance costs and any fees and expenses (including OID, upfront fees or similar fees) incurred in connection with the issuance of such new Indebtedness, Disqualified Equity Interests or Preferred Stock or the extension, replacement, refinancing, renewal or defeasance of such Indebtedness, Disqualified Equity Interests or Preferred Stock;</w:t>
      </w:r>
    </w:p>
    <w:p>
      <w:pPr>
        <w:spacing w:after="0" w:line="190" w:lineRule="exact"/>
        <w:rPr>
          <w:rFonts w:ascii="Arial" w:cs="Arial" w:eastAsia="Arial" w:hAnsi="Arial"/>
          <w:sz w:val="18"/>
          <w:szCs w:val="18"/>
          <w:color w:val="auto"/>
        </w:rPr>
      </w:pPr>
    </w:p>
    <w:p>
      <w:pPr>
        <w:ind w:right="40" w:firstLine="648"/>
        <w:spacing w:after="0" w:line="246" w:lineRule="auto"/>
        <w:tabs>
          <w:tab w:leader="none" w:pos="115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or (ii) take-or-pay obligations contained in supply arrangements, in each case, incurred in the ordinary course of business or consistent with industry practice;</w:t>
      </w:r>
    </w:p>
    <w:p>
      <w:pPr>
        <w:spacing w:after="0" w:line="196" w:lineRule="exact"/>
        <w:rPr>
          <w:rFonts w:ascii="Arial" w:cs="Arial" w:eastAsia="Arial" w:hAnsi="Arial"/>
          <w:sz w:val="18"/>
          <w:szCs w:val="18"/>
          <w:color w:val="auto"/>
        </w:rPr>
      </w:pPr>
    </w:p>
    <w:p>
      <w:pPr>
        <w:jc w:val="both"/>
        <w:ind w:right="40" w:firstLine="648"/>
        <w:spacing w:after="0" w:line="223" w:lineRule="auto"/>
        <w:tabs>
          <w:tab w:leader="none" w:pos="115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obligations in respect of self-insurance and obligations in respect of performance, bid, appeal and surety bonds and performance and completion guarantees and similar obligations provided by the Parent Borrower or any Restricted Subsidiary or obligations in respect of letters of credit, bank guarantees or similar instruments related thereto, in each case in the ordinary course of business or consistent with industry practice;</w:t>
      </w:r>
    </w:p>
    <w:p>
      <w:pPr>
        <w:spacing w:after="0" w:line="254" w:lineRule="exact"/>
        <w:rPr>
          <w:rFonts w:ascii="Arial" w:cs="Arial" w:eastAsia="Arial" w:hAnsi="Arial"/>
          <w:sz w:val="18"/>
          <w:szCs w:val="18"/>
          <w:color w:val="auto"/>
        </w:rPr>
      </w:pPr>
    </w:p>
    <w:p>
      <w:pPr>
        <w:ind w:left="1300" w:hanging="652"/>
        <w:spacing w:after="0"/>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Incremental Equivalent Debt of the Loan Parties incurred in accordance with Section</w:t>
      </w:r>
    </w:p>
    <w:p>
      <w:pPr>
        <w:spacing w:after="0"/>
        <w:rPr>
          <w:sz w:val="20"/>
          <w:szCs w:val="20"/>
          <w:color w:val="auto"/>
        </w:rPr>
      </w:pPr>
      <w:r>
        <w:rPr>
          <w:rFonts w:ascii="Arial" w:cs="Arial" w:eastAsia="Arial" w:hAnsi="Arial"/>
          <w:sz w:val="18"/>
          <w:szCs w:val="18"/>
          <w:color w:val="auto"/>
        </w:rPr>
        <w:t>2.14(g);</w:t>
      </w:r>
    </w:p>
    <w:p>
      <w:pPr>
        <w:spacing w:after="0" w:line="290" w:lineRule="exact"/>
        <w:rPr>
          <w:sz w:val="20"/>
          <w:szCs w:val="20"/>
          <w:color w:val="auto"/>
        </w:rPr>
      </w:pPr>
    </w:p>
    <w:p>
      <w:pPr>
        <w:jc w:val="both"/>
        <w:ind w:right="20" w:firstLine="647"/>
        <w:spacing w:after="0" w:line="236" w:lineRule="auto"/>
        <w:tabs>
          <w:tab w:leader="none" w:pos="115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to the extent a joint venture constitutes a Restricted Subsidiary, Indebtedness incurred by or Disqualified Equity Interests or Preferred Stock issued by such Restricted Subsidiary which, when aggregated with the principal amount of all other Indebtedness incurred pursuant to this Section 7.03(q) and then outstanding for all such Persons taken together, does not exceed the greater of $40,000,000 and 15.0% of Trailing Four Quarter Consolidated EBITDA determined at the time of incurrence;</w:t>
      </w:r>
    </w:p>
    <w:p>
      <w:pPr>
        <w:spacing w:after="0" w:line="189" w:lineRule="exact"/>
        <w:rPr>
          <w:rFonts w:ascii="Arial" w:cs="Arial" w:eastAsia="Arial" w:hAnsi="Arial"/>
          <w:sz w:val="17"/>
          <w:szCs w:val="17"/>
          <w:color w:val="auto"/>
        </w:rPr>
      </w:pPr>
    </w:p>
    <w:p>
      <w:pPr>
        <w:jc w:val="both"/>
        <w:ind w:right="40" w:firstLine="648"/>
        <w:spacing w:after="0" w:line="254" w:lineRule="auto"/>
        <w:tabs>
          <w:tab w:leader="none" w:pos="115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 Indebtedness supported by a Letter of Credit (as defined in and issued under the ABL Credit Agreement), in a principal amount not in excess of the stated amount of such Letter of Credit (as defined in the ABL Credit Agreement) and (ii) letters of credit in an aggregate face amount at any time outstanding not to exceed $5,000,000 consisting of (A) letters of credit issued in currencies not available under the ABL Credit Agreement or (B) documentary or commercial letters of credit not issued under the ABL Credit Agreement;</w:t>
      </w:r>
    </w:p>
    <w:p>
      <w:pPr>
        <w:spacing w:after="0" w:line="193" w:lineRule="exact"/>
        <w:rPr>
          <w:rFonts w:ascii="Arial" w:cs="Arial" w:eastAsia="Arial" w:hAnsi="Arial"/>
          <w:sz w:val="16"/>
          <w:szCs w:val="16"/>
          <w:color w:val="auto"/>
        </w:rPr>
      </w:pPr>
    </w:p>
    <w:p>
      <w:pPr>
        <w:ind w:left="1300" w:hanging="652"/>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Permitted Ratio Debt;</w:t>
      </w:r>
    </w:p>
    <w:p>
      <w:pPr>
        <w:spacing w:after="0" w:line="277" w:lineRule="exact"/>
        <w:rPr>
          <w:rFonts w:ascii="Arial" w:cs="Arial" w:eastAsia="Arial" w:hAnsi="Arial"/>
          <w:sz w:val="18"/>
          <w:szCs w:val="18"/>
          <w:color w:val="auto"/>
        </w:rPr>
      </w:pPr>
    </w:p>
    <w:p>
      <w:pPr>
        <w:ind w:left="1300" w:hanging="652"/>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Refinancing Equivalent Debt of the Loan Parties incurred in accordance with Section</w:t>
      </w:r>
    </w:p>
    <w:p>
      <w:pPr>
        <w:spacing w:after="0"/>
        <w:rPr>
          <w:sz w:val="20"/>
          <w:szCs w:val="20"/>
          <w:color w:val="auto"/>
        </w:rPr>
      </w:pPr>
      <w:r>
        <w:rPr>
          <w:rFonts w:ascii="Arial" w:cs="Arial" w:eastAsia="Arial" w:hAnsi="Arial"/>
          <w:sz w:val="18"/>
          <w:szCs w:val="18"/>
          <w:color w:val="auto"/>
        </w:rPr>
        <w:t>2.15(h);</w:t>
      </w:r>
    </w:p>
    <w:p>
      <w:pPr>
        <w:spacing w:after="0" w:line="290" w:lineRule="exact"/>
        <w:rPr>
          <w:sz w:val="20"/>
          <w:szCs w:val="20"/>
          <w:color w:val="auto"/>
        </w:rPr>
      </w:pPr>
    </w:p>
    <w:p>
      <w:pPr>
        <w:jc w:val="both"/>
        <w:ind w:right="40" w:firstLine="648"/>
        <w:spacing w:after="0" w:line="224" w:lineRule="auto"/>
        <w:tabs>
          <w:tab w:leader="none" w:pos="11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Indebtedness incurred by or Disqualified Equity Interests or Preferred Stock issued by a Non-Loan Party which, when aggregated with the principal amount of all other Indebtedness incurred or Disqualified Equity Interests or Preferred Stock issued pursuant to this clause (u) and then outstanding,</w:t>
      </w:r>
    </w:p>
    <w:p>
      <w:pPr>
        <w:sectPr>
          <w:pgSz w:w="11900" w:h="16838" w:orient="portrait"/>
          <w:cols w:equalWidth="0" w:num="1">
            <w:col w:w="10280"/>
          </w:cols>
          <w:pgMar w:left="1120" w:top="1440" w:right="499" w:bottom="1440" w:gutter="0" w:footer="0" w:header="0"/>
        </w:sectPr>
      </w:pPr>
    </w:p>
    <w:bookmarkStart w:id="189" w:name="page190"/>
    <w:bookmarkEnd w:id="189"/>
    <w:p>
      <w:pPr>
        <w:spacing w:after="0" w:line="21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does not exceed the greater of $65,000,000 and 25.0% of Trailing Four Quarter Consolidated EBITDA (in each case determined at the date of incurrence or issuance);</w:t>
      </w:r>
    </w:p>
    <w:p>
      <w:pPr>
        <w:spacing w:after="0" w:line="202" w:lineRule="exact"/>
        <w:rPr>
          <w:sz w:val="20"/>
          <w:szCs w:val="20"/>
          <w:color w:val="auto"/>
        </w:rPr>
      </w:pPr>
    </w:p>
    <w:p>
      <w:pPr>
        <w:jc w:val="both"/>
        <w:ind w:firstLine="648"/>
        <w:spacing w:after="0" w:line="223" w:lineRule="auto"/>
        <w:tabs>
          <w:tab w:leader="none" w:pos="115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Indebtedness incurred by a Securitization Subsidiary in a Qualified Securitization Financing that is not recourse (except for Standard Securitization Undertakings and Limited Originator Recourse) to the Parent Borrower or any of the Restricted Subsidiaries;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aggregate principal amount of Indebtedness at any time outstanding in connection therewith shall not exceed</w:t>
      </w:r>
      <w:r>
        <w:rPr>
          <w:rFonts w:ascii="Arial" w:cs="Arial" w:eastAsia="Arial" w:hAnsi="Arial"/>
          <w:sz w:val="18"/>
          <w:szCs w:val="18"/>
          <w:i w:val="1"/>
          <w:iCs w:val="1"/>
          <w:color w:val="auto"/>
        </w:rPr>
        <w:t xml:space="preserve"> </w:t>
      </w:r>
      <w:r>
        <w:rPr>
          <w:rFonts w:ascii="Arial" w:cs="Arial" w:eastAsia="Arial" w:hAnsi="Arial"/>
          <w:sz w:val="18"/>
          <w:szCs w:val="18"/>
          <w:color w:val="auto"/>
        </w:rPr>
        <w:t>$37,500,000;</w:t>
      </w:r>
    </w:p>
    <w:p>
      <w:pPr>
        <w:spacing w:after="0" w:line="202" w:lineRule="exact"/>
        <w:rPr>
          <w:rFonts w:ascii="Arial" w:cs="Arial" w:eastAsia="Arial" w:hAnsi="Arial"/>
          <w:sz w:val="18"/>
          <w:szCs w:val="18"/>
          <w:color w:val="auto"/>
        </w:rPr>
      </w:pPr>
    </w:p>
    <w:p>
      <w:pPr>
        <w:jc w:val="both"/>
        <w:ind w:firstLine="648"/>
        <w:spacing w:after="0" w:line="224" w:lineRule="auto"/>
        <w:tabs>
          <w:tab w:leader="none" w:pos="1152"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incurrence or issuance by the Parent Borrower of Indebtedness or Disqualified Equity Interests or the incurrence or issuance by a Restricted Subsidiary of Indebtedness, Disqualified Equity Interests or Preferred Stock which serves to refund, refinance, extend, replace, renew or defease any Indebtedness (including any Designated Revolving Commitments) incurred or Disqualified Equity Interests or Preferred Stock issued as permitted under Sections 7.03(b), (g), (k), (m)(i), (p), (q), (s), (t), this clause</w:t>
      </w:r>
    </w:p>
    <w:p>
      <w:pPr>
        <w:spacing w:after="0" w:line="1" w:lineRule="exact"/>
        <w:rPr>
          <w:rFonts w:ascii="Arial" w:cs="Arial" w:eastAsia="Arial" w:hAnsi="Arial"/>
          <w:sz w:val="17"/>
          <w:szCs w:val="17"/>
          <w:color w:val="auto"/>
        </w:rPr>
      </w:pPr>
    </w:p>
    <w:p>
      <w:pPr>
        <w:ind w:left="300" w:hanging="300"/>
        <w:spacing w:after="0"/>
        <w:tabs>
          <w:tab w:leader="none" w:pos="3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and (z);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Indebtedness, Disqualified Equity Interests or Preferred Stock constitutes Refinancing Indebtedness;</w:t>
      </w:r>
    </w:p>
    <w:p>
      <w:pPr>
        <w:spacing w:after="0" w:line="245" w:lineRule="exact"/>
        <w:rPr>
          <w:rFonts w:ascii="Arial" w:cs="Arial" w:eastAsia="Arial" w:hAnsi="Arial"/>
          <w:sz w:val="16"/>
          <w:szCs w:val="16"/>
          <w:color w:val="auto"/>
        </w:rPr>
      </w:pPr>
    </w:p>
    <w:p>
      <w:pPr>
        <w:jc w:val="both"/>
        <w:ind w:firstLine="648"/>
        <w:spacing w:after="0" w:line="248" w:lineRule="auto"/>
        <w:tabs>
          <w:tab w:leader="none" w:pos="115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Indebtedness incurred by the Parent Borrower or any Restricted Subsidiary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unemployment insurance or other social security legislation or other Indebtedness with respect to reimbursement-type obligations regarding workers compensation claims, health, disability or other employee benefits or property, casualty or liability insurance or self-insurance;</w:t>
      </w:r>
    </w:p>
    <w:p>
      <w:pPr>
        <w:spacing w:after="0" w:line="183" w:lineRule="exact"/>
        <w:rPr>
          <w:rFonts w:ascii="Arial" w:cs="Arial" w:eastAsia="Arial" w:hAnsi="Arial"/>
          <w:sz w:val="16"/>
          <w:szCs w:val="16"/>
          <w:color w:val="auto"/>
        </w:rPr>
      </w:pPr>
    </w:p>
    <w:p>
      <w:pPr>
        <w:jc w:val="both"/>
        <w:ind w:firstLine="648"/>
        <w:spacing w:after="0" w:line="248" w:lineRule="auto"/>
        <w:tabs>
          <w:tab w:leader="none" w:pos="115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shares of Preferred Stock of a Restricted Subsidiary issued to the Parent Borrower or a Restricted Subsidiary (to the extent constituting a Permitted Investment or a Restricted Investment permitted by Section 7.06);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subsequent issuance or transfer of any Equity Interests or any other event which results in any such Restricted Subsidiary ceasing to be a Restricted Subsidiary or any other subsequent transfer of any such shares of Preferred Stock (except to the Parent Borrower or another of the Restricted Subsidiaries or any pledge of such Equity Interests constituting a Lien permitted hereunder) shall be deemed, in each case, to be an issuance of such shares of Preferred Stock (to the extent such Preferred Stock is then outstanding) not permitted by this clause (y);</w:t>
      </w:r>
    </w:p>
    <w:p>
      <w:pPr>
        <w:spacing w:after="0" w:line="182" w:lineRule="exact"/>
        <w:rPr>
          <w:rFonts w:ascii="Arial" w:cs="Arial" w:eastAsia="Arial" w:hAnsi="Arial"/>
          <w:sz w:val="16"/>
          <w:szCs w:val="16"/>
          <w:color w:val="auto"/>
        </w:rPr>
      </w:pPr>
    </w:p>
    <w:p>
      <w:pPr>
        <w:ind w:left="1160" w:hanging="512"/>
        <w:spacing w:after="0"/>
        <w:tabs>
          <w:tab w:leader="none" w:pos="11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Indebtedness in respect of the Unsecured Notes in an aggregate principal amount not to exceed $500,000,000 at any time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(aa) Indebtedness in an aggregate principal amount not to exceed the Available RP Capacity Amount at the time of incurrence;</w:t>
      </w:r>
    </w:p>
    <w:p>
      <w:pPr>
        <w:spacing w:after="0" w:line="23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aggregate principal amount of Indebtedness, Disqualified Equity Interests and Preferred Stock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which are outstanding pursuant to this Section 7.03(aa) in reliance on Section 7.06(a)(iii)(G) or Section 7.03(w) (to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extent initially incurred, issued or assumed under this Section 7.03(aa) in reliance on Section 7.06(a)(iii)(G)) shall not exceed, together with the aggregate principal amount of any Indebtedness, Disqualified Equity Interests and Preferred Stock of Non-Loan Parties the primary obligations under which are outstanding in reliance on Section 7.03(g), Section 7.03(w) (to the extent initially incurred, issued or assumed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under Section 7.03(g) or 7.03(s)) or Section 7.03(s), the greater of (x) $65,000,000 and (y) 25.0% of Trailing Four Quarter Consolidated EBITDA, in each case determined at the time of assumption, guarantee, incurrence or issuance;</w:t>
      </w:r>
    </w:p>
    <w:p>
      <w:pPr>
        <w:spacing w:after="0" w:line="188" w:lineRule="exact"/>
        <w:rPr>
          <w:sz w:val="20"/>
          <w:szCs w:val="20"/>
          <w:color w:val="auto"/>
        </w:rPr>
      </w:pPr>
    </w:p>
    <w:p>
      <w:pPr>
        <w:ind w:firstLine="648"/>
        <w:spacing w:after="0" w:line="274" w:lineRule="auto"/>
        <w:tabs>
          <w:tab w:leader="none" w:pos="99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to the extent constituting Indebtedness, customer deposits and advance payments (including progress payments) received in the ordinary course of business from customers for goods and services purchased in the ordinary course of business;</w:t>
      </w:r>
    </w:p>
    <w:p>
      <w:pPr>
        <w:sectPr>
          <w:pgSz w:w="11900" w:h="16838" w:orient="portrait"/>
          <w:cols w:equalWidth="0" w:num="1">
            <w:col w:w="10240"/>
          </w:cols>
          <w:pgMar w:left="1120" w:top="1440" w:right="539" w:bottom="1440" w:gutter="0" w:footer="0" w:header="0"/>
        </w:sectPr>
      </w:pPr>
    </w:p>
    <w:bookmarkStart w:id="190" w:name="page191"/>
    <w:bookmarkEnd w:id="190"/>
    <w:p>
      <w:pPr>
        <w:spacing w:after="0" w:line="211" w:lineRule="exact"/>
        <w:rPr>
          <w:sz w:val="20"/>
          <w:szCs w:val="20"/>
          <w:color w:val="auto"/>
        </w:rPr>
      </w:pPr>
    </w:p>
    <w:p>
      <w:pPr>
        <w:jc w:val="both"/>
        <w:ind w:left="640" w:right="20" w:firstLine="648"/>
        <w:spacing w:after="0" w:line="224" w:lineRule="auto"/>
        <w:tabs>
          <w:tab w:leader="none" w:pos="162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Indebtedness incurred by the Parent Borrower or a Restricted Subsidiary in connection with bankers’ acceptances, discounted bills of exchange or the discounting or factoring of receivables for credit management purposes, in each case incurred or undertaken in the ordinary course of business on arm’s length commercial terms;</w:t>
      </w:r>
    </w:p>
    <w:p>
      <w:pPr>
        <w:spacing w:after="0" w:line="203" w:lineRule="exact"/>
        <w:rPr>
          <w:rFonts w:ascii="Arial" w:cs="Arial" w:eastAsia="Arial" w:hAnsi="Arial"/>
          <w:sz w:val="18"/>
          <w:szCs w:val="18"/>
          <w:color w:val="auto"/>
        </w:rPr>
      </w:pPr>
    </w:p>
    <w:p>
      <w:pPr>
        <w:ind w:left="1760" w:hanging="472"/>
        <w:spacing w:after="0"/>
        <w:tabs>
          <w:tab w:leader="none" w:pos="17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640" w:right="20" w:firstLine="648"/>
        <w:spacing w:after="0" w:line="235" w:lineRule="auto"/>
        <w:tabs>
          <w:tab w:leader="none" w:pos="1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(bb) above.</w:t>
      </w:r>
    </w:p>
    <w:p>
      <w:pPr>
        <w:spacing w:after="0" w:line="20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For purposes of determining compliance with this Section 7.03, in the event that an item of Indebtedness, Disqualified Equity Interests or Preferred Stock (or any portion thereof) at any time, whether at the time of incurrence or issuance or upon the application of all or a portion of the</w:t>
      </w:r>
    </w:p>
    <w:p>
      <w:pPr>
        <w:jc w:val="both"/>
        <w:ind w:right="20"/>
        <w:spacing w:after="0" w:line="234" w:lineRule="auto"/>
        <w:rPr>
          <w:sz w:val="20"/>
          <w:szCs w:val="20"/>
          <w:color w:val="auto"/>
        </w:rPr>
      </w:pPr>
      <w:r>
        <w:rPr>
          <w:rFonts w:ascii="Arial" w:cs="Arial" w:eastAsia="Arial" w:hAnsi="Arial"/>
          <w:sz w:val="16"/>
          <w:szCs w:val="16"/>
          <w:color w:val="auto"/>
        </w:rPr>
        <w:t>proceeds thereof or subsequently, meets the criteria of more than one of the categories of permitted Indebtedness, Disqualified Equity Interests or Preferred Stock described in Section 7.03(a) through (dd) above, the Parent Borrower, in its sole discretion, will classify and may subsequently reclassify such item of Indebtedness, Disqualified Equity Interests or Preferred Stock (or any portion thereof) in any one or more of the types of</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Indebtedness, Disqualified Equity Interests or Preferred Stock described in Section 7.03(a) through (dd) and will only be required to include the amount and type of such Indebtedness, Disqualified Equity Interests or Preferred Stock in such of the above clauses as determined by the Parent Borrower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all Indebtedness under the Loan Documents will be deemed to have been incurred in reliance on the exception</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in clause (a) above and (y) all Indebtedness under the ABL Credit Agreement shall be deemed to have been incurred in reliance on the exception in clause (k) above. Subject to the preceding sentence, the Parent Borrower will be entitled to divide and classify an item of Indebtedness in more than one of the types of Indebtedness described in Section 7.03(a) through (dd).</w:t>
      </w:r>
    </w:p>
    <w:p>
      <w:pPr>
        <w:spacing w:after="0" w:line="20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For purposes of determining compliance with any Dollar-denominated restriction on the incurrence of Indebtedness or issuance of Disqualified Equity Interests or Preferred Stock, the Dollar-equivalent principal amount of Indebtedness, Disqualified Equity Interests or Preferred</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Stock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incurred, or Disqualified Equity Interests or Preferred Stock is issued, to extend, replace, refund, refinance, renew or defease other Indebtedness, Disqualified Equity Interests or Preferred Stock, as applicable, denominated in a foreign currency, and such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or liquidation preference, as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applicable, of such refinancing Indebtedness, Disqualified Equity Interests or Preferred Stock does not exceed the principal amount or liquidation preference, as applicable, of such Indebtedness, Disqualified Equity Interests or Preferred Stock, as applicable, being extended, replaced, refunded, refinanced, renewed or defeased, plus the aggregate amount of fees, underwriting discounts, premiums (including tender premiums) and other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expenses (including OID, upfront fees or similar fees) incurred in connection with such refinancing.</w:t>
      </w:r>
    </w:p>
    <w:p>
      <w:pPr>
        <w:spacing w:after="0" w:line="209" w:lineRule="exact"/>
        <w:rPr>
          <w:sz w:val="20"/>
          <w:szCs w:val="20"/>
          <w:color w:val="auto"/>
        </w:rPr>
      </w:pPr>
    </w:p>
    <w:p>
      <w:pPr>
        <w:ind w:right="200" w:firstLine="648"/>
        <w:spacing w:after="0" w:line="238" w:lineRule="auto"/>
        <w:rPr>
          <w:sz w:val="20"/>
          <w:szCs w:val="20"/>
          <w:color w:val="auto"/>
        </w:rPr>
      </w:pPr>
      <w:r>
        <w:rPr>
          <w:rFonts w:ascii="Arial" w:cs="Arial" w:eastAsia="Arial" w:hAnsi="Arial"/>
          <w:sz w:val="16"/>
          <w:szCs w:val="16"/>
          <w:color w:val="auto"/>
        </w:rPr>
        <w:t>The accrual of interest or dividends, the accretion of accreted value, the accretion or amortization of OID, and the payment of interest or dividends in the form of additional Indebtedness, Disqualified Equity Interests or Preferred Stock, as the case may be, of the same class, accretion or amortization of OID or liquidation preference and increases in the amount of Indebtedness, Disqualified Equity Interests or Preferred Stock outstanding solely as a result of fluctuations in the exchange rate of currencies, will, in each case, not be deemed to be an incurrence of Indebtedness</w:t>
      </w:r>
    </w:p>
    <w:p>
      <w:pPr>
        <w:spacing w:after="0" w:line="2" w:lineRule="exact"/>
        <w:rPr>
          <w:sz w:val="20"/>
          <w:szCs w:val="20"/>
          <w:color w:val="auto"/>
        </w:rPr>
      </w:pPr>
    </w:p>
    <w:p>
      <w:pPr>
        <w:jc w:val="both"/>
        <w:ind w:right="60"/>
        <w:spacing w:after="0" w:line="234" w:lineRule="auto"/>
        <w:rPr>
          <w:sz w:val="20"/>
          <w:szCs w:val="20"/>
          <w:color w:val="auto"/>
        </w:rPr>
      </w:pPr>
      <w:r>
        <w:rPr>
          <w:rFonts w:ascii="Arial" w:cs="Arial" w:eastAsia="Arial" w:hAnsi="Arial"/>
          <w:sz w:val="16"/>
          <w:szCs w:val="16"/>
          <w:color w:val="auto"/>
        </w:rPr>
        <w:t>or an issuance of Disqualified Equity Interests or Preferred Stock for purposes of this Section 7.03. The principal amount of any Indebtedness incurred or Disqualified Equity Interests issued to refinance other Indebtedness, if incurred in a different currency from the Indebtedness or Disqualified Equity Interests, as applicable, being refinanced, shall be calculated based on the currency exchange rate applicable to the currencies in which such respective</w:t>
      </w:r>
    </w:p>
    <w:p>
      <w:pPr>
        <w:spacing w:after="0" w:line="2" w:lineRule="exact"/>
        <w:rPr>
          <w:sz w:val="20"/>
          <w:szCs w:val="20"/>
          <w:color w:val="auto"/>
        </w:rPr>
      </w:pPr>
    </w:p>
    <w:p>
      <w:pPr>
        <w:jc w:val="both"/>
        <w:ind w:right="80"/>
        <w:spacing w:after="0" w:line="226" w:lineRule="auto"/>
        <w:rPr>
          <w:sz w:val="20"/>
          <w:szCs w:val="20"/>
          <w:color w:val="auto"/>
        </w:rPr>
      </w:pPr>
      <w:r>
        <w:rPr>
          <w:rFonts w:ascii="Arial" w:cs="Arial" w:eastAsia="Arial" w:hAnsi="Arial"/>
          <w:sz w:val="18"/>
          <w:szCs w:val="18"/>
          <w:color w:val="auto"/>
        </w:rPr>
        <w:t>Indebtedness or Disqualified Equity Interests in denominated that is in effect on the date of such refinancing. The principal amount of any non-interest bearing Indebtedness or other discount security</w:t>
      </w:r>
    </w:p>
    <w:p>
      <w:pPr>
        <w:sectPr>
          <w:pgSz w:w="11900" w:h="16838" w:orient="portrait"/>
          <w:cols w:equalWidth="0" w:num="1">
            <w:col w:w="10900"/>
          </w:cols>
          <w:pgMar w:left="480" w:top="1440" w:right="519" w:bottom="1440" w:gutter="0" w:footer="0" w:header="0"/>
        </w:sectPr>
      </w:pPr>
    </w:p>
    <w:bookmarkStart w:id="191" w:name="page192"/>
    <w:bookmarkEnd w:id="191"/>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constituting Indebtedness at any date shall be the principal amount thereof that would be shown on the consolidated balance sheet of the Parent Borrower dated such date prepared in accordance with GAAP.</w:t>
      </w:r>
    </w:p>
    <w:p>
      <w:pPr>
        <w:spacing w:after="0" w:line="202"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6"/>
          <w:szCs w:val="16"/>
          <w:color w:val="auto"/>
        </w:rPr>
        <w:t>Notwithstanding anything to the contrary in this Agreement, (x) no investments made by any Loan Party in any Non-Loan Party in the form of intercompany loans shall be evidenced by a promissory note unless such promissory note, to the extent required to be pledged thereunder, is pledged</w:t>
      </w:r>
    </w:p>
    <w:p>
      <w:pPr>
        <w:jc w:val="both"/>
        <w:ind w:right="140"/>
        <w:spacing w:after="0" w:line="234" w:lineRule="auto"/>
        <w:rPr>
          <w:sz w:val="20"/>
          <w:szCs w:val="20"/>
          <w:color w:val="auto"/>
        </w:rPr>
      </w:pPr>
      <w:r>
        <w:rPr>
          <w:rFonts w:ascii="Arial" w:cs="Arial" w:eastAsia="Arial" w:hAnsi="Arial"/>
          <w:sz w:val="16"/>
          <w:szCs w:val="16"/>
          <w:color w:val="auto"/>
        </w:rPr>
        <w:t>to the Administrative Agent in accordance with the terms of the Security Agreement and (y) any investments in the form of intercompany loans constituting indebtedness of any Loan Party owed to any Non-Loan Party shall be unsecured and subordinated to the Obligations on terms consistent with the subordination provisions of the Intercompany Note in each case, other than indebtedness owed by, or to, a Broker-Dealer Regulated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7.04</w:t>
      </w:r>
      <w:r>
        <w:rPr>
          <w:sz w:val="20"/>
          <w:szCs w:val="20"/>
          <w:color w:val="auto"/>
        </w:rPr>
        <w:tab/>
      </w:r>
      <w:r>
        <w:rPr>
          <w:rFonts w:ascii="Arial" w:cs="Arial" w:eastAsia="Arial" w:hAnsi="Arial"/>
          <w:sz w:val="15"/>
          <w:szCs w:val="15"/>
          <w:color w:val="auto"/>
        </w:rPr>
        <w:t>Fundamental Changes.</w:t>
      </w:r>
    </w:p>
    <w:p>
      <w:pPr>
        <w:spacing w:after="0" w:line="225"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6"/>
          <w:szCs w:val="16"/>
          <w:color w:val="auto"/>
        </w:rPr>
        <w:t>Merge, dissolve, liquidate, consolidate with or into another Person, or Dispose of (whether in one transaction or in a series of transactions) all or substantially all of its assets (whether now owned or hereafter acquired) to or in favor of any Person (other than as part of the Transactions), except</w:t>
      </w:r>
    </w:p>
    <w:p>
      <w:pPr>
        <w:spacing w:after="0"/>
        <w:rPr>
          <w:sz w:val="20"/>
          <w:szCs w:val="20"/>
          <w:color w:val="auto"/>
        </w:rPr>
      </w:pPr>
      <w:r>
        <w:rPr>
          <w:rFonts w:ascii="Arial" w:cs="Arial" w:eastAsia="Arial" w:hAnsi="Arial"/>
          <w:sz w:val="18"/>
          <w:szCs w:val="18"/>
          <w:color w:val="auto"/>
        </w:rPr>
        <w:t>that:</w:t>
      </w:r>
    </w:p>
    <w:p>
      <w:pPr>
        <w:spacing w:after="0" w:line="196" w:lineRule="exact"/>
        <w:rPr>
          <w:sz w:val="20"/>
          <w:szCs w:val="20"/>
          <w:color w:val="auto"/>
        </w:rPr>
      </w:pPr>
    </w:p>
    <w:p>
      <w:pPr>
        <w:jc w:val="both"/>
        <w:ind w:left="640" w:right="140" w:firstLine="648"/>
        <w:spacing w:after="0" w:line="217" w:lineRule="auto"/>
        <w:tabs>
          <w:tab w:leader="none" w:pos="179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(i) a Borrower (including a merger, the purpose of which is to reorganize such Borrower into a new jurisdiction in the United States, any state thereof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shall be the continuing or surviving Person or (ii) one or more other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any Restricted Subsidiary that is a Loan Party is merging, amalgamating or consolidating with a Restricted Subsidiary, a Loan Party shall be the continuing or surviving Person unless the Investment made in connection with such Restricted Subsidiary that is a Loan Party merging, amalgamating or consolidating with a Non-Loan Party shall otherwise be a Restricted Payment permitted by Section 7.06 (other than Section 7.06(b)(xviii)) or a Permitted Investment;</w:t>
      </w:r>
    </w:p>
    <w:p>
      <w:pPr>
        <w:spacing w:after="0" w:line="188" w:lineRule="exact"/>
        <w:rPr>
          <w:rFonts w:ascii="Arial" w:cs="Arial" w:eastAsia="Arial" w:hAnsi="Arial"/>
          <w:sz w:val="18"/>
          <w:szCs w:val="18"/>
          <w:color w:val="auto"/>
        </w:rPr>
      </w:pPr>
    </w:p>
    <w:p>
      <w:pPr>
        <w:jc w:val="both"/>
        <w:ind w:left="640" w:right="140" w:firstLine="648"/>
        <w:spacing w:after="0" w:line="223" w:lineRule="auto"/>
        <w:tabs>
          <w:tab w:leader="none" w:pos="179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Restricted Subsidiary may liquidate or dissolve or change its legal form if the Administrative Borrower determines in good faith that such action is in the best interests of the Borrowers and the Restricted Subsidiaries and is not materially disadvantageous to the Lenders (it being understood that in the case of any change in legal form, a Subsidiary that is a Guarantor will remain a Guarantor unless such Guarantor is otherwise permitted to cease being a Guarantor hereunder);</w:t>
      </w:r>
    </w:p>
    <w:p>
      <w:pPr>
        <w:spacing w:after="0" w:line="202" w:lineRule="exact"/>
        <w:rPr>
          <w:rFonts w:ascii="Arial" w:cs="Arial" w:eastAsia="Arial" w:hAnsi="Arial"/>
          <w:sz w:val="18"/>
          <w:szCs w:val="18"/>
          <w:color w:val="auto"/>
        </w:rPr>
      </w:pPr>
    </w:p>
    <w:p>
      <w:pPr>
        <w:jc w:val="both"/>
        <w:ind w:left="640" w:right="140" w:firstLine="648"/>
        <w:spacing w:after="0" w:line="223" w:lineRule="auto"/>
        <w:tabs>
          <w:tab w:leader="none" w:pos="179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any Restricted Subsidiary may Dispose of all or substantially all of its assets (upon voluntary liquidation or otherwise) to a Borrower or to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in such a transaction is a Loan Party, then (i) the transferee must be a Loan Party or (ii) to the extent constituting an Investment, such Investment must be a Restricted Payment permitted by Section 7.06 (other than Section 7.06(b)(xviii)) or a Permitted Investment;</w:t>
      </w:r>
    </w:p>
    <w:p>
      <w:pPr>
        <w:spacing w:after="0" w:line="189" w:lineRule="exact"/>
        <w:rPr>
          <w:rFonts w:ascii="Arial" w:cs="Arial" w:eastAsia="Arial" w:hAnsi="Arial"/>
          <w:sz w:val="18"/>
          <w:szCs w:val="18"/>
          <w:color w:val="auto"/>
        </w:rPr>
      </w:pPr>
    </w:p>
    <w:p>
      <w:pPr>
        <w:jc w:val="both"/>
        <w:ind w:left="640" w:right="120" w:firstLine="648"/>
        <w:spacing w:after="0" w:line="226" w:lineRule="auto"/>
        <w:tabs>
          <w:tab w:leader="none" w:pos="179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so long as no Event of Default has occurred and is continuing or would result therefrom, the Parent Borrower may merge, dissolve, liquidate or consolidate with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Parent Borrower shall be the continuing or surviving corporation or (ii) if the Person formed by or surviving any such merger or consolidation is not the Parent Borrower or is a Person into which the Parent Borrower has been liquidated or dissolved (any such Person, the “</w:t>
      </w:r>
      <w:r>
        <w:rPr>
          <w:rFonts w:ascii="Arial" w:cs="Arial" w:eastAsia="Arial" w:hAnsi="Arial"/>
          <w:sz w:val="17"/>
          <w:szCs w:val="17"/>
          <w:b w:val="1"/>
          <w:bCs w:val="1"/>
          <w:color w:val="auto"/>
        </w:rPr>
        <w:t>Successor Parent Borrower</w:t>
      </w:r>
      <w:r>
        <w:rPr>
          <w:rFonts w:ascii="Arial" w:cs="Arial" w:eastAsia="Arial" w:hAnsi="Arial"/>
          <w:sz w:val="17"/>
          <w:szCs w:val="17"/>
          <w:color w:val="auto"/>
        </w:rPr>
        <w:t>”), (A) the Successor Parent Borrower shall be an entity organized or existing under the Laws of the United States, any state thereof or the District of Columbia, (B) the Successor Parent Borrower shall expressly assume all the obligations of the Parent Borrower under this Agreement and the other Loan Documents to which the Parent Borrower is a party pursuant to a supplement hereto or thereto in form reasonably satisfactory to the Administrative Agent, (C) each Guarantor, unless it is the other party to such merger, dissolution, liquidation or consolidation, shall have confirmed that its Guarantee shall apply to the Successor Parent Borrower’s obligations under the Loan Documents, (D) each Guarantor, unless it is the other party to such merger, dissolution, liquidation or consolidation, shall have reaffirmed that its obligations under the Security Agreement and other applicable Collateral Documents shall apply to the Successor Parent Borrower's obligations under the Loan Documents, (E) [reserved], and (F) the Administrative Borrower</w:t>
      </w:r>
    </w:p>
    <w:p>
      <w:pPr>
        <w:sectPr>
          <w:pgSz w:w="11900" w:h="16838" w:orient="portrait"/>
          <w:cols w:equalWidth="0" w:num="1">
            <w:col w:w="11020"/>
          </w:cols>
          <w:pgMar w:left="480" w:top="1440" w:right="399" w:bottom="1440" w:gutter="0" w:footer="0" w:header="0"/>
        </w:sectPr>
      </w:pPr>
    </w:p>
    <w:bookmarkStart w:id="192" w:name="page193"/>
    <w:bookmarkEnd w:id="192"/>
    <w:p>
      <w:pPr>
        <w:spacing w:after="0" w:line="211" w:lineRule="exact"/>
        <w:rPr>
          <w:sz w:val="20"/>
          <w:szCs w:val="20"/>
          <w:color w:val="auto"/>
        </w:rPr>
      </w:pPr>
    </w:p>
    <w:p>
      <w:pPr>
        <w:jc w:val="both"/>
        <w:ind w:left="640" w:right="20"/>
        <w:spacing w:after="0" w:line="241" w:lineRule="auto"/>
        <w:rPr>
          <w:sz w:val="20"/>
          <w:szCs w:val="20"/>
          <w:color w:val="auto"/>
        </w:rPr>
      </w:pPr>
      <w:r>
        <w:rPr>
          <w:rFonts w:ascii="Arial" w:cs="Arial" w:eastAsia="Arial" w:hAnsi="Arial"/>
          <w:sz w:val="16"/>
          <w:szCs w:val="16"/>
          <w:color w:val="auto"/>
        </w:rPr>
        <w:t>shall have delivered to the Administrative Agent an officer’s certificate stating that such merger or consolidation and such supplement to this Agreement or any Collateral Document comply with this Agreement and customary legal opinions consistent with those delivered on the Closing Date (conformed as appropriate) other than changes to such legal opinions resulting from a change in Law, change in fact or change</w:t>
      </w:r>
    </w:p>
    <w:p>
      <w:pPr>
        <w:spacing w:after="0" w:line="2" w:lineRule="exact"/>
        <w:rPr>
          <w:sz w:val="20"/>
          <w:szCs w:val="20"/>
          <w:color w:val="auto"/>
        </w:rPr>
      </w:pPr>
    </w:p>
    <w:p>
      <w:pPr>
        <w:jc w:val="both"/>
        <w:ind w:left="640" w:right="20"/>
        <w:spacing w:after="0" w:line="226" w:lineRule="auto"/>
        <w:rPr>
          <w:sz w:val="20"/>
          <w:szCs w:val="20"/>
          <w:color w:val="auto"/>
        </w:rPr>
      </w:pPr>
      <w:r>
        <w:rPr>
          <w:rFonts w:ascii="Arial" w:cs="Arial" w:eastAsia="Arial" w:hAnsi="Arial"/>
          <w:sz w:val="18"/>
          <w:szCs w:val="18"/>
          <w:color w:val="auto"/>
        </w:rPr>
        <w:t xml:space="preserve">to counsel’s form of opinion reasonably satisfactory to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foregoing are satisfied, the Successor Parent Borrower will succeed to, and be substituted for, the Parent Borrower under this Agreement;</w:t>
      </w:r>
    </w:p>
    <w:p>
      <w:pPr>
        <w:spacing w:after="0" w:line="188" w:lineRule="exact"/>
        <w:rPr>
          <w:sz w:val="20"/>
          <w:szCs w:val="20"/>
          <w:color w:val="auto"/>
        </w:rPr>
      </w:pPr>
    </w:p>
    <w:p>
      <w:pPr>
        <w:ind w:left="1940" w:hanging="652"/>
        <w:spacing w:after="0"/>
        <w:tabs>
          <w:tab w:leader="none" w:pos="19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40" w:right="40" w:firstLine="648"/>
        <w:spacing w:after="0" w:line="222" w:lineRule="auto"/>
        <w:tabs>
          <w:tab w:leader="none" w:pos="179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therefrom (solely in the case of a merger, amalgamation or consolidation involving a Loan Party), any Restricted Subsidiary may merge, amalgamate or consolidate with any other Person in order to effect an Investment permitted pursuant to Section 7.06 (other than Section 7.06(b)(xviii)) or a Permitted Investment;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continuing or surviving Person shall be a Restricted Subsidiary, which together with each other Restricted Subsidiary,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complied with the requirements of Section 6.11;</w:t>
      </w:r>
    </w:p>
    <w:p>
      <w:pPr>
        <w:spacing w:after="0" w:line="269" w:lineRule="exact"/>
        <w:rPr>
          <w:rFonts w:ascii="Arial" w:cs="Arial" w:eastAsia="Arial" w:hAnsi="Arial"/>
          <w:sz w:val="18"/>
          <w:szCs w:val="18"/>
          <w:color w:val="auto"/>
        </w:rPr>
      </w:pPr>
    </w:p>
    <w:p>
      <w:pPr>
        <w:ind w:left="1940" w:hanging="652"/>
        <w:spacing w:after="0"/>
        <w:tabs>
          <w:tab w:leader="none" w:pos="19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Loan Parties and their Subsidiaries may consummate any Permitted Reorganization;</w:t>
      </w:r>
    </w:p>
    <w:p>
      <w:pPr>
        <w:ind w:left="640"/>
        <w:spacing w:after="0"/>
        <w:rPr>
          <w:sz w:val="20"/>
          <w:szCs w:val="20"/>
          <w:color w:val="auto"/>
        </w:rPr>
      </w:pPr>
      <w:r>
        <w:rPr>
          <w:rFonts w:ascii="Arial" w:cs="Arial" w:eastAsia="Arial" w:hAnsi="Arial"/>
          <w:sz w:val="18"/>
          <w:szCs w:val="18"/>
          <w:color w:val="auto"/>
        </w:rPr>
        <w:t>and</w:t>
      </w:r>
    </w:p>
    <w:p>
      <w:pPr>
        <w:spacing w:after="0" w:line="290" w:lineRule="exact"/>
        <w:rPr>
          <w:sz w:val="20"/>
          <w:szCs w:val="20"/>
          <w:color w:val="auto"/>
        </w:rPr>
      </w:pPr>
    </w:p>
    <w:p>
      <w:pPr>
        <w:jc w:val="both"/>
        <w:ind w:left="640" w:firstLine="648"/>
        <w:spacing w:after="0" w:line="224" w:lineRule="auto"/>
        <w:tabs>
          <w:tab w:leader="none" w:pos="179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a merger, consolidation, amalgamation, dissolution, liquidation, consolidation or Disposition, the purpose of which is to effect a Disposition permitted pursuant to Section 7.05 (other than Section 7.05(e)) may be consummated.</w:t>
      </w:r>
    </w:p>
    <w:p>
      <w:pPr>
        <w:spacing w:after="0" w:line="203"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16"/>
          <w:szCs w:val="16"/>
          <w:color w:val="auto"/>
        </w:rPr>
        <w:t>Notwithstanding the above, in the case of any merger, amalgamation or consolidation where the continuing or surviving Person is a Loan Party or any liquidation into a Loan Party, in each case, in accordance with this Section 7.04, any security interests granted to the Administrative Agent for the benefit of the Secured Parties in the Collateral pursuant to the Collateral Documents shall remain in full force and effect and perfected (to at</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least the same extent as in effect immediately prior to such merger, consolidation, dissolution or liquidation) and all actions required to maintain said perfected status have been or will promptly be taken, in each case, as required by Sections 6.11 and 6.13.</w:t>
      </w:r>
    </w:p>
    <w:p>
      <w:pPr>
        <w:spacing w:after="0" w:line="200" w:lineRule="exact"/>
        <w:rPr>
          <w:sz w:val="20"/>
          <w:szCs w:val="20"/>
          <w:color w:val="auto"/>
        </w:rPr>
      </w:pPr>
    </w:p>
    <w:p>
      <w:pPr>
        <w:spacing w:after="0" w:line="27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7.05</w:t>
      </w:r>
      <w:r>
        <w:rPr>
          <w:sz w:val="20"/>
          <w:szCs w:val="20"/>
          <w:color w:val="auto"/>
        </w:rPr>
        <w:tab/>
      </w:r>
      <w:r>
        <w:rPr>
          <w:rFonts w:ascii="Arial" w:cs="Arial" w:eastAsia="Arial" w:hAnsi="Arial"/>
          <w:sz w:val="16"/>
          <w:szCs w:val="16"/>
          <w:color w:val="auto"/>
        </w:rPr>
        <w:t>Dispositions. Make any Disposition, except:</w:t>
      </w:r>
    </w:p>
    <w:p>
      <w:pPr>
        <w:spacing w:after="0" w:line="104" w:lineRule="exact"/>
        <w:rPr>
          <w:sz w:val="20"/>
          <w:szCs w:val="20"/>
          <w:color w:val="auto"/>
        </w:rPr>
      </w:pPr>
    </w:p>
    <w:p>
      <w:pPr>
        <w:jc w:val="both"/>
        <w:ind w:left="640" w:right="40" w:firstLine="648"/>
        <w:spacing w:after="0" w:line="223" w:lineRule="auto"/>
        <w:tabs>
          <w:tab w:leader="none" w:pos="17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(x) Dispositions of obsolete, damaged, worn out, used or surplus property, whether now owned or hereafter acquired, in the ordinary course of business, (y) Dispositions of property no longer used or useful in the conduct of the business of the Parent Borrower or any Restricted Subsidiary and (z) Dispositions to landlords of improvements made to leased real property pursuant to customary terms of leases entered into in the ordinary course of business;</w:t>
      </w:r>
    </w:p>
    <w:p>
      <w:pPr>
        <w:spacing w:after="0" w:line="187" w:lineRule="exact"/>
        <w:rPr>
          <w:rFonts w:ascii="Arial" w:cs="Arial" w:eastAsia="Arial" w:hAnsi="Arial"/>
          <w:sz w:val="18"/>
          <w:szCs w:val="18"/>
          <w:color w:val="auto"/>
        </w:rPr>
      </w:pPr>
    </w:p>
    <w:p>
      <w:pPr>
        <w:ind w:left="1940" w:hanging="652"/>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Dispositions of (i) inventory, goods held for sale in the ordinary course of business and</w:t>
      </w:r>
    </w:p>
    <w:p>
      <w:pPr>
        <w:ind w:left="940" w:hanging="300"/>
        <w:spacing w:after="0" w:line="232" w:lineRule="auto"/>
        <w:tabs>
          <w:tab w:leader="none" w:pos="9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immaterial assets (including allowing any registrations or any applications for registration of any intellectual property to lapse or go</w:t>
      </w:r>
    </w:p>
    <w:p>
      <w:pPr>
        <w:ind w:left="640" w:right="40"/>
        <w:spacing w:after="0" w:line="226" w:lineRule="auto"/>
        <w:rPr>
          <w:sz w:val="20"/>
          <w:szCs w:val="20"/>
          <w:color w:val="auto"/>
        </w:rPr>
      </w:pPr>
      <w:r>
        <w:rPr>
          <w:rFonts w:ascii="Arial" w:cs="Arial" w:eastAsia="Arial" w:hAnsi="Arial"/>
          <w:sz w:val="18"/>
          <w:szCs w:val="18"/>
          <w:color w:val="auto"/>
        </w:rPr>
        <w:t>abandoned) in the ordinary course of business, including but not limited to Dispositions of medical devices or other medical products pursuant to a voluntary or mandatory recall thereof or of assets in connection with the consolidation of billing centers;</w:t>
      </w:r>
    </w:p>
    <w:p>
      <w:pPr>
        <w:spacing w:after="0" w:line="188" w:lineRule="exact"/>
        <w:rPr>
          <w:sz w:val="20"/>
          <w:szCs w:val="20"/>
          <w:color w:val="auto"/>
        </w:rPr>
      </w:pPr>
    </w:p>
    <w:p>
      <w:pPr>
        <w:ind w:left="640" w:right="40" w:firstLine="648"/>
        <w:spacing w:after="0" w:line="274" w:lineRule="auto"/>
        <w:tabs>
          <w:tab w:leader="none" w:pos="179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ectPr>
          <w:pgSz w:w="11900" w:h="16838" w:orient="portrait"/>
          <w:cols w:equalWidth="0" w:num="1">
            <w:col w:w="10920"/>
          </w:cols>
          <w:pgMar w:left="480" w:top="1440" w:right="499" w:bottom="1440" w:gutter="0" w:footer="0" w:header="0"/>
        </w:sectPr>
      </w:pPr>
    </w:p>
    <w:bookmarkStart w:id="193" w:name="page194"/>
    <w:bookmarkEnd w:id="193"/>
    <w:p>
      <w:pPr>
        <w:spacing w:after="0" w:line="211" w:lineRule="exact"/>
        <w:rPr>
          <w:sz w:val="20"/>
          <w:szCs w:val="20"/>
          <w:color w:val="auto"/>
        </w:rPr>
      </w:pPr>
    </w:p>
    <w:p>
      <w:pPr>
        <w:jc w:val="both"/>
        <w:ind w:right="40" w:firstLine="648"/>
        <w:spacing w:after="0" w:line="216" w:lineRule="auto"/>
        <w:tabs>
          <w:tab w:leader="none" w:pos="11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Dispositions of property to the Parent Borrower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of such property is a Loan Party (i) the transferee thereof must be a Loan Party, (ii) such Disposition is for cash and shall be for no less than the fair market value of such property at the time of such Disposition (or any promissory note or other non-cash consideration received in respect thereof must be a Restricted Payment permitted by Section 7.06 (other than Section 7.06(b)(xviii))) or a Permitted Investment or (iii) if such transaction constitutes an Investment, such Investment must be a Restricted Payment permitted by Section 7.06 (other than Section 7.06(b) (xviii)) or a Permitted Investment;</w:t>
      </w:r>
    </w:p>
    <w:p>
      <w:pPr>
        <w:spacing w:after="0" w:line="189" w:lineRule="exact"/>
        <w:rPr>
          <w:rFonts w:ascii="Arial" w:cs="Arial" w:eastAsia="Arial" w:hAnsi="Arial"/>
          <w:sz w:val="18"/>
          <w:szCs w:val="18"/>
          <w:color w:val="auto"/>
        </w:rPr>
      </w:pPr>
    </w:p>
    <w:p>
      <w:pPr>
        <w:ind w:left="1300" w:hanging="652"/>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Dispositions that otherwise constitute a Permitted Investment, are permitted by Section</w:t>
      </w:r>
    </w:p>
    <w:p>
      <w:pPr>
        <w:ind w:right="40"/>
        <w:spacing w:after="0" w:line="226" w:lineRule="auto"/>
        <w:rPr>
          <w:sz w:val="20"/>
          <w:szCs w:val="20"/>
          <w:color w:val="auto"/>
        </w:rPr>
      </w:pPr>
      <w:r>
        <w:rPr>
          <w:rFonts w:ascii="Arial" w:cs="Arial" w:eastAsia="Arial" w:hAnsi="Arial"/>
          <w:sz w:val="18"/>
          <w:szCs w:val="18"/>
          <w:color w:val="auto"/>
        </w:rPr>
        <w:t>7.04 (other than Section 7.04(h)) or otherwise constitute a Restricted Payment permitted by Section 7.06 (other than Section 7.06(b)(xviii)) and Liens permitted by Section 7.01 (other than Section 7.01(l)(ii));</w:t>
      </w:r>
    </w:p>
    <w:p>
      <w:pPr>
        <w:spacing w:after="0" w:line="202" w:lineRule="exact"/>
        <w:rPr>
          <w:sz w:val="20"/>
          <w:szCs w:val="20"/>
          <w:color w:val="auto"/>
        </w:rPr>
      </w:pPr>
    </w:p>
    <w:p>
      <w:pPr>
        <w:jc w:val="both"/>
        <w:ind w:right="40" w:firstLine="648"/>
        <w:spacing w:after="0" w:line="229" w:lineRule="auto"/>
        <w:tabs>
          <w:tab w:leader="none" w:pos="115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Dispositions of property pursuant to sale-leaseback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aggregate Net Proceeds from all such Dispositions since the Closing Date exceeds $40,000,000, such excess shall be reinvested in accordance with the definition of “Net Proceeds” or otherwise applied to prepay Loans in accordance with Section 2.05(b)(ii)</w:t>
      </w:r>
    </w:p>
    <w:p>
      <w:pPr>
        <w:spacing w:after="0" w:line="190" w:lineRule="exact"/>
        <w:rPr>
          <w:rFonts w:ascii="Arial" w:cs="Arial" w:eastAsia="Arial" w:hAnsi="Arial"/>
          <w:sz w:val="18"/>
          <w:szCs w:val="18"/>
          <w:color w:val="auto"/>
        </w:rPr>
      </w:pPr>
    </w:p>
    <w:p>
      <w:pPr>
        <w:ind w:left="1300" w:hanging="652"/>
        <w:spacing w:after="0"/>
        <w:tabs>
          <w:tab w:leader="none" w:pos="13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Dispositions of cash and Cash Equivalents;</w:t>
      </w:r>
    </w:p>
    <w:p>
      <w:pPr>
        <w:spacing w:after="0" w:line="225" w:lineRule="exact"/>
        <w:rPr>
          <w:rFonts w:ascii="Arial" w:cs="Arial" w:eastAsia="Arial" w:hAnsi="Arial"/>
          <w:sz w:val="18"/>
          <w:szCs w:val="18"/>
          <w:color w:val="auto"/>
        </w:rPr>
      </w:pPr>
    </w:p>
    <w:p>
      <w:pPr>
        <w:jc w:val="both"/>
        <w:ind w:firstLine="648"/>
        <w:spacing w:after="0" w:line="217" w:lineRule="auto"/>
        <w:tabs>
          <w:tab w:leader="none" w:pos="115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 leases, subleases, licenses or sublicenses (including agreements under which the Parent Borrower or any Restricted Subsidiary has granted rights to end users to access and use the Parent Borrower’s or any Restricted Subsidiary’s products, technologies or services), in each case in the ordinary course of business and which do not materially interfere with the business of the Parent Borrower and the Restricted Subsidiaries, taken as a whole, and (ii) the abandonment of intellectual property rights (A) in the ordinary course of business or which in the reasonable good faith determination of the Administrative Borrower are not material to the conduct of the business of the Parent Borrower and the Restricted Subsidiaries taken as a whole or (B) that are no longer economically practicable or commercially reasonable to maintain;</w:t>
      </w:r>
    </w:p>
    <w:p>
      <w:pPr>
        <w:spacing w:after="0" w:line="201" w:lineRule="exact"/>
        <w:rPr>
          <w:rFonts w:ascii="Arial" w:cs="Arial" w:eastAsia="Arial" w:hAnsi="Arial"/>
          <w:sz w:val="18"/>
          <w:szCs w:val="18"/>
          <w:color w:val="auto"/>
        </w:rPr>
      </w:pPr>
    </w:p>
    <w:p>
      <w:pPr>
        <w:ind w:left="1300" w:hanging="652"/>
        <w:spacing w:after="0"/>
        <w:tabs>
          <w:tab w:leader="none" w:pos="13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transfers of property subject to Casualty Events;</w:t>
      </w:r>
    </w:p>
    <w:p>
      <w:pPr>
        <w:spacing w:after="0" w:line="225" w:lineRule="exact"/>
        <w:rPr>
          <w:rFonts w:ascii="Arial" w:cs="Arial" w:eastAsia="Arial" w:hAnsi="Arial"/>
          <w:sz w:val="18"/>
          <w:szCs w:val="18"/>
          <w:color w:val="auto"/>
        </w:rPr>
      </w:pPr>
    </w:p>
    <w:p>
      <w:pPr>
        <w:jc w:val="both"/>
        <w:ind w:right="20" w:firstLine="648"/>
        <w:spacing w:after="0" w:line="222" w:lineRule="auto"/>
        <w:tabs>
          <w:tab w:leader="none" w:pos="1152"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Dispositions of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the time of such Disposition (other than any such Disposition made pursuant to a legally binding commitment entered into at a time when no Default has occurred and is continuing), no Event of Default shall have occurred and be continuing or would result from such Disposition and (ii) with respect to any Disposition pursuant to this clause (j) for a purchase price in excess of $15,000,000, the Parent Borrower or any Restricted Subsidiary shall receive not less than 75% of such consideration in the form of cash or Cash Equivalents (free and clear of all Liens at the time received (other than nonconsensual Liens permitted by Section 7.01 and Liens permitted by Section 7.01(a), clause (iii) of Section 7.01(k), Section 7.01(m), clauses (i) and (ii) of Section 7.01(r), Section 7.01(v), Section 7.01(bb), Section 7.01(cc), Section 7.01(dd), Section 7.01(gg), Section 7.01(ii), Section 7.01(jj) and Section 7.01(ll) and in each case, any permitted modifications, replacements, renewals or extensions of such Liens pursuant to Section 7.01(aa)));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purposes of this clause (j)(ii), the following shall be deemed to be cash: (A) any liabilities (as shown on the Parent Borrower’ most recent balance sheet provided hereunder or in the footnotes thereto) of the Parent Borrower or such Restricted Subsidiary, other than liabilities that are by their terms subordinated to the payment in cash of the Obligations, that (i) are assumed by the transferee with respect to the applicable Disposition or</w:t>
      </w:r>
    </w:p>
    <w:p>
      <w:pPr>
        <w:spacing w:after="0" w:line="6" w:lineRule="exact"/>
        <w:rPr>
          <w:rFonts w:ascii="Arial" w:cs="Arial" w:eastAsia="Arial" w:hAnsi="Arial"/>
          <w:sz w:val="17"/>
          <w:szCs w:val="17"/>
          <w:color w:val="auto"/>
        </w:rPr>
      </w:pPr>
    </w:p>
    <w:p>
      <w:pPr>
        <w:jc w:val="both"/>
        <w:spacing w:after="0" w:line="214" w:lineRule="auto"/>
        <w:tabs>
          <w:tab w:leader="none" w:pos="27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are otherwise cancelled or terminated in connection with the transaction with such transferee (other than intercompany debt owed to the Parent Borrower or any of its Restricted Subsidiaries) and, in the case of clause (i), for which each Parent Borrower and all of its Restricted Subsidiaries shall have been validly released by all applicable creditors in writing, (B) any securities, notes or other obligations or assets received by the Parent Borrower or the applicable Restricted Subsidiary from such transferee that are converted by the Parent Borrower or such Restricted Subsidiary into cash or Cash Equivalents (to the extent of the cash or Cash Equivalents received) in connection with the applicable Disposition, (C) Indebtedness of any Restricted Subsidiary that ceases to be a Restricted Subsidiary as a result of such Disposition (other</w:t>
      </w:r>
    </w:p>
    <w:p>
      <w:pPr>
        <w:sectPr>
          <w:pgSz w:w="11900" w:h="16838" w:orient="portrait"/>
          <w:cols w:equalWidth="0" w:num="1">
            <w:col w:w="10280"/>
          </w:cols>
          <w:pgMar w:left="1120" w:top="1440" w:right="499" w:bottom="1440" w:gutter="0" w:footer="0" w:header="0"/>
        </w:sectPr>
      </w:pPr>
    </w:p>
    <w:bookmarkStart w:id="194" w:name="page195"/>
    <w:bookmarkEnd w:id="194"/>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than intercompany debt owed to the Parent Borrower or any of its Restricted Subsidiaries), to the extent that the Parent Borrower and each of its Restricted Subsidiaries are released from any guarantee of payment of the principal amount of such Indebtedness in connection with such Disposition and (D) aggregate non-cash consideration received by the Parent Borrower or the applicable Restricted Subsidiary having an</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aggregate fair market value, taken together with all other non-cash consideration received pursuant to this clause (D) (determined as of the closing of the applicable Disposition for which such non-cash consideration is received) not to exceed the greater of $90,000,000 and 35.0% of Trailing Four Quarter Consolidated EBITDA as determined at the time of such applicable Dispositions (net of any such non-cash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subsequently converted into cash and Cash Equivalents);</w:t>
      </w:r>
    </w:p>
    <w:p>
      <w:pPr>
        <w:spacing w:after="0" w:line="196" w:lineRule="exact"/>
        <w:rPr>
          <w:sz w:val="20"/>
          <w:szCs w:val="20"/>
          <w:color w:val="auto"/>
        </w:rPr>
      </w:pPr>
    </w:p>
    <w:p>
      <w:pPr>
        <w:jc w:val="both"/>
        <w:ind w:right="40" w:firstLine="648"/>
        <w:spacing w:after="0" w:line="229"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comparable or successor provision), any exchange of like property (excluding any boot thereon permitted by such provision) for use in any business conducted by the Parent Borrower or any of the Restricted Subsidiaries that is not in contravention of Section 7.07;</w:t>
      </w:r>
    </w:p>
    <w:p>
      <w:pPr>
        <w:spacing w:after="0" w:line="190" w:lineRule="exact"/>
        <w:rPr>
          <w:rFonts w:ascii="Arial" w:cs="Arial" w:eastAsia="Arial" w:hAnsi="Arial"/>
          <w:sz w:val="18"/>
          <w:szCs w:val="18"/>
          <w:color w:val="auto"/>
        </w:rPr>
      </w:pPr>
    </w:p>
    <w:p>
      <w:pPr>
        <w:jc w:val="both"/>
        <w:ind w:right="40" w:firstLine="648"/>
        <w:spacing w:after="0" w:line="229"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Dispositions or discounts, without recourse of accounts receivable or notes receivable in connection with the collection or compromise thereof in the ordinary course of business or the conversion of accounts receivable to notes receivable in the ordinary course of business;</w:t>
      </w:r>
    </w:p>
    <w:p>
      <w:pPr>
        <w:spacing w:after="0" w:line="204" w:lineRule="exact"/>
        <w:rPr>
          <w:rFonts w:ascii="Arial" w:cs="Arial" w:eastAsia="Arial" w:hAnsi="Arial"/>
          <w:sz w:val="18"/>
          <w:szCs w:val="18"/>
          <w:color w:val="auto"/>
        </w:rPr>
      </w:pPr>
    </w:p>
    <w:p>
      <w:pPr>
        <w:ind w:right="40" w:firstLine="648"/>
        <w:spacing w:after="0" w:line="235"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Dispositions of ABL Priority Collateral not otherwise permitted by this Section 7.05 to the extent the net proceeds thereof are applied to repay or cash collateralize the ABL Obligations;</w:t>
      </w:r>
    </w:p>
    <w:p>
      <w:pPr>
        <w:spacing w:after="0" w:line="202" w:lineRule="exact"/>
        <w:rPr>
          <w:rFonts w:ascii="Arial" w:cs="Arial" w:eastAsia="Arial" w:hAnsi="Arial"/>
          <w:sz w:val="18"/>
          <w:szCs w:val="18"/>
          <w:color w:val="auto"/>
        </w:rPr>
      </w:pPr>
    </w:p>
    <w:p>
      <w:pPr>
        <w:jc w:val="both"/>
        <w:ind w:right="40" w:firstLine="648"/>
        <w:spacing w:after="0" w:line="229"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swap of assets in exchange for services or other assets in the ordinary course of business of comparable or greater value or usefulness to the business of the Parent Borrower and the Subsidiaries as a whole, as determined in good faith by the Administrative Borrower;</w:t>
      </w:r>
    </w:p>
    <w:p>
      <w:pPr>
        <w:spacing w:after="0" w:line="204" w:lineRule="exact"/>
        <w:rPr>
          <w:rFonts w:ascii="Arial" w:cs="Arial" w:eastAsia="Arial" w:hAnsi="Arial"/>
          <w:sz w:val="18"/>
          <w:szCs w:val="18"/>
          <w:color w:val="auto"/>
        </w:rPr>
      </w:pPr>
    </w:p>
    <w:p>
      <w:pPr>
        <w:ind w:left="1160" w:hanging="512"/>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sale of Equity Interests in, or Indebtedness or other securities of, an Unrestricted Subsidiary;</w:t>
      </w:r>
    </w:p>
    <w:p>
      <w:pPr>
        <w:spacing w:after="0" w:line="225" w:lineRule="exact"/>
        <w:rPr>
          <w:rFonts w:ascii="Arial" w:cs="Arial" w:eastAsia="Arial" w:hAnsi="Arial"/>
          <w:sz w:val="18"/>
          <w:szCs w:val="18"/>
          <w:color w:val="auto"/>
        </w:rPr>
      </w:pPr>
    </w:p>
    <w:p>
      <w:pPr>
        <w:ind w:firstLine="648"/>
        <w:spacing w:after="0" w:line="235"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202" w:lineRule="exact"/>
        <w:rPr>
          <w:rFonts w:ascii="Arial" w:cs="Arial" w:eastAsia="Arial" w:hAnsi="Arial"/>
          <w:sz w:val="18"/>
          <w:szCs w:val="18"/>
          <w:color w:val="auto"/>
        </w:rPr>
      </w:pPr>
    </w:p>
    <w:p>
      <w:pPr>
        <w:ind w:left="1160" w:hanging="512"/>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unwinding of any Swap Contract or any Cash Management Services permitted under Section 7.03(l);</w:t>
      </w:r>
    </w:p>
    <w:p>
      <w:pPr>
        <w:spacing w:after="0" w:line="225" w:lineRule="exact"/>
        <w:rPr>
          <w:rFonts w:ascii="Arial" w:cs="Arial" w:eastAsia="Arial" w:hAnsi="Arial"/>
          <w:sz w:val="18"/>
          <w:szCs w:val="18"/>
          <w:color w:val="auto"/>
        </w:rPr>
      </w:pPr>
    </w:p>
    <w:p>
      <w:pPr>
        <w:ind w:right="40" w:firstLine="648"/>
        <w:spacing w:after="0" w:line="235"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lapse or abandonment in the ordinary course of business of any registrations or applications for registration of any immaterial IP Rights;</w:t>
      </w:r>
    </w:p>
    <w:p>
      <w:pPr>
        <w:spacing w:after="0" w:line="186" w:lineRule="exact"/>
        <w:rPr>
          <w:rFonts w:ascii="Arial" w:cs="Arial" w:eastAsia="Arial" w:hAnsi="Arial"/>
          <w:sz w:val="18"/>
          <w:szCs w:val="18"/>
          <w:color w:val="auto"/>
        </w:rPr>
      </w:pPr>
    </w:p>
    <w:p>
      <w:pPr>
        <w:ind w:left="1160" w:hanging="512"/>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Disposition of Securitization Assets to a Securitization Subsidiary in connection with a Qualified Securitization</w:t>
      </w:r>
    </w:p>
    <w:p>
      <w:pPr>
        <w:spacing w:after="0"/>
        <w:rPr>
          <w:rFonts w:ascii="Arial" w:cs="Arial" w:eastAsia="Arial" w:hAnsi="Arial"/>
          <w:sz w:val="18"/>
          <w:szCs w:val="18"/>
          <w:color w:val="auto"/>
        </w:rPr>
      </w:pPr>
      <w:r>
        <w:rPr>
          <w:rFonts w:ascii="Arial" w:cs="Arial" w:eastAsia="Arial" w:hAnsi="Arial"/>
          <w:sz w:val="18"/>
          <w:szCs w:val="18"/>
          <w:color w:val="auto"/>
        </w:rPr>
        <w:t>Financing;</w:t>
      </w:r>
    </w:p>
    <w:p>
      <w:pPr>
        <w:spacing w:after="0" w:line="209" w:lineRule="exact"/>
        <w:rPr>
          <w:rFonts w:ascii="Arial" w:cs="Arial" w:eastAsia="Arial" w:hAnsi="Arial"/>
          <w:sz w:val="18"/>
          <w:szCs w:val="18"/>
          <w:color w:val="auto"/>
        </w:rPr>
      </w:pPr>
    </w:p>
    <w:p>
      <w:pPr>
        <w:jc w:val="both"/>
        <w:ind w:right="40" w:firstLine="648"/>
        <w:spacing w:after="0" w:line="223"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Dispositions by any Loan Party of any wholly-owned Restricted Subsidiary of the type described in clauses (d) and (e) of the definition of Excluded Subsidiary to the extent consisting of contributions or other Dispositions of Equity Interests in other wholly-owned Restricted Subsidiaries of the type described in clauses (d) and (e) of the definition of Excluded Subsidiary to such wholly-owned Restricted Subsidiary;</w:t>
      </w:r>
    </w:p>
    <w:p>
      <w:pPr>
        <w:spacing w:after="0" w:line="189" w:lineRule="exact"/>
        <w:rPr>
          <w:rFonts w:ascii="Arial" w:cs="Arial" w:eastAsia="Arial" w:hAnsi="Arial"/>
          <w:sz w:val="18"/>
          <w:szCs w:val="18"/>
          <w:color w:val="auto"/>
        </w:rPr>
      </w:pPr>
    </w:p>
    <w:p>
      <w:pPr>
        <w:jc w:val="both"/>
        <w:ind w:right="40" w:firstLine="648"/>
        <w:spacing w:after="0" w:line="223"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Dispositions (i) of non-core assets acquired in connection with Permitted Acquisitions or any other acquisition or Investment permitted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sales shall not exceed 25% of the fair market value of the acquired entity or business, (ii) made to satisfy the Parent Borrower’s or any Restricted Subsidiary’s obligations under any non-compete agreement or (ii) made to obtain the approval of any anti-trust authority;</w:t>
      </w:r>
    </w:p>
    <w:p>
      <w:pPr>
        <w:sectPr>
          <w:pgSz w:w="11900" w:h="16838" w:orient="portrait"/>
          <w:cols w:equalWidth="0" w:num="1">
            <w:col w:w="10280"/>
          </w:cols>
          <w:pgMar w:left="1120" w:top="1440" w:right="499" w:bottom="1440" w:gutter="0" w:footer="0" w:header="0"/>
        </w:sectPr>
      </w:pPr>
    </w:p>
    <w:bookmarkStart w:id="195" w:name="page196"/>
    <w:bookmarkEnd w:id="195"/>
    <w:p>
      <w:pPr>
        <w:spacing w:after="0" w:line="211" w:lineRule="exact"/>
        <w:rPr>
          <w:sz w:val="20"/>
          <w:szCs w:val="20"/>
          <w:color w:val="auto"/>
        </w:rPr>
      </w:pPr>
    </w:p>
    <w:p>
      <w:pPr>
        <w:ind w:left="1940" w:hanging="652"/>
        <w:spacing w:after="0"/>
        <w:tabs>
          <w:tab w:leader="none" w:pos="19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Dispositions set forth on Schedule 7.05;</w:t>
      </w:r>
    </w:p>
    <w:p>
      <w:pPr>
        <w:spacing w:after="0" w:line="225" w:lineRule="exact"/>
        <w:rPr>
          <w:rFonts w:ascii="Arial" w:cs="Arial" w:eastAsia="Arial" w:hAnsi="Arial"/>
          <w:sz w:val="18"/>
          <w:szCs w:val="18"/>
          <w:color w:val="auto"/>
        </w:rPr>
      </w:pPr>
    </w:p>
    <w:p>
      <w:pPr>
        <w:jc w:val="both"/>
        <w:ind w:left="640" w:right="40" w:firstLine="648"/>
        <w:spacing w:after="0" w:line="224" w:lineRule="auto"/>
        <w:tabs>
          <w:tab w:leader="none" w:pos="179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issuance of Equity Interests in any Restricted Subsidiary to any officer, director, consultant, advisor, service provider or employee of the Borrowers or any Restricted Subsidiary in respect of services provided to the Borrowers or a Restricted Subsidiary in the ordinary course of business approved by the Board of Directors of the Borrower;</w:t>
      </w:r>
    </w:p>
    <w:p>
      <w:pPr>
        <w:spacing w:after="0" w:line="203" w:lineRule="exact"/>
        <w:rPr>
          <w:rFonts w:ascii="Arial" w:cs="Arial" w:eastAsia="Arial" w:hAnsi="Arial"/>
          <w:sz w:val="18"/>
          <w:szCs w:val="18"/>
          <w:color w:val="auto"/>
        </w:rPr>
      </w:pPr>
    </w:p>
    <w:p>
      <w:pPr>
        <w:jc w:val="both"/>
        <w:ind w:left="640" w:right="20" w:firstLine="648"/>
        <w:spacing w:after="0" w:line="259" w:lineRule="auto"/>
        <w:tabs>
          <w:tab w:leader="none" w:pos="179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cancellation of Indebtedness owing to the Parent Borrower or any Restricted Subsidiary from members of management of the Parent Borrower, any of the Parent Borrower’s direct or indirect parent companies or any of the Parent Borrower’s Restricted Subsidiaries in connection with the repurchase or redemption of Equity Interests of any of the Parent Borrower’s direct or indirect parent companies;</w:t>
      </w:r>
    </w:p>
    <w:p>
      <w:pPr>
        <w:spacing w:after="0" w:line="187" w:lineRule="exact"/>
        <w:rPr>
          <w:rFonts w:ascii="Arial" w:cs="Arial" w:eastAsia="Arial" w:hAnsi="Arial"/>
          <w:sz w:val="16"/>
          <w:szCs w:val="16"/>
          <w:color w:val="auto"/>
        </w:rPr>
      </w:pPr>
    </w:p>
    <w:p>
      <w:pPr>
        <w:ind w:left="1940" w:hanging="652"/>
        <w:spacing w:after="0"/>
        <w:tabs>
          <w:tab w:leader="none" w:pos="19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Dispositions of assets not constituting Collateral;</w:t>
      </w:r>
    </w:p>
    <w:p>
      <w:pPr>
        <w:spacing w:after="0" w:line="225" w:lineRule="exact"/>
        <w:rPr>
          <w:rFonts w:ascii="Arial" w:cs="Arial" w:eastAsia="Arial" w:hAnsi="Arial"/>
          <w:sz w:val="18"/>
          <w:szCs w:val="18"/>
          <w:color w:val="auto"/>
        </w:rPr>
      </w:pPr>
    </w:p>
    <w:p>
      <w:pPr>
        <w:jc w:val="both"/>
        <w:ind w:left="640" w:right="40" w:firstLine="648"/>
        <w:spacing w:after="0" w:line="224" w:lineRule="auto"/>
        <w:tabs>
          <w:tab w:leader="none" w:pos="179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Borrower and any Restricted Subsidiary may (i) terminate or otherwise collapse its cost-sharing agreements with any Borrower or any Subsidiary and settle any crossing payments in connection therewith or (ii) surrender, terminate or waive contractual rights and settle or waive contractual or litigation claims; and</w:t>
      </w:r>
    </w:p>
    <w:p>
      <w:pPr>
        <w:spacing w:after="0" w:line="203" w:lineRule="exact"/>
        <w:rPr>
          <w:sz w:val="20"/>
          <w:szCs w:val="20"/>
          <w:color w:val="auto"/>
        </w:rPr>
      </w:pPr>
    </w:p>
    <w:p>
      <w:pPr>
        <w:ind w:left="640" w:right="740" w:firstLine="648"/>
        <w:spacing w:after="0" w:line="235" w:lineRule="auto"/>
        <w:tabs>
          <w:tab w:leader="none" w:pos="174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Dispositions in an amount not to exceed the greater of $25,000,000 and 10.0% of Trailing Four Quarter Consolidated EBITDA in the aggregate in any fiscal year;</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Disposition of any property pursuant to this Section 7.05 (except pursuant to Sections 7.05(a), (d), (e), (h), (i), (l), (p), (q), (r), (s), (v),</w:t>
      </w:r>
      <w:r>
        <w:rPr>
          <w:rFonts w:ascii="Arial" w:cs="Arial" w:eastAsia="Arial" w:hAnsi="Arial"/>
          <w:sz w:val="16"/>
          <w:szCs w:val="16"/>
          <w:i w:val="1"/>
          <w:iCs w:val="1"/>
          <w:color w:val="auto"/>
        </w:rPr>
        <w:t xml:space="preserve"> </w:t>
      </w:r>
      <w:r>
        <w:rPr>
          <w:rFonts w:ascii="Arial" w:cs="Arial" w:eastAsia="Arial" w:hAnsi="Arial"/>
          <w:sz w:val="16"/>
          <w:szCs w:val="16"/>
          <w:color w:val="auto"/>
        </w:rPr>
        <w:t>(w), (x), (z) and (aa) and except for (x) Dispositions from the Parent Borrower or a Guarantor to the Parent Borrower or a Guarantor or (y) Dispositions</w:t>
      </w:r>
    </w:p>
    <w:p>
      <w:pPr>
        <w:jc w:val="both"/>
        <w:spacing w:after="0" w:line="234" w:lineRule="auto"/>
        <w:rPr>
          <w:sz w:val="20"/>
          <w:szCs w:val="20"/>
          <w:color w:val="auto"/>
        </w:rPr>
      </w:pPr>
      <w:r>
        <w:rPr>
          <w:rFonts w:ascii="Arial" w:cs="Arial" w:eastAsia="Arial" w:hAnsi="Arial"/>
          <w:sz w:val="16"/>
          <w:szCs w:val="16"/>
          <w:color w:val="auto"/>
        </w:rPr>
        <w:t>from any wholly-owned Non-Loan Party to any other wholly-owned Non-Loan Party) shall be for no less than the fair market value of such property at the time of such Disposition. To the extent any Collateral is Disposed of as expressly permitted by this Section 7.05 to any Person other than the Parent Borrower or any of its Restricted Subsidiaries, such Collateral shall be sold free and clear of the Liens created by the Loan Documents, and, if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requested by the Administrative Agent, upon the certification by the Administrative Borrower that such Disposition is not prohibited by this Agreement, the Administrative Agent shall be authorized to take any actions deemed appropriate in order to effect the foregoing.</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7.06</w:t>
      </w:r>
      <w:r>
        <w:rPr>
          <w:sz w:val="20"/>
          <w:szCs w:val="20"/>
          <w:color w:val="auto"/>
        </w:rPr>
        <w:tab/>
      </w:r>
      <w:r>
        <w:rPr>
          <w:rFonts w:ascii="Arial" w:cs="Arial" w:eastAsia="Arial" w:hAnsi="Arial"/>
          <w:sz w:val="15"/>
          <w:szCs w:val="15"/>
          <w:color w:val="auto"/>
        </w:rPr>
        <w:t>Restricted Payments.</w:t>
      </w:r>
    </w:p>
    <w:p>
      <w:pPr>
        <w:spacing w:after="0" w:line="225" w:lineRule="exact"/>
        <w:rPr>
          <w:sz w:val="20"/>
          <w:szCs w:val="20"/>
          <w:color w:val="auto"/>
        </w:rPr>
      </w:pPr>
    </w:p>
    <w:p>
      <w:pPr>
        <w:jc w:val="both"/>
        <w:ind w:right="20" w:firstLine="639"/>
        <w:spacing w:after="0" w:line="225" w:lineRule="auto"/>
        <w:tabs>
          <w:tab w:leader="none" w:pos="1153" w:val="left"/>
        </w:tabs>
        <w:numPr>
          <w:ilvl w:val="0"/>
          <w:numId w:val="248"/>
        </w:numPr>
        <w:rPr>
          <w:rFonts w:ascii="Arial" w:cs="Arial" w:eastAsia="Arial" w:hAnsi="Arial"/>
          <w:sz w:val="17"/>
          <w:szCs w:val="17"/>
          <w:color w:val="010000"/>
        </w:rPr>
      </w:pPr>
      <w:r>
        <w:rPr>
          <w:rFonts w:ascii="Arial" w:cs="Arial" w:eastAsia="Arial" w:hAnsi="Arial"/>
          <w:sz w:val="17"/>
          <w:szCs w:val="17"/>
          <w:color w:val="auto"/>
        </w:rPr>
        <w:t>Directly or indirectly, (w) declare or pay any dividend or make any payment or distribution on account of the Parent Borrower’s or any of its Restricted Subsidiaries’ Equity Interests (in each case, solely in such Person’s capacity as holder of such Equity Interests), including any dividend, payment or distribution payable in connection with any merger, amalgamation or consolidation other than (A) dividends or distributions by the Parent Borrower payable solely in Equity Interests (other than Disqualified Equity Interests) of the Parent Borrower or (B) dividends or distributions by a Restricted Subsidiary so long as, in the case of any dividend, payment or distribution payable on or in respect of any class or series of securities issued by a Restricted Subsidiary other than a wholly-owned Subsidiary, the Parent Borrower or a Restricted Subsidiary receives at least its pro rata share of such dividend, payment or distribution in accordance with its Equity Interests in such class or series of securities, (x) purchase, redeem, defease or otherwise acquire or retire for value any Equity Interests of the Parent Borrower, including in connection with any merger, amalgamation or consolidation, in each case held by Persons other than the Parent Borrower or a Restricted Subsidiary, (y) make any principal payment on, or redeem, repurchase, defease or otherwise acquire or retire for value, in each case, prior to any scheduled repayment, sinking fund payment or maturity, any Junior Financing, other than such Indebtedness permitted under Sections 7.03(d) and (z) make any Restricted Investment (all such payments and other actions set forth in clauses (w) through (z) above being collectively referred to as “</w:t>
      </w:r>
      <w:r>
        <w:rPr>
          <w:rFonts w:ascii="Arial" w:cs="Arial" w:eastAsia="Arial" w:hAnsi="Arial"/>
          <w:sz w:val="17"/>
          <w:szCs w:val="17"/>
          <w:b w:val="1"/>
          <w:bCs w:val="1"/>
          <w:color w:val="auto"/>
        </w:rPr>
        <w:t>Restricted Payments</w:t>
      </w:r>
      <w:r>
        <w:rPr>
          <w:rFonts w:ascii="Arial" w:cs="Arial" w:eastAsia="Arial" w:hAnsi="Arial"/>
          <w:sz w:val="17"/>
          <w:szCs w:val="17"/>
          <w:color w:val="auto"/>
        </w:rPr>
        <w:t>”), unless, at the time of and immediately after giving effect to such Restricted Payment:</w:t>
      </w:r>
    </w:p>
    <w:p>
      <w:pPr>
        <w:sectPr>
          <w:pgSz w:w="11900" w:h="16838" w:orient="portrait"/>
          <w:cols w:equalWidth="0" w:num="1">
            <w:col w:w="10920"/>
          </w:cols>
          <w:pgMar w:left="480" w:top="1440" w:right="499" w:bottom="1440" w:gutter="0" w:footer="0" w:header="0"/>
        </w:sectPr>
      </w:pPr>
    </w:p>
    <w:bookmarkStart w:id="196" w:name="page197"/>
    <w:bookmarkEnd w:id="196"/>
    <w:p>
      <w:pPr>
        <w:spacing w:after="0" w:line="211" w:lineRule="exact"/>
        <w:rPr>
          <w:sz w:val="20"/>
          <w:szCs w:val="20"/>
          <w:color w:val="auto"/>
        </w:rPr>
      </w:pPr>
    </w:p>
    <w:p>
      <w:pPr>
        <w:jc w:val="both"/>
        <w:ind w:left="-320" w:right="40" w:firstLine="648"/>
        <w:spacing w:after="0" w:line="224" w:lineRule="auto"/>
        <w:tabs>
          <w:tab w:leader="none" w:pos="762" w:val="left"/>
        </w:tabs>
        <w:numPr>
          <w:ilvl w:val="0"/>
          <w:numId w:val="249"/>
        </w:numPr>
        <w:rPr>
          <w:rFonts w:ascii="Arial" w:cs="Arial" w:eastAsia="Arial" w:hAnsi="Arial"/>
          <w:sz w:val="18"/>
          <w:szCs w:val="18"/>
          <w:color w:val="010000"/>
        </w:rPr>
      </w:pPr>
      <w:r>
        <w:rPr>
          <w:rFonts w:ascii="Arial" w:cs="Arial" w:eastAsia="Arial" w:hAnsi="Arial"/>
          <w:sz w:val="18"/>
          <w:szCs w:val="18"/>
          <w:color w:val="auto"/>
        </w:rPr>
        <w:t>in the case of any Restricted Payment described in clauses (w), (x) or (y) above utilizing amounts described in clause (iii) below, no Event of Default shall have occurred and be continuing at the time of declaration of such Restricted Payments or would occur as a consequence thereof;</w:t>
      </w:r>
    </w:p>
    <w:p>
      <w:pPr>
        <w:spacing w:after="0" w:line="203" w:lineRule="exact"/>
        <w:rPr>
          <w:rFonts w:ascii="Arial" w:cs="Arial" w:eastAsia="Arial" w:hAnsi="Arial"/>
          <w:sz w:val="18"/>
          <w:szCs w:val="18"/>
          <w:color w:val="010000"/>
        </w:rPr>
      </w:pPr>
    </w:p>
    <w:p>
      <w:pPr>
        <w:ind w:left="720" w:hanging="392"/>
        <w:spacing w:after="0"/>
        <w:tabs>
          <w:tab w:leader="none" w:pos="720" w:val="left"/>
        </w:tabs>
        <w:numPr>
          <w:ilvl w:val="0"/>
          <w:numId w:val="24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left="-320" w:right="40" w:firstLine="647"/>
        <w:spacing w:after="0" w:line="248" w:lineRule="auto"/>
        <w:tabs>
          <w:tab w:leader="none" w:pos="648" w:val="left"/>
        </w:tabs>
        <w:numPr>
          <w:ilvl w:val="0"/>
          <w:numId w:val="249"/>
        </w:numPr>
        <w:rPr>
          <w:rFonts w:ascii="Arial" w:cs="Arial" w:eastAsia="Arial" w:hAnsi="Arial"/>
          <w:sz w:val="16"/>
          <w:szCs w:val="16"/>
          <w:color w:val="010000"/>
        </w:rPr>
      </w:pPr>
      <w:r>
        <w:rPr>
          <w:rFonts w:ascii="Arial" w:cs="Arial" w:eastAsia="Arial" w:hAnsi="Arial"/>
          <w:sz w:val="16"/>
          <w:szCs w:val="16"/>
          <w:color w:val="auto"/>
        </w:rPr>
        <w:t>such Restricted Payment, together with the aggregate amount of all Restricted Payments (including the fair market value of any non-cash amount) made by the Parent Borrower and the Restricted Subsidiaries after the Closing Date permitted by Section 7.06(b)(i) (to the extent at the applicable date of declaration or notice, the dividend or other distribution or redemption payment is to be made in reliance on this clause (iii) or Section 7.06(b)(vi)(C)) or Section 7.06(b)(vi)(C), but excluding all other Restricted Payments permitted by Section 7.06(b) (and for the avoidance of doubt, all other Permitted Investments)), is less than the sum of (without duplication):</w:t>
      </w:r>
    </w:p>
    <w:p>
      <w:pPr>
        <w:spacing w:after="0" w:line="183" w:lineRule="exact"/>
        <w:rPr>
          <w:rFonts w:ascii="Arial" w:cs="Arial" w:eastAsia="Arial" w:hAnsi="Arial"/>
          <w:sz w:val="16"/>
          <w:szCs w:val="16"/>
          <w:color w:val="010000"/>
        </w:rPr>
      </w:pPr>
    </w:p>
    <w:p>
      <w:pPr>
        <w:jc w:val="both"/>
        <w:ind w:left="80" w:firstLine="654"/>
        <w:spacing w:after="0" w:line="235" w:lineRule="auto"/>
        <w:tabs>
          <w:tab w:leader="none" w:pos="1165" w:val="left"/>
        </w:tabs>
        <w:numPr>
          <w:ilvl w:val="1"/>
          <w:numId w:val="249"/>
        </w:numPr>
        <w:rPr>
          <w:rFonts w:ascii="Arial" w:cs="Arial" w:eastAsia="Arial" w:hAnsi="Arial"/>
          <w:sz w:val="17"/>
          <w:szCs w:val="17"/>
          <w:color w:val="010000"/>
        </w:rPr>
      </w:pPr>
      <w:r>
        <w:rPr>
          <w:rFonts w:ascii="Arial" w:cs="Arial" w:eastAsia="Arial" w:hAnsi="Arial"/>
          <w:sz w:val="17"/>
          <w:szCs w:val="17"/>
          <w:color w:val="auto"/>
        </w:rPr>
        <w:t xml:space="preserve">50% of Consolidated Net Income of the Parent Borrower for the period (taken as one accounting period and including the predecessor) beginning the first day of the fiscal quarter in which the Closing Date occurs to the end of the most recently ended Test Period preceding such Restricted Payment for which financial statements have been delivered to the Administrative Agent pursuant to Section 6.01(a) or 6.01(b), as applicable, or, in the case such Consolidated Net Income for such period is a deficit, minus 100% of such deficit (provided, that in no event shall this clause (A) be less than zero); </w:t>
      </w:r>
      <w:r>
        <w:rPr>
          <w:rFonts w:ascii="Arial" w:cs="Arial" w:eastAsia="Arial" w:hAnsi="Arial"/>
          <w:sz w:val="17"/>
          <w:szCs w:val="17"/>
          <w:i w:val="1"/>
          <w:iCs w:val="1"/>
          <w:color w:val="auto"/>
        </w:rPr>
        <w:t>plus</w:t>
      </w:r>
    </w:p>
    <w:p>
      <w:pPr>
        <w:spacing w:after="0" w:line="190" w:lineRule="exact"/>
        <w:rPr>
          <w:rFonts w:ascii="Arial" w:cs="Arial" w:eastAsia="Arial" w:hAnsi="Arial"/>
          <w:sz w:val="17"/>
          <w:szCs w:val="17"/>
          <w:color w:val="010000"/>
        </w:rPr>
      </w:pPr>
    </w:p>
    <w:p>
      <w:pPr>
        <w:jc w:val="both"/>
        <w:ind w:left="80" w:right="40" w:firstLine="654"/>
        <w:spacing w:after="0" w:line="223" w:lineRule="auto"/>
        <w:tabs>
          <w:tab w:leader="none" w:pos="1023" w:val="left"/>
        </w:tabs>
        <w:numPr>
          <w:ilvl w:val="1"/>
          <w:numId w:val="249"/>
        </w:numPr>
        <w:rPr>
          <w:rFonts w:ascii="Arial" w:cs="Arial" w:eastAsia="Arial" w:hAnsi="Arial"/>
          <w:sz w:val="18"/>
          <w:szCs w:val="18"/>
          <w:color w:val="010000"/>
        </w:rPr>
      </w:pPr>
      <w:r>
        <w:rPr>
          <w:rFonts w:ascii="Arial" w:cs="Arial" w:eastAsia="Arial" w:hAnsi="Arial"/>
          <w:sz w:val="18"/>
          <w:szCs w:val="18"/>
          <w:color w:val="auto"/>
        </w:rPr>
        <w:t>100% of the aggregate net cash proceeds and the fair market value of marketable securities or other property received by the Parent Borrower since the Closing Date (other than net cash proceeds to the extent such net cash proceeds have been used to incur Indebtedness or issue Disqualified Equity Interests or Preferred Stock pursuant to Section 7.03(m)(i) or have been designated as an ABL Cure Amount) from the issue or sale of:</w:t>
      </w:r>
    </w:p>
    <w:p>
      <w:pPr>
        <w:spacing w:after="0" w:line="189" w:lineRule="exact"/>
        <w:rPr>
          <w:rFonts w:ascii="Arial" w:cs="Arial" w:eastAsia="Arial" w:hAnsi="Arial"/>
          <w:sz w:val="18"/>
          <w:szCs w:val="18"/>
          <w:color w:val="010000"/>
        </w:rPr>
      </w:pPr>
    </w:p>
    <w:p>
      <w:pPr>
        <w:ind w:left="980" w:right="40" w:firstLine="644"/>
        <w:spacing w:after="0" w:line="274" w:lineRule="auto"/>
        <w:tabs>
          <w:tab w:leader="none" w:pos="1858" w:val="left"/>
        </w:tabs>
        <w:numPr>
          <w:ilvl w:val="2"/>
          <w:numId w:val="249"/>
        </w:numPr>
        <w:rPr>
          <w:rFonts w:ascii="Arial" w:cs="Arial" w:eastAsia="Arial" w:hAnsi="Arial"/>
          <w:sz w:val="17"/>
          <w:szCs w:val="17"/>
          <w:color w:val="auto"/>
        </w:rPr>
      </w:pPr>
      <w:r>
        <w:rPr>
          <w:rFonts w:ascii="Arial" w:cs="Arial" w:eastAsia="Arial" w:hAnsi="Arial"/>
          <w:sz w:val="17"/>
          <w:szCs w:val="17"/>
          <w:color w:val="auto"/>
        </w:rPr>
        <w:t>(a) Equity Interests of the Parent Borrower, including Treasury Capital Stock (as defined below), but excluding cash proceeds and the fair market value of marketable securities or other property received from the sale of:</w:t>
      </w:r>
    </w:p>
    <w:p>
      <w:pPr>
        <w:spacing w:after="0" w:line="161" w:lineRule="exact"/>
        <w:rPr>
          <w:rFonts w:ascii="Arial" w:cs="Arial" w:eastAsia="Arial" w:hAnsi="Arial"/>
          <w:sz w:val="17"/>
          <w:szCs w:val="17"/>
          <w:color w:val="auto"/>
        </w:rPr>
      </w:pPr>
    </w:p>
    <w:p>
      <w:pPr>
        <w:jc w:val="both"/>
        <w:ind w:left="1620" w:firstLine="652"/>
        <w:spacing w:after="0" w:line="219" w:lineRule="auto"/>
        <w:tabs>
          <w:tab w:leader="none" w:pos="2591" w:val="left"/>
        </w:tabs>
        <w:numPr>
          <w:ilvl w:val="3"/>
          <w:numId w:val="249"/>
        </w:numPr>
        <w:rPr>
          <w:rFonts w:ascii="Arial" w:cs="Arial" w:eastAsia="Arial" w:hAnsi="Arial"/>
          <w:sz w:val="18"/>
          <w:szCs w:val="18"/>
          <w:color w:val="auto"/>
        </w:rPr>
      </w:pPr>
      <w:r>
        <w:rPr>
          <w:rFonts w:ascii="Arial" w:cs="Arial" w:eastAsia="Arial" w:hAnsi="Arial"/>
          <w:sz w:val="18"/>
          <w:szCs w:val="18"/>
          <w:color w:val="auto"/>
        </w:rPr>
        <w:t>Equity Interests to any future, present or former employees, directors, officers, members of management, independent contractors, advisors, service providers or consultants (or their respective Controlled Investment Affiliates or Immediate Family Members) of the Parent Borrower or any of the Parent Borrower’s Subsidiaries after the Closing Date to the extent such amounts have been applied to Restricted Payments made in accordance with Section 7.06(b)(iv); and</w:t>
      </w:r>
    </w:p>
    <w:p>
      <w:pPr>
        <w:spacing w:after="0" w:line="203" w:lineRule="exact"/>
        <w:rPr>
          <w:rFonts w:ascii="Arial" w:cs="Arial" w:eastAsia="Arial" w:hAnsi="Arial"/>
          <w:sz w:val="18"/>
          <w:szCs w:val="18"/>
          <w:color w:val="auto"/>
        </w:rPr>
      </w:pPr>
    </w:p>
    <w:p>
      <w:pPr>
        <w:ind w:left="2660" w:hanging="388"/>
        <w:spacing w:after="0"/>
        <w:tabs>
          <w:tab w:leader="none" w:pos="2660" w:val="left"/>
        </w:tabs>
        <w:numPr>
          <w:ilvl w:val="3"/>
          <w:numId w:val="249"/>
        </w:numPr>
        <w:rPr>
          <w:rFonts w:ascii="Arial" w:cs="Arial" w:eastAsia="Arial" w:hAnsi="Arial"/>
          <w:sz w:val="18"/>
          <w:szCs w:val="18"/>
          <w:color w:val="auto"/>
        </w:rPr>
      </w:pPr>
      <w:r>
        <w:rPr>
          <w:rFonts w:ascii="Arial" w:cs="Arial" w:eastAsia="Arial" w:hAnsi="Arial"/>
          <w:sz w:val="18"/>
          <w:szCs w:val="18"/>
          <w:color w:val="auto"/>
        </w:rPr>
        <w:t>Designated Preferred Stock; and</w:t>
      </w:r>
    </w:p>
    <w:p>
      <w:pPr>
        <w:spacing w:after="0" w:line="225" w:lineRule="exact"/>
        <w:rPr>
          <w:sz w:val="20"/>
          <w:szCs w:val="20"/>
          <w:color w:val="auto"/>
        </w:rPr>
      </w:pPr>
    </w:p>
    <w:p>
      <w:pPr>
        <w:jc w:val="both"/>
        <w:ind w:left="980" w:right="40" w:firstLine="644"/>
        <w:spacing w:after="0" w:line="223" w:lineRule="auto"/>
        <w:tabs>
          <w:tab w:leader="none" w:pos="21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the extent such net proceeds or other property are actually contributed to a Parent Borrower, Equity Interests of any direct or indirect parent company of such Parent Borrower (excluding contributions of the proceeds from the sale of Designated Preferred Stock of such company or contributions to the extent such amounts have been applied to Restricted Payments made in accordance with Section 7.06(b)(iv)); or</w:t>
      </w:r>
    </w:p>
    <w:p>
      <w:pPr>
        <w:spacing w:after="0" w:line="189" w:lineRule="exact"/>
        <w:rPr>
          <w:sz w:val="20"/>
          <w:szCs w:val="20"/>
          <w:color w:val="auto"/>
        </w:rPr>
      </w:pPr>
    </w:p>
    <w:p>
      <w:pPr>
        <w:ind w:left="980" w:right="40" w:firstLine="644"/>
        <w:spacing w:after="0" w:line="235" w:lineRule="auto"/>
        <w:tabs>
          <w:tab w:leader="none" w:pos="192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debt securities of the Parent Borrower, that have been converted into or exchanged for Equity Interests (other than Disqualified Equity Interests) of the Parent Borrower;</w:t>
      </w:r>
    </w:p>
    <w:p>
      <w:pPr>
        <w:sectPr>
          <w:pgSz w:w="11900" w:h="16838" w:orient="portrait"/>
          <w:cols w:equalWidth="0" w:num="1">
            <w:col w:w="9960"/>
          </w:cols>
          <w:pgMar w:left="1440" w:top="1440" w:right="499" w:bottom="1440" w:gutter="0" w:footer="0" w:header="0"/>
        </w:sectPr>
      </w:pPr>
    </w:p>
    <w:bookmarkStart w:id="197" w:name="page198"/>
    <w:bookmarkEnd w:id="197"/>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this clause (B) shall not include the proceeds from (W) Refunding Capital Stock (as defined below) applied in accordance with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7.06(b)(ii), (X) Equity Interests or convertible debt securities of the Parent Borrower sold to a Restricted Subsidiary, (Y) Disqualified Equity Interests or debt securities that have been converted or exchanged into Disqualified Equity Interests or (Z) Excluded Contributions;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 that the</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 xml:space="preserve">making of any Restricted Investment in a Non-Loan Party pursuant to this Section 7.06(a)(iii) shall not be subject to compliance with Section 7.06(a) (ii); </w:t>
      </w:r>
      <w:r>
        <w:rPr>
          <w:rFonts w:ascii="Arial" w:cs="Arial" w:eastAsia="Arial" w:hAnsi="Arial"/>
          <w:sz w:val="18"/>
          <w:szCs w:val="18"/>
          <w:i w:val="1"/>
          <w:iCs w:val="1"/>
          <w:color w:val="auto"/>
        </w:rPr>
        <w:t>plus</w:t>
      </w:r>
    </w:p>
    <w:p>
      <w:pPr>
        <w:spacing w:after="0" w:line="188" w:lineRule="exact"/>
        <w:rPr>
          <w:sz w:val="20"/>
          <w:szCs w:val="20"/>
          <w:color w:val="auto"/>
        </w:rPr>
      </w:pPr>
    </w:p>
    <w:p>
      <w:pPr>
        <w:jc w:val="both"/>
        <w:ind w:left="1040" w:right="40" w:firstLine="654"/>
        <w:spacing w:after="0" w:line="235" w:lineRule="auto"/>
        <w:tabs>
          <w:tab w:leader="none" w:pos="1983" w:val="left"/>
        </w:tabs>
        <w:numPr>
          <w:ilvl w:val="0"/>
          <w:numId w:val="252"/>
        </w:numPr>
        <w:rPr>
          <w:rFonts w:ascii="Arial" w:cs="Arial" w:eastAsia="Arial" w:hAnsi="Arial"/>
          <w:sz w:val="17"/>
          <w:szCs w:val="17"/>
          <w:color w:val="010000"/>
        </w:rPr>
      </w:pPr>
      <w:r>
        <w:rPr>
          <w:rFonts w:ascii="Arial" w:cs="Arial" w:eastAsia="Arial" w:hAnsi="Arial"/>
          <w:sz w:val="17"/>
          <w:szCs w:val="17"/>
          <w:color w:val="auto"/>
        </w:rPr>
        <w:t xml:space="preserve">100% of the aggregate amount of cash and the fair market value of marketable securities or other property contributed to the capital of the Parent Borrower following the Closing Date but other than (V) to the extent designated as an ABL Cure Amount, (W) net cash proceeds to the extent such net cash proceeds have been used to incur Indebtedness or issue Disqualified Equity Interests or Preferred Stock pursuant to Section 7.03(m)(i), (X) by a Restricted Subsidiary, (Y) any Excluded Contributions and (Z) net cash proceeds that constitute net cash proceeds from the sale of Designated Preferred Stock; </w:t>
      </w:r>
      <w:r>
        <w:rPr>
          <w:rFonts w:ascii="Arial" w:cs="Arial" w:eastAsia="Arial" w:hAnsi="Arial"/>
          <w:sz w:val="17"/>
          <w:szCs w:val="17"/>
          <w:i w:val="1"/>
          <w:iCs w:val="1"/>
          <w:color w:val="auto"/>
        </w:rPr>
        <w:t>plus</w:t>
      </w:r>
    </w:p>
    <w:p>
      <w:pPr>
        <w:spacing w:after="0" w:line="190" w:lineRule="exact"/>
        <w:rPr>
          <w:rFonts w:ascii="Arial" w:cs="Arial" w:eastAsia="Arial" w:hAnsi="Arial"/>
          <w:sz w:val="17"/>
          <w:szCs w:val="17"/>
          <w:color w:val="010000"/>
        </w:rPr>
      </w:pPr>
    </w:p>
    <w:p>
      <w:pPr>
        <w:ind w:left="1040" w:right="40" w:firstLine="654"/>
        <w:spacing w:after="0" w:line="235" w:lineRule="auto"/>
        <w:tabs>
          <w:tab w:leader="none" w:pos="2015" w:val="left"/>
        </w:tabs>
        <w:numPr>
          <w:ilvl w:val="0"/>
          <w:numId w:val="252"/>
        </w:numPr>
        <w:rPr>
          <w:rFonts w:ascii="Arial" w:cs="Arial" w:eastAsia="Arial" w:hAnsi="Arial"/>
          <w:sz w:val="18"/>
          <w:szCs w:val="18"/>
          <w:color w:val="010000"/>
        </w:rPr>
      </w:pPr>
      <w:r>
        <w:rPr>
          <w:rFonts w:ascii="Arial" w:cs="Arial" w:eastAsia="Arial" w:hAnsi="Arial"/>
          <w:sz w:val="18"/>
          <w:szCs w:val="18"/>
          <w:color w:val="auto"/>
        </w:rPr>
        <w:t>100% of the aggregate amount received in cash and the fair market value of marketable securities or other property received by means of:</w:t>
      </w:r>
    </w:p>
    <w:p>
      <w:pPr>
        <w:spacing w:after="0" w:line="202" w:lineRule="exact"/>
        <w:rPr>
          <w:rFonts w:ascii="Arial" w:cs="Arial" w:eastAsia="Arial" w:hAnsi="Arial"/>
          <w:sz w:val="18"/>
          <w:szCs w:val="18"/>
          <w:color w:val="010000"/>
        </w:rPr>
      </w:pPr>
    </w:p>
    <w:p>
      <w:pPr>
        <w:jc w:val="both"/>
        <w:ind w:left="1940" w:firstLine="644"/>
        <w:spacing w:after="0" w:line="230" w:lineRule="auto"/>
        <w:tabs>
          <w:tab w:leader="none" w:pos="309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the sale or other disposition (other than to the Parent Borrower or any of its Restricted Subsidiaries) of, or other Returns (other than Returns that reduce Investments pursuant to the last paragraph of the definition thereof) on Investments from, Restricted Investments made by the Parent Borrower or any of its Restricted Subsidiaries and repurchases and redemptions of such Restricted Investments from the Parent Borrower or a Restricted Subsidiary (other than by the Parent Borrower or a Restricted Subsidiary) and repayments of loans or advances, and releases of guarantees, which constitute Restricted Investments made by the Parent Borrower or a Restricted Subsidiary, in each case after the Closing Date (in each case, other than Restricted Investments made by the Parent Borrower or any of its Restricted Subsidiaries pursuant to Section 7.06(b)(x) or 7.06(b)(xvii)); or</w:t>
      </w:r>
    </w:p>
    <w:p>
      <w:pPr>
        <w:spacing w:after="0" w:line="188" w:lineRule="exact"/>
        <w:rPr>
          <w:rFonts w:ascii="Arial" w:cs="Arial" w:eastAsia="Arial" w:hAnsi="Arial"/>
          <w:sz w:val="17"/>
          <w:szCs w:val="17"/>
          <w:color w:val="auto"/>
        </w:rPr>
      </w:pPr>
    </w:p>
    <w:p>
      <w:pPr>
        <w:jc w:val="both"/>
        <w:ind w:left="1940" w:right="20" w:firstLine="643"/>
        <w:spacing w:after="0" w:line="229" w:lineRule="auto"/>
        <w:tabs>
          <w:tab w:leader="none" w:pos="3093"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the sale (other than to the Parent Borrower or any of its Restricted Subsidiaries) of the stock or any assets of an Unrestricted Subsidiary (or any joint venture (other than any Restricted Subsidiary) or other minority Investment or a distribution or a dividend from an Unrestricted Subsidiary, any joint venture (other than any Restricted Subsidiary) or other minority Investment (other than to the extent the Investment in such Unrestricted Subsidiary was made by the Parent Borrower or a Restricted Subsidiary pursuant to Section 7.06(b)(x), 7.06(b)(xvii) or 7.06(b)(xxiii) or to the extent such Investment constituted a Permitted Investment, but including such cash or fair market value to the extent exceeding the amount of such Permitted Investment), in each case, after the Closing Date; </w:t>
      </w:r>
      <w:r>
        <w:rPr>
          <w:rFonts w:ascii="Arial" w:cs="Arial" w:eastAsia="Arial" w:hAnsi="Arial"/>
          <w:sz w:val="17"/>
          <w:szCs w:val="17"/>
          <w:i w:val="1"/>
          <w:iCs w:val="1"/>
          <w:color w:val="auto"/>
        </w:rPr>
        <w:t>plus</w:t>
      </w:r>
    </w:p>
    <w:p>
      <w:pPr>
        <w:spacing w:after="0" w:line="206" w:lineRule="exact"/>
        <w:rPr>
          <w:rFonts w:ascii="Arial" w:cs="Arial" w:eastAsia="Arial" w:hAnsi="Arial"/>
          <w:sz w:val="17"/>
          <w:szCs w:val="17"/>
          <w:color w:val="auto"/>
        </w:rPr>
      </w:pPr>
    </w:p>
    <w:p>
      <w:pPr>
        <w:jc w:val="both"/>
        <w:ind w:left="1040" w:firstLine="654"/>
        <w:spacing w:after="0" w:line="241" w:lineRule="auto"/>
        <w:tabs>
          <w:tab w:leader="none" w:pos="1981" w:val="left"/>
        </w:tabs>
        <w:numPr>
          <w:ilvl w:val="0"/>
          <w:numId w:val="252"/>
        </w:numPr>
        <w:rPr>
          <w:rFonts w:ascii="Arial" w:cs="Arial" w:eastAsia="Arial" w:hAnsi="Arial"/>
          <w:sz w:val="16"/>
          <w:szCs w:val="16"/>
          <w:color w:val="010000"/>
        </w:rPr>
      </w:pPr>
      <w:r>
        <w:rPr>
          <w:rFonts w:ascii="Arial" w:cs="Arial" w:eastAsia="Arial" w:hAnsi="Arial"/>
          <w:sz w:val="16"/>
          <w:szCs w:val="16"/>
          <w:color w:val="auto"/>
        </w:rPr>
        <w:t xml:space="preserve">in the case of the redesignation of an Unrestricted Subsidiary as a Restricted Subsidiary or the merger, amalgamation or consolidation of an Unrestricted Subsidiary into the Parent Borrower or a Restricted Subsidiary or the transfer of all or substantially all of the assets of an Unrestricted Subsidiary to the Parent Borrower or a Restricted Subsidiary after the Closing Date, the fair market value of the Investment in such Unrestricted Subsidiary (or the assets transferred) at the time of the redesignation of such Unrestricted Subsidiary as a Restricted Subsidiary or at the time of such merger, amalgamation, consolidation or transfer of assets, other than to the extent the Investment in such Unrestricted Subsidiary was made by the Parent Borrower or a Restricted Subsidiary pursuant to Section 7.06(b)(x), 7.06(b)(xvii) or 7.06(b)(xxiii) or to the extent such Investment constituted a Permitted Investment, but, to the extent exceeding the amount of such Permitted Investment, including such excess amounts of cash or fair market value;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this Section 7.06(a)(iii)(E), if the fair market value of any such marketable securities or other property (other than cash) contributed or received, or such Investment, as applicable to be included in this clause (E), shall</w:t>
      </w:r>
    </w:p>
    <w:p>
      <w:pPr>
        <w:sectPr>
          <w:pgSz w:w="11900" w:h="16838" w:orient="portrait"/>
          <w:cols w:equalWidth="0" w:num="1">
            <w:col w:w="10920"/>
          </w:cols>
          <w:pgMar w:left="480" w:top="1440" w:right="499" w:bottom="1440" w:gutter="0" w:footer="0" w:header="0"/>
        </w:sectPr>
      </w:pPr>
    </w:p>
    <w:bookmarkStart w:id="198" w:name="page199"/>
    <w:bookmarkEnd w:id="198"/>
    <w:p>
      <w:pPr>
        <w:spacing w:after="0" w:line="211" w:lineRule="exact"/>
        <w:rPr>
          <w:sz w:val="20"/>
          <w:szCs w:val="20"/>
          <w:color w:val="auto"/>
        </w:rPr>
      </w:pPr>
    </w:p>
    <w:p>
      <w:pPr>
        <w:jc w:val="both"/>
        <w:ind w:left="400" w:right="20"/>
        <w:spacing w:after="0" w:line="237" w:lineRule="auto"/>
        <w:rPr>
          <w:sz w:val="20"/>
          <w:szCs w:val="20"/>
          <w:color w:val="auto"/>
        </w:rPr>
      </w:pPr>
      <w:r>
        <w:rPr>
          <w:rFonts w:ascii="Arial" w:cs="Arial" w:eastAsia="Arial" w:hAnsi="Arial"/>
          <w:sz w:val="17"/>
          <w:szCs w:val="17"/>
          <w:color w:val="auto"/>
        </w:rPr>
        <w:t xml:space="preserve">exceed $25,000,000 in any redesignation, transaction or series or related transactions, such fair market value shall be determined by the Board of Directors of the Parent Borrower at the time of the redesignation of such Unrestricted Subsidiary as a Restricted Subsidiary whose resolution with respect thereto will be delivered to the Administrative Agent; </w:t>
      </w:r>
      <w:r>
        <w:rPr>
          <w:rFonts w:ascii="Arial" w:cs="Arial" w:eastAsia="Arial" w:hAnsi="Arial"/>
          <w:sz w:val="17"/>
          <w:szCs w:val="17"/>
          <w:i w:val="1"/>
          <w:iCs w:val="1"/>
          <w:color w:val="auto"/>
        </w:rPr>
        <w:t>plus</w:t>
      </w:r>
    </w:p>
    <w:p>
      <w:pPr>
        <w:spacing w:after="0" w:line="204" w:lineRule="exact"/>
        <w:rPr>
          <w:sz w:val="20"/>
          <w:szCs w:val="20"/>
          <w:color w:val="auto"/>
        </w:rPr>
      </w:pPr>
    </w:p>
    <w:p>
      <w:pPr>
        <w:jc w:val="both"/>
        <w:ind w:left="400" w:right="20" w:firstLine="654"/>
        <w:spacing w:after="0" w:line="223" w:lineRule="auto"/>
        <w:tabs>
          <w:tab w:leader="none" w:pos="1465" w:val="left"/>
        </w:tabs>
        <w:numPr>
          <w:ilvl w:val="2"/>
          <w:numId w:val="253"/>
        </w:numPr>
        <w:rPr>
          <w:rFonts w:ascii="Arial" w:cs="Arial" w:eastAsia="Arial" w:hAnsi="Arial"/>
          <w:sz w:val="18"/>
          <w:szCs w:val="18"/>
          <w:color w:val="010000"/>
        </w:rPr>
      </w:pPr>
      <w:r>
        <w:rPr>
          <w:rFonts w:ascii="Arial" w:cs="Arial" w:eastAsia="Arial" w:hAnsi="Arial"/>
          <w:sz w:val="18"/>
          <w:szCs w:val="18"/>
          <w:color w:val="auto"/>
        </w:rPr>
        <w:t xml:space="preserve">Declined Proceeds less (x) any Declined Proceeds the proceeds of which are required to be used to effect the repurchase, redemption or other acquisition or retirement for value of any Indebtedness of the Parent Borrower or any of its Restricted Subsidiaries pursuant to provisions similar to those described in Sections 2.05(b)(i), 2.05(b)(ii) or 2.05(b)(iii) hereunder and (y) any Declined Proceeds applied to make a payment pursuant to Section 7.06(b)(xiii); </w:t>
      </w:r>
      <w:r>
        <w:rPr>
          <w:rFonts w:ascii="Arial" w:cs="Arial" w:eastAsia="Arial" w:hAnsi="Arial"/>
          <w:sz w:val="18"/>
          <w:szCs w:val="18"/>
          <w:i w:val="1"/>
          <w:iCs w:val="1"/>
          <w:color w:val="auto"/>
        </w:rPr>
        <w:t>plus</w:t>
      </w:r>
    </w:p>
    <w:p>
      <w:pPr>
        <w:spacing w:after="0" w:line="189" w:lineRule="exact"/>
        <w:rPr>
          <w:rFonts w:ascii="Arial" w:cs="Arial" w:eastAsia="Arial" w:hAnsi="Arial"/>
          <w:sz w:val="18"/>
          <w:szCs w:val="18"/>
          <w:color w:val="010000"/>
        </w:rPr>
      </w:pPr>
    </w:p>
    <w:p>
      <w:pPr>
        <w:jc w:val="both"/>
        <w:ind w:left="400" w:right="20" w:firstLine="654"/>
        <w:spacing w:after="0" w:line="229" w:lineRule="auto"/>
        <w:tabs>
          <w:tab w:leader="none" w:pos="1347" w:val="left"/>
        </w:tabs>
        <w:numPr>
          <w:ilvl w:val="2"/>
          <w:numId w:val="253"/>
        </w:numPr>
        <w:rPr>
          <w:rFonts w:ascii="Arial" w:cs="Arial" w:eastAsia="Arial" w:hAnsi="Arial"/>
          <w:sz w:val="18"/>
          <w:szCs w:val="18"/>
          <w:color w:val="010000"/>
        </w:rPr>
      </w:pPr>
      <w:r>
        <w:rPr>
          <w:rFonts w:ascii="Arial" w:cs="Arial" w:eastAsia="Arial" w:hAnsi="Arial"/>
          <w:sz w:val="18"/>
          <w:szCs w:val="18"/>
          <w:color w:val="auto"/>
        </w:rPr>
        <w:t xml:space="preserve">an amount equal to the greater of (x) $75,000,000 and (y) 30.0% of Trailing Four Quarter Consolidated EBITDA (with the amount of each Restricted Investment being measured at the time made and without giving effect to subsequent changes in value); </w:t>
      </w:r>
      <w:r>
        <w:rPr>
          <w:rFonts w:ascii="Arial" w:cs="Arial" w:eastAsia="Arial" w:hAnsi="Arial"/>
          <w:sz w:val="18"/>
          <w:szCs w:val="18"/>
          <w:i w:val="1"/>
          <w:iCs w:val="1"/>
          <w:color w:val="auto"/>
        </w:rPr>
        <w:t>minus</w:t>
      </w:r>
    </w:p>
    <w:p>
      <w:pPr>
        <w:spacing w:after="0" w:line="190" w:lineRule="exact"/>
        <w:rPr>
          <w:rFonts w:ascii="Arial" w:cs="Arial" w:eastAsia="Arial" w:hAnsi="Arial"/>
          <w:sz w:val="18"/>
          <w:szCs w:val="18"/>
          <w:color w:val="010000"/>
        </w:rPr>
      </w:pPr>
    </w:p>
    <w:p>
      <w:pPr>
        <w:ind w:left="1480" w:hanging="426"/>
        <w:spacing w:after="0"/>
        <w:tabs>
          <w:tab w:leader="none" w:pos="1480" w:val="left"/>
        </w:tabs>
        <w:numPr>
          <w:ilvl w:val="2"/>
          <w:numId w:val="253"/>
        </w:numPr>
        <w:rPr>
          <w:rFonts w:ascii="Arial" w:cs="Arial" w:eastAsia="Arial" w:hAnsi="Arial"/>
          <w:sz w:val="18"/>
          <w:szCs w:val="18"/>
          <w:color w:val="010000"/>
        </w:rPr>
      </w:pPr>
      <w:r>
        <w:rPr>
          <w:rFonts w:ascii="Arial" w:cs="Arial" w:eastAsia="Arial" w:hAnsi="Arial"/>
          <w:sz w:val="18"/>
          <w:szCs w:val="18"/>
          <w:color w:val="auto"/>
        </w:rPr>
        <w:t>the aggregate amount of Indebtedness incurred in reliance on Section 7.03(aa).</w:t>
      </w:r>
    </w:p>
    <w:p>
      <w:pPr>
        <w:spacing w:after="0" w:line="225" w:lineRule="exact"/>
        <w:rPr>
          <w:rFonts w:ascii="Arial" w:cs="Arial" w:eastAsia="Arial" w:hAnsi="Arial"/>
          <w:sz w:val="18"/>
          <w:szCs w:val="18"/>
          <w:color w:val="010000"/>
        </w:rPr>
      </w:pPr>
    </w:p>
    <w:p>
      <w:pPr>
        <w:ind w:left="640" w:hanging="640"/>
        <w:spacing w:after="0"/>
        <w:tabs>
          <w:tab w:leader="none" w:pos="640"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The provisions of Section 7.06(a) will not prohibit:</w:t>
      </w:r>
    </w:p>
    <w:p>
      <w:pPr>
        <w:spacing w:after="0" w:line="225" w:lineRule="exact"/>
        <w:rPr>
          <w:rFonts w:ascii="Arial" w:cs="Arial" w:eastAsia="Arial" w:hAnsi="Arial"/>
          <w:sz w:val="18"/>
          <w:szCs w:val="18"/>
          <w:color w:val="010000"/>
        </w:rPr>
      </w:pPr>
    </w:p>
    <w:p>
      <w:pPr>
        <w:jc w:val="both"/>
        <w:ind w:firstLine="648"/>
        <w:spacing w:after="0" w:line="245" w:lineRule="auto"/>
        <w:tabs>
          <w:tab w:leader="none" w:pos="1152" w:val="left"/>
        </w:tabs>
        <w:numPr>
          <w:ilvl w:val="1"/>
          <w:numId w:val="254"/>
        </w:numPr>
        <w:rPr>
          <w:rFonts w:ascii="Arial" w:cs="Arial" w:eastAsia="Arial" w:hAnsi="Arial"/>
          <w:sz w:val="17"/>
          <w:szCs w:val="17"/>
          <w:color w:val="010000"/>
        </w:rPr>
      </w:pPr>
      <w:r>
        <w:rPr>
          <w:rFonts w:ascii="Arial" w:cs="Arial" w:eastAsia="Arial" w:hAnsi="Arial"/>
          <w:sz w:val="17"/>
          <w:szCs w:val="17"/>
          <w:color w:val="auto"/>
        </w:rPr>
        <w:t>the payment of any dividend or other distribution or the consummation of any irrevocable redemption within 60 days after the date of declaration of the dividend or other distribution or giving of the redemption notice, as the case may be, if at the date of declaration or notice, the dividend or other distribution or redemption payment would have complied with this Agreement;</w:t>
      </w:r>
    </w:p>
    <w:p>
      <w:pPr>
        <w:spacing w:after="0" w:line="184" w:lineRule="exact"/>
        <w:rPr>
          <w:rFonts w:ascii="Arial" w:cs="Arial" w:eastAsia="Arial" w:hAnsi="Arial"/>
          <w:sz w:val="17"/>
          <w:szCs w:val="17"/>
          <w:color w:val="010000"/>
        </w:rPr>
      </w:pPr>
    </w:p>
    <w:p>
      <w:pPr>
        <w:jc w:val="both"/>
        <w:ind w:right="20" w:firstLine="648"/>
        <w:spacing w:after="0" w:line="226" w:lineRule="auto"/>
        <w:tabs>
          <w:tab w:leader="none" w:pos="1152" w:val="left"/>
        </w:tabs>
        <w:numPr>
          <w:ilvl w:val="1"/>
          <w:numId w:val="254"/>
        </w:numPr>
        <w:rPr>
          <w:rFonts w:ascii="Arial" w:cs="Arial" w:eastAsia="Arial" w:hAnsi="Arial"/>
          <w:sz w:val="17"/>
          <w:szCs w:val="17"/>
          <w:color w:val="010000"/>
        </w:rPr>
      </w:pPr>
      <w:r>
        <w:rPr>
          <w:rFonts w:ascii="Arial" w:cs="Arial" w:eastAsia="Arial" w:hAnsi="Arial"/>
          <w:sz w:val="17"/>
          <w:szCs w:val="17"/>
          <w:color w:val="auto"/>
        </w:rPr>
        <w:t>(a) the redemption, repurchase, retirement or other acquisition of any Equity Interests, including any accrued and unpaid dividends thereon (“</w:t>
      </w:r>
      <w:r>
        <w:rPr>
          <w:rFonts w:ascii="Arial" w:cs="Arial" w:eastAsia="Arial" w:hAnsi="Arial"/>
          <w:sz w:val="17"/>
          <w:szCs w:val="17"/>
          <w:b w:val="1"/>
          <w:bCs w:val="1"/>
          <w:color w:val="auto"/>
        </w:rPr>
        <w:t>Treasury Capital Stock</w:t>
      </w:r>
      <w:r>
        <w:rPr>
          <w:rFonts w:ascii="Arial" w:cs="Arial" w:eastAsia="Arial" w:hAnsi="Arial"/>
          <w:sz w:val="17"/>
          <w:szCs w:val="17"/>
          <w:color w:val="auto"/>
        </w:rPr>
        <w:t>”), or any Junior Financing of the Parent Borrower or any of its Restricted Subsidiaries, in exchange for, or out of the proceeds of, the substantially concurrent sale or issuance (other than to a Restricted Subsidiary) of, Equity Interests of the Parent Borrower to the extent contributed to the Parent Borrower (in each case, other than any Disqualified Equity Interests) (“</w:t>
      </w:r>
      <w:r>
        <w:rPr>
          <w:rFonts w:ascii="Arial" w:cs="Arial" w:eastAsia="Arial" w:hAnsi="Arial"/>
          <w:sz w:val="17"/>
          <w:szCs w:val="17"/>
          <w:b w:val="1"/>
          <w:bCs w:val="1"/>
          <w:color w:val="auto"/>
        </w:rPr>
        <w:t>Refunding Capital Stock</w:t>
      </w:r>
      <w:r>
        <w:rPr>
          <w:rFonts w:ascii="Arial" w:cs="Arial" w:eastAsia="Arial" w:hAnsi="Arial"/>
          <w:sz w:val="17"/>
          <w:szCs w:val="17"/>
          <w:color w:val="auto"/>
        </w:rPr>
        <w:t>”), (b) the declaration and payment of dividends on Treasury Capital Stock out of the proceeds of the substantially concurrent sale or issuance (other than to a Restricted Subsidiary of the Parent Borrower or to an employee stock ownership plan or any trust established by the Parent Borrower or any of its Restricted Subsidiaries) of Refunding Capital Stock, and (c) if, immediately prior to the retirement of Treasury Capital Stock, the declaration and payment of dividends thereon was permitted under Section 7.06(b)(vi)(A) or (B), the declaration and payment of dividends on the Refunding Capital Stock in an aggregate amount per year no greater than the aggregate amount of dividends per annum that were declarable and payable on such Treasury Capital Stock immediately prior to such retirement under Section 7.06(b)(vi)(A) or (B);</w:t>
      </w:r>
    </w:p>
    <w:p>
      <w:pPr>
        <w:spacing w:after="0" w:line="202" w:lineRule="exact"/>
        <w:rPr>
          <w:rFonts w:ascii="Arial" w:cs="Arial" w:eastAsia="Arial" w:hAnsi="Arial"/>
          <w:sz w:val="17"/>
          <w:szCs w:val="17"/>
          <w:color w:val="010000"/>
        </w:rPr>
      </w:pPr>
    </w:p>
    <w:p>
      <w:pPr>
        <w:jc w:val="both"/>
        <w:ind w:firstLine="648"/>
        <w:spacing w:after="0" w:line="227" w:lineRule="auto"/>
        <w:tabs>
          <w:tab w:leader="none" w:pos="1152" w:val="left"/>
        </w:tabs>
        <w:numPr>
          <w:ilvl w:val="1"/>
          <w:numId w:val="254"/>
        </w:numPr>
        <w:rPr>
          <w:rFonts w:ascii="Arial" w:cs="Arial" w:eastAsia="Arial" w:hAnsi="Arial"/>
          <w:sz w:val="17"/>
          <w:szCs w:val="17"/>
          <w:color w:val="010000"/>
        </w:rPr>
      </w:pPr>
      <w:r>
        <w:rPr>
          <w:rFonts w:ascii="Arial" w:cs="Arial" w:eastAsia="Arial" w:hAnsi="Arial"/>
          <w:sz w:val="17"/>
          <w:szCs w:val="17"/>
          <w:color w:val="auto"/>
        </w:rPr>
        <w:t>the principal payment on, defeasance, redemption, repurchase, exchange or other acquisition or retirement of (a) Junior Financing of the Parent Borrower or a Guarantor made by exchange for, or out of the proceeds of the substantially concurrent sale of, new Indebtedness of the Parent Borrower or a Guarantor or Disqualified Equity Interests of the Parent Borrower or a Guarantor, (b) Disqualified Equity Interests of the Parent Borrower or a Guarantor made by exchange for, or out of the proceeds of the substantially concurrent sale of, Disqualified Equity Interests or Subordinated Indebtedness of the Parent Borrower or a Guarantor, (c) Disqualified Equity Interests of a Restricted Subsidiary that is not a Guarantor made by exchange for, or out of the proceeds of the substantially concurrent sale of, Disqualified Equity Interests of a Restricted Subsidiary that is not a Guarantor that, in each case of clauses (a) through (c), is Refinancing Indebtedness incurred or issued, as applicable, in compliance with Section 7.03 and (d) any Junior Financing or Disqualified Equity Interests which constitutes Acquired Indebtedness (to the extent such Acquired Indebtedness was not incurred in contemplation of such principal payment on, defeasance, redemption, repurchase, exchange or other acquisition or retirement);</w:t>
      </w:r>
    </w:p>
    <w:p>
      <w:pPr>
        <w:sectPr>
          <w:pgSz w:w="11900" w:h="16838" w:orient="portrait"/>
          <w:cols w:equalWidth="0" w:num="1">
            <w:col w:w="10260"/>
          </w:cols>
          <w:pgMar w:left="1120" w:top="1440" w:right="519" w:bottom="1440" w:gutter="0" w:footer="0" w:header="0"/>
        </w:sectPr>
      </w:pPr>
    </w:p>
    <w:bookmarkStart w:id="199" w:name="page200"/>
    <w:bookmarkEnd w:id="199"/>
    <w:p>
      <w:pPr>
        <w:spacing w:after="0" w:line="211" w:lineRule="exact"/>
        <w:rPr>
          <w:sz w:val="20"/>
          <w:szCs w:val="20"/>
          <w:color w:val="auto"/>
        </w:rPr>
      </w:pPr>
    </w:p>
    <w:p>
      <w:pPr>
        <w:jc w:val="both"/>
        <w:ind w:left="-320" w:firstLine="648"/>
        <w:spacing w:after="0" w:line="239" w:lineRule="auto"/>
        <w:tabs>
          <w:tab w:leader="none" w:pos="832" w:val="left"/>
        </w:tabs>
        <w:numPr>
          <w:ilvl w:val="0"/>
          <w:numId w:val="255"/>
        </w:numPr>
        <w:rPr>
          <w:rFonts w:ascii="Arial" w:cs="Arial" w:eastAsia="Arial" w:hAnsi="Arial"/>
          <w:sz w:val="16"/>
          <w:szCs w:val="16"/>
          <w:color w:val="010000"/>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Equity Interests) of the Parent Borrower or any direct or indirect parent company of the Parent Borrower held by any future, present or former employee, director, officer, member of management, independent contractor, advisor, service provider or consultant (or their respective Controlled Investment Affiliates or Immediate Family Members) of the Parent Borrower, any of its Subsidiaries or any of its direct or indirect parent companies upon the death, disability, retirement or termination of employment of any such Person or pursuant to any shareholder, employee, manager or director equity plan or stock option plan or any other management or employee benefit plan or agreement, or any equity subscription or co-investor or shareholder agreement (including, for the avoidance of doubt, to pay any principal and interest payable on any notes issued by the Parent Borrower or any direct or indirect parent company of the Parent Borrower in connection with any such repurchase, retirement or other acquisition) including any arrangement including Equity Interests rolled over by management of the Parent Borrower in connection with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Restricted Payments made under this Section 7.06(b)(iv) does not exceed the greater of $25,000,000 and 10% of Trailing Four Quarter Consolidated EBITDA in any calendar year (with unused amounts in any calendar year being carried over to succeeding calendar years subject to a maximum (without giving effect to the following proviso) of the greater of $50,000,000 and 20% of Trailing Four Quarter Consolidated EBITDA in any calendar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amount in any calendar year may be increased by an amount not to exceed:</w:t>
      </w:r>
    </w:p>
    <w:p>
      <w:pPr>
        <w:spacing w:after="0" w:line="202" w:lineRule="exact"/>
        <w:rPr>
          <w:rFonts w:ascii="Arial" w:cs="Arial" w:eastAsia="Arial" w:hAnsi="Arial"/>
          <w:sz w:val="16"/>
          <w:szCs w:val="16"/>
          <w:color w:val="010000"/>
        </w:rPr>
      </w:pPr>
    </w:p>
    <w:p>
      <w:pPr>
        <w:jc w:val="both"/>
        <w:ind w:left="320" w:right="20" w:firstLine="656"/>
        <w:spacing w:after="0" w:line="244" w:lineRule="auto"/>
        <w:tabs>
          <w:tab w:leader="none" w:pos="1472" w:val="left"/>
        </w:tabs>
        <w:numPr>
          <w:ilvl w:val="2"/>
          <w:numId w:val="255"/>
        </w:numPr>
        <w:rPr>
          <w:rFonts w:ascii="Arial" w:cs="Arial" w:eastAsia="Arial" w:hAnsi="Arial"/>
          <w:sz w:val="16"/>
          <w:szCs w:val="16"/>
          <w:color w:val="auto"/>
        </w:rPr>
      </w:pPr>
      <w:r>
        <w:rPr>
          <w:rFonts w:ascii="Arial" w:cs="Arial" w:eastAsia="Arial" w:hAnsi="Arial"/>
          <w:sz w:val="16"/>
          <w:szCs w:val="16"/>
          <w:color w:val="auto"/>
        </w:rPr>
        <w:t xml:space="preserve">the cash proceeds from the sale of Equity Interests (other than Disqualified Equity Interests) of the Parent Borrower and, to the extent contributed to the Parent Borrower, the cash proceeds from the sale of Equity Interests of any direct or indirect parent company of the Parent Borrower, in each case to any future, present or former employees, directors, officers, members of management, independent contractors, advisors, service providers or consultants (or their respective Controlled Investment Affiliates or Immediate Family Members) of the Parent Borrower, any of its Subsidiaries or any of its direct or indirect parent companies that occurs after the Closing Date, to the extent the cash proceeds from the sale of such Equity Interests have not otherwise been applied to the payment of Restricted Payments by virtue of Section 7.06(a)(iii) or designated an Excluded Contribution; </w:t>
      </w:r>
      <w:r>
        <w:rPr>
          <w:rFonts w:ascii="Arial" w:cs="Arial" w:eastAsia="Arial" w:hAnsi="Arial"/>
          <w:sz w:val="16"/>
          <w:szCs w:val="16"/>
          <w:i w:val="1"/>
          <w:iCs w:val="1"/>
          <w:color w:val="auto"/>
        </w:rPr>
        <w:t>plus</w:t>
      </w:r>
    </w:p>
    <w:p>
      <w:pPr>
        <w:spacing w:after="0" w:line="189" w:lineRule="exact"/>
        <w:rPr>
          <w:rFonts w:ascii="Arial" w:cs="Arial" w:eastAsia="Arial" w:hAnsi="Arial"/>
          <w:sz w:val="16"/>
          <w:szCs w:val="16"/>
          <w:color w:val="auto"/>
        </w:rPr>
      </w:pPr>
    </w:p>
    <w:p>
      <w:pPr>
        <w:jc w:val="both"/>
        <w:ind w:left="320" w:right="20" w:firstLine="656"/>
        <w:spacing w:after="0" w:line="229" w:lineRule="auto"/>
        <w:tabs>
          <w:tab w:leader="none" w:pos="1472" w:val="left"/>
        </w:tabs>
        <w:numPr>
          <w:ilvl w:val="2"/>
          <w:numId w:val="255"/>
        </w:numPr>
        <w:rPr>
          <w:rFonts w:ascii="Arial" w:cs="Arial" w:eastAsia="Arial" w:hAnsi="Arial"/>
          <w:sz w:val="18"/>
          <w:szCs w:val="18"/>
          <w:color w:val="auto"/>
        </w:rPr>
      </w:pPr>
      <w:r>
        <w:rPr>
          <w:rFonts w:ascii="Arial" w:cs="Arial" w:eastAsia="Arial" w:hAnsi="Arial"/>
          <w:sz w:val="18"/>
          <w:szCs w:val="18"/>
          <w:color w:val="auto"/>
        </w:rPr>
        <w:t xml:space="preserve">the cash proceeds of key man life insurance policies received by the Parent Borrower or any of its Restricted Subsidiaries (or by any direct or indirect parent company to the extent contributed to the Parent Borrower) after the Closing Date; </w:t>
      </w:r>
      <w:r>
        <w:rPr>
          <w:rFonts w:ascii="Arial" w:cs="Arial" w:eastAsia="Arial" w:hAnsi="Arial"/>
          <w:sz w:val="18"/>
          <w:szCs w:val="18"/>
          <w:i w:val="1"/>
          <w:iCs w:val="1"/>
          <w:color w:val="auto"/>
        </w:rPr>
        <w:t>less</w:t>
      </w:r>
    </w:p>
    <w:p>
      <w:pPr>
        <w:spacing w:after="0" w:line="190" w:lineRule="exact"/>
        <w:rPr>
          <w:rFonts w:ascii="Arial" w:cs="Arial" w:eastAsia="Arial" w:hAnsi="Arial"/>
          <w:sz w:val="18"/>
          <w:szCs w:val="18"/>
          <w:color w:val="auto"/>
        </w:rPr>
      </w:pPr>
    </w:p>
    <w:p>
      <w:pPr>
        <w:ind w:left="320" w:right="20" w:firstLine="656"/>
        <w:spacing w:after="0" w:line="238" w:lineRule="auto"/>
        <w:tabs>
          <w:tab w:leader="none" w:pos="1472"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amount of any Restricted Payments previously made with the cash proceeds described in clauses (a) and (b) of this Section 7.06(b)(iv)</w:t>
      </w:r>
      <w:r>
        <w:rPr>
          <w:rFonts w:ascii="Arial" w:cs="Arial" w:eastAsia="Arial" w:hAnsi="Arial"/>
          <w:sz w:val="19"/>
          <w:szCs w:val="19"/>
          <w:color w:val="auto"/>
        </w:rPr>
        <w:t>;</w:t>
      </w:r>
    </w:p>
    <w:p>
      <w:pPr>
        <w:spacing w:after="0" w:line="212" w:lineRule="exact"/>
        <w:rPr>
          <w:rFonts w:ascii="Arial" w:cs="Arial" w:eastAsia="Arial" w:hAnsi="Arial"/>
          <w:sz w:val="18"/>
          <w:szCs w:val="18"/>
          <w:color w:val="auto"/>
        </w:rPr>
      </w:pPr>
    </w:p>
    <w:p>
      <w:pPr>
        <w:jc w:val="both"/>
        <w:ind w:left="-320" w:right="20" w:firstLine="648"/>
        <w:spacing w:after="0" w:line="223" w:lineRule="auto"/>
        <w:tabs>
          <w:tab w:leader="none" w:pos="832" w:val="left"/>
        </w:tabs>
        <w:numPr>
          <w:ilvl w:val="0"/>
          <w:numId w:val="255"/>
        </w:numPr>
        <w:rPr>
          <w:rFonts w:ascii="Arial" w:cs="Arial" w:eastAsia="Arial" w:hAnsi="Arial"/>
          <w:sz w:val="18"/>
          <w:szCs w:val="18"/>
          <w:color w:val="010000"/>
        </w:rPr>
      </w:pPr>
      <w:r>
        <w:rPr>
          <w:rFonts w:ascii="Arial" w:cs="Arial" w:eastAsia="Arial" w:hAnsi="Arial"/>
          <w:sz w:val="18"/>
          <w:szCs w:val="18"/>
          <w:color w:val="auto"/>
        </w:rPr>
        <w:t>the declaration and payment of scheduled cash dividends or scheduled cash distributions to holders of any class or series of Disqualified Equity Interests of the Parent Borrower or any of its Restricted Subsidiaries or any class or series of Preferred Stock of any Restricted Subsidiary issued in accordance with Section 7.03(g) or (s), in each case to the extent such dividends are included in the definition of “Fixed Charges”;</w:t>
      </w:r>
    </w:p>
    <w:p>
      <w:pPr>
        <w:spacing w:after="0" w:line="189" w:lineRule="exact"/>
        <w:rPr>
          <w:rFonts w:ascii="Arial" w:cs="Arial" w:eastAsia="Arial" w:hAnsi="Arial"/>
          <w:sz w:val="18"/>
          <w:szCs w:val="18"/>
          <w:color w:val="010000"/>
        </w:rPr>
      </w:pPr>
    </w:p>
    <w:p>
      <w:pPr>
        <w:ind w:left="-320" w:right="20" w:firstLine="648"/>
        <w:spacing w:after="0" w:line="235" w:lineRule="auto"/>
        <w:tabs>
          <w:tab w:leader="none" w:pos="832" w:val="left"/>
        </w:tabs>
        <w:numPr>
          <w:ilvl w:val="0"/>
          <w:numId w:val="255"/>
        </w:numPr>
        <w:rPr>
          <w:rFonts w:ascii="Arial" w:cs="Arial" w:eastAsia="Arial" w:hAnsi="Arial"/>
          <w:sz w:val="18"/>
          <w:szCs w:val="18"/>
          <w:color w:val="010000"/>
        </w:rPr>
      </w:pPr>
      <w:r>
        <w:rPr>
          <w:rFonts w:ascii="Arial" w:cs="Arial" w:eastAsia="Arial" w:hAnsi="Arial"/>
          <w:sz w:val="18"/>
          <w:szCs w:val="18"/>
          <w:color w:val="auto"/>
        </w:rPr>
        <w:t>(A) the declaration and payment of cash dividends or distributions to holders of any class or series of Designated Preferred Stock (other than Disqualified Equity Interests) issued by the Parent Borrower after the Closing Date;</w:t>
      </w:r>
    </w:p>
    <w:p>
      <w:pPr>
        <w:spacing w:after="0" w:line="202" w:lineRule="exact"/>
        <w:rPr>
          <w:rFonts w:ascii="Arial" w:cs="Arial" w:eastAsia="Arial" w:hAnsi="Arial"/>
          <w:sz w:val="18"/>
          <w:szCs w:val="18"/>
          <w:color w:val="010000"/>
        </w:rPr>
      </w:pPr>
    </w:p>
    <w:p>
      <w:pPr>
        <w:jc w:val="both"/>
        <w:ind w:left="80" w:firstLine="654"/>
        <w:spacing w:after="0" w:line="223" w:lineRule="auto"/>
        <w:tabs>
          <w:tab w:leader="none" w:pos="1474" w:val="left"/>
        </w:tabs>
        <w:numPr>
          <w:ilvl w:val="1"/>
          <w:numId w:val="255"/>
        </w:numPr>
        <w:rPr>
          <w:rFonts w:ascii="Arial" w:cs="Arial" w:eastAsia="Arial" w:hAnsi="Arial"/>
          <w:sz w:val="18"/>
          <w:szCs w:val="18"/>
          <w:color w:val="010000"/>
        </w:rPr>
      </w:pPr>
      <w:r>
        <w:rPr>
          <w:rFonts w:ascii="Arial" w:cs="Arial" w:eastAsia="Arial" w:hAnsi="Arial"/>
          <w:sz w:val="18"/>
          <w:szCs w:val="18"/>
          <w:color w:val="auto"/>
        </w:rPr>
        <w:t xml:space="preserve">the declaration and payment of cash dividends or distributions to any direct or indirect parent company of the Parent Borrower, the proceeds of which will be used to fund the payment of dividends to holders of any class or series of Designated Preferred Stock (other than Disqualified Equity Interests) issued by such parent company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dividends paid pursuant to this Section 7.06(b)(vi)(B) shall not exceed the aggregate</w:t>
      </w:r>
    </w:p>
    <w:p>
      <w:pPr>
        <w:sectPr>
          <w:pgSz w:w="11900" w:h="16838" w:orient="portrait"/>
          <w:cols w:equalWidth="0" w:num="1">
            <w:col w:w="9940"/>
          </w:cols>
          <w:pgMar w:left="1440" w:top="1440" w:right="519" w:bottom="1440" w:gutter="0" w:footer="0" w:header="0"/>
        </w:sectPr>
      </w:pPr>
    </w:p>
    <w:bookmarkStart w:id="200" w:name="page201"/>
    <w:bookmarkEnd w:id="200"/>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 of cash actually contributed to the Parent Borrower from the sale of such Designated Preferred Stock; or</w:t>
      </w:r>
    </w:p>
    <w:p>
      <w:pPr>
        <w:spacing w:after="0" w:line="225" w:lineRule="exact"/>
        <w:rPr>
          <w:sz w:val="20"/>
          <w:szCs w:val="20"/>
          <w:color w:val="auto"/>
        </w:rPr>
      </w:pPr>
    </w:p>
    <w:p>
      <w:pPr>
        <w:ind w:left="400" w:right="40" w:firstLine="654"/>
        <w:spacing w:after="0" w:line="235" w:lineRule="auto"/>
        <w:tabs>
          <w:tab w:leader="none" w:pos="1794" w:val="left"/>
        </w:tabs>
        <w:numPr>
          <w:ilvl w:val="0"/>
          <w:numId w:val="256"/>
        </w:numPr>
        <w:rPr>
          <w:rFonts w:ascii="Arial" w:cs="Arial" w:eastAsia="Arial" w:hAnsi="Arial"/>
          <w:sz w:val="18"/>
          <w:szCs w:val="18"/>
          <w:color w:val="010000"/>
        </w:rPr>
      </w:pPr>
      <w:r>
        <w:rPr>
          <w:rFonts w:ascii="Arial" w:cs="Arial" w:eastAsia="Arial" w:hAnsi="Arial"/>
          <w:sz w:val="18"/>
          <w:szCs w:val="18"/>
          <w:color w:val="auto"/>
        </w:rPr>
        <w:t>the declaration and payment of cash dividends on Refunding Capital Stock that is Preferred Stock in excess of the dividends declarable and payable thereon pursuant to Section 7.06(b)(ii);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in the case of each of clauses (A), (B) and (C) of this clause (b)(vi), that for the most recently ended Test Period preceding the date</w:t>
      </w:r>
    </w:p>
    <w:p>
      <w:pPr>
        <w:spacing w:after="0" w:line="2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of issuance of such Designated Preferred Stock or the declaration of such dividends on Refunding Capital Stock that is Preferred Stock, after giving effect to such issuance or declaration, (I) the Total Net Leverage Ratio (calculated on a Pro Forma Basis) for the immediately preceding Test Period is less than or equal to 6.00 to 1.00 or (II) the Fixed Charge Coverage Ratio (calculated on a Pro Forma Basis) for the</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immediately preceding Test Period is at least 2.00 to 1.00, and satisfaction of such tests shall be evidenced by a certificate from a Financial Officer of the Administrative Borrower demonstrating such satisfaction calculated in reasonable detail;</w:t>
      </w:r>
    </w:p>
    <w:p>
      <w:pPr>
        <w:spacing w:after="0" w:line="188" w:lineRule="exact"/>
        <w:rPr>
          <w:sz w:val="20"/>
          <w:szCs w:val="20"/>
          <w:color w:val="auto"/>
        </w:rPr>
      </w:pPr>
    </w:p>
    <w:p>
      <w:pPr>
        <w:jc w:val="both"/>
        <w:ind w:right="40" w:firstLine="648"/>
        <w:spacing w:after="0" w:line="248" w:lineRule="auto"/>
        <w:tabs>
          <w:tab w:leader="none" w:pos="1152" w:val="left"/>
        </w:tabs>
        <w:numPr>
          <w:ilvl w:val="1"/>
          <w:numId w:val="257"/>
        </w:numPr>
        <w:rPr>
          <w:rFonts w:ascii="Arial" w:cs="Arial" w:eastAsia="Arial" w:hAnsi="Arial"/>
          <w:sz w:val="16"/>
          <w:szCs w:val="16"/>
          <w:color w:val="010000"/>
        </w:rPr>
      </w:pPr>
      <w:r>
        <w:rPr>
          <w:rFonts w:ascii="Arial" w:cs="Arial" w:eastAsia="Arial" w:hAnsi="Arial"/>
          <w:sz w:val="16"/>
          <w:szCs w:val="16"/>
          <w:color w:val="auto"/>
        </w:rPr>
        <w:t>payments made or expected to be made by the Parent Borrower or any of its Restricted Subsidiaries in respect of withholding or similar taxes payable by or with respect to any future, present or former employee, director, officer, member of management, independent contractor, advisor, service provider or consultant (or their respective Controlled Investment Affiliates or Immediate Family Members) of the Parent Borrower or any of its Restricted Subsidiaries and any repurchases of Equity Interests deemed to occur upon, in each case, exercise, vesting, or settlement, as applicable, of stock options, warrants or similar rights if such Equity Interests represent a portion of the exercise price of such options, warrants or similar rights or required withholding or similar taxes;</w:t>
      </w:r>
    </w:p>
    <w:p>
      <w:pPr>
        <w:spacing w:after="0" w:line="182" w:lineRule="exact"/>
        <w:rPr>
          <w:rFonts w:ascii="Arial" w:cs="Arial" w:eastAsia="Arial" w:hAnsi="Arial"/>
          <w:sz w:val="16"/>
          <w:szCs w:val="16"/>
          <w:color w:val="010000"/>
        </w:rPr>
      </w:pPr>
    </w:p>
    <w:p>
      <w:pPr>
        <w:ind w:left="1160" w:hanging="512"/>
        <w:spacing w:after="0"/>
        <w:tabs>
          <w:tab w:leader="none" w:pos="1160" w:val="left"/>
        </w:tabs>
        <w:numPr>
          <w:ilvl w:val="1"/>
          <w:numId w:val="257"/>
        </w:numPr>
        <w:rPr>
          <w:rFonts w:ascii="Arial" w:cs="Arial" w:eastAsia="Arial" w:hAnsi="Arial"/>
          <w:sz w:val="16"/>
          <w:szCs w:val="16"/>
          <w:color w:val="010000"/>
        </w:rPr>
      </w:pPr>
      <w:r>
        <w:rPr>
          <w:rFonts w:ascii="Arial" w:cs="Arial" w:eastAsia="Arial" w:hAnsi="Arial"/>
          <w:sz w:val="16"/>
          <w:szCs w:val="16"/>
          <w:color w:val="auto"/>
        </w:rPr>
        <w:t>Restricted Payments in an aggregate amount per annum not to exceed an amount equal to 6.00% of Market Capitalization;</w:t>
      </w:r>
    </w:p>
    <w:p>
      <w:pPr>
        <w:spacing w:after="0" w:line="248" w:lineRule="exact"/>
        <w:rPr>
          <w:rFonts w:ascii="Arial" w:cs="Arial" w:eastAsia="Arial" w:hAnsi="Arial"/>
          <w:sz w:val="16"/>
          <w:szCs w:val="16"/>
          <w:color w:val="010000"/>
        </w:rPr>
      </w:pPr>
    </w:p>
    <w:p>
      <w:pPr>
        <w:ind w:left="1300" w:hanging="652"/>
        <w:spacing w:after="0"/>
        <w:tabs>
          <w:tab w:leader="none" w:pos="1300" w:val="left"/>
        </w:tabs>
        <w:numPr>
          <w:ilvl w:val="1"/>
          <w:numId w:val="257"/>
        </w:numPr>
        <w:rPr>
          <w:rFonts w:ascii="Arial" w:cs="Arial" w:eastAsia="Arial" w:hAnsi="Arial"/>
          <w:sz w:val="18"/>
          <w:szCs w:val="18"/>
          <w:color w:val="010000"/>
        </w:rPr>
      </w:pPr>
      <w:r>
        <w:rPr>
          <w:rFonts w:ascii="Arial" w:cs="Arial" w:eastAsia="Arial" w:hAnsi="Arial"/>
          <w:sz w:val="18"/>
          <w:szCs w:val="18"/>
          <w:color w:val="auto"/>
        </w:rPr>
        <w:t>Restricted Payments that are made with Excluded Contributions;</w:t>
      </w:r>
    </w:p>
    <w:p>
      <w:pPr>
        <w:spacing w:after="0" w:line="225" w:lineRule="exact"/>
        <w:rPr>
          <w:rFonts w:ascii="Arial" w:cs="Arial" w:eastAsia="Arial" w:hAnsi="Arial"/>
          <w:sz w:val="18"/>
          <w:szCs w:val="18"/>
          <w:color w:val="010000"/>
        </w:rPr>
      </w:pPr>
    </w:p>
    <w:p>
      <w:pPr>
        <w:ind w:left="1160" w:hanging="512"/>
        <w:spacing w:after="0"/>
        <w:tabs>
          <w:tab w:leader="none" w:pos="1160" w:val="left"/>
        </w:tabs>
        <w:numPr>
          <w:ilvl w:val="1"/>
          <w:numId w:val="257"/>
        </w:numPr>
        <w:rPr>
          <w:rFonts w:ascii="Arial" w:cs="Arial" w:eastAsia="Arial" w:hAnsi="Arial"/>
          <w:sz w:val="16"/>
          <w:szCs w:val="16"/>
          <w:color w:val="010000"/>
        </w:rPr>
      </w:pPr>
      <w:r>
        <w:rPr>
          <w:rFonts w:ascii="Arial" w:cs="Arial" w:eastAsia="Arial" w:hAnsi="Arial"/>
          <w:sz w:val="16"/>
          <w:szCs w:val="16"/>
          <w:color w:val="auto"/>
        </w:rPr>
        <w:t>Restricted Payments in an aggregate amount taken together with all other Restricted Payments made pursuant to this clause</w:t>
      </w:r>
    </w:p>
    <w:p>
      <w:pPr>
        <w:spacing w:after="0" w:line="21" w:lineRule="exact"/>
        <w:rPr>
          <w:rFonts w:ascii="Arial" w:cs="Arial" w:eastAsia="Arial" w:hAnsi="Arial"/>
          <w:sz w:val="16"/>
          <w:szCs w:val="16"/>
          <w:color w:val="010000"/>
        </w:rPr>
      </w:pPr>
    </w:p>
    <w:p>
      <w:pPr>
        <w:jc w:val="both"/>
        <w:ind w:right="40"/>
        <w:spacing w:after="0" w:line="218" w:lineRule="auto"/>
        <w:tabs>
          <w:tab w:leader="none" w:pos="26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the case of Restricted Investments, at the time outstanding) not to exceed the greater of (I) $130,000,000 and (II) 50.0% of Trailing Four Quarter Consolidated EBITDA (in the case of Restricted Investments made pursuant to this clause (x), the amount of such Restricted Investment being measured at the time such Restricted Investment is made and without giving effect to subsequent changes in value, but subject to adjustment as set forth in the definition of Investment);</w:t>
      </w:r>
    </w:p>
    <w:p>
      <w:pPr>
        <w:spacing w:after="0" w:line="190" w:lineRule="exact"/>
        <w:rPr>
          <w:rFonts w:ascii="Arial" w:cs="Arial" w:eastAsia="Arial" w:hAnsi="Arial"/>
          <w:sz w:val="18"/>
          <w:szCs w:val="18"/>
          <w:color w:val="auto"/>
        </w:rPr>
      </w:pPr>
    </w:p>
    <w:p>
      <w:pPr>
        <w:ind w:left="1300" w:hanging="652"/>
        <w:spacing w:after="0"/>
        <w:tabs>
          <w:tab w:leader="none" w:pos="1300" w:val="left"/>
        </w:tabs>
        <w:numPr>
          <w:ilvl w:val="1"/>
          <w:numId w:val="258"/>
        </w:numPr>
        <w:rPr>
          <w:rFonts w:ascii="Arial" w:cs="Arial" w:eastAsia="Arial" w:hAnsi="Arial"/>
          <w:sz w:val="18"/>
          <w:szCs w:val="18"/>
          <w:color w:val="010000"/>
        </w:rPr>
      </w:pPr>
      <w:r>
        <w:rPr>
          <w:rFonts w:ascii="Arial" w:cs="Arial" w:eastAsia="Arial" w:hAnsi="Arial"/>
          <w:sz w:val="18"/>
          <w:szCs w:val="18"/>
          <w:color w:val="auto"/>
        </w:rPr>
        <w:t>distributions or payments of Securitization Fees;</w:t>
      </w:r>
    </w:p>
    <w:p>
      <w:pPr>
        <w:spacing w:after="0" w:line="225" w:lineRule="exact"/>
        <w:rPr>
          <w:rFonts w:ascii="Arial" w:cs="Arial" w:eastAsia="Arial" w:hAnsi="Arial"/>
          <w:sz w:val="18"/>
          <w:szCs w:val="18"/>
          <w:color w:val="010000"/>
        </w:rPr>
      </w:pPr>
    </w:p>
    <w:p>
      <w:pPr>
        <w:ind w:right="40" w:firstLine="648"/>
        <w:spacing w:after="0" w:line="274" w:lineRule="auto"/>
        <w:tabs>
          <w:tab w:leader="none" w:pos="1152" w:val="left"/>
        </w:tabs>
        <w:numPr>
          <w:ilvl w:val="1"/>
          <w:numId w:val="258"/>
        </w:numPr>
        <w:rPr>
          <w:rFonts w:ascii="Arial" w:cs="Arial" w:eastAsia="Arial" w:hAnsi="Arial"/>
          <w:sz w:val="17"/>
          <w:szCs w:val="17"/>
          <w:color w:val="010000"/>
        </w:rPr>
      </w:pPr>
      <w:r>
        <w:rPr>
          <w:rFonts w:ascii="Arial" w:cs="Arial" w:eastAsia="Arial" w:hAnsi="Arial"/>
          <w:sz w:val="17"/>
          <w:szCs w:val="17"/>
          <w:color w:val="auto"/>
        </w:rPr>
        <w:t>any cash payments made after the Closing Date in respect of performance-based or time-vested restricted stock units (in each case that are existing and either vested or unvested) as of the Closing Date in an aggregate amount of up to $15,000,000;</w:t>
      </w:r>
    </w:p>
    <w:p>
      <w:pPr>
        <w:spacing w:after="0" w:line="161" w:lineRule="exact"/>
        <w:rPr>
          <w:rFonts w:ascii="Arial" w:cs="Arial" w:eastAsia="Arial" w:hAnsi="Arial"/>
          <w:sz w:val="17"/>
          <w:szCs w:val="17"/>
          <w:color w:val="010000"/>
        </w:rPr>
      </w:pPr>
    </w:p>
    <w:p>
      <w:pPr>
        <w:ind w:right="40" w:firstLine="648"/>
        <w:spacing w:after="0" w:line="235" w:lineRule="auto"/>
        <w:tabs>
          <w:tab w:leader="none" w:pos="1153" w:val="left"/>
        </w:tabs>
        <w:numPr>
          <w:ilvl w:val="1"/>
          <w:numId w:val="258"/>
        </w:numPr>
        <w:rPr>
          <w:rFonts w:ascii="Arial" w:cs="Arial" w:eastAsia="Arial" w:hAnsi="Arial"/>
          <w:sz w:val="18"/>
          <w:szCs w:val="18"/>
          <w:color w:val="010000"/>
        </w:rPr>
      </w:pPr>
      <w:r>
        <w:rPr>
          <w:rFonts w:ascii="Arial" w:cs="Arial" w:eastAsia="Arial" w:hAnsi="Arial"/>
          <w:sz w:val="18"/>
          <w:szCs w:val="18"/>
          <w:color w:val="auto"/>
        </w:rPr>
        <w:t>solely to the extent funded with Declined Proceeds, the repurchase, redemption or other acquisition or retirement for value of any Junior Financing;</w:t>
      </w:r>
    </w:p>
    <w:p>
      <w:pPr>
        <w:spacing w:after="0" w:line="202" w:lineRule="exact"/>
        <w:rPr>
          <w:rFonts w:ascii="Arial" w:cs="Arial" w:eastAsia="Arial" w:hAnsi="Arial"/>
          <w:sz w:val="18"/>
          <w:szCs w:val="18"/>
          <w:color w:val="010000"/>
        </w:rPr>
      </w:pPr>
    </w:p>
    <w:p>
      <w:pPr>
        <w:ind w:left="1300" w:hanging="652"/>
        <w:spacing w:after="0"/>
        <w:tabs>
          <w:tab w:leader="none" w:pos="1300" w:val="left"/>
        </w:tabs>
        <w:numPr>
          <w:ilvl w:val="1"/>
          <w:numId w:val="258"/>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firstLine="648"/>
        <w:spacing w:after="0" w:line="214" w:lineRule="auto"/>
        <w:tabs>
          <w:tab w:leader="none" w:pos="1152" w:val="left"/>
        </w:tabs>
        <w:numPr>
          <w:ilvl w:val="1"/>
          <w:numId w:val="258"/>
        </w:numPr>
        <w:rPr>
          <w:rFonts w:ascii="Arial" w:cs="Arial" w:eastAsia="Arial" w:hAnsi="Arial"/>
          <w:sz w:val="18"/>
          <w:szCs w:val="18"/>
          <w:color w:val="010000"/>
        </w:rPr>
      </w:pPr>
      <w:r>
        <w:rPr>
          <w:rFonts w:ascii="Arial" w:cs="Arial" w:eastAsia="Arial" w:hAnsi="Arial"/>
          <w:sz w:val="18"/>
          <w:szCs w:val="18"/>
          <w:color w:val="auto"/>
        </w:rPr>
        <w:t>Restricted Payments made (i) in respect of working capital adjustments or purchase price adjustments pursuant to any Permitted Acquisition or other permitted Investments, (ii) in order to satisfy indemnity and other similar obligations under any Permitted Acquisition or other permitted Investments and</w:t>
      </w:r>
    </w:p>
    <w:p>
      <w:pPr>
        <w:spacing w:after="0" w:line="2" w:lineRule="exact"/>
        <w:rPr>
          <w:rFonts w:ascii="Arial" w:cs="Arial" w:eastAsia="Arial" w:hAnsi="Arial"/>
          <w:sz w:val="18"/>
          <w:szCs w:val="18"/>
          <w:color w:val="010000"/>
        </w:rPr>
      </w:pPr>
    </w:p>
    <w:p>
      <w:pPr>
        <w:ind w:left="320" w:hanging="320"/>
        <w:spacing w:after="0"/>
        <w:tabs>
          <w:tab w:leader="none" w:pos="3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Restricted Payments consisting of a Permitted Reorganization;</w:t>
      </w:r>
    </w:p>
    <w:p>
      <w:pPr>
        <w:sectPr>
          <w:pgSz w:w="11900" w:h="16838" w:orient="portrait"/>
          <w:cols w:equalWidth="0" w:num="1">
            <w:col w:w="10280"/>
          </w:cols>
          <w:pgMar w:left="1120" w:top="1440" w:right="499" w:bottom="1440" w:gutter="0" w:footer="0" w:header="0"/>
        </w:sectPr>
      </w:pPr>
    </w:p>
    <w:bookmarkStart w:id="201" w:name="page202"/>
    <w:bookmarkEnd w:id="201"/>
    <w:p>
      <w:pPr>
        <w:spacing w:after="0" w:line="211" w:lineRule="exact"/>
        <w:rPr>
          <w:sz w:val="20"/>
          <w:szCs w:val="20"/>
          <w:color w:val="auto"/>
        </w:rPr>
      </w:pPr>
    </w:p>
    <w:p>
      <w:pPr>
        <w:jc w:val="both"/>
        <w:ind w:left="-320" w:right="20" w:firstLine="647"/>
        <w:spacing w:after="0" w:line="223" w:lineRule="auto"/>
        <w:tabs>
          <w:tab w:leader="none" w:pos="833"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cash payments or loans, advances, dividends or distributions to any direct or indirect shareholder of the Parent Borrower to make payments in lieu of issuing fractional shares in connection with the exercise of warrants, options or other securities convertible into or exchangeable for Equity Interests of the Parent Borrower or any of its Restricted Subsidiaries or any direct or indirect parent company of the Parent Borrower;</w:t>
      </w:r>
    </w:p>
    <w:p>
      <w:pPr>
        <w:spacing w:after="0" w:line="189" w:lineRule="exact"/>
        <w:rPr>
          <w:rFonts w:ascii="Arial" w:cs="Arial" w:eastAsia="Arial" w:hAnsi="Arial"/>
          <w:sz w:val="18"/>
          <w:szCs w:val="18"/>
          <w:color w:val="010000"/>
        </w:rPr>
      </w:pPr>
    </w:p>
    <w:p>
      <w:pPr>
        <w:jc w:val="both"/>
        <w:ind w:left="-320" w:right="20" w:firstLine="648"/>
        <w:spacing w:after="0" w:line="223" w:lineRule="auto"/>
        <w:tabs>
          <w:tab w:leader="none" w:pos="832"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in addition to the foregoing Restricted Payments, the Parent Borrower may make additional Restricted Payments so long as immediately after giving effect to such Restricted Payment and the application of proceeds therefrom, (x) the Total Net Leverage Ratio for the Test Period immediately preceding such Restricted Payment is less than or equal to 5.00 to 1.00 (calculated on a Pro Forma Basis) and (y) no Event of Default exists or would immediately result therefrom;</w:t>
      </w:r>
    </w:p>
    <w:p>
      <w:pPr>
        <w:spacing w:after="0" w:line="189" w:lineRule="exact"/>
        <w:rPr>
          <w:rFonts w:ascii="Arial" w:cs="Arial" w:eastAsia="Arial" w:hAnsi="Arial"/>
          <w:sz w:val="18"/>
          <w:szCs w:val="18"/>
          <w:color w:val="010000"/>
        </w:rPr>
      </w:pPr>
    </w:p>
    <w:p>
      <w:pPr>
        <w:jc w:val="both"/>
        <w:ind w:left="-320" w:right="20" w:firstLine="648"/>
        <w:spacing w:after="0" w:line="223" w:lineRule="auto"/>
        <w:tabs>
          <w:tab w:leader="none" w:pos="832"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to the extent constituting Restricted Payments, the Parent Borrower and the Restricted Subsidiaries may enter into and consummate transactions expressly permitted by any provision of Section 7.01, 7.03 (other than Section 7.03(d)), 7.04 (other than Section 7.04(a), 7.04(c)(ii) or (f)), 7.05 (other than Section 7.05(d)(ii) or (e)) or 7.08 (except transactions described in clauses (a), (b), (f), (g), (j), (n), (q), (s), (w), (y) and (z) of such Section);</w:t>
      </w:r>
    </w:p>
    <w:p>
      <w:pPr>
        <w:spacing w:after="0" w:line="202" w:lineRule="exact"/>
        <w:rPr>
          <w:rFonts w:ascii="Arial" w:cs="Arial" w:eastAsia="Arial" w:hAnsi="Arial"/>
          <w:sz w:val="18"/>
          <w:szCs w:val="18"/>
          <w:color w:val="010000"/>
        </w:rPr>
      </w:pPr>
    </w:p>
    <w:p>
      <w:pPr>
        <w:jc w:val="both"/>
        <w:ind w:left="-320" w:right="20" w:firstLine="648"/>
        <w:spacing w:after="0" w:line="237" w:lineRule="auto"/>
        <w:tabs>
          <w:tab w:leader="none" w:pos="832" w:val="left"/>
        </w:tabs>
        <w:numPr>
          <w:ilvl w:val="0"/>
          <w:numId w:val="260"/>
        </w:numPr>
        <w:rPr>
          <w:rFonts w:ascii="Arial" w:cs="Arial" w:eastAsia="Arial" w:hAnsi="Arial"/>
          <w:sz w:val="17"/>
          <w:szCs w:val="17"/>
          <w:color w:val="010000"/>
        </w:rPr>
      </w:pPr>
      <w:r>
        <w:rPr>
          <w:rFonts w:ascii="Arial" w:cs="Arial" w:eastAsia="Arial" w:hAnsi="Arial"/>
          <w:sz w:val="17"/>
          <w:szCs w:val="17"/>
          <w:color w:val="auto"/>
        </w:rPr>
        <w:t>payments and distributions to dissenting stockholders pursuant to applicable law, pursuant to or in connection with a consolidation, merger or transfer of all or substantially all of the assets of the Parent Borrower and the Restricted Subsidiaries taken as a whole that complies with the terms of this Agreement or any other transaction that complies with the terms of this Agreement;</w:t>
      </w:r>
    </w:p>
    <w:p>
      <w:pPr>
        <w:spacing w:after="0" w:line="203" w:lineRule="exact"/>
        <w:rPr>
          <w:rFonts w:ascii="Arial" w:cs="Arial" w:eastAsia="Arial" w:hAnsi="Arial"/>
          <w:sz w:val="17"/>
          <w:szCs w:val="17"/>
          <w:color w:val="010000"/>
        </w:rPr>
      </w:pPr>
    </w:p>
    <w:p>
      <w:pPr>
        <w:jc w:val="both"/>
        <w:ind w:left="-320" w:right="20" w:firstLine="648"/>
        <w:spacing w:after="0" w:line="238" w:lineRule="auto"/>
        <w:tabs>
          <w:tab w:leader="none" w:pos="832" w:val="left"/>
        </w:tabs>
        <w:numPr>
          <w:ilvl w:val="0"/>
          <w:numId w:val="260"/>
        </w:numPr>
        <w:rPr>
          <w:rFonts w:ascii="Arial" w:cs="Arial" w:eastAsia="Arial" w:hAnsi="Arial"/>
          <w:sz w:val="16"/>
          <w:szCs w:val="16"/>
          <w:color w:val="010000"/>
        </w:rPr>
      </w:pPr>
      <w:r>
        <w:rPr>
          <w:rFonts w:ascii="Arial" w:cs="Arial" w:eastAsia="Arial" w:hAnsi="Arial"/>
          <w:sz w:val="16"/>
          <w:szCs w:val="16"/>
          <w:color w:val="auto"/>
        </w:rPr>
        <w:t xml:space="preserve">(A) the payment of dividends, other distributions and other amounts by the Parent Borrower to, or the making of loans to, any direct or indirect parent of the Parent Borrower in the amount required for such parent to, if applicable, pay amounts equal to amounts required for any direct or indirect parent of the Parent Borrower, if applicable, to pay interest and/or principal (including AHYDO “catch-up payments”) on Indebtedness the proceeds of which have been permanently contributed to the Parent Borrower or any of its Restricted Subsidiaries and that has been guaranteed by, or is otherwise considered Indebtedness of, the Parent Borrower or any of its Restricted Subsidiaries incurred in accordance with Section 7.03 (other than if such guarantee or Indebtedness constitutes Junior Financing and such payment would be in violation of the applicable intercreditor and/or subordination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proceeds contributed to the Parent Borrower or such Restricted Subsidiary shall not increase amounts available for Restricted Payments pursuant to Section 7.06(b)(iv) or 7.06(a)(iii) and shall not be designated an Excluded Contribution;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(x) the aggregate amount of such dividends, distributions or other amounts shall not exceed the amount of cash actually contributed to the Parent Borrower for the incurrence of such Indebtedness and (y) any Restricted Payment made pursuant to this clause (xx) the proceeds of which are used to make payments in respect of Indebtedness which payments would constitute an interest expense determined in accordance with GAAP if such Indebtedness was Indebtedness of the Parent Borrower, shall be deemed to be an interest expense of the Parent Borrower for all purposes of this Agreement; and (B) the payment of dividends, other distributions and other amounts by the Parent Borrower to, or the making of loans to, any direct or indirect parent of the Parent Borrower in the amount required for such parent to, if applicable, make any AHYDO Payment on intercompany Indebtedness among parent companies of the Parent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AHYDO Payment shall not be made prior to the end of the first accrual period ending after the fifth anniversary of the issue date of such intercompany Indebtedness;</w:t>
      </w:r>
    </w:p>
    <w:p>
      <w:pPr>
        <w:spacing w:after="0" w:line="205" w:lineRule="exact"/>
        <w:rPr>
          <w:rFonts w:ascii="Arial" w:cs="Arial" w:eastAsia="Arial" w:hAnsi="Arial"/>
          <w:sz w:val="16"/>
          <w:szCs w:val="16"/>
          <w:color w:val="010000"/>
        </w:rPr>
      </w:pPr>
    </w:p>
    <w:p>
      <w:pPr>
        <w:ind w:left="-320" w:firstLine="648"/>
        <w:spacing w:after="0" w:line="289" w:lineRule="auto"/>
        <w:tabs>
          <w:tab w:leader="none" w:pos="832" w:val="left"/>
        </w:tabs>
        <w:numPr>
          <w:ilvl w:val="0"/>
          <w:numId w:val="260"/>
        </w:numPr>
        <w:rPr>
          <w:rFonts w:ascii="Arial" w:cs="Arial" w:eastAsia="Arial" w:hAnsi="Arial"/>
          <w:sz w:val="16"/>
          <w:szCs w:val="16"/>
          <w:color w:val="010000"/>
        </w:rPr>
      </w:pPr>
      <w:r>
        <w:rPr>
          <w:rFonts w:ascii="Arial" w:cs="Arial" w:eastAsia="Arial" w:hAnsi="Arial"/>
          <w:sz w:val="16"/>
          <w:szCs w:val="16"/>
          <w:color w:val="auto"/>
        </w:rPr>
        <w:t>repurchases of Equity Interests in the Parent Borrower or any Restricted Subsidiary of the Parent Borrower deemed to occur upon exercise of stock options or warrants if such Equity Interests represent a portion of the exercise price of such options or warrants;</w:t>
      </w:r>
    </w:p>
    <w:p>
      <w:pPr>
        <w:spacing w:after="0" w:line="150" w:lineRule="exact"/>
        <w:rPr>
          <w:rFonts w:ascii="Arial" w:cs="Arial" w:eastAsia="Arial" w:hAnsi="Arial"/>
          <w:sz w:val="16"/>
          <w:szCs w:val="16"/>
          <w:color w:val="010000"/>
        </w:rPr>
      </w:pPr>
    </w:p>
    <w:p>
      <w:pPr>
        <w:ind w:left="980" w:hanging="652"/>
        <w:spacing w:after="0"/>
        <w:tabs>
          <w:tab w:leader="none" w:pos="980"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[reserved]; and</w:t>
      </w:r>
    </w:p>
    <w:p>
      <w:pPr>
        <w:sectPr>
          <w:pgSz w:w="11900" w:h="16838" w:orient="portrait"/>
          <w:cols w:equalWidth="0" w:num="1">
            <w:col w:w="9940"/>
          </w:cols>
          <w:pgMar w:left="1440" w:top="1440" w:right="519" w:bottom="1440" w:gutter="0" w:footer="0" w:header="0"/>
        </w:sectPr>
      </w:pPr>
    </w:p>
    <w:bookmarkStart w:id="202" w:name="page203"/>
    <w:bookmarkEnd w:id="202"/>
    <w:p>
      <w:pPr>
        <w:spacing w:after="0" w:line="211" w:lineRule="exact"/>
        <w:rPr>
          <w:sz w:val="20"/>
          <w:szCs w:val="20"/>
          <w:color w:val="auto"/>
        </w:rPr>
      </w:pPr>
    </w:p>
    <w:p>
      <w:pPr>
        <w:jc w:val="both"/>
        <w:ind w:left="649" w:firstLine="647"/>
        <w:spacing w:after="0" w:line="226" w:lineRule="auto"/>
        <w:tabs>
          <w:tab w:leader="none" w:pos="1802" w:val="left"/>
        </w:tabs>
        <w:numPr>
          <w:ilvl w:val="0"/>
          <w:numId w:val="261"/>
        </w:numPr>
        <w:rPr>
          <w:rFonts w:ascii="Arial" w:cs="Arial" w:eastAsia="Arial" w:hAnsi="Arial"/>
          <w:sz w:val="17"/>
          <w:szCs w:val="17"/>
          <w:color w:val="010000"/>
        </w:rPr>
      </w:pPr>
      <w:r>
        <w:rPr>
          <w:rFonts w:ascii="Arial" w:cs="Arial" w:eastAsia="Arial" w:hAnsi="Arial"/>
          <w:sz w:val="17"/>
          <w:szCs w:val="17"/>
          <w:color w:val="auto"/>
        </w:rPr>
        <w:t xml:space="preserve">Investments in joint ventures, other similar agreements, partnerships, minority investments or Unrestricted Subsidiaries having an aggregate fair market value taken together with all other Investments made pursuant to this clause (xxiii) that are at the time outstanding, without giving effect to the sale of an Unrestricted Subsidiary to the extent the proceeds of such sale do not consist of cash or marketable securities (until such proceeds are converted to cash or Cash Equivalents), not to exceed the greater of (a) $50,00,000 and (b) 20.0% of Trailing Four Quarter Consolidated EBITDA at the time of such Investment (with the amount of each Investment being measured at the time made and without giving effect to subsequent changes in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made pursuant to this clause (xxiii) in Equity Interests of a Person that subsequently becomes a Loan Party, such Investment shall thereafter be deemed permitted under clause (1) of the definition of “Permitted Investment” (without giving effect to the proviso thereto) and shall not be included as having been made pursuant to this clause (xxiii);</w:t>
      </w:r>
    </w:p>
    <w:p>
      <w:pPr>
        <w:spacing w:after="0" w:line="206" w:lineRule="exact"/>
        <w:rPr>
          <w:sz w:val="20"/>
          <w:szCs w:val="20"/>
          <w:color w:val="auto"/>
        </w:rPr>
      </w:pPr>
    </w:p>
    <w:p>
      <w:pPr>
        <w:ind w:left="9" w:right="20"/>
        <w:spacing w:after="0" w:line="23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at the time of, and after giving effect to, any Restricted Payment permitted under clauses (b)(v), (b)(vi), (b)(viii), (b)(x), (b)(xvii) and (b)</w:t>
      </w:r>
      <w:r>
        <w:rPr>
          <w:rFonts w:ascii="Arial" w:cs="Arial" w:eastAsia="Arial" w:hAnsi="Arial"/>
          <w:sz w:val="18"/>
          <w:szCs w:val="18"/>
          <w:i w:val="1"/>
          <w:iCs w:val="1"/>
          <w:color w:val="auto"/>
        </w:rPr>
        <w:t xml:space="preserve"> </w:t>
      </w:r>
      <w:r>
        <w:rPr>
          <w:rFonts w:ascii="Arial" w:cs="Arial" w:eastAsia="Arial" w:hAnsi="Arial"/>
          <w:sz w:val="18"/>
          <w:szCs w:val="18"/>
          <w:color w:val="auto"/>
        </w:rPr>
        <w:t>(xx)(A), no Event of Default shall have occurred and be continuing or would occur as a consequence thereof.</w:t>
      </w:r>
    </w:p>
    <w:p>
      <w:pPr>
        <w:spacing w:after="0" w:line="189" w:lineRule="exact"/>
        <w:rPr>
          <w:sz w:val="20"/>
          <w:szCs w:val="20"/>
          <w:color w:val="auto"/>
        </w:rPr>
      </w:pPr>
    </w:p>
    <w:p>
      <w:pPr>
        <w:jc w:val="both"/>
        <w:ind w:left="9" w:firstLine="640"/>
        <w:spacing w:after="0" w:line="219" w:lineRule="auto"/>
        <w:tabs>
          <w:tab w:leader="none" w:pos="1161"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For purposes of designating any Restricted Subsidiary as an Unrestricted Subsidiary, all outstanding Investments by the Parent Borrower and its Restricted Subsidiaries (except to the extent repaid) in the Subsidiary so designated will be deemed to be Restricted Payments or Permitted Investments in an amount determined as set forth in the penultimate sentence of the definition of “Investments.” Such designation will be permitted only if a Restricted Payment in such amount would be permitted at such time, pursuant to this Section 7.06 or if an Investment in such amount would be permitted at such time pursuant to the definition of “Permitted Investments,” and if such Subsidiary otherwise is permitted to be so designated pursuant to Section 6.14.</w:t>
      </w:r>
    </w:p>
    <w:p>
      <w:pPr>
        <w:spacing w:after="0" w:line="189" w:lineRule="exact"/>
        <w:rPr>
          <w:rFonts w:ascii="Arial" w:cs="Arial" w:eastAsia="Arial" w:hAnsi="Arial"/>
          <w:sz w:val="18"/>
          <w:szCs w:val="18"/>
          <w:color w:val="010000"/>
        </w:rPr>
      </w:pPr>
    </w:p>
    <w:p>
      <w:pPr>
        <w:ind w:left="9" w:right="20" w:firstLine="640"/>
        <w:spacing w:after="0" w:line="307" w:lineRule="auto"/>
        <w:tabs>
          <w:tab w:leader="none" w:pos="1161" w:val="left"/>
        </w:tabs>
        <w:numPr>
          <w:ilvl w:val="0"/>
          <w:numId w:val="262"/>
        </w:numPr>
        <w:rPr>
          <w:rFonts w:ascii="Arial" w:cs="Arial" w:eastAsia="Arial" w:hAnsi="Arial"/>
          <w:sz w:val="16"/>
          <w:szCs w:val="16"/>
          <w:color w:val="010000"/>
        </w:rPr>
      </w:pPr>
      <w:r>
        <w:rPr>
          <w:rFonts w:ascii="Arial" w:cs="Arial" w:eastAsia="Arial" w:hAnsi="Arial"/>
          <w:sz w:val="16"/>
          <w:szCs w:val="16"/>
          <w:color w:val="auto"/>
        </w:rPr>
        <w:t>For the avoidance of doubt, this Section 7.06 shall not restrict the making of any “AHYDO catch-up payment” with respect to, and required by the terms of, any Indebtedness of the Parent Borrower or any Restricted Subsidiary permitted to be incurred under Section 7.03 hereof</w:t>
      </w:r>
    </w:p>
    <w:p>
      <w:pPr>
        <w:spacing w:after="0" w:line="150" w:lineRule="exact"/>
        <w:rPr>
          <w:rFonts w:ascii="Arial" w:cs="Arial" w:eastAsia="Arial" w:hAnsi="Arial"/>
          <w:sz w:val="16"/>
          <w:szCs w:val="16"/>
          <w:color w:val="010000"/>
        </w:rPr>
      </w:pPr>
    </w:p>
    <w:p>
      <w:pPr>
        <w:jc w:val="both"/>
        <w:ind w:left="9" w:right="20" w:firstLine="640"/>
        <w:spacing w:after="0" w:line="216" w:lineRule="auto"/>
        <w:tabs>
          <w:tab w:leader="none" w:pos="1161"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For the avoidance of doubt, the cancellation of Indebtedness owing to the Parent Borrower or any of its Restricted Subsidiaries from any future, present or former employees, directors, officers, independent contractors, members of management or consultants of the Parent Borrower (or their respective Controlled Investment Affiliates or Immediate Family Members), any direct or indirect parent company of the Parent Borrower or any of the Parent Borrower’s Restricted Subsidiaries in connection with a repurchase or redemption of Equity Interests of the Parent Borrower or any of its direct or indirect parent companies will not be deemed to constitute a Restricted Payment for purposes of this Section 7.06 or any other provision of this Agreement.</w:t>
      </w:r>
    </w:p>
    <w:p>
      <w:pPr>
        <w:spacing w:after="0" w:line="205" w:lineRule="exact"/>
        <w:rPr>
          <w:sz w:val="20"/>
          <w:szCs w:val="20"/>
          <w:color w:val="auto"/>
        </w:rPr>
      </w:pPr>
    </w:p>
    <w:p>
      <w:pPr>
        <w:ind w:left="9" w:right="20" w:firstLine="648"/>
        <w:spacing w:after="0" w:line="248" w:lineRule="auto"/>
        <w:rPr>
          <w:sz w:val="20"/>
          <w:szCs w:val="20"/>
          <w:color w:val="auto"/>
        </w:rPr>
      </w:pPr>
      <w:r>
        <w:rPr>
          <w:rFonts w:ascii="Arial" w:cs="Arial" w:eastAsia="Arial" w:hAnsi="Arial"/>
          <w:sz w:val="16"/>
          <w:szCs w:val="16"/>
          <w:color w:val="auto"/>
        </w:rPr>
        <w:t>For purposes of determining compliance with this Section 7.06, in the event that a proposed Restricted Payment or Investment (or any portion thereof) at any time, whether at the time of declaration or payment, purchase, redemption, defeasance or other acquisition or retirement, or at the time</w:t>
      </w:r>
    </w:p>
    <w:p>
      <w:pPr>
        <w:ind w:left="9"/>
        <w:spacing w:after="0" w:line="229" w:lineRule="auto"/>
        <w:rPr>
          <w:sz w:val="20"/>
          <w:szCs w:val="20"/>
          <w:color w:val="auto"/>
        </w:rPr>
      </w:pPr>
      <w:r>
        <w:rPr>
          <w:rFonts w:ascii="Arial" w:cs="Arial" w:eastAsia="Arial" w:hAnsi="Arial"/>
          <w:sz w:val="16"/>
          <w:szCs w:val="16"/>
          <w:color w:val="auto"/>
        </w:rPr>
        <w:t>of the making thereof, or subsequently at a later time, meets the criteria of more than one of the categories described in Section 7.06(b)(i) through</w:t>
      </w:r>
    </w:p>
    <w:p>
      <w:pPr>
        <w:jc w:val="both"/>
        <w:ind w:left="9" w:right="20" w:hanging="9"/>
        <w:spacing w:after="0" w:line="241" w:lineRule="auto"/>
        <w:tabs>
          <w:tab w:leader="none" w:pos="51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or is entitled to be made pursuant to Section 7.06(a) and/or one or more of the categories described in the definition of Permitted Investment, the Administrative Borrower, in its sole discretion, will be entitled to classify and may subsequently reclassify such item of (or any portion thereof) (based on circumstances existing on the date of such reclassification) among such clauses in Section 7.06(b)(i) through (xxiii), Section 7.06(a) and/or one or more of the categories contained in the definition of Permitted Investments, and will only be required to include the amount and type of such Restricted Payment or Investment in such of the above clauses as determined by the Administrative Borrower at such time. The Administrative Borrower will be entitled to divide and classify a Restricted Payment or Investment in more than one of the types described in Section 7.06(b)(i) through (xxiii), Section 7.06(a) and/or one or more of the categories contained in the definition of Permitted Investments.</w:t>
      </w:r>
    </w:p>
    <w:p>
      <w:pPr>
        <w:spacing w:after="0" w:line="189"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7.07</w:t>
      </w:r>
      <w:r>
        <w:rPr>
          <w:sz w:val="20"/>
          <w:szCs w:val="20"/>
          <w:color w:val="auto"/>
        </w:rPr>
        <w:tab/>
      </w:r>
      <w:r>
        <w:rPr>
          <w:rFonts w:ascii="Arial" w:cs="Arial" w:eastAsia="Arial" w:hAnsi="Arial"/>
          <w:sz w:val="16"/>
          <w:szCs w:val="16"/>
          <w:color w:val="auto"/>
        </w:rPr>
        <w:t>Change in Nature of Business.</w:t>
      </w:r>
    </w:p>
    <w:p>
      <w:pPr>
        <w:spacing w:after="0" w:line="225" w:lineRule="exact"/>
        <w:rPr>
          <w:sz w:val="20"/>
          <w:szCs w:val="20"/>
          <w:color w:val="auto"/>
        </w:rPr>
      </w:pPr>
    </w:p>
    <w:p>
      <w:pPr>
        <w:ind w:left="9" w:firstLine="648"/>
        <w:spacing w:after="0" w:line="246"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Parent Borrower and the Restricted Subsidiaries on the Closing Date or any business or any other activities</w:t>
      </w:r>
    </w:p>
    <w:p>
      <w:pPr>
        <w:sectPr>
          <w:pgSz w:w="11900" w:h="16838" w:orient="portrait"/>
          <w:cols w:equalWidth="0" w:num="1">
            <w:col w:w="10909"/>
          </w:cols>
          <w:pgMar w:left="471" w:top="1440" w:right="519" w:bottom="1440" w:gutter="0" w:footer="0" w:header="0"/>
        </w:sectPr>
      </w:pPr>
    </w:p>
    <w:bookmarkStart w:id="203" w:name="page204"/>
    <w:bookmarkEnd w:id="203"/>
    <w:p>
      <w:pPr>
        <w:spacing w:after="0" w:line="2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reasonably related, complementary, synergistic, similar, incidental or ancillary thereto (including related, complementary, synergistic, similar, incidental or ancillary technologies) or reasonable extensions, developments or expansions thereof.</w:t>
      </w:r>
    </w:p>
    <w:p>
      <w:pPr>
        <w:spacing w:after="0" w:line="18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7.08</w:t>
      </w:r>
      <w:r>
        <w:rPr>
          <w:sz w:val="20"/>
          <w:szCs w:val="20"/>
          <w:color w:val="auto"/>
        </w:rPr>
        <w:tab/>
      </w:r>
      <w:r>
        <w:rPr>
          <w:rFonts w:ascii="Arial" w:cs="Arial" w:eastAsia="Arial" w:hAnsi="Arial"/>
          <w:sz w:val="16"/>
          <w:szCs w:val="16"/>
          <w:color w:val="auto"/>
        </w:rPr>
        <w:t>Transactions with Affiliates.</w:t>
      </w:r>
    </w:p>
    <w:p>
      <w:pPr>
        <w:spacing w:after="0" w:line="225"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Enter into any transaction of any kind with any Affiliate of the Parent Borrower, whether or not in the ordinary course of business, involving aggregate payments or consideration, in any transaction or series of related transactions, in excess of $8,500,000, other than:</w:t>
      </w:r>
    </w:p>
    <w:p>
      <w:pPr>
        <w:spacing w:after="0" w:line="183" w:lineRule="exact"/>
        <w:rPr>
          <w:sz w:val="20"/>
          <w:szCs w:val="20"/>
          <w:color w:val="auto"/>
        </w:rPr>
      </w:pPr>
    </w:p>
    <w:p>
      <w:pPr>
        <w:ind w:left="640" w:right="20" w:firstLine="648"/>
        <w:spacing w:after="0" w:line="235" w:lineRule="auto"/>
        <w:tabs>
          <w:tab w:leader="none" w:pos="179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transactions among the Parent Borrower or the Restricted Subsidiaries or any entity that becomes a Restricted Subsidiary as a result of such transaction;</w:t>
      </w:r>
    </w:p>
    <w:p>
      <w:pPr>
        <w:spacing w:after="0" w:line="202" w:lineRule="exact"/>
        <w:rPr>
          <w:rFonts w:ascii="Arial" w:cs="Arial" w:eastAsia="Arial" w:hAnsi="Arial"/>
          <w:sz w:val="18"/>
          <w:szCs w:val="18"/>
          <w:color w:val="auto"/>
        </w:rPr>
      </w:pPr>
    </w:p>
    <w:p>
      <w:pPr>
        <w:jc w:val="both"/>
        <w:ind w:left="640" w:right="20" w:firstLine="648"/>
        <w:spacing w:after="0" w:line="229" w:lineRule="auto"/>
        <w:tabs>
          <w:tab w:leader="none" w:pos="179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transactions on terms (taken as a whole) substantially as favorable to the Parent Borrower or such Restricted Subsidiary as would be obtainable by the Parent Borrower or such Restricted Subsidiary at the time in a comparable arm’s-length transaction with a Person other than an Affiliate;</w:t>
      </w:r>
    </w:p>
    <w:p>
      <w:pPr>
        <w:spacing w:after="0" w:line="190" w:lineRule="exact"/>
        <w:rPr>
          <w:rFonts w:ascii="Arial" w:cs="Arial" w:eastAsia="Arial" w:hAnsi="Arial"/>
          <w:sz w:val="18"/>
          <w:szCs w:val="18"/>
          <w:color w:val="auto"/>
        </w:rPr>
      </w:pPr>
    </w:p>
    <w:p>
      <w:pPr>
        <w:ind w:left="640" w:right="20" w:firstLine="648"/>
        <w:spacing w:after="0" w:line="246" w:lineRule="auto"/>
        <w:tabs>
          <w:tab w:leader="none" w:pos="179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Transactions and the payment of fees and expenses (including the Transaction Expenses) related to the Transactions and transactions constituting any Permitted Reorganization;</w:t>
      </w:r>
    </w:p>
    <w:p>
      <w:pPr>
        <w:spacing w:after="0" w:line="196" w:lineRule="exact"/>
        <w:rPr>
          <w:rFonts w:ascii="Arial" w:cs="Arial" w:eastAsia="Arial" w:hAnsi="Arial"/>
          <w:sz w:val="18"/>
          <w:szCs w:val="18"/>
          <w:color w:val="auto"/>
        </w:rPr>
      </w:pPr>
    </w:p>
    <w:p>
      <w:pPr>
        <w:jc w:val="both"/>
        <w:ind w:left="640" w:firstLine="648"/>
        <w:spacing w:after="0" w:line="224" w:lineRule="auto"/>
        <w:tabs>
          <w:tab w:leader="none" w:pos="179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issuance of Equity Interests or equity-based awards to any officer, director, employee, independent contractor, advisor, service provider or consultant of the Parent Borrower or any Subsidiary or any direct or indirect parent of the Parent Borrower, including, without limitation, in connection with the Transactions;</w:t>
      </w:r>
    </w:p>
    <w:p>
      <w:pPr>
        <w:spacing w:after="0" w:line="203" w:lineRule="exact"/>
        <w:rPr>
          <w:rFonts w:ascii="Arial" w:cs="Arial" w:eastAsia="Arial" w:hAnsi="Arial"/>
          <w:sz w:val="18"/>
          <w:szCs w:val="18"/>
          <w:color w:val="auto"/>
        </w:rPr>
      </w:pPr>
    </w:p>
    <w:p>
      <w:pPr>
        <w:ind w:left="1940" w:hanging="652"/>
        <w:spacing w:after="0"/>
        <w:tabs>
          <w:tab w:leader="none" w:pos="19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40" w:right="20" w:firstLine="648"/>
        <w:spacing w:after="0" w:line="235" w:lineRule="auto"/>
        <w:tabs>
          <w:tab w:leader="none" w:pos="179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Restricted Payments permitted under Section 7.06, Permitted Investments and Permitted Acquisitions (other than by reference to this Section 7.08 or any clause in this Section 7.08);</w:t>
      </w:r>
    </w:p>
    <w:p>
      <w:pPr>
        <w:spacing w:after="0" w:line="202" w:lineRule="exact"/>
        <w:rPr>
          <w:rFonts w:ascii="Arial" w:cs="Arial" w:eastAsia="Arial" w:hAnsi="Arial"/>
          <w:sz w:val="18"/>
          <w:szCs w:val="18"/>
          <w:color w:val="auto"/>
        </w:rPr>
      </w:pPr>
    </w:p>
    <w:p>
      <w:pPr>
        <w:ind w:left="640" w:right="20" w:firstLine="648"/>
        <w:spacing w:after="0" w:line="258" w:lineRule="auto"/>
        <w:tabs>
          <w:tab w:leader="none" w:pos="179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transactions by the Parent Borrower and any Restricted Subsidiary permitted under an express provision (including any exceptions thereto) of this Article VII (other than by reference to this Section 7.08 or any clause in this Section 7.08);</w:t>
      </w:r>
    </w:p>
    <w:p>
      <w:pPr>
        <w:spacing w:after="0" w:line="187" w:lineRule="exact"/>
        <w:rPr>
          <w:rFonts w:ascii="Arial" w:cs="Arial" w:eastAsia="Arial" w:hAnsi="Arial"/>
          <w:sz w:val="17"/>
          <w:szCs w:val="17"/>
          <w:color w:val="auto"/>
        </w:rPr>
      </w:pPr>
    </w:p>
    <w:p>
      <w:pPr>
        <w:jc w:val="both"/>
        <w:ind w:left="640" w:right="20" w:firstLine="648"/>
        <w:spacing w:after="0" w:line="248" w:lineRule="auto"/>
        <w:tabs>
          <w:tab w:leader="none" w:pos="179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 employment, consulting and severance arrangements between the Parent Borrower and the Restricted Subsidiaries (or any direct or indirect parent of the Parent Borrower) and their respective future, present or former officers, employees, independent contractors, advisor, service provider and/or consultants (or their respective Controlled Investment Affiliates or Immediate Family Members), in each case, in the ordinary course of business and (ii) transactions pursuant to any shareholder, employee or director equity plan or stock option plan or any other management or employee benefit plan or agreement, or any equity subscription, co-invest agreement or shareholder agreement;</w:t>
      </w:r>
    </w:p>
    <w:p>
      <w:pPr>
        <w:spacing w:after="0" w:line="183" w:lineRule="exact"/>
        <w:rPr>
          <w:rFonts w:ascii="Arial" w:cs="Arial" w:eastAsia="Arial" w:hAnsi="Arial"/>
          <w:sz w:val="16"/>
          <w:szCs w:val="16"/>
          <w:color w:val="auto"/>
        </w:rPr>
      </w:pPr>
    </w:p>
    <w:p>
      <w:pPr>
        <w:jc w:val="both"/>
        <w:ind w:left="640" w:right="20" w:firstLine="648"/>
        <w:spacing w:after="0" w:line="235" w:lineRule="auto"/>
        <w:tabs>
          <w:tab w:leader="none" w:pos="179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payment of customary fees and reasonable out-of-pocket costs to, and indemnities provided on behalf of or for the benefit of any future, present or former directors, officers, member of management, independent contractors, employees, advisors, service providers and consultants (or their respective Controlled Investment Affiliates or Immediate Family Members) of the Parent Borrower and its Restricted Subsidiaries (or any direct or indirect parent of the Parent Borrower), in each case, in the ordinary course of business to the extent attributable to the ownership or operation of the Parent Borrower and its Restricted Subsidiaries;</w:t>
      </w:r>
    </w:p>
    <w:p>
      <w:pPr>
        <w:spacing w:after="0" w:line="190" w:lineRule="exact"/>
        <w:rPr>
          <w:rFonts w:ascii="Arial" w:cs="Arial" w:eastAsia="Arial" w:hAnsi="Arial"/>
          <w:sz w:val="17"/>
          <w:szCs w:val="17"/>
          <w:color w:val="auto"/>
        </w:rPr>
      </w:pPr>
    </w:p>
    <w:p>
      <w:pPr>
        <w:ind w:left="640" w:right="20" w:firstLine="648"/>
        <w:spacing w:after="0" w:line="235" w:lineRule="auto"/>
        <w:tabs>
          <w:tab w:leader="none" w:pos="179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transactions pursuant to agreements, instruments or arrangements in existence on the Closing Date and set forth on Schedule 7.08 or any amendment thereto or replacement thereof to the extent</w:t>
      </w:r>
    </w:p>
    <w:p>
      <w:pPr>
        <w:sectPr>
          <w:pgSz w:w="11900" w:h="16838" w:orient="portrait"/>
          <w:cols w:equalWidth="0" w:num="1">
            <w:col w:w="10900"/>
          </w:cols>
          <w:pgMar w:left="480" w:top="1440" w:right="519" w:bottom="1440" w:gutter="0" w:footer="0" w:header="0"/>
        </w:sectPr>
      </w:pPr>
    </w:p>
    <w:bookmarkStart w:id="204" w:name="page205"/>
    <w:bookmarkEnd w:id="204"/>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such an amendment or replacement is not adverse to the Lenders in any material respect as compared to the applicable agreement, instrument or arrangement in effect on the Closing Date;</w:t>
      </w:r>
    </w:p>
    <w:p>
      <w:pPr>
        <w:spacing w:after="0" w:line="202" w:lineRule="exact"/>
        <w:rPr>
          <w:sz w:val="20"/>
          <w:szCs w:val="20"/>
          <w:color w:val="auto"/>
        </w:rPr>
      </w:pPr>
    </w:p>
    <w:p>
      <w:pPr>
        <w:ind w:left="1300" w:hanging="652"/>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120" w:firstLine="648"/>
        <w:spacing w:after="0" w:line="229"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payments by the Parent Borrower or any of its Subsidiaries pursuant to any tax sharing agreements with the Parent Borrower to the extent attributable to the ownership or operation of the Parent Borrower and its Subsidiaries, but only to the extent permitted by Section 7.06;</w:t>
      </w:r>
    </w:p>
    <w:p>
      <w:pPr>
        <w:spacing w:after="0" w:line="190" w:lineRule="exact"/>
        <w:rPr>
          <w:rFonts w:ascii="Arial" w:cs="Arial" w:eastAsia="Arial" w:hAnsi="Arial"/>
          <w:sz w:val="18"/>
          <w:szCs w:val="18"/>
          <w:color w:val="auto"/>
        </w:rPr>
      </w:pPr>
    </w:p>
    <w:p>
      <w:pPr>
        <w:jc w:val="both"/>
        <w:ind w:right="120" w:firstLine="648"/>
        <w:spacing w:after="0" w:line="223"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issuance or transfer of Equity Interests (other than Disqualified Equity Interests) of the Parent Borrower to any Permitted Holder or to any former, current or future director, manager, officer, employee, independent contractor, advisor, service provider or consultant (or any Immediate Family Members or Affiliates of any of the foregoing) of the Parent Borrower, any of its Subsidiaries or any direct or indirect parent thereof;</w:t>
      </w:r>
    </w:p>
    <w:p>
      <w:pPr>
        <w:spacing w:after="0" w:line="189" w:lineRule="exact"/>
        <w:rPr>
          <w:rFonts w:ascii="Arial" w:cs="Arial" w:eastAsia="Arial" w:hAnsi="Arial"/>
          <w:sz w:val="18"/>
          <w:szCs w:val="18"/>
          <w:color w:val="auto"/>
        </w:rPr>
      </w:pPr>
    </w:p>
    <w:p>
      <w:pPr>
        <w:jc w:val="both"/>
        <w:ind w:right="80" w:firstLine="648"/>
        <w:spacing w:after="0" w:line="222"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transactions with customers, clients, joint venture partners, independent contractors, suppliers or purchasers or sellers of goods or services, in each case in the ordinary course of business and otherwise in compliance with the terms of this Agreement that are fair to the Parent Borrower or its Restricted Subsidiaries, in the reasonable determination of the Board of Directors or the senior management of the Administrative Borrower, or are on terms at least as favorable (as determined by the Administrative Borrower) as might reasonably have been obtained at such time from an unaffiliated party;</w:t>
      </w:r>
    </w:p>
    <w:p>
      <w:pPr>
        <w:spacing w:after="0" w:line="190" w:lineRule="exact"/>
        <w:rPr>
          <w:rFonts w:ascii="Arial" w:cs="Arial" w:eastAsia="Arial" w:hAnsi="Arial"/>
          <w:sz w:val="18"/>
          <w:szCs w:val="18"/>
          <w:color w:val="auto"/>
        </w:rPr>
      </w:pPr>
    </w:p>
    <w:p>
      <w:pPr>
        <w:jc w:val="both"/>
        <w:ind w:right="120" w:firstLine="648"/>
        <w:spacing w:after="0" w:line="267" w:lineRule="auto"/>
        <w:tabs>
          <w:tab w:leader="none" w:pos="115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transactions pursuant to that certain Letter Agreement re: Administrative Services, dated as of March 11, 2019, between HC Group Holdings I, LLC and Option Care Enterprises, Inc., or any amendment thereto or replacement thereof to the extent such an amendment or replacement is not adverse to the Lenders in any material respect as compared to the letter agreement in effect on the Closing Date;</w:t>
      </w:r>
    </w:p>
    <w:p>
      <w:pPr>
        <w:spacing w:after="0" w:line="168" w:lineRule="exact"/>
        <w:rPr>
          <w:rFonts w:ascii="Arial" w:cs="Arial" w:eastAsia="Arial" w:hAnsi="Arial"/>
          <w:sz w:val="16"/>
          <w:szCs w:val="16"/>
          <w:color w:val="auto"/>
        </w:rPr>
      </w:pPr>
    </w:p>
    <w:p>
      <w:pPr>
        <w:jc w:val="both"/>
        <w:ind w:right="120" w:firstLine="648"/>
        <w:spacing w:after="0" w:line="223"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relating to registration rights and indemnities provided to stockholders of the Parent Borrower or any direct or indirect parent thereof pursuant to the stockholders agreement or the registration rights agreement entered into on or after the Closing Date in connection therewith or similar equity holder’s agreements or limited liability company agreements;</w:t>
      </w:r>
    </w:p>
    <w:p>
      <w:pPr>
        <w:spacing w:after="0" w:line="189" w:lineRule="exact"/>
        <w:rPr>
          <w:rFonts w:ascii="Arial" w:cs="Arial" w:eastAsia="Arial" w:hAnsi="Arial"/>
          <w:sz w:val="18"/>
          <w:szCs w:val="18"/>
          <w:color w:val="auto"/>
        </w:rPr>
      </w:pPr>
    </w:p>
    <w:p>
      <w:pPr>
        <w:jc w:val="both"/>
        <w:ind w:right="80" w:firstLine="648"/>
        <w:spacing w:after="0" w:line="229"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transactions in which the Parent Borrower or any of the Restricted Subsidiaries, as the case may be, deliver to the Administrative Agent a letter from an Independent Financial Advisor stating that such transaction is fair to the Parent Borrower or such Restricted Subsidiary from a financial point of view or meets the requirements of clause (b) of this Section 7.08;</w:t>
      </w:r>
    </w:p>
    <w:p>
      <w:pPr>
        <w:spacing w:after="0" w:line="190" w:lineRule="exact"/>
        <w:rPr>
          <w:rFonts w:ascii="Arial" w:cs="Arial" w:eastAsia="Arial" w:hAnsi="Arial"/>
          <w:sz w:val="18"/>
          <w:szCs w:val="18"/>
          <w:color w:val="auto"/>
        </w:rPr>
      </w:pPr>
    </w:p>
    <w:p>
      <w:pPr>
        <w:ind w:right="120" w:firstLine="648"/>
        <w:spacing w:after="0" w:line="246"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licensing of trademarks, copyrights or other IP Rights in the ordinary course of business and the non-exclusive licensing (or sublicensing) of trademarks, copyrights, or other IP Rights;</w:t>
      </w:r>
    </w:p>
    <w:p>
      <w:pPr>
        <w:spacing w:after="0" w:line="196" w:lineRule="exact"/>
        <w:rPr>
          <w:rFonts w:ascii="Arial" w:cs="Arial" w:eastAsia="Arial" w:hAnsi="Arial"/>
          <w:sz w:val="18"/>
          <w:szCs w:val="18"/>
          <w:color w:val="auto"/>
        </w:rPr>
      </w:pPr>
    </w:p>
    <w:p>
      <w:pPr>
        <w:jc w:val="both"/>
        <w:ind w:right="120" w:firstLine="647"/>
        <w:spacing w:after="0" w:line="223" w:lineRule="auto"/>
        <w:tabs>
          <w:tab w:leader="none" w:pos="115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issuance or transfer of Equity Interests (other than Disqualified Equity Interests) of the Parent Borrower or any of its Subsidiaries or any direct or indirect parent thereof or any contribution to the capital of the Parent Borrower or any of its Restricted Subsidiaries to the extent otherwise permitted by this Agreement and to the extent such issuance or transfer would not give rise to a Change of Control;</w:t>
      </w:r>
    </w:p>
    <w:p>
      <w:pPr>
        <w:spacing w:after="0" w:line="189" w:lineRule="exact"/>
        <w:rPr>
          <w:rFonts w:ascii="Arial" w:cs="Arial" w:eastAsia="Arial" w:hAnsi="Arial"/>
          <w:sz w:val="18"/>
          <w:szCs w:val="18"/>
          <w:color w:val="auto"/>
        </w:rPr>
      </w:pPr>
    </w:p>
    <w:p>
      <w:pPr>
        <w:ind w:right="140" w:firstLine="647"/>
        <w:spacing w:after="0" w:line="219" w:lineRule="auto"/>
        <w:tabs>
          <w:tab w:leader="none" w:pos="115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investments by the Permitted Holders in securities of the Parent Borrower or any of the Restricted Subsidiaries (and payment of reasonable out-of-pocket expenses incurred by the Permitted Holders in connection therewith) so long as (A) the investment is being offered generally to other non-affiliated investors on the same or more favorable terms and (B) the investment constitutes less than 10% of the proposed or outstanding issue amount of such class of securities, and (ii) payments to the Permitted Holders in respect of securities or loans of the Parent Borrower or any of its Restricted Subsidiaries contemplated in the foregoing subclause (i) or that were acquired from Persons other than the</w:t>
      </w:r>
    </w:p>
    <w:p>
      <w:pPr>
        <w:sectPr>
          <w:pgSz w:w="11900" w:h="16838" w:orient="portrait"/>
          <w:cols w:equalWidth="0" w:num="1">
            <w:col w:w="10360"/>
          </w:cols>
          <w:pgMar w:left="1120" w:top="1440" w:right="419" w:bottom="1440" w:gutter="0" w:footer="0" w:header="0"/>
        </w:sectPr>
      </w:pPr>
    </w:p>
    <w:bookmarkStart w:id="205" w:name="page206"/>
    <w:bookmarkEnd w:id="205"/>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Parent Borrower and its Restricted Subsidiaries, in each case, in accordance with the terms of such securities or loans</w:t>
      </w:r>
    </w:p>
    <w:p>
      <w:pPr>
        <w:spacing w:after="0" w:line="225" w:lineRule="exact"/>
        <w:rPr>
          <w:sz w:val="20"/>
          <w:szCs w:val="20"/>
          <w:color w:val="auto"/>
        </w:rPr>
      </w:pPr>
    </w:p>
    <w:p>
      <w:pPr>
        <w:ind w:firstLine="648"/>
        <w:spacing w:after="0" w:line="235" w:lineRule="auto"/>
        <w:tabs>
          <w:tab w:leader="none" w:pos="115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subleases of leased real property by and between the Parent Borrower or any Restricted Subsidiary and Walgreens Co. and any of its Subsidiaries;</w:t>
      </w:r>
    </w:p>
    <w:p>
      <w:pPr>
        <w:spacing w:after="0" w:line="202" w:lineRule="exact"/>
        <w:rPr>
          <w:rFonts w:ascii="Arial" w:cs="Arial" w:eastAsia="Arial" w:hAnsi="Arial"/>
          <w:sz w:val="18"/>
          <w:szCs w:val="18"/>
          <w:color w:val="auto"/>
        </w:rPr>
      </w:pPr>
    </w:p>
    <w:p>
      <w:pPr>
        <w:jc w:val="both"/>
        <w:ind w:firstLine="648"/>
        <w:spacing w:after="0" w:line="224" w:lineRule="auto"/>
        <w:tabs>
          <w:tab w:leader="none" w:pos="115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transactions among the Parent Borrower and the Restricted Subsidiaries, undertaken in good faith (as certified by a responsible financial or accounting officer of the Administrative Borrower in an officer’s certificate) for the purposes of improving the consolidated tax efficiency of the Parent Borrower and its Subsidiaries and not for the purpose of circumventing any provision of this Agreement so long as (x) no Event of Default has occurred and is continuing or would result from such transactions and</w:t>
      </w:r>
    </w:p>
    <w:p>
      <w:pPr>
        <w:spacing w:after="0" w:line="1" w:lineRule="exact"/>
        <w:rPr>
          <w:rFonts w:ascii="Arial" w:cs="Arial" w:eastAsia="Arial" w:hAnsi="Arial"/>
          <w:sz w:val="17"/>
          <w:szCs w:val="17"/>
          <w:color w:val="auto"/>
        </w:rPr>
      </w:pPr>
    </w:p>
    <w:p>
      <w:pPr>
        <w:ind w:left="280" w:hanging="280"/>
        <w:spacing w:after="0"/>
        <w:tabs>
          <w:tab w:leader="none" w:pos="2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Administrative Borrower provides to the Administrative Agent evidence reasonably acceptable to the Administrative Agent that the</w:t>
      </w:r>
    </w:p>
    <w:p>
      <w:pPr>
        <w:spacing w:after="0" w:line="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granting, perfection, validity and priority of the security interest of the Secured Parties in the Collateral (prior to giving effect to the transactions), taken as a whole, is not impaired in any material respect by such transactions and all actions required to maintain said perfected status have been or will promptly be taken;</w:t>
      </w:r>
    </w:p>
    <w:p>
      <w:pPr>
        <w:spacing w:after="0" w:line="203" w:lineRule="exact"/>
        <w:rPr>
          <w:sz w:val="20"/>
          <w:szCs w:val="20"/>
          <w:color w:val="auto"/>
        </w:rPr>
      </w:pPr>
    </w:p>
    <w:p>
      <w:pPr>
        <w:jc w:val="both"/>
        <w:ind w:firstLine="648"/>
        <w:spacing w:after="0" w:line="223" w:lineRule="auto"/>
        <w:tabs>
          <w:tab w:leader="none" w:pos="11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payments to or from, and transactions with, joint ventures (to the extent any such joint venture is only an Affiliate as a result of Investments by the Parent Borrower and the Restricted Subsidiaries in such joint venture) in the ordinary course of business or consistent with past practice or industry practice (including, without limitation, any cash management activities related thereto) to the extent otherwise constituting a Permitted Investment or Restricted Payment permitted under Section 7.06;</w:t>
      </w:r>
    </w:p>
    <w:p>
      <w:pPr>
        <w:spacing w:after="0" w:line="189" w:lineRule="exact"/>
        <w:rPr>
          <w:rFonts w:ascii="Arial" w:cs="Arial" w:eastAsia="Arial" w:hAnsi="Arial"/>
          <w:sz w:val="18"/>
          <w:szCs w:val="18"/>
          <w:color w:val="auto"/>
        </w:rPr>
      </w:pPr>
    </w:p>
    <w:p>
      <w:pPr>
        <w:jc w:val="both"/>
        <w:ind w:firstLine="648"/>
        <w:spacing w:after="0" w:line="223" w:lineRule="auto"/>
        <w:tabs>
          <w:tab w:leader="none" w:pos="11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Disposition of Securitization Assets or related assets, Investments permitted pursuant to clause (14) of the definition of “Permitted Investments”, Standard Securitization Undertakings and Limited Originator Recourse, in each case in connection with any Qualified Securitization Financing or any related transaction effected in order to consummate a financing contemplated by a Qualified Securitization Financing;</w:t>
      </w:r>
    </w:p>
    <w:p>
      <w:pPr>
        <w:spacing w:after="0" w:line="189" w:lineRule="exact"/>
        <w:rPr>
          <w:rFonts w:ascii="Arial" w:cs="Arial" w:eastAsia="Arial" w:hAnsi="Arial"/>
          <w:sz w:val="18"/>
          <w:szCs w:val="18"/>
          <w:color w:val="auto"/>
        </w:rPr>
      </w:pPr>
    </w:p>
    <w:p>
      <w:pPr>
        <w:jc w:val="both"/>
        <w:ind w:firstLine="648"/>
        <w:spacing w:after="0" w:line="267" w:lineRule="auto"/>
        <w:tabs>
          <w:tab w:leader="none" w:pos="115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transactions between the Parent Borrower or any of its Restricted Subsidiaries and any Person, a director of which is also a director of the Parent Borrower or any direct or indirect parent of the Parent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director abstains from voting as a director of the Parent Borrower or such direct or indirect parent, as the case may be, on any matter involving such other Person;</w:t>
      </w:r>
    </w:p>
    <w:p>
      <w:pPr>
        <w:spacing w:after="0" w:line="168" w:lineRule="exact"/>
        <w:rPr>
          <w:rFonts w:ascii="Arial" w:cs="Arial" w:eastAsia="Arial" w:hAnsi="Arial"/>
          <w:sz w:val="16"/>
          <w:szCs w:val="16"/>
          <w:color w:val="auto"/>
        </w:rPr>
      </w:pPr>
    </w:p>
    <w:p>
      <w:pPr>
        <w:jc w:val="both"/>
        <w:ind w:firstLine="648"/>
        <w:spacing w:after="0" w:line="223" w:lineRule="auto"/>
        <w:tabs>
          <w:tab w:leader="none" w:pos="11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payments or loans (or cancellations of loan repayment obligations) to future, present and former independent contractors, employees, advisors, service providers or consultants of the Parent Borrower, any of its direct or indirect parent companies or any Restricted Subsidiary that are approved by the Board of Directors of senior management of the Parent Borrower in good faith and that are otherwise permitted by this Agreement; and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(aa) Affiliate repurchases of the Loans or Commitments to the extent permitted by Section</w:t>
      </w:r>
    </w:p>
    <w:p>
      <w:pPr>
        <w:spacing w:after="0" w:line="255" w:lineRule="auto"/>
        <w:rPr>
          <w:sz w:val="20"/>
          <w:szCs w:val="20"/>
          <w:color w:val="auto"/>
        </w:rPr>
      </w:pPr>
      <w:r>
        <w:rPr>
          <w:rFonts w:ascii="Arial" w:cs="Arial" w:eastAsia="Arial" w:hAnsi="Arial"/>
          <w:sz w:val="17"/>
          <w:szCs w:val="17"/>
          <w:color w:val="auto"/>
        </w:rPr>
        <w:t>10.07 and Affiliate repurchases of Secured Obligations, Second Lien Obligations and obligations in respect of any Junior Financing, in each case, the holding of such loans or commitments and the payments and other transactions contemplated herein in respect thereof.</w:t>
      </w:r>
    </w:p>
    <w:p>
      <w:pPr>
        <w:spacing w:after="0" w:line="17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010000"/>
        </w:rPr>
        <w:t>Section 7.09</w:t>
      </w:r>
      <w:r>
        <w:rPr>
          <w:sz w:val="20"/>
          <w:szCs w:val="20"/>
          <w:color w:val="auto"/>
        </w:rPr>
        <w:tab/>
      </w:r>
      <w:r>
        <w:rPr>
          <w:rFonts w:ascii="Arial" w:cs="Arial" w:eastAsia="Arial" w:hAnsi="Arial"/>
          <w:sz w:val="16"/>
          <w:szCs w:val="16"/>
          <w:color w:val="auto"/>
        </w:rPr>
        <w:t>Burdensome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Enter into or permit to exist any Contractual Obligation (other than this Agreement or any other Loan Document) that limits the ability of:</w:t>
      </w:r>
    </w:p>
    <w:p>
      <w:pPr>
        <w:spacing w:after="0" w:line="237" w:lineRule="exact"/>
        <w:rPr>
          <w:sz w:val="20"/>
          <w:szCs w:val="20"/>
          <w:color w:val="auto"/>
        </w:rPr>
      </w:pPr>
    </w:p>
    <w:p>
      <w:pPr>
        <w:ind w:left="1300" w:hanging="652"/>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Non-Loan Party to make Restricted Payments to any Loan Party, or</w:t>
      </w:r>
    </w:p>
    <w:p>
      <w:pPr>
        <w:sectPr>
          <w:pgSz w:w="11900" w:h="16838" w:orient="portrait"/>
          <w:cols w:equalWidth="0" w:num="1">
            <w:col w:w="10240"/>
          </w:cols>
          <w:pgMar w:left="1120" w:top="1440" w:right="539" w:bottom="1440" w:gutter="0" w:footer="0" w:header="0"/>
        </w:sectPr>
      </w:pPr>
    </w:p>
    <w:bookmarkStart w:id="206" w:name="page207"/>
    <w:bookmarkEnd w:id="206"/>
    <w:p>
      <w:pPr>
        <w:spacing w:after="0" w:line="211" w:lineRule="exact"/>
        <w:rPr>
          <w:sz w:val="20"/>
          <w:szCs w:val="20"/>
          <w:color w:val="auto"/>
        </w:rPr>
      </w:pPr>
    </w:p>
    <w:p>
      <w:pPr>
        <w:jc w:val="both"/>
        <w:ind w:left="-320" w:right="40" w:firstLine="648"/>
        <w:spacing w:after="0" w:line="224" w:lineRule="auto"/>
        <w:tabs>
          <w:tab w:leader="none" w:pos="8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any Loan Party to create, incur, assume or suffer to exist Liens on property of such Person for the benefit of the Secured Parties with respect to the Obligations or under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clauses (a) and (b) shall not apply to Contractual Obligations which:</w:t>
      </w:r>
    </w:p>
    <w:p>
      <w:pPr>
        <w:spacing w:after="0" w:line="203" w:lineRule="exact"/>
        <w:rPr>
          <w:rFonts w:ascii="Arial" w:cs="Arial" w:eastAsia="Arial" w:hAnsi="Arial"/>
          <w:sz w:val="18"/>
          <w:szCs w:val="18"/>
          <w:color w:val="auto"/>
        </w:rPr>
      </w:pPr>
    </w:p>
    <w:p>
      <w:pPr>
        <w:jc w:val="both"/>
        <w:ind w:left="320" w:right="40" w:firstLine="728"/>
        <w:spacing w:after="0" w:line="219" w:lineRule="auto"/>
        <w:tabs>
          <w:tab w:leader="none" w:pos="1473" w:val="left"/>
        </w:tabs>
        <w:numPr>
          <w:ilvl w:val="1"/>
          <w:numId w:val="270"/>
        </w:numPr>
        <w:rPr>
          <w:rFonts w:ascii="Arial" w:cs="Arial" w:eastAsia="Arial" w:hAnsi="Arial"/>
          <w:sz w:val="18"/>
          <w:szCs w:val="18"/>
          <w:color w:val="auto"/>
        </w:rPr>
      </w:pPr>
      <w:r>
        <w:rPr>
          <w:rFonts w:ascii="Arial" w:cs="Arial" w:eastAsia="Arial" w:hAnsi="Arial"/>
          <w:sz w:val="18"/>
          <w:szCs w:val="18"/>
          <w:color w:val="auto"/>
        </w:rPr>
        <w:t>(x) exist on the Closing Date and (to the extent not otherwise permitted by this Section 7.09) are listed in Schedule 7.09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w:t>
      </w:r>
    </w:p>
    <w:p>
      <w:pPr>
        <w:spacing w:after="0" w:line="189" w:lineRule="exact"/>
        <w:rPr>
          <w:rFonts w:ascii="Arial" w:cs="Arial" w:eastAsia="Arial" w:hAnsi="Arial"/>
          <w:sz w:val="18"/>
          <w:szCs w:val="18"/>
          <w:color w:val="auto"/>
        </w:rPr>
      </w:pPr>
    </w:p>
    <w:p>
      <w:pPr>
        <w:ind w:left="320" w:right="40" w:firstLine="679"/>
        <w:spacing w:after="0" w:line="307" w:lineRule="auto"/>
        <w:tabs>
          <w:tab w:leader="none" w:pos="1472"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are binding on a Restricted Subsidiary at the time such Restricted Subsidiary first becomes a Restricted Subsidiary, so long as such Contractual Obligations were not entered into in anticipation of such Person becoming a Restricted Subsidiary;</w:t>
      </w:r>
    </w:p>
    <w:p>
      <w:pPr>
        <w:spacing w:after="0" w:line="136" w:lineRule="exact"/>
        <w:rPr>
          <w:rFonts w:ascii="Arial" w:cs="Arial" w:eastAsia="Arial" w:hAnsi="Arial"/>
          <w:sz w:val="16"/>
          <w:szCs w:val="16"/>
          <w:color w:val="auto"/>
        </w:rPr>
      </w:pPr>
    </w:p>
    <w:p>
      <w:pPr>
        <w:ind w:left="320" w:right="40" w:firstLine="630"/>
        <w:spacing w:after="0" w:line="235"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comprise restrictions pursuant to Indebtedness of a Non-Loan Party which is permitted by Section 7.03 and which does not apply to any Loan Party;</w:t>
      </w:r>
    </w:p>
    <w:p>
      <w:pPr>
        <w:spacing w:after="0" w:line="202" w:lineRule="exact"/>
        <w:rPr>
          <w:rFonts w:ascii="Arial" w:cs="Arial" w:eastAsia="Arial" w:hAnsi="Arial"/>
          <w:sz w:val="18"/>
          <w:szCs w:val="18"/>
          <w:color w:val="auto"/>
        </w:rPr>
      </w:pPr>
    </w:p>
    <w:p>
      <w:pPr>
        <w:jc w:val="both"/>
        <w:ind w:left="320" w:firstLine="640"/>
        <w:spacing w:after="0" w:line="229"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are customary restrictions that arise in connection with (x) any Lien permitted by Sections 7.01(k), (l), (p), (q), (r)(i), (r)(ii), (s) and (ee) and relate to the property subject to such Lien or (y) any Disposition permitted by Section 7.04 or 7.05 and relate solely to the assets or Person subject to such Disposition;</w:t>
      </w:r>
    </w:p>
    <w:p>
      <w:pPr>
        <w:spacing w:after="0" w:line="190" w:lineRule="exact"/>
        <w:rPr>
          <w:rFonts w:ascii="Arial" w:cs="Arial" w:eastAsia="Arial" w:hAnsi="Arial"/>
          <w:sz w:val="18"/>
          <w:szCs w:val="18"/>
          <w:color w:val="auto"/>
        </w:rPr>
      </w:pPr>
    </w:p>
    <w:p>
      <w:pPr>
        <w:ind w:left="320" w:right="40" w:firstLine="690"/>
        <w:spacing w:after="0" w:line="274" w:lineRule="auto"/>
        <w:tabs>
          <w:tab w:leader="none" w:pos="147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are customary provisions in joint venture agreements and other similar agreements applicable to joint ventures constituting Permitted Investments or otherwise permitted under Section 7.06 and applicable solely to such joint venture;</w:t>
      </w:r>
    </w:p>
    <w:p>
      <w:pPr>
        <w:spacing w:after="0" w:line="174" w:lineRule="exact"/>
        <w:rPr>
          <w:rFonts w:ascii="Arial" w:cs="Arial" w:eastAsia="Arial" w:hAnsi="Arial"/>
          <w:sz w:val="17"/>
          <w:szCs w:val="17"/>
          <w:color w:val="auto"/>
        </w:rPr>
      </w:pPr>
    </w:p>
    <w:p>
      <w:pPr>
        <w:jc w:val="both"/>
        <w:ind w:left="320" w:right="40" w:firstLine="640"/>
        <w:spacing w:after="0" w:line="224"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are negative pledges and restrictions on Liens in favor of any holder of Indebtedness permitted under Section 7.03 but solely to the extent any negative pledge relates to the property financed by such Indebtedness and the proceeds and products thereof;</w:t>
      </w:r>
    </w:p>
    <w:p>
      <w:pPr>
        <w:spacing w:after="0" w:line="203" w:lineRule="exact"/>
        <w:rPr>
          <w:rFonts w:ascii="Arial" w:cs="Arial" w:eastAsia="Arial" w:hAnsi="Arial"/>
          <w:sz w:val="18"/>
          <w:szCs w:val="18"/>
          <w:color w:val="auto"/>
        </w:rPr>
      </w:pPr>
    </w:p>
    <w:p>
      <w:pPr>
        <w:ind w:left="320" w:right="40" w:firstLine="591"/>
        <w:spacing w:after="0" w:line="235"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are customary restrictions on leases, subleases, licenses or asset sale agreements otherwise permitted hereby so long as such restrictions relate to the property interest, rights or the assets subject thereto;</w:t>
      </w:r>
    </w:p>
    <w:p>
      <w:pPr>
        <w:spacing w:after="0" w:line="202" w:lineRule="exact"/>
        <w:rPr>
          <w:rFonts w:ascii="Arial" w:cs="Arial" w:eastAsia="Arial" w:hAnsi="Arial"/>
          <w:sz w:val="18"/>
          <w:szCs w:val="18"/>
          <w:color w:val="auto"/>
        </w:rPr>
      </w:pPr>
    </w:p>
    <w:p>
      <w:pPr>
        <w:jc w:val="both"/>
        <w:ind w:left="320" w:firstLine="540"/>
        <w:spacing w:after="0" w:line="245" w:lineRule="auto"/>
        <w:tabs>
          <w:tab w:leader="none" w:pos="147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comprise restrictions imposed by any agreement relating to secured Indebtedness permitted pursuant to Section 7.03(a), (e) (other than Disqualified Equity Interests or Preferred Stock), (g) (other than Disqualified Equity Interests or Preferred Stock) and (n) to the extent that such restrictions apply only to the property or assets securing such Indebtedness;</w:t>
      </w:r>
    </w:p>
    <w:p>
      <w:pPr>
        <w:spacing w:after="0" w:line="184" w:lineRule="exact"/>
        <w:rPr>
          <w:rFonts w:ascii="Arial" w:cs="Arial" w:eastAsia="Arial" w:hAnsi="Arial"/>
          <w:sz w:val="17"/>
          <w:szCs w:val="17"/>
          <w:color w:val="auto"/>
        </w:rPr>
      </w:pPr>
    </w:p>
    <w:p>
      <w:pPr>
        <w:ind w:left="320" w:right="40" w:firstLine="640"/>
        <w:spacing w:after="0" w:line="235"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are customary provisions restricting subletting or assignment of any lease governing a leasehold interest of the Parent Borrower or any of its Restricted Subsidiaries;</w:t>
      </w:r>
    </w:p>
    <w:p>
      <w:pPr>
        <w:spacing w:after="0" w:line="202" w:lineRule="exact"/>
        <w:rPr>
          <w:rFonts w:ascii="Arial" w:cs="Arial" w:eastAsia="Arial" w:hAnsi="Arial"/>
          <w:sz w:val="18"/>
          <w:szCs w:val="18"/>
          <w:color w:val="auto"/>
        </w:rPr>
      </w:pPr>
    </w:p>
    <w:p>
      <w:pPr>
        <w:jc w:val="both"/>
        <w:ind w:left="320" w:right="20" w:firstLine="689"/>
        <w:spacing w:after="0" w:line="224" w:lineRule="auto"/>
        <w:tabs>
          <w:tab w:leader="none" w:pos="1473"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are customary provisions restricting assignment of any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agreement is not entered into in the ordinary course of business, the granting, perfection, validity and priority of the security interests of the Secured Parties is not impaired in any material respect by such restriction;</w:t>
      </w:r>
    </w:p>
    <w:p>
      <w:pPr>
        <w:spacing w:after="0" w:line="203" w:lineRule="exact"/>
        <w:rPr>
          <w:rFonts w:ascii="Arial" w:cs="Arial" w:eastAsia="Arial" w:hAnsi="Arial"/>
          <w:sz w:val="18"/>
          <w:szCs w:val="18"/>
          <w:color w:val="auto"/>
        </w:rPr>
      </w:pPr>
    </w:p>
    <w:p>
      <w:pPr>
        <w:ind w:left="320" w:right="40" w:firstLine="640"/>
        <w:spacing w:after="0" w:line="235"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are restrictions on cash or other deposits or net worth imposed by customers under contracts entered into in the ordinary course of business;</w:t>
      </w:r>
    </w:p>
    <w:p>
      <w:pPr>
        <w:spacing w:after="0" w:line="202" w:lineRule="exact"/>
        <w:rPr>
          <w:rFonts w:ascii="Arial" w:cs="Arial" w:eastAsia="Arial" w:hAnsi="Arial"/>
          <w:sz w:val="18"/>
          <w:szCs w:val="18"/>
          <w:color w:val="auto"/>
        </w:rPr>
      </w:pPr>
    </w:p>
    <w:p>
      <w:pPr>
        <w:ind w:left="320" w:right="40" w:firstLine="591"/>
        <w:spacing w:after="0" w:line="235" w:lineRule="auto"/>
        <w:tabs>
          <w:tab w:leader="none" w:pos="14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arise in connection with cash or other deposits permitted under Section 7.01 or the definition of Permitted Investments, and limited to such cash or deposits;</w:t>
      </w:r>
    </w:p>
    <w:p>
      <w:pPr>
        <w:sectPr>
          <w:pgSz w:w="11900" w:h="16838" w:orient="portrait"/>
          <w:cols w:equalWidth="0" w:num="1">
            <w:col w:w="9960"/>
          </w:cols>
          <w:pgMar w:left="1440" w:top="1440" w:right="499" w:bottom="1440" w:gutter="0" w:footer="0" w:header="0"/>
        </w:sectPr>
      </w:pPr>
    </w:p>
    <w:bookmarkStart w:id="207" w:name="page208"/>
    <w:bookmarkEnd w:id="207"/>
    <w:p>
      <w:pPr>
        <w:spacing w:after="0" w:line="211" w:lineRule="exact"/>
        <w:rPr>
          <w:sz w:val="20"/>
          <w:szCs w:val="20"/>
          <w:color w:val="auto"/>
        </w:rPr>
      </w:pPr>
    </w:p>
    <w:p>
      <w:pPr>
        <w:jc w:val="both"/>
        <w:ind w:left="1280" w:right="40" w:firstLine="540"/>
        <w:spacing w:after="0" w:line="216" w:lineRule="auto"/>
        <w:tabs>
          <w:tab w:leader="none" w:pos="24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comprise restrictions imposed by any agreement governing Indebtedness entered into on or after the Closing Date and permitted under Section 7.03 that are, taken as a whole, in the good faith judgment of the Administrative Borrower, no more restrictive with respect to the Parent Borrower or any Restricted Subsidiary than customary market terms for Indebtedness of such type (and, in any event, are no more restrictive than the restrictions contained in this Agreement), so long as the Administrative Borrower shall have determined in good faith that such restrictions will not affect its obligation or ability to make any payments required hereunder;</w:t>
      </w:r>
    </w:p>
    <w:p>
      <w:pPr>
        <w:spacing w:after="0" w:line="205" w:lineRule="exact"/>
        <w:rPr>
          <w:rFonts w:ascii="Arial" w:cs="Arial" w:eastAsia="Arial" w:hAnsi="Arial"/>
          <w:sz w:val="18"/>
          <w:szCs w:val="18"/>
          <w:color w:val="auto"/>
        </w:rPr>
      </w:pPr>
    </w:p>
    <w:p>
      <w:pPr>
        <w:ind w:left="1280" w:right="80" w:firstLine="551"/>
        <w:spacing w:after="0" w:line="235" w:lineRule="auto"/>
        <w:tabs>
          <w:tab w:leader="none" w:pos="243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comprise restrictions imposed by Indebtedness incurred by a Securitization Subsidiary in a Qualified Securitization Financing limited to Securitization Assets, in each case to the extent permitted hereunder;</w:t>
      </w:r>
    </w:p>
    <w:p>
      <w:pPr>
        <w:spacing w:after="0" w:line="202" w:lineRule="exact"/>
        <w:rPr>
          <w:rFonts w:ascii="Arial" w:cs="Arial" w:eastAsia="Arial" w:hAnsi="Arial"/>
          <w:sz w:val="18"/>
          <w:szCs w:val="18"/>
          <w:color w:val="auto"/>
        </w:rPr>
      </w:pPr>
    </w:p>
    <w:p>
      <w:pPr>
        <w:ind w:left="1280" w:right="80" w:firstLine="602"/>
        <w:spacing w:after="0" w:line="235" w:lineRule="auto"/>
        <w:tabs>
          <w:tab w:leader="none" w:pos="24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are restrictions contained in (x) the ABL Financing Documents and documents otherwise governing Indebtedness permitted pursuant to </w:t>
      </w:r>
      <w:r>
        <w:rPr>
          <w:rFonts w:ascii="Arial" w:cs="Arial" w:eastAsia="Arial" w:hAnsi="Arial"/>
          <w:sz w:val="18"/>
          <w:szCs w:val="18"/>
          <w:u w:val="single" w:color="auto"/>
          <w:color w:val="auto"/>
        </w:rPr>
        <w:t>Section 7.03(k)</w:t>
      </w:r>
      <w:r>
        <w:rPr>
          <w:rFonts w:ascii="Arial" w:cs="Arial" w:eastAsia="Arial" w:hAnsi="Arial"/>
          <w:sz w:val="18"/>
          <w:szCs w:val="18"/>
          <w:color w:val="auto"/>
        </w:rPr>
        <w:t xml:space="preserve"> or (y) any First Lien Financing Document;</w:t>
      </w:r>
    </w:p>
    <w:p>
      <w:pPr>
        <w:spacing w:after="0" w:line="202" w:lineRule="exact"/>
        <w:rPr>
          <w:rFonts w:ascii="Arial" w:cs="Arial" w:eastAsia="Arial" w:hAnsi="Arial"/>
          <w:sz w:val="18"/>
          <w:szCs w:val="18"/>
          <w:color w:val="auto"/>
        </w:rPr>
      </w:pPr>
    </w:p>
    <w:p>
      <w:pPr>
        <w:ind w:left="1280" w:right="160" w:firstLine="656"/>
        <w:spacing w:after="0" w:line="246" w:lineRule="auto"/>
        <w:tabs>
          <w:tab w:leader="none" w:pos="243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are restrictions regarding licensing or sublicensing by Parent Borrower and its Restricted Subsidiaries of intellectual property in the ordinary course of business; and</w:t>
      </w:r>
    </w:p>
    <w:p>
      <w:pPr>
        <w:spacing w:after="0" w:line="192" w:lineRule="exact"/>
        <w:rPr>
          <w:rFonts w:ascii="Arial" w:cs="Arial" w:eastAsia="Arial" w:hAnsi="Arial"/>
          <w:sz w:val="18"/>
          <w:szCs w:val="18"/>
          <w:color w:val="auto"/>
        </w:rPr>
      </w:pPr>
    </w:p>
    <w:p>
      <w:pPr>
        <w:ind w:left="2440" w:hanging="504"/>
        <w:spacing w:after="0"/>
        <w:tabs>
          <w:tab w:leader="none" w:pos="244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are restrictions on cash earnest money deposits in favor of sellers in connection with acquisitions not prohibited</w:t>
      </w:r>
    </w:p>
    <w:p>
      <w:pPr>
        <w:ind w:left="1280"/>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0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7.10</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7.11</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7.12</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7.13</w:t>
      </w:r>
      <w:r>
        <w:rPr>
          <w:sz w:val="20"/>
          <w:szCs w:val="20"/>
          <w:color w:val="auto"/>
        </w:rPr>
        <w:tab/>
      </w:r>
      <w:r>
        <w:rPr>
          <w:rFonts w:ascii="Arial" w:cs="Arial" w:eastAsia="Arial" w:hAnsi="Arial"/>
          <w:sz w:val="16"/>
          <w:szCs w:val="16"/>
          <w:color w:val="auto"/>
        </w:rPr>
        <w:t>Modifications of Terms of Junior Financing.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Amend, modify or change in any manner materially adverse to the interests of the Lenders, as determined in good faith by the Borrower, any</w:t>
      </w:r>
    </w:p>
    <w:p>
      <w:pPr>
        <w:spacing w:after="0" w:line="21" w:lineRule="exact"/>
        <w:rPr>
          <w:sz w:val="20"/>
          <w:szCs w:val="20"/>
          <w:color w:val="auto"/>
        </w:rPr>
      </w:pPr>
    </w:p>
    <w:p>
      <w:pPr>
        <w:jc w:val="both"/>
        <w:ind w:right="60"/>
        <w:spacing w:after="0" w:line="218" w:lineRule="auto"/>
        <w:rPr>
          <w:sz w:val="20"/>
          <w:szCs w:val="20"/>
          <w:color w:val="auto"/>
        </w:rPr>
      </w:pPr>
      <w:r>
        <w:rPr>
          <w:rFonts w:ascii="Arial" w:cs="Arial" w:eastAsia="Arial" w:hAnsi="Arial"/>
          <w:sz w:val="18"/>
          <w:szCs w:val="18"/>
          <w:color w:val="auto"/>
        </w:rPr>
        <w:t>term or condition of any Junior Financing Documentation in respect of any Junior Financing having an aggregate outstanding principal amount in excess of the Threshold Amount in violation of any applicable Intercreditor Agreement or subordination agreement without the consent of the Administrative Agent (which consent shall not be unreasonably withheld, delayed or conditioned).</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10000"/>
        </w:rPr>
        <w:t>ARTICLE VIII.</w:t>
      </w:r>
    </w:p>
    <w:p>
      <w:pPr>
        <w:jc w:val="center"/>
        <w:ind w:right="20"/>
        <w:spacing w:after="0"/>
        <w:rPr>
          <w:sz w:val="20"/>
          <w:szCs w:val="20"/>
          <w:color w:val="auto"/>
        </w:rPr>
      </w:pPr>
      <w:r>
        <w:rPr>
          <w:rFonts w:ascii="Arial" w:cs="Arial" w:eastAsia="Arial" w:hAnsi="Arial"/>
          <w:sz w:val="18"/>
          <w:szCs w:val="18"/>
          <w:b w:val="1"/>
          <w:bCs w:val="1"/>
          <w:u w:val="single" w:color="auto"/>
          <w:color w:val="auto"/>
        </w:rPr>
        <w:t>EVENTS OF DEFAULT AND REMEDIES</w:t>
      </w:r>
    </w:p>
    <w:p>
      <w:pPr>
        <w:spacing w:after="0" w:line="27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8.01</w:t>
      </w:r>
      <w:r>
        <w:rPr>
          <w:sz w:val="20"/>
          <w:szCs w:val="20"/>
          <w:color w:val="auto"/>
        </w:rPr>
        <w:tab/>
      </w:r>
      <w:r>
        <w:rPr>
          <w:rFonts w:ascii="Arial" w:cs="Arial" w:eastAsia="Arial" w:hAnsi="Arial"/>
          <w:sz w:val="16"/>
          <w:szCs w:val="16"/>
          <w:color w:val="auto"/>
        </w:rPr>
        <w:t>Events of Default.</w:t>
      </w:r>
    </w:p>
    <w:p>
      <w:pPr>
        <w:spacing w:after="0" w:line="221"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Any of the following events referred to in clauses (a) through (l) from and after the Closing Date shall constitute an event of default (an “</w:t>
      </w:r>
      <w:r>
        <w:rPr>
          <w:rFonts w:ascii="Arial" w:cs="Arial" w:eastAsia="Arial" w:hAnsi="Arial"/>
          <w:sz w:val="18"/>
          <w:szCs w:val="18"/>
          <w:b w:val="1"/>
          <w:bCs w:val="1"/>
          <w:color w:val="auto"/>
        </w:rPr>
        <w:t>Event</w:t>
      </w:r>
      <w:r>
        <w:rPr>
          <w:rFonts w:ascii="Arial" w:cs="Arial" w:eastAsia="Arial" w:hAnsi="Arial"/>
          <w:sz w:val="18"/>
          <w:szCs w:val="18"/>
          <w:color w:val="auto"/>
        </w:rPr>
        <w:t xml:space="preserve"> </w:t>
      </w:r>
      <w:r>
        <w:rPr>
          <w:rFonts w:ascii="Arial" w:cs="Arial" w:eastAsia="Arial" w:hAnsi="Arial"/>
          <w:sz w:val="18"/>
          <w:szCs w:val="18"/>
          <w:b w:val="1"/>
          <w:bCs w:val="1"/>
          <w:color w:val="auto"/>
        </w:rPr>
        <w:t>of Default</w:t>
      </w:r>
      <w:r>
        <w:rPr>
          <w:rFonts w:ascii="Arial" w:cs="Arial" w:eastAsia="Arial" w:hAnsi="Arial"/>
          <w:sz w:val="18"/>
          <w:szCs w:val="18"/>
          <w:color w:val="auto"/>
        </w:rPr>
        <w:t>”):</w:t>
      </w:r>
    </w:p>
    <w:p>
      <w:pPr>
        <w:spacing w:after="0" w:line="194" w:lineRule="exact"/>
        <w:rPr>
          <w:sz w:val="20"/>
          <w:szCs w:val="20"/>
          <w:color w:val="auto"/>
        </w:rPr>
      </w:pPr>
    </w:p>
    <w:p>
      <w:pPr>
        <w:ind w:left="1800" w:hanging="512"/>
        <w:spacing w:after="0"/>
        <w:tabs>
          <w:tab w:leader="none" w:pos="1800" w:val="left"/>
        </w:tabs>
        <w:numPr>
          <w:ilvl w:val="1"/>
          <w:numId w:val="272"/>
        </w:numPr>
        <w:rPr>
          <w:rFonts w:ascii="Arial" w:cs="Arial" w:eastAsia="Arial" w:hAnsi="Arial"/>
          <w:sz w:val="16"/>
          <w:szCs w:val="16"/>
          <w:color w:val="auto"/>
        </w:rPr>
      </w:pPr>
      <w:r>
        <w:rPr>
          <w:rFonts w:ascii="Arial" w:cs="Arial" w:eastAsia="Arial" w:hAnsi="Arial"/>
          <w:sz w:val="16"/>
          <w:szCs w:val="16"/>
          <w:i w:val="1"/>
          <w:iCs w:val="1"/>
          <w:color w:val="auto"/>
        </w:rPr>
        <w:t>Non-Payment</w:t>
      </w:r>
      <w:r>
        <w:rPr>
          <w:rFonts w:ascii="Arial" w:cs="Arial" w:eastAsia="Arial" w:hAnsi="Arial"/>
          <w:sz w:val="16"/>
          <w:szCs w:val="16"/>
          <w:color w:val="auto"/>
        </w:rPr>
        <w:t>. Any Loan Party fails to pay (i) when and as required to be paid herein, any amount of principal of any Loan or</w:t>
      </w:r>
    </w:p>
    <w:p>
      <w:pPr>
        <w:spacing w:after="0" w:line="7" w:lineRule="exact"/>
        <w:rPr>
          <w:rFonts w:ascii="Arial" w:cs="Arial" w:eastAsia="Arial" w:hAnsi="Arial"/>
          <w:sz w:val="16"/>
          <w:szCs w:val="16"/>
          <w:color w:val="auto"/>
        </w:rPr>
      </w:pPr>
    </w:p>
    <w:p>
      <w:pPr>
        <w:ind w:left="640" w:right="80"/>
        <w:spacing w:after="0" w:line="226" w:lineRule="auto"/>
        <w:tabs>
          <w:tab w:leader="none" w:pos="92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within five (5) Business Days after the same becomes due, any interest on any Loan or any other amount payable hereunder or with respect to any other Loan Document; or</w:t>
      </w:r>
    </w:p>
    <w:p>
      <w:pPr>
        <w:spacing w:after="0" w:line="201" w:lineRule="exact"/>
        <w:rPr>
          <w:rFonts w:ascii="Arial" w:cs="Arial" w:eastAsia="Arial" w:hAnsi="Arial"/>
          <w:sz w:val="18"/>
          <w:szCs w:val="18"/>
          <w:color w:val="auto"/>
        </w:rPr>
      </w:pPr>
    </w:p>
    <w:p>
      <w:pPr>
        <w:jc w:val="both"/>
        <w:ind w:left="640" w:right="80" w:firstLine="648"/>
        <w:spacing w:after="0" w:line="236" w:lineRule="auto"/>
        <w:tabs>
          <w:tab w:leader="none" w:pos="1792" w:val="left"/>
        </w:tabs>
        <w:numPr>
          <w:ilvl w:val="1"/>
          <w:numId w:val="273"/>
        </w:numPr>
        <w:rPr>
          <w:rFonts w:ascii="Arial" w:cs="Arial" w:eastAsia="Arial" w:hAnsi="Arial"/>
          <w:sz w:val="17"/>
          <w:szCs w:val="17"/>
          <w:color w:val="auto"/>
        </w:rPr>
      </w:pPr>
      <w:r>
        <w:rPr>
          <w:rFonts w:ascii="Arial" w:cs="Arial" w:eastAsia="Arial" w:hAnsi="Arial"/>
          <w:sz w:val="17"/>
          <w:szCs w:val="17"/>
          <w:i w:val="1"/>
          <w:iCs w:val="1"/>
          <w:color w:val="auto"/>
        </w:rPr>
        <w:t>Specific Covenants</w:t>
      </w:r>
      <w:r>
        <w:rPr>
          <w:rFonts w:ascii="Arial" w:cs="Arial" w:eastAsia="Arial" w:hAnsi="Arial"/>
          <w:sz w:val="17"/>
          <w:szCs w:val="17"/>
          <w:color w:val="auto"/>
        </w:rPr>
        <w:t>. Any Loan Party fails to perform or observe any term, covenant or agreement contained in any of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6.03(a), 6.05(a) (solely with respect to the Parent Borrower) or Article VII;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Event of Default resulting from a failure to promptly provide notice of an Event of Default to the Administrative Agent pursuant to Section 6.03(a), subject to the last proviso of this Section 8.01, the subsequent provision of such notice by the Parent Borrower or any</w:t>
      </w:r>
    </w:p>
    <w:p>
      <w:pPr>
        <w:sectPr>
          <w:pgSz w:w="11900" w:h="16838" w:orient="portrait"/>
          <w:cols w:equalWidth="0" w:num="1">
            <w:col w:w="10960"/>
          </w:cols>
          <w:pgMar w:left="480" w:top="1440" w:right="459" w:bottom="1440" w:gutter="0" w:footer="0" w:header="0"/>
        </w:sectPr>
      </w:pPr>
    </w:p>
    <w:bookmarkStart w:id="208" w:name="page209"/>
    <w:bookmarkEnd w:id="208"/>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color w:val="auto"/>
        </w:rPr>
        <w:t>Restricted Subsidiary to the Administrative Agent shall cure the Event of Default resulting from such failure to timely deliver such notice; or</w:t>
      </w:r>
    </w:p>
    <w:p>
      <w:pPr>
        <w:spacing w:after="0" w:line="248" w:lineRule="exact"/>
        <w:rPr>
          <w:sz w:val="20"/>
          <w:szCs w:val="20"/>
          <w:color w:val="auto"/>
        </w:rPr>
      </w:pPr>
    </w:p>
    <w:p>
      <w:pPr>
        <w:jc w:val="both"/>
        <w:ind w:left="1" w:right="20" w:firstLine="648"/>
        <w:spacing w:after="0" w:line="224" w:lineRule="auto"/>
        <w:tabs>
          <w:tab w:leader="none" w:pos="1153" w:val="left"/>
        </w:tabs>
        <w:numPr>
          <w:ilvl w:val="2"/>
          <w:numId w:val="274"/>
        </w:numPr>
        <w:rPr>
          <w:rFonts w:ascii="Arial" w:cs="Arial" w:eastAsia="Arial" w:hAnsi="Arial"/>
          <w:sz w:val="18"/>
          <w:szCs w:val="18"/>
          <w:color w:val="auto"/>
        </w:rPr>
      </w:pPr>
      <w:r>
        <w:rPr>
          <w:rFonts w:ascii="Arial" w:cs="Arial" w:eastAsia="Arial" w:hAnsi="Arial"/>
          <w:sz w:val="18"/>
          <w:szCs w:val="18"/>
          <w:i w:val="1"/>
          <w:iCs w:val="1"/>
          <w:color w:val="auto"/>
        </w:rPr>
        <w:t>Other Defaults</w:t>
      </w:r>
      <w:r>
        <w:rPr>
          <w:rFonts w:ascii="Arial" w:cs="Arial" w:eastAsia="Arial" w:hAnsi="Arial"/>
          <w:sz w:val="18"/>
          <w:szCs w:val="18"/>
          <w:color w:val="auto"/>
        </w:rPr>
        <w:t>. Any Loan Party fails to perform or observe any other covenant or agreement (not specified in Section 8.01(a)</w:t>
      </w:r>
      <w:r>
        <w:rPr>
          <w:rFonts w:ascii="Arial" w:cs="Arial" w:eastAsia="Arial" w:hAnsi="Arial"/>
          <w:sz w:val="18"/>
          <w:szCs w:val="18"/>
          <w:i w:val="1"/>
          <w:iCs w:val="1"/>
          <w:color w:val="auto"/>
        </w:rPr>
        <w:t xml:space="preserve"> </w:t>
      </w:r>
      <w:r>
        <w:rPr>
          <w:rFonts w:ascii="Arial" w:cs="Arial" w:eastAsia="Arial" w:hAnsi="Arial"/>
          <w:sz w:val="18"/>
          <w:szCs w:val="18"/>
          <w:color w:val="auto"/>
        </w:rPr>
        <w:t>or (b) above) contained in any Loan Document on its part to be performed or observed and such failure continues for thirty (30) days after receipt by the Borrowers of written notice thereof from the Administrative Agent; or</w:t>
      </w:r>
    </w:p>
    <w:p>
      <w:pPr>
        <w:spacing w:after="0" w:line="203" w:lineRule="exact"/>
        <w:rPr>
          <w:rFonts w:ascii="Arial" w:cs="Arial" w:eastAsia="Arial" w:hAnsi="Arial"/>
          <w:sz w:val="18"/>
          <w:szCs w:val="18"/>
          <w:color w:val="auto"/>
        </w:rPr>
      </w:pPr>
    </w:p>
    <w:p>
      <w:pPr>
        <w:jc w:val="both"/>
        <w:ind w:left="1" w:firstLine="648"/>
        <w:spacing w:after="0" w:line="232" w:lineRule="auto"/>
        <w:tabs>
          <w:tab w:leader="none" w:pos="1153" w:val="left"/>
        </w:tabs>
        <w:numPr>
          <w:ilvl w:val="2"/>
          <w:numId w:val="274"/>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Any representation, warranty or certification made or deemed made by any Loan Party</w:t>
      </w:r>
      <w:r>
        <w:rPr>
          <w:rFonts w:ascii="Arial" w:cs="Arial" w:eastAsia="Arial" w:hAnsi="Arial"/>
          <w:sz w:val="17"/>
          <w:szCs w:val="17"/>
          <w:i w:val="1"/>
          <w:iCs w:val="1"/>
          <w:color w:val="auto"/>
        </w:rPr>
        <w:t xml:space="preserve"> </w:t>
      </w:r>
      <w:r>
        <w:rPr>
          <w:rFonts w:ascii="Arial" w:cs="Arial" w:eastAsia="Arial" w:hAnsi="Arial"/>
          <w:sz w:val="17"/>
          <w:szCs w:val="17"/>
          <w:color w:val="auto"/>
        </w:rPr>
        <w:t>herein, in any other Loan Document, or in any document required to be delivered in connection herewith or therewith shall be incorrect in any material respect when made or deemed made, and, other than with respect to any incorrect Specified Representation (which shall not be subject to cure or a grace period), such incorrect representation or warranty (if curable as determined by the Borrowers in good faith) shall remain incorrect for a period of 30 days after notice thereof from the Administrative Agent to the Borrowers; or</w:t>
      </w:r>
    </w:p>
    <w:p>
      <w:pPr>
        <w:spacing w:after="0" w:line="189" w:lineRule="exact"/>
        <w:rPr>
          <w:rFonts w:ascii="Arial" w:cs="Arial" w:eastAsia="Arial" w:hAnsi="Arial"/>
          <w:sz w:val="17"/>
          <w:szCs w:val="17"/>
          <w:color w:val="auto"/>
        </w:rPr>
      </w:pPr>
    </w:p>
    <w:p>
      <w:pPr>
        <w:ind w:left="1" w:right="20" w:firstLine="648"/>
        <w:spacing w:after="0" w:line="220" w:lineRule="auto"/>
        <w:tabs>
          <w:tab w:leader="none" w:pos="1153" w:val="left"/>
        </w:tabs>
        <w:numPr>
          <w:ilvl w:val="2"/>
          <w:numId w:val="274"/>
        </w:numPr>
        <w:rPr>
          <w:rFonts w:ascii="Arial" w:cs="Arial" w:eastAsia="Arial" w:hAnsi="Arial"/>
          <w:sz w:val="18"/>
          <w:szCs w:val="18"/>
          <w:color w:val="auto"/>
        </w:rPr>
      </w:pPr>
      <w:r>
        <w:rPr>
          <w:rFonts w:ascii="Arial" w:cs="Arial" w:eastAsia="Arial" w:hAnsi="Arial"/>
          <w:sz w:val="18"/>
          <w:szCs w:val="18"/>
          <w:i w:val="1"/>
          <w:iCs w:val="1"/>
          <w:color w:val="auto"/>
        </w:rPr>
        <w:t>Cross-Default</w:t>
      </w:r>
      <w:r>
        <w:rPr>
          <w:rFonts w:ascii="Arial" w:cs="Arial" w:eastAsia="Arial" w:hAnsi="Arial"/>
          <w:sz w:val="18"/>
          <w:szCs w:val="18"/>
          <w:color w:val="auto"/>
        </w:rPr>
        <w:t>. Except with respect to the ABL Revolving Loans and other ABL Obligations, which shall be subject solely to</w:t>
      </w:r>
      <w:r>
        <w:rPr>
          <w:rFonts w:ascii="Arial" w:cs="Arial" w:eastAsia="Arial" w:hAnsi="Arial"/>
          <w:sz w:val="18"/>
          <w:szCs w:val="18"/>
          <w:i w:val="1"/>
          <w:iCs w:val="1"/>
          <w:color w:val="auto"/>
        </w:rPr>
        <w:t xml:space="preserve"> </w:t>
      </w:r>
      <w:r>
        <w:rPr>
          <w:rFonts w:ascii="Arial" w:cs="Arial" w:eastAsia="Arial" w:hAnsi="Arial"/>
          <w:sz w:val="18"/>
          <w:szCs w:val="18"/>
          <w:color w:val="auto"/>
        </w:rPr>
        <w:t>clause (g) below, any Borrower or any Restricted Subsidiary</w:t>
      </w:r>
    </w:p>
    <w:p>
      <w:pPr>
        <w:spacing w:after="0" w:line="1" w:lineRule="exact"/>
        <w:rPr>
          <w:rFonts w:ascii="Arial" w:cs="Arial" w:eastAsia="Arial" w:hAnsi="Arial"/>
          <w:sz w:val="18"/>
          <w:szCs w:val="18"/>
          <w:color w:val="auto"/>
        </w:rPr>
      </w:pPr>
    </w:p>
    <w:p>
      <w:pPr>
        <w:jc w:val="both"/>
        <w:ind w:left="1" w:right="20" w:hanging="1"/>
        <w:spacing w:after="0" w:line="237" w:lineRule="auto"/>
        <w:tabs>
          <w:tab w:leader="none" w:pos="32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fails to make any principal or interest payment beyond the applicable grace period, if any, whether by scheduled maturity, required prepayment, acceleration, demand, or otherwise, in respect of any Indebtedness (other than Indebtedness hereunder) having an aggregate outstanding principal amount of not less than the Threshold Amount, or (B) fails to observe or perform any other agreement or condition relating to any such Indebtedness, or any other event occurs (other than, with respect to Indebtedness consisting of Swap Contracts, termination events or equivalent events pursuant to the terms of such Swap Contracts and not as a result of any other default thereunder by the Borrowers or any of its Restricted Subsidiaries), the effect of which default or other event is to cause, or to permit the holder or holders of such Indebtedness (or a trustee or agent on behalf of such holder or holders or beneficiary or beneficiaries) to cause, with the giving of notice if required and beyond the applicable grace period, if any, such Indebtedness to become due or to be repurchased, prepaid, defeased or redeemed (automatically or otherwise), or an offer to repurchase, prepay, defease or redeem all of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(e)(B) shall not apply to (i) secured Indebtedness that becomes due as a result of the voluntary sale or transfer of the property or assets securing such Indebtedness, if such sale or transfer is permitted hereunder, (ii) any Indebtedness if (x) the sole remedy of the holder thereof in the event of the non-payment of such Indebtedness or the non-payment or non-performance of obligations related thereto or (y) the sole option is to elect, in each case, to convert such Indebtedness into Qualified Equity Interests and cash in lieu of fractional shares and (iii) in the case of Indebtedness which the holder thereof may elect to convert into Qualified Equity Interests, such Indebtedness from and after the date, if any, on which such conversion has been effected;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such failure described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is unremedied and is not waived by the holders of such Indebtedness prior to any termination of the Commitments or acceleration of the Loans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or</w:t>
      </w:r>
    </w:p>
    <w:p>
      <w:pPr>
        <w:spacing w:after="0" w:line="202" w:lineRule="exact"/>
        <w:rPr>
          <w:rFonts w:ascii="Arial" w:cs="Arial" w:eastAsia="Arial" w:hAnsi="Arial"/>
          <w:sz w:val="16"/>
          <w:szCs w:val="16"/>
          <w:color w:val="auto"/>
        </w:rPr>
      </w:pPr>
    </w:p>
    <w:p>
      <w:pPr>
        <w:jc w:val="both"/>
        <w:ind w:left="1" w:right="20" w:firstLine="648"/>
        <w:spacing w:after="0" w:line="224" w:lineRule="auto"/>
        <w:tabs>
          <w:tab w:leader="none" w:pos="1153" w:val="left"/>
        </w:tabs>
        <w:numPr>
          <w:ilvl w:val="2"/>
          <w:numId w:val="275"/>
        </w:numPr>
        <w:rPr>
          <w:rFonts w:ascii="Arial" w:cs="Arial" w:eastAsia="Arial" w:hAnsi="Arial"/>
          <w:sz w:val="17"/>
          <w:szCs w:val="17"/>
          <w:color w:val="auto"/>
        </w:rPr>
      </w:pPr>
      <w:r>
        <w:rPr>
          <w:rFonts w:ascii="Arial" w:cs="Arial" w:eastAsia="Arial" w:hAnsi="Arial"/>
          <w:sz w:val="17"/>
          <w:szCs w:val="17"/>
          <w:i w:val="1"/>
          <w:iCs w:val="1"/>
          <w:color w:val="auto"/>
        </w:rPr>
        <w:t>Insolvency Proceedings, Etc</w:t>
      </w:r>
      <w:r>
        <w:rPr>
          <w:rFonts w:ascii="Arial" w:cs="Arial" w:eastAsia="Arial" w:hAnsi="Arial"/>
          <w:sz w:val="17"/>
          <w:szCs w:val="17"/>
          <w:color w:val="auto"/>
        </w:rPr>
        <w:t>. Other than with respect to dissolutions or liquidations permitted hereunder, the Parent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any Restricted Subsidiary that is a Material Subsidiary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consecutive days; or any proceeding under any Debtor Relief Law relating to any such Person or to all or substantially all of its property is instituted without the consent of such Person and continues undismissed or unstayed for sixty</w:t>
      </w:r>
    </w:p>
    <w:p>
      <w:pPr>
        <w:ind w:left="341" w:hanging="340"/>
        <w:spacing w:after="0"/>
        <w:tabs>
          <w:tab w:leader="none" w:pos="34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consecutive days, or an order for relief is entered in any such proceeding; or</w:t>
      </w:r>
    </w:p>
    <w:p>
      <w:pPr>
        <w:sectPr>
          <w:pgSz w:w="11900" w:h="16838" w:orient="portrait"/>
          <w:cols w:equalWidth="0" w:num="1">
            <w:col w:w="10261"/>
          </w:cols>
          <w:pgMar w:left="1119" w:top="1440" w:right="519" w:bottom="1440" w:gutter="0" w:footer="0" w:header="0"/>
        </w:sectPr>
      </w:pPr>
    </w:p>
    <w:bookmarkStart w:id="209" w:name="page210"/>
    <w:bookmarkEnd w:id="209"/>
    <w:p>
      <w:pPr>
        <w:spacing w:after="0" w:line="207" w:lineRule="exact"/>
        <w:rPr>
          <w:sz w:val="20"/>
          <w:szCs w:val="20"/>
          <w:color w:val="auto"/>
        </w:rPr>
      </w:pPr>
    </w:p>
    <w:p>
      <w:pPr>
        <w:ind w:left="1160" w:hanging="512"/>
        <w:spacing w:after="0"/>
        <w:tabs>
          <w:tab w:leader="none" w:pos="1160" w:val="left"/>
        </w:tabs>
        <w:numPr>
          <w:ilvl w:val="1"/>
          <w:numId w:val="276"/>
        </w:numPr>
        <w:rPr>
          <w:rFonts w:ascii="Arial" w:cs="Arial" w:eastAsia="Arial" w:hAnsi="Arial"/>
          <w:sz w:val="17"/>
          <w:szCs w:val="17"/>
          <w:color w:val="auto"/>
        </w:rPr>
      </w:pPr>
      <w:r>
        <w:rPr>
          <w:rFonts w:ascii="Arial" w:cs="Arial" w:eastAsia="Arial" w:hAnsi="Arial"/>
          <w:sz w:val="17"/>
          <w:szCs w:val="17"/>
          <w:i w:val="1"/>
          <w:iCs w:val="1"/>
          <w:color w:val="auto"/>
        </w:rPr>
        <w:t xml:space="preserve">ABL Revolving Loans and other ABL Obligations. </w:t>
      </w:r>
      <w:r>
        <w:rPr>
          <w:rFonts w:ascii="Arial" w:cs="Arial" w:eastAsia="Arial" w:hAnsi="Arial"/>
          <w:sz w:val="17"/>
          <w:szCs w:val="17"/>
          <w:color w:val="auto"/>
        </w:rPr>
        <w:t>With respect to the ABL Revolving Loans and other ABL Obligations, (i)</w:t>
      </w:r>
    </w:p>
    <w:p>
      <w:pPr>
        <w:jc w:val="both"/>
        <w:ind w:right="20"/>
        <w:spacing w:after="0" w:line="221" w:lineRule="auto"/>
        <w:tabs>
          <w:tab w:leader="none" w:pos="26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 Event of Default under and as defined in the ABL Credit Agreement has occurred and is continuing under clauses (a) or (f) of Section 8.01 of the ABL Credit Agreement or (y) an Event of Default (other than the type described in the foregoing clause (i)(x) or following clause (ii)) under and as defined in the ABL Credit Agreement has occurred and remains unremedied or unwaived for 60 consecutive days after the occurrence thereof or with respect to which any ABL Secured Party is exercising remedies (including acceleration of obligations or termination of commitments) or (ii) an Event of Default under and as defined in the ABL Credit Agreement due to a breach of the ABL Financial Covenant has occurred and is continuing, but only from and after the earlier of</w:t>
      </w:r>
    </w:p>
    <w:p>
      <w:pPr>
        <w:ind w:right="40"/>
        <w:spacing w:after="0" w:line="226" w:lineRule="auto"/>
        <w:tabs>
          <w:tab w:leader="none" w:pos="25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exercise of any remedies by any ABL Secured Party or (y) acceleration of the obligations or termination of the commitments under the ABL Credit Agreement;</w:t>
      </w:r>
    </w:p>
    <w:p>
      <w:pPr>
        <w:spacing w:after="0" w:line="215" w:lineRule="exact"/>
        <w:rPr>
          <w:rFonts w:ascii="Arial" w:cs="Arial" w:eastAsia="Arial" w:hAnsi="Arial"/>
          <w:sz w:val="18"/>
          <w:szCs w:val="18"/>
          <w:color w:val="auto"/>
        </w:rPr>
      </w:pPr>
    </w:p>
    <w:p>
      <w:pPr>
        <w:ind w:right="40" w:firstLine="648"/>
        <w:spacing w:after="0" w:line="219" w:lineRule="auto"/>
        <w:tabs>
          <w:tab w:leader="none" w:pos="1152" w:val="left"/>
        </w:tabs>
        <w:numPr>
          <w:ilvl w:val="1"/>
          <w:numId w:val="278"/>
        </w:numPr>
        <w:rPr>
          <w:rFonts w:ascii="Arial" w:cs="Arial" w:eastAsia="Arial" w:hAnsi="Arial"/>
          <w:sz w:val="18"/>
          <w:szCs w:val="18"/>
          <w:color w:val="auto"/>
        </w:rPr>
      </w:pPr>
      <w:r>
        <w:rPr>
          <w:rFonts w:ascii="Arial" w:cs="Arial" w:eastAsia="Arial" w:hAnsi="Arial"/>
          <w:sz w:val="18"/>
          <w:szCs w:val="18"/>
          <w:i w:val="1"/>
          <w:iCs w:val="1"/>
          <w:color w:val="auto"/>
        </w:rPr>
        <w:t>Judgments</w:t>
      </w:r>
      <w:r>
        <w:rPr>
          <w:rFonts w:ascii="Arial" w:cs="Arial" w:eastAsia="Arial" w:hAnsi="Arial"/>
          <w:sz w:val="18"/>
          <w:szCs w:val="18"/>
          <w:color w:val="auto"/>
        </w:rPr>
        <w:t>. There is entered against any Borrower or any Restricted Subsidiary that is a Material Subsidiary a final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or order for the payment of money in an aggregate amount exceeding the Threshold Amount (to the extent not paid or covered by independent third-party insurance or indemnity as to which the insurer or indemnitor has been notified of such judgment or order and has not denied coverage thereof) and such judgment or order shall not have been satisfied, vacated, discharged or stayed or bonded pending an appeal for a period of sixty (60) consecutive days; or</w:t>
      </w:r>
    </w:p>
    <w:p>
      <w:pPr>
        <w:spacing w:after="0" w:line="189" w:lineRule="exact"/>
        <w:rPr>
          <w:rFonts w:ascii="Arial" w:cs="Arial" w:eastAsia="Arial" w:hAnsi="Arial"/>
          <w:sz w:val="18"/>
          <w:szCs w:val="18"/>
          <w:color w:val="auto"/>
        </w:rPr>
      </w:pPr>
    </w:p>
    <w:p>
      <w:pPr>
        <w:jc w:val="both"/>
        <w:ind w:right="40" w:firstLine="647"/>
        <w:spacing w:after="0" w:line="228" w:lineRule="auto"/>
        <w:tabs>
          <w:tab w:leader="none" w:pos="1153" w:val="left"/>
        </w:tabs>
        <w:numPr>
          <w:ilvl w:val="1"/>
          <w:numId w:val="278"/>
        </w:numPr>
        <w:rPr>
          <w:rFonts w:ascii="Arial" w:cs="Arial" w:eastAsia="Arial" w:hAnsi="Arial"/>
          <w:sz w:val="17"/>
          <w:szCs w:val="17"/>
          <w:color w:val="auto"/>
        </w:rPr>
      </w:pPr>
      <w:r>
        <w:rPr>
          <w:rFonts w:ascii="Arial" w:cs="Arial" w:eastAsia="Arial" w:hAnsi="Arial"/>
          <w:sz w:val="17"/>
          <w:szCs w:val="17"/>
          <w:i w:val="1"/>
          <w:iCs w:val="1"/>
          <w:color w:val="auto"/>
        </w:rPr>
        <w:t>Invalidity of Loan Documents</w:t>
      </w:r>
      <w:r>
        <w:rPr>
          <w:rFonts w:ascii="Arial" w:cs="Arial" w:eastAsia="Arial" w:hAnsi="Arial"/>
          <w:sz w:val="17"/>
          <w:szCs w:val="17"/>
          <w:color w:val="auto"/>
        </w:rPr>
        <w:t>. Any material provision of any Loan Document, at any time after its execution and delivery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any reason other than as expressly permitted hereunder or thereunder (including as a result of a transaction permitted under Section 7.04 or 7.05) or as a result of acts or omissions by the Administrative Agent or any Lender which does not arise from a breach by a Loan Party of its obligations under the Loan Documents or the satisfaction in full of all the Obligations, ceases to be in full force and effect; or any Loan Party contests in writing the validity or enforceability of any provision of any Loan Document or the validity or priority of a Lien as required by the Collateral Documents on a material portion of the Collateral; or any Loan Party denies in writing that it has any or further liability or obligation under any Loan Document (other than as a result of repayment in full of the Obligations and termination of the Aggregate Commitments), or purports in writing to revoke or rescind any Loan Document;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none of the foregoing shall apply to any Guarantor which is not a Material Subsidiary; or</w:t>
      </w:r>
    </w:p>
    <w:p>
      <w:pPr>
        <w:spacing w:after="0" w:line="191" w:lineRule="exact"/>
        <w:rPr>
          <w:rFonts w:ascii="Arial" w:cs="Arial" w:eastAsia="Arial" w:hAnsi="Arial"/>
          <w:sz w:val="17"/>
          <w:szCs w:val="17"/>
          <w:color w:val="auto"/>
        </w:rPr>
      </w:pPr>
    </w:p>
    <w:p>
      <w:pPr>
        <w:ind w:left="1300" w:hanging="652"/>
        <w:spacing w:after="0"/>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647"/>
        <w:spacing w:after="0" w:line="228" w:lineRule="auto"/>
        <w:tabs>
          <w:tab w:leader="none" w:pos="1153" w:val="left"/>
        </w:tabs>
        <w:numPr>
          <w:ilvl w:val="1"/>
          <w:numId w:val="278"/>
        </w:numPr>
        <w:rPr>
          <w:rFonts w:ascii="Arial" w:cs="Arial" w:eastAsia="Arial" w:hAnsi="Arial"/>
          <w:sz w:val="17"/>
          <w:szCs w:val="17"/>
          <w:color w:val="auto"/>
        </w:rPr>
      </w:pPr>
      <w:r>
        <w:rPr>
          <w:rFonts w:ascii="Arial" w:cs="Arial" w:eastAsia="Arial" w:hAnsi="Arial"/>
          <w:sz w:val="17"/>
          <w:szCs w:val="17"/>
          <w:i w:val="1"/>
          <w:iCs w:val="1"/>
          <w:color w:val="auto"/>
        </w:rPr>
        <w:t>Collateral Documents</w:t>
      </w:r>
      <w:r>
        <w:rPr>
          <w:rFonts w:ascii="Arial" w:cs="Arial" w:eastAsia="Arial" w:hAnsi="Arial"/>
          <w:sz w:val="17"/>
          <w:szCs w:val="17"/>
          <w:color w:val="auto"/>
        </w:rPr>
        <w:t>. Any Collateral Document after delivery thereof pursuant to Section 4.01, 6.11 or 6.13 shall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(other than pursuant to the terms hereof or thereof including as a result of a transaction not prohibited under this Agreement) cease to create a valid and perfected Lien, with the priority required by the Collateral Documents on and security interest in any material portion of the Collateral purported to be covered thereby, subject to Liens permitted under Section 7.01, (x) except to the extent that any such perfection or priority is not required pursuant to the Collateral and Guarantee Requirement or results from the failure of the Administrative Agent to maintain possession of certificates actually delivered to it representing securities pledged under the Collateral Documents (or other pledged collateral actually delivered to it under the Collateral Documents) or to file Uniform Commercial Code continuation statements and (y) except as to Collateral consisting of Real Property to the extent that such losses are covered by a lender’s title insurance policy and such insurer has not denied coverage; or</w:t>
      </w:r>
    </w:p>
    <w:p>
      <w:pPr>
        <w:spacing w:after="0" w:line="205" w:lineRule="exact"/>
        <w:rPr>
          <w:rFonts w:ascii="Arial" w:cs="Arial" w:eastAsia="Arial" w:hAnsi="Arial"/>
          <w:sz w:val="17"/>
          <w:szCs w:val="17"/>
          <w:color w:val="auto"/>
        </w:rPr>
      </w:pPr>
    </w:p>
    <w:p>
      <w:pPr>
        <w:jc w:val="both"/>
        <w:ind w:right="40" w:firstLine="648"/>
        <w:spacing w:after="0" w:line="216" w:lineRule="auto"/>
        <w:tabs>
          <w:tab w:leader="none" w:pos="1152" w:val="left"/>
        </w:tabs>
        <w:numPr>
          <w:ilvl w:val="1"/>
          <w:numId w:val="278"/>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(i) An ERISA Event occurs which has resulted or could reasonably be expected to result in liability of a Loan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 ERISA Affiliate in an aggregate amount which would reasonably be expected to result in a Material Adverse Effect, or (ii) a Loan Party or any ERISA Affiliate fails to pay when due, after the expiration of any applicable grace period, any installment payment with respect to its withdrawal liability under Section 4201 of ERISA under any Multiemployer Plan which has resulted or could reasonably be expected to result in liability of a Loan Party or an ERISA Affiliate in an aggregate amount which would reasonably be expected to result in a Material Adverse Effect;</w:t>
      </w:r>
    </w:p>
    <w:p>
      <w:pPr>
        <w:sectPr>
          <w:pgSz w:w="11900" w:h="16838" w:orient="portrait"/>
          <w:cols w:equalWidth="0" w:num="1">
            <w:col w:w="10280"/>
          </w:cols>
          <w:pgMar w:left="1120" w:top="1440" w:right="499" w:bottom="1440" w:gutter="0" w:footer="0" w:header="0"/>
        </w:sectPr>
      </w:pPr>
    </w:p>
    <w:bookmarkStart w:id="210" w:name="page211"/>
    <w:bookmarkEnd w:id="210"/>
    <w:p>
      <w:pPr>
        <w:spacing w:after="0" w:line="211"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any Event of Default under the Loan Documents, other than any Event of Default which cannot be waived without the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each Lender directly and adversely affected thereby, shall be deemed not to be “continuing” (and shall be deemed to be “cured”) if the events, acts or conditions that gave rise to such event of default have been have remedied or cured (including by payment, notice, taking any action or</w:t>
      </w:r>
    </w:p>
    <w:p>
      <w:pPr>
        <w:spacing w:after="0" w:line="2"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 xml:space="preserve">omitting to take any action) or have ceased to exist and the Borrowers are otherwise in compliance with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be applicable with respect to any default or Event of Default if the Borrowers knowingly and willfully fails to give timely notice to the Administrative Agent and the Lenders of such default or Event of Default required to be given under the Loan Documents.</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8.02</w:t>
      </w:r>
      <w:r>
        <w:rPr>
          <w:sz w:val="20"/>
          <w:szCs w:val="20"/>
          <w:color w:val="auto"/>
        </w:rPr>
        <w:tab/>
      </w:r>
      <w:r>
        <w:rPr>
          <w:rFonts w:ascii="Arial" w:cs="Arial" w:eastAsia="Arial" w:hAnsi="Arial"/>
          <w:sz w:val="16"/>
          <w:szCs w:val="16"/>
          <w:color w:val="auto"/>
        </w:rPr>
        <w:t>Remedies Upon Event of Default.</w:t>
      </w:r>
    </w:p>
    <w:p>
      <w:pPr>
        <w:spacing w:after="0" w:line="225"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18"/>
          <w:szCs w:val="18"/>
          <w:color w:val="auto"/>
        </w:rPr>
        <w:t>If any Event of Default occurs and is continuing, the Administrative Agent may, with the consent of, and shall, at the request of, the Required Lenders, take any or all of the following actions:</w:t>
      </w:r>
    </w:p>
    <w:p>
      <w:pPr>
        <w:spacing w:after="0" w:line="189" w:lineRule="exact"/>
        <w:rPr>
          <w:sz w:val="20"/>
          <w:szCs w:val="20"/>
          <w:color w:val="auto"/>
        </w:rPr>
      </w:pPr>
    </w:p>
    <w:p>
      <w:pPr>
        <w:ind w:left="1800" w:hanging="512"/>
        <w:spacing w:after="0"/>
        <w:tabs>
          <w:tab w:leader="none" w:pos="1800" w:val="left"/>
        </w:tabs>
        <w:numPr>
          <w:ilvl w:val="0"/>
          <w:numId w:val="279"/>
        </w:numPr>
        <w:rPr>
          <w:rFonts w:ascii="Arial" w:cs="Arial" w:eastAsia="Arial" w:hAnsi="Arial"/>
          <w:sz w:val="16"/>
          <w:szCs w:val="16"/>
          <w:color w:val="010000"/>
        </w:rPr>
      </w:pPr>
      <w:r>
        <w:rPr>
          <w:rFonts w:ascii="Arial" w:cs="Arial" w:eastAsia="Arial" w:hAnsi="Arial"/>
          <w:sz w:val="16"/>
          <w:szCs w:val="16"/>
          <w:color w:val="auto"/>
        </w:rPr>
        <w:t>declare the Commitment of each Lender to make Loans to be terminated, whereupon such Commitments and obligation shall</w:t>
      </w:r>
    </w:p>
    <w:p>
      <w:pPr>
        <w:spacing w:after="0" w:line="21" w:lineRule="exact"/>
        <w:rPr>
          <w:rFonts w:ascii="Arial" w:cs="Arial" w:eastAsia="Arial" w:hAnsi="Arial"/>
          <w:sz w:val="16"/>
          <w:szCs w:val="16"/>
          <w:color w:val="010000"/>
        </w:rPr>
      </w:pPr>
    </w:p>
    <w:p>
      <w:pPr>
        <w:ind w:left="640"/>
        <w:spacing w:after="0"/>
        <w:rPr>
          <w:rFonts w:ascii="Arial" w:cs="Arial" w:eastAsia="Arial" w:hAnsi="Arial"/>
          <w:sz w:val="16"/>
          <w:szCs w:val="16"/>
          <w:color w:val="010000"/>
        </w:rPr>
      </w:pPr>
      <w:r>
        <w:rPr>
          <w:rFonts w:ascii="Arial" w:cs="Arial" w:eastAsia="Arial" w:hAnsi="Arial"/>
          <w:sz w:val="18"/>
          <w:szCs w:val="18"/>
          <w:color w:val="auto"/>
        </w:rPr>
        <w:t>be terminated;</w:t>
      </w:r>
    </w:p>
    <w:p>
      <w:pPr>
        <w:spacing w:after="0" w:line="209" w:lineRule="exact"/>
        <w:rPr>
          <w:rFonts w:ascii="Arial" w:cs="Arial" w:eastAsia="Arial" w:hAnsi="Arial"/>
          <w:sz w:val="16"/>
          <w:szCs w:val="16"/>
          <w:color w:val="010000"/>
        </w:rPr>
      </w:pPr>
    </w:p>
    <w:p>
      <w:pPr>
        <w:jc w:val="both"/>
        <w:ind w:left="640" w:right="40" w:firstLine="648"/>
        <w:spacing w:after="0" w:line="224" w:lineRule="auto"/>
        <w:tabs>
          <w:tab w:leader="none" w:pos="1792" w:val="left"/>
        </w:tabs>
        <w:numPr>
          <w:ilvl w:val="0"/>
          <w:numId w:val="279"/>
        </w:numPr>
        <w:rPr>
          <w:rFonts w:ascii="Arial" w:cs="Arial" w:eastAsia="Arial" w:hAnsi="Arial"/>
          <w:sz w:val="18"/>
          <w:szCs w:val="18"/>
          <w:color w:val="010000"/>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203" w:lineRule="exact"/>
        <w:rPr>
          <w:rFonts w:ascii="Arial" w:cs="Arial" w:eastAsia="Arial" w:hAnsi="Arial"/>
          <w:sz w:val="18"/>
          <w:szCs w:val="18"/>
          <w:color w:val="010000"/>
        </w:rPr>
      </w:pPr>
    </w:p>
    <w:p>
      <w:pPr>
        <w:ind w:left="1940" w:hanging="652"/>
        <w:spacing w:after="0"/>
        <w:tabs>
          <w:tab w:leader="none" w:pos="1940" w:val="left"/>
        </w:tabs>
        <w:numPr>
          <w:ilvl w:val="0"/>
          <w:numId w:val="279"/>
        </w:numPr>
        <w:rPr>
          <w:rFonts w:ascii="Arial" w:cs="Arial" w:eastAsia="Arial" w:hAnsi="Arial"/>
          <w:sz w:val="18"/>
          <w:szCs w:val="18"/>
          <w:color w:val="010000"/>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010000"/>
        </w:rPr>
      </w:pPr>
    </w:p>
    <w:p>
      <w:pPr>
        <w:jc w:val="both"/>
        <w:ind w:left="640" w:right="40" w:firstLine="648"/>
        <w:spacing w:after="0" w:line="224" w:lineRule="auto"/>
        <w:tabs>
          <w:tab w:leader="none" w:pos="1792" w:val="left"/>
        </w:tabs>
        <w:numPr>
          <w:ilvl w:val="0"/>
          <w:numId w:val="279"/>
        </w:numPr>
        <w:rPr>
          <w:rFonts w:ascii="Arial" w:cs="Arial" w:eastAsia="Arial" w:hAnsi="Arial"/>
          <w:sz w:val="18"/>
          <w:szCs w:val="18"/>
          <w:color w:val="010000"/>
        </w:rPr>
      </w:pPr>
      <w:r>
        <w:rPr>
          <w:rFonts w:ascii="Arial" w:cs="Arial" w:eastAsia="Arial" w:hAnsi="Arial"/>
          <w:sz w:val="18"/>
          <w:szCs w:val="18"/>
          <w:color w:val="auto"/>
        </w:rPr>
        <w:t>exercise on behalf of itself and the Lenders all rights and remedies available to it and the Lenders under the Loan Documents, any document evidencing Indebtedness in respect of which the Facilities have been designated as “designated senior debt” (or any comparable term) or applicable Law;</w:t>
      </w:r>
    </w:p>
    <w:p>
      <w:pPr>
        <w:spacing w:after="0" w:line="203"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upon the occurrence of an Event of Default as a result of an actual or deemed entry of an order for relief with respect to the 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Debtor Relief Laws, the obligation of each Lender to make Loans shall automatically terminate, the unpaid principal amount of all outstanding Loans and all interest and other amounts as aforesaid shall automatically become due and payable, in each case without further act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or any Lender.</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8.03</w:t>
      </w:r>
      <w:r>
        <w:rPr>
          <w:sz w:val="20"/>
          <w:szCs w:val="20"/>
          <w:color w:val="auto"/>
        </w:rPr>
        <w:tab/>
      </w:r>
      <w:r>
        <w:rPr>
          <w:rFonts w:ascii="Arial" w:cs="Arial" w:eastAsia="Arial" w:hAnsi="Arial"/>
          <w:sz w:val="16"/>
          <w:szCs w:val="16"/>
          <w:color w:val="auto"/>
        </w:rPr>
        <w:t>Application of Funds.</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Except as may be otherwise provided in any applicable Incremental Amendment with respect to Obligations under the applicable Incremental Loans in accordance with the provisions of Section 2.14 or in any applicable Refinancing Amendment with respect to Obligations under the applicable</w:t>
      </w:r>
    </w:p>
    <w:p>
      <w:pPr>
        <w:jc w:val="both"/>
        <w:spacing w:after="0" w:line="234" w:lineRule="auto"/>
        <w:rPr>
          <w:sz w:val="20"/>
          <w:szCs w:val="20"/>
          <w:color w:val="auto"/>
        </w:rPr>
      </w:pPr>
      <w:r>
        <w:rPr>
          <w:rFonts w:ascii="Arial" w:cs="Arial" w:eastAsia="Arial" w:hAnsi="Arial"/>
          <w:sz w:val="16"/>
          <w:szCs w:val="16"/>
          <w:color w:val="auto"/>
        </w:rPr>
        <w:t>Refinancing Loans in accordance with the provisions of Section 2.15 (in each case, which shall not be more favorable to the holders of such Loans than the allocation described below), after the exercise of remedies provided for in Section 8.02 (or after the Loans have automatically become immediately due and payable as set forth in the proviso to Section 8.02), any amounts received on account of the Secured Obligations shall be applied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in the following order (to the fullest extent permitted by mandatory provisions of applicable Law):</w:t>
      </w:r>
    </w:p>
    <w:p>
      <w:pPr>
        <w:spacing w:after="0" w:line="196" w:lineRule="exact"/>
        <w:rPr>
          <w:sz w:val="20"/>
          <w:szCs w:val="20"/>
          <w:color w:val="auto"/>
        </w:rPr>
      </w:pPr>
    </w:p>
    <w:p>
      <w:pPr>
        <w:ind w:left="640" w:right="40" w:firstLine="648"/>
        <w:spacing w:after="0" w:line="248"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payment of that portion of the Secured Obligations constituting fees, indemnities, expenses and other amounts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and interest, but including Attorney Costs payable under Section 10.04 and amounts payable under Article III payable to the</w:t>
      </w:r>
    </w:p>
    <w:p>
      <w:pPr>
        <w:ind w:left="640"/>
        <w:spacing w:after="0"/>
        <w:rPr>
          <w:sz w:val="20"/>
          <w:szCs w:val="20"/>
          <w:color w:val="auto"/>
        </w:rPr>
      </w:pPr>
      <w:r>
        <w:rPr>
          <w:rFonts w:ascii="Arial" w:cs="Arial" w:eastAsia="Arial" w:hAnsi="Arial"/>
          <w:sz w:val="18"/>
          <w:szCs w:val="18"/>
          <w:color w:val="auto"/>
        </w:rPr>
        <w:t>Administrative Agent in its capacity as such);</w:t>
      </w:r>
    </w:p>
    <w:p>
      <w:pPr>
        <w:spacing w:after="0" w:line="196" w:lineRule="exact"/>
        <w:rPr>
          <w:sz w:val="20"/>
          <w:szCs w:val="20"/>
          <w:color w:val="auto"/>
        </w:rPr>
      </w:pPr>
    </w:p>
    <w:p>
      <w:pPr>
        <w:ind w:left="640" w:right="40" w:firstLine="648"/>
        <w:spacing w:after="0" w:line="235"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Secured Obligations constituting fees, indemnities and other amounts (other than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payable to the Lenders (including Attorney Costs payable</w:t>
      </w:r>
    </w:p>
    <w:p>
      <w:pPr>
        <w:sectPr>
          <w:pgSz w:w="11900" w:h="16838" w:orient="portrait"/>
          <w:cols w:equalWidth="0" w:num="1">
            <w:col w:w="10920"/>
          </w:cols>
          <w:pgMar w:left="480" w:top="1440" w:right="499" w:bottom="1440" w:gutter="0" w:footer="0" w:header="0"/>
        </w:sectPr>
      </w:pPr>
    </w:p>
    <w:bookmarkStart w:id="211" w:name="page212"/>
    <w:bookmarkEnd w:id="211"/>
    <w:p>
      <w:pPr>
        <w:spacing w:after="0" w:line="211" w:lineRule="exact"/>
        <w:rPr>
          <w:sz w:val="20"/>
          <w:szCs w:val="20"/>
          <w:color w:val="auto"/>
        </w:rPr>
      </w:pPr>
    </w:p>
    <w:p>
      <w:pPr>
        <w:ind w:left="648" w:right="80"/>
        <w:spacing w:after="0" w:line="235" w:lineRule="auto"/>
        <w:rPr>
          <w:sz w:val="20"/>
          <w:szCs w:val="20"/>
          <w:color w:val="auto"/>
        </w:rPr>
      </w:pPr>
      <w:r>
        <w:rPr>
          <w:rFonts w:ascii="Arial" w:cs="Arial" w:eastAsia="Arial" w:hAnsi="Arial"/>
          <w:sz w:val="18"/>
          <w:szCs w:val="18"/>
          <w:color w:val="auto"/>
        </w:rPr>
        <w:t xml:space="preserve">under Section 10.04 and amounts payable under Article III), ratably among them in proportion to the amounts described in this clause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payable to them;</w:t>
      </w:r>
    </w:p>
    <w:p>
      <w:pPr>
        <w:spacing w:after="0" w:line="202" w:lineRule="exact"/>
        <w:rPr>
          <w:sz w:val="20"/>
          <w:szCs w:val="20"/>
          <w:color w:val="auto"/>
        </w:rPr>
      </w:pPr>
    </w:p>
    <w:p>
      <w:pPr>
        <w:ind w:left="648" w:right="20" w:firstLine="648"/>
        <w:spacing w:after="0" w:line="248" w:lineRule="auto"/>
        <w:rPr>
          <w:sz w:val="20"/>
          <w:szCs w:val="20"/>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payment of that portion of the Secured Obligations constituting accrued and unpaid interest on the Loans, and any fees,</w:t>
      </w:r>
      <w:r>
        <w:rPr>
          <w:rFonts w:ascii="Arial" w:cs="Arial" w:eastAsia="Arial" w:hAnsi="Arial"/>
          <w:sz w:val="16"/>
          <w:szCs w:val="16"/>
          <w:i w:val="1"/>
          <w:iCs w:val="1"/>
          <w:color w:val="auto"/>
        </w:rPr>
        <w:t xml:space="preserve"> </w:t>
      </w:r>
      <w:r>
        <w:rPr>
          <w:rFonts w:ascii="Arial" w:cs="Arial" w:eastAsia="Arial" w:hAnsi="Arial"/>
          <w:sz w:val="16"/>
          <w:szCs w:val="16"/>
          <w:color w:val="auto"/>
        </w:rPr>
        <w:t>premiums and scheduled periodic payments due under Secured Hedge Agreements, ratably among the Secured Parties in proportion to the</w:t>
      </w:r>
    </w:p>
    <w:p>
      <w:pPr>
        <w:ind w:left="648"/>
        <w:spacing w:after="0"/>
        <w:rPr>
          <w:sz w:val="20"/>
          <w:szCs w:val="20"/>
          <w:color w:val="auto"/>
        </w:rPr>
      </w:pPr>
      <w:r>
        <w:rPr>
          <w:rFonts w:ascii="Arial" w:cs="Arial" w:eastAsia="Arial" w:hAnsi="Arial"/>
          <w:sz w:val="18"/>
          <w:szCs w:val="18"/>
          <w:color w:val="auto"/>
        </w:rPr>
        <w:t xml:space="preserve">respective amounts described in this clause </w:t>
      </w:r>
      <w:r>
        <w:rPr>
          <w:rFonts w:ascii="Arial" w:cs="Arial" w:eastAsia="Arial" w:hAnsi="Arial"/>
          <w:sz w:val="18"/>
          <w:szCs w:val="18"/>
          <w:i w:val="1"/>
          <w:iCs w:val="1"/>
          <w:color w:val="auto"/>
        </w:rPr>
        <w:t>Third</w:t>
      </w:r>
      <w:r>
        <w:rPr>
          <w:rFonts w:ascii="Arial" w:cs="Arial" w:eastAsia="Arial" w:hAnsi="Arial"/>
          <w:sz w:val="18"/>
          <w:szCs w:val="18"/>
          <w:color w:val="auto"/>
        </w:rPr>
        <w:t xml:space="preserve"> payable to them;</w:t>
      </w:r>
    </w:p>
    <w:p>
      <w:pPr>
        <w:spacing w:after="0" w:line="196" w:lineRule="exact"/>
        <w:rPr>
          <w:sz w:val="20"/>
          <w:szCs w:val="20"/>
          <w:color w:val="auto"/>
        </w:rPr>
      </w:pPr>
    </w:p>
    <w:p>
      <w:pPr>
        <w:ind w:left="648" w:right="20" w:firstLine="648"/>
        <w:spacing w:after="0" w:line="248" w:lineRule="auto"/>
        <w:rPr>
          <w:sz w:val="20"/>
          <w:szCs w:val="20"/>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to payment of that portion of the Secured Obligations constituting unpaid principal of the Loans and any breakage,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or other payments under Secured Hedge Agreements, ratably among the Secured Parties in proportion to the respective amounts</w:t>
      </w:r>
    </w:p>
    <w:p>
      <w:pPr>
        <w:ind w:left="648"/>
        <w:spacing w:after="0"/>
        <w:rPr>
          <w:sz w:val="20"/>
          <w:szCs w:val="20"/>
          <w:color w:val="auto"/>
        </w:rPr>
      </w:pPr>
      <w:r>
        <w:rPr>
          <w:rFonts w:ascii="Arial" w:cs="Arial" w:eastAsia="Arial" w:hAnsi="Arial"/>
          <w:sz w:val="18"/>
          <w:szCs w:val="18"/>
          <w:color w:val="auto"/>
        </w:rPr>
        <w:t xml:space="preserve">described in this clause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held by them;</w:t>
      </w:r>
    </w:p>
    <w:p>
      <w:pPr>
        <w:spacing w:after="0" w:line="196" w:lineRule="exact"/>
        <w:rPr>
          <w:sz w:val="20"/>
          <w:szCs w:val="20"/>
          <w:color w:val="auto"/>
        </w:rPr>
      </w:pPr>
    </w:p>
    <w:p>
      <w:pPr>
        <w:ind w:left="648" w:right="20" w:firstLine="648"/>
        <w:spacing w:after="0" w:line="248" w:lineRule="auto"/>
        <w:rPr>
          <w:sz w:val="20"/>
          <w:szCs w:val="20"/>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to the payment of all other Secured Obligations that are due and payable to the Administrative Agent and the other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on such date, ratably based upon the respective aggregate amounts of all such Secured Obligations owing to the Administrative Agent</w:t>
      </w:r>
    </w:p>
    <w:p>
      <w:pPr>
        <w:ind w:left="648"/>
        <w:spacing w:after="0"/>
        <w:rPr>
          <w:sz w:val="20"/>
          <w:szCs w:val="20"/>
          <w:color w:val="auto"/>
        </w:rPr>
      </w:pPr>
      <w:r>
        <w:rPr>
          <w:rFonts w:ascii="Arial" w:cs="Arial" w:eastAsia="Arial" w:hAnsi="Arial"/>
          <w:sz w:val="18"/>
          <w:szCs w:val="18"/>
          <w:color w:val="auto"/>
        </w:rPr>
        <w:t>and the other Secured Parties on such date; and</w:t>
      </w:r>
    </w:p>
    <w:p>
      <w:pPr>
        <w:spacing w:after="0" w:line="192" w:lineRule="exact"/>
        <w:rPr>
          <w:sz w:val="20"/>
          <w:szCs w:val="20"/>
          <w:color w:val="auto"/>
        </w:rPr>
      </w:pPr>
    </w:p>
    <w:p>
      <w:pPr>
        <w:ind w:left="1288"/>
        <w:spacing w:after="0"/>
        <w:rPr>
          <w:sz w:val="20"/>
          <w:szCs w:val="20"/>
          <w:color w:val="auto"/>
        </w:rPr>
      </w:pPr>
      <w:r>
        <w:rPr>
          <w:rFonts w:ascii="Arial" w:cs="Arial" w:eastAsia="Arial" w:hAnsi="Arial"/>
          <w:sz w:val="17"/>
          <w:szCs w:val="17"/>
          <w:i w:val="1"/>
          <w:iCs w:val="1"/>
          <w:color w:val="auto"/>
        </w:rPr>
        <w:t>Last</w:t>
      </w:r>
      <w:r>
        <w:rPr>
          <w:rFonts w:ascii="Arial" w:cs="Arial" w:eastAsia="Arial" w:hAnsi="Arial"/>
          <w:sz w:val="17"/>
          <w:szCs w:val="17"/>
          <w:color w:val="auto"/>
        </w:rPr>
        <w:t>, the balance, if any, after all of the Secured Obligations have been paid in full, to the Borrowers or as otherwise required by</w:t>
      </w:r>
    </w:p>
    <w:p>
      <w:pPr>
        <w:ind w:left="648"/>
        <w:spacing w:after="0"/>
        <w:rPr>
          <w:sz w:val="20"/>
          <w:szCs w:val="20"/>
          <w:color w:val="auto"/>
        </w:rPr>
      </w:pPr>
      <w:r>
        <w:rPr>
          <w:rFonts w:ascii="Arial" w:cs="Arial" w:eastAsia="Arial" w:hAnsi="Arial"/>
          <w:sz w:val="18"/>
          <w:szCs w:val="18"/>
          <w:color w:val="auto"/>
        </w:rPr>
        <w:t>Law.</w:t>
      </w:r>
    </w:p>
    <w:p>
      <w:pPr>
        <w:spacing w:after="0" w:line="209" w:lineRule="exact"/>
        <w:rPr>
          <w:sz w:val="20"/>
          <w:szCs w:val="20"/>
          <w:color w:val="auto"/>
        </w:rPr>
      </w:pPr>
    </w:p>
    <w:p>
      <w:pPr>
        <w:ind w:left="648"/>
        <w:spacing w:after="0"/>
        <w:rPr>
          <w:sz w:val="20"/>
          <w:szCs w:val="20"/>
          <w:color w:val="auto"/>
        </w:rPr>
      </w:pPr>
      <w:r>
        <w:rPr>
          <w:rFonts w:ascii="Arial" w:cs="Arial" w:eastAsia="Arial" w:hAnsi="Arial"/>
          <w:sz w:val="16"/>
          <w:szCs w:val="16"/>
          <w:color w:val="auto"/>
        </w:rPr>
        <w:t>Notwithstanding the foregoing, no amount received from any Guarantor shall be applied to any Excluded Swap Obligation of such Guarantor.</w:t>
      </w:r>
    </w:p>
    <w:p>
      <w:pPr>
        <w:spacing w:after="0" w:line="244" w:lineRule="exact"/>
        <w:rPr>
          <w:sz w:val="20"/>
          <w:szCs w:val="20"/>
          <w:color w:val="auto"/>
        </w:rPr>
      </w:pPr>
    </w:p>
    <w:p>
      <w:pPr>
        <w:ind w:left="3648"/>
        <w:spacing w:after="0"/>
        <w:rPr>
          <w:sz w:val="20"/>
          <w:szCs w:val="20"/>
          <w:color w:val="auto"/>
        </w:rPr>
      </w:pPr>
      <w:r>
        <w:rPr>
          <w:rFonts w:ascii="Arial" w:cs="Arial" w:eastAsia="Arial" w:hAnsi="Arial"/>
          <w:sz w:val="18"/>
          <w:szCs w:val="18"/>
          <w:b w:val="1"/>
          <w:bCs w:val="1"/>
          <w:color w:val="010000"/>
        </w:rPr>
        <w:t xml:space="preserve">ARTICLE IX. </w:t>
      </w:r>
      <w:r>
        <w:rPr>
          <w:rFonts w:ascii="Arial" w:cs="Arial" w:eastAsia="Arial" w:hAnsi="Arial"/>
          <w:sz w:val="18"/>
          <w:szCs w:val="18"/>
          <w:b w:val="1"/>
          <w:bCs w:val="1"/>
          <w:u w:val="single" w:color="auto"/>
          <w:color w:val="000000"/>
        </w:rPr>
        <w:t>ADMINISTRATIVE AGENT AND OTHER</w:t>
      </w:r>
    </w:p>
    <w:p>
      <w:pPr>
        <w:spacing w:after="0" w:line="2" w:lineRule="exact"/>
        <w:rPr>
          <w:sz w:val="20"/>
          <w:szCs w:val="20"/>
          <w:color w:val="auto"/>
        </w:rPr>
      </w:pPr>
    </w:p>
    <w:p>
      <w:pPr>
        <w:ind w:left="2108"/>
        <w:spacing w:after="0"/>
        <w:rPr>
          <w:sz w:val="20"/>
          <w:szCs w:val="20"/>
          <w:color w:val="auto"/>
        </w:rPr>
      </w:pPr>
      <w:r>
        <w:rPr>
          <w:rFonts w:ascii="Arial" w:cs="Arial" w:eastAsia="Arial" w:hAnsi="Arial"/>
          <w:sz w:val="18"/>
          <w:szCs w:val="18"/>
          <w:b w:val="1"/>
          <w:bCs w:val="1"/>
          <w:u w:val="single" w:color="auto"/>
          <w:color w:val="auto"/>
        </w:rPr>
        <w:t>AGENTS</w:t>
      </w:r>
    </w:p>
    <w:p>
      <w:pPr>
        <w:spacing w:after="0" w:line="277" w:lineRule="exact"/>
        <w:rPr>
          <w:sz w:val="20"/>
          <w:szCs w:val="20"/>
          <w:color w:val="auto"/>
        </w:rPr>
      </w:pPr>
    </w:p>
    <w:p>
      <w:pPr>
        <w:ind w:left="648"/>
        <w:spacing w:after="0"/>
        <w:tabs>
          <w:tab w:leader="none" w:pos="1708" w:val="left"/>
        </w:tabs>
        <w:rPr>
          <w:sz w:val="20"/>
          <w:szCs w:val="20"/>
          <w:color w:val="auto"/>
        </w:rPr>
      </w:pPr>
      <w:r>
        <w:rPr>
          <w:rFonts w:ascii="Arial" w:cs="Arial" w:eastAsia="Arial" w:hAnsi="Arial"/>
          <w:sz w:val="18"/>
          <w:szCs w:val="18"/>
          <w:color w:val="010000"/>
        </w:rPr>
        <w:t>Section 9.01</w:t>
      </w:r>
      <w:r>
        <w:rPr>
          <w:sz w:val="20"/>
          <w:szCs w:val="20"/>
          <w:color w:val="auto"/>
        </w:rPr>
        <w:tab/>
      </w:r>
      <w:r>
        <w:rPr>
          <w:rFonts w:ascii="Arial" w:cs="Arial" w:eastAsia="Arial" w:hAnsi="Arial"/>
          <w:sz w:val="16"/>
          <w:szCs w:val="16"/>
          <w:color w:val="auto"/>
        </w:rPr>
        <w:t>Appointment and Authority.</w:t>
      </w:r>
    </w:p>
    <w:p>
      <w:pPr>
        <w:spacing w:after="0" w:line="225" w:lineRule="exact"/>
        <w:rPr>
          <w:sz w:val="20"/>
          <w:szCs w:val="20"/>
          <w:color w:val="auto"/>
        </w:rPr>
      </w:pPr>
    </w:p>
    <w:p>
      <w:pPr>
        <w:jc w:val="both"/>
        <w:ind w:left="8" w:firstLine="639"/>
        <w:spacing w:after="0" w:line="228" w:lineRule="auto"/>
        <w:tabs>
          <w:tab w:leader="none" w:pos="1161" w:val="left"/>
        </w:tabs>
        <w:numPr>
          <w:ilvl w:val="1"/>
          <w:numId w:val="280"/>
        </w:numPr>
        <w:rPr>
          <w:rFonts w:ascii="Arial" w:cs="Arial" w:eastAsia="Arial" w:hAnsi="Arial"/>
          <w:sz w:val="17"/>
          <w:szCs w:val="17"/>
          <w:color w:val="010000"/>
        </w:rPr>
      </w:pPr>
      <w:r>
        <w:rPr>
          <w:rFonts w:ascii="Arial" w:cs="Arial" w:eastAsia="Arial" w:hAnsi="Arial"/>
          <w:sz w:val="17"/>
          <w:szCs w:val="17"/>
          <w:color w:val="auto"/>
        </w:rPr>
        <w:t>Each of the Lenders hereby irrevocably appoints Bank of America,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(other than this Section 9.01, Section 9.06 (solely with respect to the removal and consent rights of the Borrowers set forth therein), Section 9.09, Section 9.10 and Section 9.11) are solely for the benefit of the Administrative Agent the Lenders,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1" w:lineRule="exact"/>
        <w:rPr>
          <w:rFonts w:ascii="Arial" w:cs="Arial" w:eastAsia="Arial" w:hAnsi="Arial"/>
          <w:sz w:val="17"/>
          <w:szCs w:val="17"/>
          <w:color w:val="010000"/>
        </w:rPr>
      </w:pPr>
    </w:p>
    <w:p>
      <w:pPr>
        <w:jc w:val="both"/>
        <w:ind w:left="8" w:right="20" w:firstLine="640"/>
        <w:spacing w:after="0" w:line="237" w:lineRule="auto"/>
        <w:tabs>
          <w:tab w:leader="none" w:pos="1160" w:val="left"/>
        </w:tabs>
        <w:numPr>
          <w:ilvl w:val="1"/>
          <w:numId w:val="280"/>
        </w:numPr>
        <w:rPr>
          <w:rFonts w:ascii="Arial" w:cs="Arial" w:eastAsia="Arial" w:hAnsi="Arial"/>
          <w:sz w:val="16"/>
          <w:szCs w:val="16"/>
          <w:color w:val="010000"/>
        </w:rPr>
      </w:pPr>
      <w:r>
        <w:rPr>
          <w:rFonts w:ascii="Arial" w:cs="Arial" w:eastAsia="Arial" w:hAnsi="Arial"/>
          <w:sz w:val="16"/>
          <w:szCs w:val="16"/>
          <w:color w:val="auto"/>
        </w:rPr>
        <w:t>The Administrative Agent shall also act as the “collateral agent” under the Loan Documents, and each of the Lenders (including in its capacities as a potential Hedge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9.05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Article X (including the second paragraph of Section 10.05), as though such co-agents, sub-agents and attorneys-in-fact were the “collateral agent” under the Loan Documents as if set forth in full herein with respect thereto. Without limiting the generality of the foregoing, the Lenders hereby expressly authorize the Administrative Agent to</w:t>
      </w:r>
    </w:p>
    <w:p>
      <w:pPr>
        <w:ind w:left="208" w:hanging="208"/>
        <w:spacing w:after="0"/>
        <w:tabs>
          <w:tab w:leader="none" w:pos="20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execute any and all documents (including releases) with respect to the Collateral (including any Intercreditor</w:t>
      </w:r>
    </w:p>
    <w:p>
      <w:pPr>
        <w:sectPr>
          <w:pgSz w:w="11900" w:h="16838" w:orient="portrait"/>
          <w:cols w:equalWidth="0" w:num="1">
            <w:col w:w="10908"/>
          </w:cols>
          <w:pgMar w:left="472" w:top="1440" w:right="519" w:bottom="1440" w:gutter="0" w:footer="0" w:header="0"/>
        </w:sectPr>
      </w:pPr>
    </w:p>
    <w:bookmarkStart w:id="212" w:name="page213"/>
    <w:bookmarkEnd w:id="212"/>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Agreement and any amendment, supplement, modification or joinder with respect thereto) and the rights of the Secured Parties with respect thereto, as contemplated by and in accordance with the provisions of this Agreement and the Collateral Documents and acknowledge and agree that any such action by any Agent shall bind the Lenders and (ii) negotiate, enforce or settle any claim, action or proceeding affecting the Lenders in their capacity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such, at the direction of the Required Lenders, which negotiation, enforcement or settlement will be binding upon each Lender.</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9.02</w:t>
      </w:r>
      <w:r>
        <w:rPr>
          <w:sz w:val="20"/>
          <w:szCs w:val="20"/>
          <w:color w:val="auto"/>
        </w:rPr>
        <w:tab/>
      </w:r>
      <w:r>
        <w:rPr>
          <w:rFonts w:ascii="Arial" w:cs="Arial" w:eastAsia="Arial" w:hAnsi="Arial"/>
          <w:sz w:val="15"/>
          <w:szCs w:val="15"/>
          <w:color w:val="auto"/>
        </w:rPr>
        <w:t>Rights as a Lender.</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w:t>
      </w:r>
    </w:p>
    <w:p>
      <w:pPr>
        <w:jc w:val="both"/>
        <w:ind w:right="20"/>
        <w:spacing w:after="0" w:line="234" w:lineRule="auto"/>
        <w:rPr>
          <w:sz w:val="20"/>
          <w:szCs w:val="20"/>
          <w:color w:val="auto"/>
        </w:rPr>
      </w:pPr>
      <w:r>
        <w:rPr>
          <w:rFonts w:ascii="Arial" w:cs="Arial" w:eastAsia="Arial" w:hAnsi="Arial"/>
          <w:sz w:val="16"/>
          <w:szCs w:val="16"/>
          <w:color w:val="auto"/>
        </w:rPr>
        <w:t>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Agent hereunder and without any duty to account therefor to the Lenders.</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9.03</w:t>
      </w:r>
      <w:r>
        <w:rPr>
          <w:sz w:val="20"/>
          <w:szCs w:val="20"/>
          <w:color w:val="auto"/>
        </w:rPr>
        <w:tab/>
      </w:r>
      <w:r>
        <w:rPr>
          <w:rFonts w:ascii="Arial" w:cs="Arial" w:eastAsia="Arial" w:hAnsi="Arial"/>
          <w:sz w:val="16"/>
          <w:szCs w:val="16"/>
          <w:color w:val="auto"/>
        </w:rPr>
        <w:t>Exculpatory Provisions.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Administrative Agent shall not have any duties or obligations except those expressly set forth herein and in the other Loan Documents.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the generality of the foregoing, the Administrative Agent:</w:t>
      </w:r>
    </w:p>
    <w:p>
      <w:pPr>
        <w:spacing w:after="0" w:line="209" w:lineRule="exact"/>
        <w:rPr>
          <w:sz w:val="20"/>
          <w:szCs w:val="20"/>
          <w:color w:val="auto"/>
        </w:rPr>
      </w:pPr>
    </w:p>
    <w:p>
      <w:pPr>
        <w:ind w:left="1800" w:hanging="512"/>
        <w:spacing w:after="0"/>
        <w:tabs>
          <w:tab w:leader="none" w:pos="18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has occurred and is continuing;</w:t>
      </w:r>
    </w:p>
    <w:p>
      <w:pPr>
        <w:spacing w:after="0" w:line="248" w:lineRule="exact"/>
        <w:rPr>
          <w:rFonts w:ascii="Arial" w:cs="Arial" w:eastAsia="Arial" w:hAnsi="Arial"/>
          <w:sz w:val="16"/>
          <w:szCs w:val="16"/>
          <w:color w:val="auto"/>
        </w:rPr>
      </w:pPr>
    </w:p>
    <w:p>
      <w:pPr>
        <w:jc w:val="both"/>
        <w:ind w:left="640" w:right="20" w:firstLine="647"/>
        <w:spacing w:after="0" w:line="217" w:lineRule="auto"/>
        <w:tabs>
          <w:tab w:leader="none" w:pos="179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(i) expose the Administrative Agent to liability or that is contrary to any Loan Document or applicable law or (ii) be in violation of the automatic stay under any Debtor Relief Law or that may effect a forfeiture, modification or termination of property of a Defaulting Lender in violation of any Debtor Relief Law;</w:t>
      </w:r>
    </w:p>
    <w:p>
      <w:pPr>
        <w:spacing w:after="0" w:line="201" w:lineRule="exact"/>
        <w:rPr>
          <w:rFonts w:ascii="Arial" w:cs="Arial" w:eastAsia="Arial" w:hAnsi="Arial"/>
          <w:sz w:val="18"/>
          <w:szCs w:val="18"/>
          <w:color w:val="auto"/>
        </w:rPr>
      </w:pPr>
    </w:p>
    <w:p>
      <w:pPr>
        <w:jc w:val="both"/>
        <w:ind w:left="640" w:right="20" w:firstLine="648"/>
        <w:spacing w:after="0" w:line="229" w:lineRule="auto"/>
        <w:tabs>
          <w:tab w:leader="none" w:pos="179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190" w:lineRule="exact"/>
        <w:rPr>
          <w:rFonts w:ascii="Arial" w:cs="Arial" w:eastAsia="Arial" w:hAnsi="Arial"/>
          <w:sz w:val="18"/>
          <w:szCs w:val="18"/>
          <w:color w:val="auto"/>
        </w:rPr>
      </w:pPr>
    </w:p>
    <w:p>
      <w:pPr>
        <w:jc w:val="both"/>
        <w:ind w:left="640" w:firstLine="648"/>
        <w:spacing w:after="0" w:line="219" w:lineRule="auto"/>
        <w:tabs>
          <w:tab w:leader="none" w:pos="179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10.01 and 8.02) or (ii) in the absence of its own gross negligence or willful misconduct as determined by a court of competent jurisdiction in a final and non-appealable judgment. The Administrative Agent shall be deemed not to have knowledge of any Default unless and until notice describing such Default is given to the Administrative Agent by the Borrowers or a Lender; and</w:t>
      </w:r>
    </w:p>
    <w:p>
      <w:pPr>
        <w:spacing w:after="0" w:line="189" w:lineRule="exact"/>
        <w:rPr>
          <w:rFonts w:ascii="Arial" w:cs="Arial" w:eastAsia="Arial" w:hAnsi="Arial"/>
          <w:sz w:val="18"/>
          <w:szCs w:val="18"/>
          <w:color w:val="auto"/>
        </w:rPr>
      </w:pPr>
    </w:p>
    <w:p>
      <w:pPr>
        <w:jc w:val="both"/>
        <w:ind w:left="640" w:right="20" w:firstLine="648"/>
        <w:spacing w:after="0" w:line="236" w:lineRule="auto"/>
        <w:tabs>
          <w:tab w:leader="none" w:pos="1792" w:val="left"/>
        </w:tabs>
        <w:numPr>
          <w:ilvl w:val="0"/>
          <w:numId w:val="282"/>
        </w:numPr>
        <w:rPr>
          <w:rFonts w:ascii="Arial" w:cs="Arial" w:eastAsia="Arial" w:hAnsi="Arial"/>
          <w:sz w:val="17"/>
          <w:szCs w:val="17"/>
          <w:color w:val="auto"/>
        </w:rPr>
      </w:pPr>
      <w:r>
        <w:rPr>
          <w:rFonts w:ascii="Arial" w:cs="Arial" w:eastAsia="Arial" w:hAnsi="Arial"/>
          <w:sz w:val="17"/>
          <w:szCs w:val="17"/>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w:t>
      </w:r>
    </w:p>
    <w:p>
      <w:pPr>
        <w:sectPr>
          <w:pgSz w:w="11900" w:h="16838" w:orient="portrait"/>
          <w:cols w:equalWidth="0" w:num="1">
            <w:col w:w="10900"/>
          </w:cols>
          <w:pgMar w:left="480" w:top="1440" w:right="519" w:bottom="1440" w:gutter="0" w:footer="0" w:header="0"/>
        </w:sectPr>
      </w:pPr>
    </w:p>
    <w:bookmarkStart w:id="213" w:name="page214"/>
    <w:bookmarkEnd w:id="213"/>
    <w:p>
      <w:pPr>
        <w:spacing w:after="0" w:line="211" w:lineRule="exact"/>
        <w:rPr>
          <w:sz w:val="20"/>
          <w:szCs w:val="20"/>
          <w:color w:val="auto"/>
        </w:rPr>
      </w:pPr>
    </w:p>
    <w:p>
      <w:pPr>
        <w:jc w:val="both"/>
        <w:ind w:left="640" w:right="40"/>
        <w:spacing w:after="0" w:line="241" w:lineRule="auto"/>
        <w:rPr>
          <w:sz w:val="20"/>
          <w:szCs w:val="20"/>
          <w:color w:val="auto"/>
        </w:rPr>
      </w:pPr>
      <w:r>
        <w:rPr>
          <w:rFonts w:ascii="Arial" w:cs="Arial" w:eastAsia="Arial" w:hAnsi="Arial"/>
          <w:sz w:val="16"/>
          <w:szCs w:val="16"/>
          <w:color w:val="auto"/>
        </w:rPr>
        <w:t>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IV or elsewhere herein, other than to confirm receipt of items expressly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required to be delivered to the Administrative Agent.</w:t>
      </w:r>
    </w:p>
    <w:p>
      <w:pPr>
        <w:spacing w:after="0" w:line="196" w:lineRule="exact"/>
        <w:rPr>
          <w:sz w:val="20"/>
          <w:szCs w:val="20"/>
          <w:color w:val="auto"/>
        </w:rPr>
      </w:pPr>
    </w:p>
    <w:p>
      <w:pPr>
        <w:jc w:val="both"/>
        <w:ind w:right="40" w:firstLine="648"/>
        <w:spacing w:after="0" w:line="233" w:lineRule="auto"/>
        <w:rPr>
          <w:sz w:val="20"/>
          <w:szCs w:val="20"/>
          <w:color w:val="auto"/>
        </w:rPr>
      </w:pPr>
      <w:r>
        <w:rPr>
          <w:rFonts w:ascii="Arial" w:cs="Arial" w:eastAsia="Arial" w:hAnsi="Arial"/>
          <w:sz w:val="17"/>
          <w:szCs w:val="17"/>
          <w:color w:val="auto"/>
        </w:rPr>
        <w:t>It is understood and agreed by each Secured Party that the Administrative Agent shall have no liability for any determinations made by it under Section 8.03, in each case except to the extent resulting from the gross negligence or willful misconduct of the Administrative Agent (as</w:t>
      </w:r>
    </w:p>
    <w:p>
      <w:pPr>
        <w:spacing w:after="0" w:line="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determined by a court of competent jurisdiction in a final and non-appealable decision). Each Secured Party also agrees that the Administrative Agent may (but shall not be required to), at any time and in its sole discretion, and with no liability resulting therefrom, petition a court of competent jurisdiction regarding any application of Collateral in accordance with the requirements hereof, and the Administrative Agent shall be entitled to wait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may conclusively rely on, any such determination.</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9.04</w:t>
      </w:r>
      <w:r>
        <w:rPr>
          <w:sz w:val="20"/>
          <w:szCs w:val="20"/>
          <w:color w:val="auto"/>
        </w:rPr>
        <w:tab/>
      </w:r>
      <w:r>
        <w:rPr>
          <w:rFonts w:ascii="Arial" w:cs="Arial" w:eastAsia="Arial" w:hAnsi="Arial"/>
          <w:sz w:val="16"/>
          <w:szCs w:val="16"/>
          <w:color w:val="auto"/>
        </w:rPr>
        <w:t>Reliance by Administrative Agent.</w:t>
      </w:r>
    </w:p>
    <w:p>
      <w:pPr>
        <w:spacing w:after="0" w:line="225"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w:t>
      </w:r>
    </w:p>
    <w:p>
      <w:pPr>
        <w:jc w:val="both"/>
        <w:ind w:right="40"/>
        <w:spacing w:after="0" w:line="234" w:lineRule="auto"/>
        <w:rPr>
          <w:sz w:val="20"/>
          <w:szCs w:val="20"/>
          <w:color w:val="auto"/>
        </w:rPr>
      </w:pPr>
      <w:r>
        <w:rPr>
          <w:rFonts w:ascii="Arial" w:cs="Arial" w:eastAsia="Arial" w:hAnsi="Arial"/>
          <w:sz w:val="16"/>
          <w:szCs w:val="16"/>
          <w:color w:val="auto"/>
        </w:rPr>
        <w:t>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the Administrative Agent may presume that such</w:t>
      </w:r>
    </w:p>
    <w:p>
      <w:pPr>
        <w:spacing w:after="0" w:line="2"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condition is satisfactory to such Lender unless the Administrative Agent shall have received notice to the contrary from such Lender prior to the making of such Loan. The Administrative Agent may consult with legal counsel, independent accountants and other experts selected by it, and shall not be liable for any action taken or not taken by it in accordance with the advice of any such counsel, accountants or experts.</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9.05</w:t>
      </w:r>
      <w:r>
        <w:rPr>
          <w:sz w:val="20"/>
          <w:szCs w:val="20"/>
          <w:color w:val="auto"/>
        </w:rPr>
        <w:tab/>
      </w:r>
      <w:r>
        <w:rPr>
          <w:rFonts w:ascii="Arial" w:cs="Arial" w:eastAsia="Arial" w:hAnsi="Arial"/>
          <w:sz w:val="16"/>
          <w:szCs w:val="16"/>
          <w:color w:val="auto"/>
        </w:rPr>
        <w:t>Delegation of Duties.</w:t>
      </w:r>
    </w:p>
    <w:p>
      <w:pPr>
        <w:spacing w:after="0" w:line="225"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Article IX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jurisdiction determines in a final and non-appealable judgment that the Administrative Agent acted with gross negligence or willful misconduct in the selection of such sub-agents.</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9.06</w:t>
      </w:r>
      <w:r>
        <w:rPr>
          <w:sz w:val="20"/>
          <w:szCs w:val="20"/>
          <w:color w:val="auto"/>
        </w:rPr>
        <w:tab/>
      </w:r>
      <w:r>
        <w:rPr>
          <w:rFonts w:ascii="Arial" w:cs="Arial" w:eastAsia="Arial" w:hAnsi="Arial"/>
          <w:sz w:val="16"/>
          <w:szCs w:val="16"/>
          <w:color w:val="auto"/>
        </w:rPr>
        <w:t>Resignation of Administrative Agent.</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Administrative Agent may at any time give notice of its resignation to the Lenders and the Borrowers upon thirty (30) days’ written notice to the Borrowers and the Lenders. If the Administrative Agent or a Controlling Affiliate of the Administrative Agent is subject to an Agent-Related Distress Event, the Parent Borrower may remove the Administrative Agent from such role upon ten (10) days’ written notice to the Lenders. Upon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receipt of any such notice of resignation or removal by the Parent Borrower, the Required Lenders shall have the right, with the consent of the Administrative Borrower at all times other than upon the occurrence and during the continuation of an Event of Default under Sections 8.01(a) or, solely with respect to the Parent Borrower, 8.01(f), to appoint a successor, which shall be a bank with an office in the United States, or an Affiliate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any such bank with an office in the United States. If no such successor shall have been so appointed by the Required Lenders and shall have accepted such appointment within 30 days after the retiring Administrative Agent gives notice of its resignation or removal, then the retiring Administrative Agent may on behalf of the Lenders, appoint a successor Administrative</w:t>
      </w:r>
    </w:p>
    <w:p>
      <w:pPr>
        <w:sectPr>
          <w:pgSz w:w="11900" w:h="16838" w:orient="portrait"/>
          <w:cols w:equalWidth="0" w:num="1">
            <w:col w:w="10920"/>
          </w:cols>
          <w:pgMar w:left="480" w:top="1440" w:right="499" w:bottom="1440" w:gutter="0" w:footer="0" w:header="0"/>
        </w:sectPr>
      </w:pPr>
    </w:p>
    <w:bookmarkStart w:id="214" w:name="page215"/>
    <w:bookmarkEnd w:id="214"/>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Agent meeting the qualifications set forth above (including consent of the Administrative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shall notify the Administrative Borrower and the Lenders that no qualifying Person has accepted such appointment, then such resignation or removal shall nonetheless become effective in accordance with such notice. The resigning or removed Administrative Agent shall be discharged from its duties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obligations hereunder and under the other Loan Documents (except that in the case of any collateral security held by the Administrative Agent on behalf of the Lenders under any of the Loan Documents, the resigning or removed Administrative Agent shall continue to hold such collateral security (including any collateral security subsequently delivered to the Administrative Agent) until such time as a successor Administrative Agent is appointed)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9.06. Upon the acceptance of a successor’s appointment as Administrative Agent hereunder and delivery of collateral security in the possession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resigning or removed Administrative Agent to such successor Administrative Agent (to the extent that possession thereof perfect a Lien thereon under the UCC of any jurisdiction), such successor shall succeed to and become vested with all of the rights, powers, privileges and duties of the resigning (or resigned) or removed Administrative Agent, and the resigning or removed Administrative Agent shall be discharged from all of its duties and</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obligations hereunder or under the other Loan Documents (if not already discharged therefrom as provided above in this Section 9.06). The fees payable by the Borrowers to a successor Administrative Agent shall be the same as those payable to its predecessor unless otherwise agreed between the Borrowers and such successor. After the resigning Administrative Agent’s resignation or the removed Administrative Agent’s removal hereunder and under the other Loan Documents, the provisions of this Article and Sections 10.04 and 10.05 shall continue in effect for the benefit of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resigning or removed Administrative Agent, its sub-agents and their respective Related Parties in respect of any actions taken or omitted to be taken by any of them while the resigning or removed Administrative Agent was acting as Administrative Agent.</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9.07</w:t>
      </w:r>
      <w:r>
        <w:rPr>
          <w:sz w:val="20"/>
          <w:szCs w:val="20"/>
          <w:color w:val="auto"/>
        </w:rPr>
        <w:tab/>
      </w:r>
      <w:r>
        <w:rPr>
          <w:rFonts w:ascii="Arial" w:cs="Arial" w:eastAsia="Arial" w:hAnsi="Arial"/>
          <w:sz w:val="16"/>
          <w:szCs w:val="16"/>
          <w:color w:val="auto"/>
        </w:rPr>
        <w:t>Non-Reliance on Administrative Agent and Other Lenders.</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w:t>
      </w:r>
    </w:p>
    <w:p>
      <w:pPr>
        <w:jc w:val="both"/>
        <w:spacing w:after="0" w:line="234" w:lineRule="auto"/>
        <w:rPr>
          <w:sz w:val="20"/>
          <w:szCs w:val="20"/>
          <w:color w:val="auto"/>
        </w:rPr>
      </w:pPr>
      <w:r>
        <w:rPr>
          <w:rFonts w:ascii="Arial" w:cs="Arial" w:eastAsia="Arial" w:hAnsi="Arial"/>
          <w:sz w:val="16"/>
          <w:szCs w:val="16"/>
          <w:color w:val="auto"/>
        </w:rPr>
        <w:t>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furnished hereunder or thereunder.</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9.08</w:t>
      </w:r>
      <w:r>
        <w:rPr>
          <w:sz w:val="20"/>
          <w:szCs w:val="20"/>
          <w:color w:val="auto"/>
        </w:rPr>
        <w:tab/>
      </w:r>
      <w:r>
        <w:rPr>
          <w:rFonts w:ascii="Arial" w:cs="Arial" w:eastAsia="Arial" w:hAnsi="Arial"/>
          <w:sz w:val="16"/>
          <w:szCs w:val="16"/>
          <w:color w:val="auto"/>
        </w:rPr>
        <w:t>No Other Duties, Etc.</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Anything herein to the contrary notwithstanding, none of the Administrative Agent, Bookrunner, Arranger, Syndication Agent or Documentation Agent listed on the cover page hereof shall have any powers, duties or responsibilities under this Agreement or any of the other Loan</w:t>
      </w:r>
    </w:p>
    <w:p>
      <w:pPr>
        <w:spacing w:after="0"/>
        <w:rPr>
          <w:sz w:val="20"/>
          <w:szCs w:val="20"/>
          <w:color w:val="auto"/>
        </w:rPr>
      </w:pPr>
      <w:r>
        <w:rPr>
          <w:rFonts w:ascii="Arial" w:cs="Arial" w:eastAsia="Arial" w:hAnsi="Arial"/>
          <w:sz w:val="18"/>
          <w:szCs w:val="18"/>
          <w:color w:val="auto"/>
        </w:rPr>
        <w:t>Documents, except in its capacity, as applicable, as the Administrative Agent or a Lender hereunder.</w:t>
      </w:r>
    </w:p>
    <w:p>
      <w:pPr>
        <w:spacing w:after="0" w:line="19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9.09</w:t>
      </w:r>
      <w:r>
        <w:rPr>
          <w:sz w:val="20"/>
          <w:szCs w:val="20"/>
          <w:color w:val="auto"/>
        </w:rPr>
        <w:tab/>
      </w:r>
      <w:r>
        <w:rPr>
          <w:rFonts w:ascii="Arial" w:cs="Arial" w:eastAsia="Arial" w:hAnsi="Arial"/>
          <w:sz w:val="16"/>
          <w:szCs w:val="16"/>
          <w:color w:val="auto"/>
        </w:rPr>
        <w:t>Administrative Agent May File Proofs of Claim; Credit Bidding..</w:t>
      </w:r>
    </w:p>
    <w:p>
      <w:pPr>
        <w:spacing w:after="0" w:line="225" w:lineRule="exact"/>
        <w:rPr>
          <w:sz w:val="20"/>
          <w:szCs w:val="20"/>
          <w:color w:val="auto"/>
        </w:rPr>
      </w:pPr>
    </w:p>
    <w:p>
      <w:pPr>
        <w:jc w:val="both"/>
        <w:ind w:right="20" w:firstLine="648"/>
        <w:spacing w:after="0" w:line="233" w:lineRule="auto"/>
        <w:rPr>
          <w:sz w:val="20"/>
          <w:szCs w:val="20"/>
          <w:color w:val="auto"/>
        </w:rPr>
      </w:pPr>
      <w:r>
        <w:rPr>
          <w:rFonts w:ascii="Arial" w:cs="Arial" w:eastAsia="Arial" w:hAnsi="Arial"/>
          <w:sz w:val="17"/>
          <w:szCs w:val="17"/>
          <w:color w:val="auto"/>
        </w:rPr>
        <w:t>In case of the pendency of any proceeding under any Debtor Relief Law or any other judicial proceeding relative to any Loan Party, the Administrative Agent (irrespective of whether the principal of any Loan shall then be due and payable as herein expressed or by declaration or</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otherwise and irrespective of whether the Administrative Agent shall have made any demand on the Parent Borrower) shall be entitled and empowered, by intervention in such proceeding or otherwise</w:t>
      </w:r>
    </w:p>
    <w:p>
      <w:pPr>
        <w:spacing w:after="0" w:line="188" w:lineRule="exact"/>
        <w:rPr>
          <w:sz w:val="20"/>
          <w:szCs w:val="20"/>
          <w:color w:val="auto"/>
        </w:rPr>
      </w:pPr>
    </w:p>
    <w:p>
      <w:pPr>
        <w:jc w:val="both"/>
        <w:ind w:left="640" w:right="20" w:firstLine="648"/>
        <w:spacing w:after="0" w:line="236" w:lineRule="auto"/>
        <w:tabs>
          <w:tab w:leader="none" w:pos="1792"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w:t>
      </w:r>
    </w:p>
    <w:p>
      <w:pPr>
        <w:sectPr>
          <w:pgSz w:w="11900" w:h="16838" w:orient="portrait"/>
          <w:cols w:equalWidth="0" w:num="1">
            <w:col w:w="10900"/>
          </w:cols>
          <w:pgMar w:left="480" w:top="1440" w:right="519" w:bottom="1440" w:gutter="0" w:footer="0" w:header="0"/>
        </w:sectPr>
      </w:pPr>
    </w:p>
    <w:bookmarkStart w:id="215" w:name="page216"/>
    <w:bookmarkEnd w:id="215"/>
    <w:p>
      <w:pPr>
        <w:spacing w:after="0" w:line="211" w:lineRule="exact"/>
        <w:rPr>
          <w:sz w:val="20"/>
          <w:szCs w:val="20"/>
          <w:color w:val="auto"/>
        </w:rPr>
      </w:pPr>
    </w:p>
    <w:p>
      <w:pPr>
        <w:ind w:left="649"/>
        <w:spacing w:after="0"/>
        <w:rPr>
          <w:sz w:val="20"/>
          <w:szCs w:val="20"/>
          <w:color w:val="auto"/>
        </w:rPr>
      </w:pPr>
      <w:r>
        <w:rPr>
          <w:rFonts w:ascii="Arial" w:cs="Arial" w:eastAsia="Arial" w:hAnsi="Arial"/>
          <w:sz w:val="17"/>
          <w:szCs w:val="17"/>
          <w:color w:val="auto"/>
        </w:rPr>
        <w:t>amounts due the Lenders and the Administrative Agent under Sections 2.09, 10.04 and 10.05) allowed in such judicial proceeding; and</w:t>
      </w:r>
    </w:p>
    <w:p>
      <w:pPr>
        <w:spacing w:after="0" w:line="237" w:lineRule="exact"/>
        <w:rPr>
          <w:sz w:val="20"/>
          <w:szCs w:val="20"/>
          <w:color w:val="auto"/>
        </w:rPr>
      </w:pPr>
    </w:p>
    <w:p>
      <w:pPr>
        <w:ind w:left="1809" w:hanging="512"/>
        <w:spacing w:after="0"/>
        <w:tabs>
          <w:tab w:leader="none" w:pos="1809"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w:t>
      </w:r>
    </w:p>
    <w:p>
      <w:pPr>
        <w:spacing w:after="0" w:line="2"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Administrative Agent and its agents and counsel, and any other amounts due the Administrative Agent under Sections 2.09, 10.04 and 10.05.</w:t>
      </w:r>
    </w:p>
    <w:p>
      <w:pPr>
        <w:spacing w:after="0" w:line="207" w:lineRule="exact"/>
        <w:rPr>
          <w:sz w:val="20"/>
          <w:szCs w:val="20"/>
          <w:color w:val="auto"/>
        </w:rPr>
      </w:pPr>
    </w:p>
    <w:p>
      <w:pPr>
        <w:jc w:val="both"/>
        <w:ind w:left="9" w:right="20" w:firstLine="648"/>
        <w:spacing w:after="0" w:line="248"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w:t>
      </w:r>
    </w:p>
    <w:p>
      <w:pPr>
        <w:ind w:left="9"/>
        <w:spacing w:after="0"/>
        <w:rPr>
          <w:sz w:val="20"/>
          <w:szCs w:val="20"/>
          <w:color w:val="auto"/>
        </w:rPr>
      </w:pPr>
      <w:r>
        <w:rPr>
          <w:rFonts w:ascii="Arial" w:cs="Arial" w:eastAsia="Arial" w:hAnsi="Arial"/>
          <w:sz w:val="18"/>
          <w:szCs w:val="18"/>
          <w:color w:val="auto"/>
        </w:rPr>
        <w:t>Administrative Agent to vote in respect of the claim of any Lender or in any such proceeding.</w:t>
      </w:r>
    </w:p>
    <w:p>
      <w:pPr>
        <w:spacing w:after="0" w:line="196" w:lineRule="exact"/>
        <w:rPr>
          <w:sz w:val="20"/>
          <w:szCs w:val="20"/>
          <w:color w:val="auto"/>
        </w:rPr>
      </w:pPr>
    </w:p>
    <w:p>
      <w:pPr>
        <w:jc w:val="both"/>
        <w:ind w:left="9" w:firstLine="648"/>
        <w:spacing w:after="0" w:line="248" w:lineRule="auto"/>
        <w:rPr>
          <w:sz w:val="20"/>
          <w:szCs w:val="20"/>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w:t>
      </w:r>
    </w:p>
    <w:p>
      <w:pPr>
        <w:jc w:val="both"/>
        <w:ind w:left="9"/>
        <w:spacing w:after="0" w:line="234" w:lineRule="auto"/>
        <w:rPr>
          <w:sz w:val="20"/>
          <w:szCs w:val="20"/>
          <w:color w:val="auto"/>
        </w:rPr>
      </w:pPr>
      <w:r>
        <w:rPr>
          <w:rFonts w:ascii="Arial" w:cs="Arial" w:eastAsia="Arial" w:hAnsi="Arial"/>
          <w:sz w:val="16"/>
          <w:szCs w:val="16"/>
          <w:color w:val="auto"/>
        </w:rPr>
        <w:t>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w:t>
      </w:r>
    </w:p>
    <w:p>
      <w:pPr>
        <w:spacing w:after="0" w:line="2" w:lineRule="exact"/>
        <w:rPr>
          <w:sz w:val="20"/>
          <w:szCs w:val="20"/>
          <w:color w:val="auto"/>
        </w:rPr>
      </w:pPr>
    </w:p>
    <w:p>
      <w:pPr>
        <w:jc w:val="both"/>
        <w:ind w:left="9"/>
        <w:spacing w:after="0" w:line="234" w:lineRule="auto"/>
        <w:rPr>
          <w:sz w:val="20"/>
          <w:szCs w:val="20"/>
          <w:color w:val="auto"/>
        </w:rPr>
      </w:pPr>
      <w:r>
        <w:rPr>
          <w:rFonts w:ascii="Arial" w:cs="Arial" w:eastAsia="Arial" w:hAnsi="Arial"/>
          <w:sz w:val="16"/>
          <w:szCs w:val="16"/>
          <w:color w:val="auto"/>
        </w:rPr>
        <w:t>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w:t>
      </w:r>
    </w:p>
    <w:p>
      <w:pPr>
        <w:ind w:left="9"/>
        <w:spacing w:after="0" w:line="231" w:lineRule="auto"/>
        <w:rPr>
          <w:sz w:val="20"/>
          <w:szCs w:val="20"/>
          <w:color w:val="auto"/>
        </w:rPr>
      </w:pPr>
      <w:r>
        <w:rPr>
          <w:rFonts w:ascii="Arial" w:cs="Arial" w:eastAsia="Arial" w:hAnsi="Arial"/>
          <w:sz w:val="16"/>
          <w:szCs w:val="16"/>
          <w:color w:val="auto"/>
        </w:rPr>
        <w:t>irrespective of the termination of this Agreement and without giving effect to the limitations on actions by the Required Lenders contained in clauses</w:t>
      </w:r>
    </w:p>
    <w:p>
      <w:pPr>
        <w:jc w:val="both"/>
        <w:ind w:left="9" w:hanging="9"/>
        <w:spacing w:after="0" w:line="226" w:lineRule="auto"/>
        <w:tabs>
          <w:tab w:leader="none" w:pos="27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through (j) of Section 11.01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0" w:lineRule="exact"/>
        <w:rPr>
          <w:sz w:val="20"/>
          <w:szCs w:val="20"/>
          <w:color w:val="auto"/>
        </w:rPr>
      </w:pPr>
    </w:p>
    <w:p>
      <w:pPr>
        <w:ind w:left="649"/>
        <w:spacing w:after="0"/>
        <w:tabs>
          <w:tab w:leader="none" w:pos="1709" w:val="left"/>
        </w:tabs>
        <w:rPr>
          <w:sz w:val="20"/>
          <w:szCs w:val="20"/>
          <w:color w:val="auto"/>
        </w:rPr>
      </w:pPr>
      <w:r>
        <w:rPr>
          <w:rFonts w:ascii="Arial" w:cs="Arial" w:eastAsia="Arial" w:hAnsi="Arial"/>
          <w:sz w:val="18"/>
          <w:szCs w:val="18"/>
          <w:color w:val="010000"/>
        </w:rPr>
        <w:t>Section 9.10</w:t>
      </w:r>
      <w:r>
        <w:rPr>
          <w:sz w:val="20"/>
          <w:szCs w:val="20"/>
          <w:color w:val="auto"/>
        </w:rPr>
        <w:tab/>
      </w:r>
      <w:r>
        <w:rPr>
          <w:rFonts w:ascii="Arial" w:cs="Arial" w:eastAsia="Arial" w:hAnsi="Arial"/>
          <w:sz w:val="16"/>
          <w:szCs w:val="16"/>
          <w:color w:val="auto"/>
        </w:rPr>
        <w:t>Collateral and Guaranty Matters.</w:t>
      </w:r>
    </w:p>
    <w:p>
      <w:pPr>
        <w:spacing w:after="0" w:line="225" w:lineRule="exact"/>
        <w:rPr>
          <w:sz w:val="20"/>
          <w:szCs w:val="20"/>
          <w:color w:val="auto"/>
        </w:rPr>
      </w:pPr>
    </w:p>
    <w:p>
      <w:pPr>
        <w:ind w:left="9" w:right="20" w:firstLine="648"/>
        <w:spacing w:after="0" w:line="235" w:lineRule="auto"/>
        <w:rPr>
          <w:sz w:val="20"/>
          <w:szCs w:val="20"/>
          <w:color w:val="auto"/>
        </w:rPr>
      </w:pPr>
      <w:r>
        <w:rPr>
          <w:rFonts w:ascii="Arial" w:cs="Arial" w:eastAsia="Arial" w:hAnsi="Arial"/>
          <w:sz w:val="18"/>
          <w:szCs w:val="18"/>
          <w:color w:val="auto"/>
        </w:rPr>
        <w:t>Each Lender hereby agrees, and each holder of any Note by its acceptance thereof will be deemed to agree, that, except as otherwise set forth herein, any action taken by the Required Lenders in accordance with the</w:t>
      </w:r>
    </w:p>
    <w:p>
      <w:pPr>
        <w:sectPr>
          <w:pgSz w:w="11900" w:h="16838" w:orient="portrait"/>
          <w:cols w:equalWidth="0" w:num="1">
            <w:col w:w="10909"/>
          </w:cols>
          <w:pgMar w:left="471" w:top="1440" w:right="519" w:bottom="1440" w:gutter="0" w:footer="0" w:header="0"/>
        </w:sectPr>
      </w:pPr>
    </w:p>
    <w:bookmarkStart w:id="216" w:name="page217"/>
    <w:bookmarkEnd w:id="216"/>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provisions of this Agreement or the Collateral Documents, and the exercise by the Required Lenders of the powers set forth herein or therein, together with such other powers as are reasonably incidental thereto, shall be authorized and binding upon all of the Lenders. The Administrative Agent is hereby authorized on behalf of all of the Lenders, without the necessity of any notice to or further consent from any Lender, from time to time prior to</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occurrence and continuance of an Event of Default, to take any action with respect to any Collateral or Collateral Documents which may be necessary to create, perfect and maintain perfected security interests in and liens upon the Collateral granted pursuant to the Collateral Documents. Without limiting the provisions of Section 9.09, each of the Lenders (including in its capacities as a potential Hedge Bank) irrevocably authorize the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 xml:space="preserve">Administrative Agent, at its option, and in its sole discretion (other than releases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which shall not be optional or discretionary):</w:t>
      </w:r>
    </w:p>
    <w:p>
      <w:pPr>
        <w:spacing w:after="0" w:line="188" w:lineRule="exact"/>
        <w:rPr>
          <w:sz w:val="20"/>
          <w:szCs w:val="20"/>
          <w:color w:val="auto"/>
        </w:rPr>
      </w:pPr>
    </w:p>
    <w:p>
      <w:pPr>
        <w:jc w:val="both"/>
        <w:ind w:left="640" w:firstLine="648"/>
        <w:spacing w:after="0" w:line="223" w:lineRule="auto"/>
        <w:tabs>
          <w:tab w:leader="none" w:pos="179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to enter into and sign for and on behalf of the Lenders, as Secured Parties, the Collateral Documents (including any subordination or intercreditor agreements with respect to Indebtedness and Liens permitted under this Agreement to the extent the Administrative Agent is otherwise contemplated herein as being a party to such intercreditor or subordination agreement) for the benefit of the Lenders and the other Secured Parties;</w:t>
      </w:r>
    </w:p>
    <w:p>
      <w:pPr>
        <w:spacing w:after="0" w:line="202" w:lineRule="exact"/>
        <w:rPr>
          <w:rFonts w:ascii="Arial" w:cs="Arial" w:eastAsia="Arial" w:hAnsi="Arial"/>
          <w:sz w:val="18"/>
          <w:szCs w:val="18"/>
          <w:color w:val="auto"/>
        </w:rPr>
      </w:pPr>
    </w:p>
    <w:p>
      <w:pPr>
        <w:ind w:left="1800" w:hanging="513"/>
        <w:spacing w:after="0"/>
        <w:tabs>
          <w:tab w:leader="none" w:pos="18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to automatically release any Lien on any property granted to or held by the Administrative Agent under any Loan Document</w:t>
      </w:r>
    </w:p>
    <w:p>
      <w:pPr>
        <w:spacing w:after="0" w:line="7" w:lineRule="exact"/>
        <w:rPr>
          <w:rFonts w:ascii="Arial" w:cs="Arial" w:eastAsia="Arial" w:hAnsi="Arial"/>
          <w:sz w:val="16"/>
          <w:szCs w:val="16"/>
          <w:color w:val="auto"/>
        </w:rPr>
      </w:pPr>
    </w:p>
    <w:p>
      <w:pPr>
        <w:jc w:val="both"/>
        <w:ind w:left="640" w:right="20" w:hanging="1"/>
        <w:spacing w:after="0" w:line="216" w:lineRule="auto"/>
        <w:tabs>
          <w:tab w:leader="none" w:pos="90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upon termination of the Aggregate Commitments and payment in full of all Obligations (other than contingent indemnification obligations), (ii) at the time the property subject to such Lien is Disposed or to be Disposed (to a Person that is not a Loan Party) as part of or in connection with any Disposition permitted hereunder or under any other Loan Document, (iii) subject to Section 10.01, if the release of such Lien is approved, authorized or ratified in writing by the Required Lenders, (iv) if the property subject to such Lien is owned by a Guarantor, upon release of such Guarantor from its obligations under its Guaranty pursuant to clause (d) below or Section 11.09 or (v) if the property subject to such Lien constitutes Excluded Assets;</w:t>
      </w:r>
    </w:p>
    <w:p>
      <w:pPr>
        <w:spacing w:after="0" w:line="189" w:lineRule="exact"/>
        <w:rPr>
          <w:rFonts w:ascii="Arial" w:cs="Arial" w:eastAsia="Arial" w:hAnsi="Arial"/>
          <w:sz w:val="18"/>
          <w:szCs w:val="18"/>
          <w:color w:val="auto"/>
        </w:rPr>
      </w:pPr>
    </w:p>
    <w:p>
      <w:pPr>
        <w:jc w:val="both"/>
        <w:ind w:left="640" w:right="20" w:firstLine="648"/>
        <w:spacing w:after="0" w:line="229" w:lineRule="auto"/>
        <w:tabs>
          <w:tab w:leader="none" w:pos="17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to release or subordinate any Lien on any property granted to or held by the Administrative Agent under any Loan Document to the holder of any Lien on such property that is permitted by Section 7.01(u) to the extent required by the holder of, or pursuant to the terms of any agreement governing, the obligations secured by such Liens; and</w:t>
      </w:r>
    </w:p>
    <w:p>
      <w:pPr>
        <w:spacing w:after="0" w:line="190" w:lineRule="exact"/>
        <w:rPr>
          <w:rFonts w:ascii="Arial" w:cs="Arial" w:eastAsia="Arial" w:hAnsi="Arial"/>
          <w:sz w:val="18"/>
          <w:szCs w:val="18"/>
          <w:color w:val="auto"/>
        </w:rPr>
      </w:pPr>
    </w:p>
    <w:p>
      <w:pPr>
        <w:ind w:left="640" w:right="20" w:firstLine="648"/>
        <w:spacing w:after="0" w:line="235" w:lineRule="auto"/>
        <w:tabs>
          <w:tab w:leader="none" w:pos="17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this Agreement (including the Guaranty) if such Guarantor becomes a Released Guarantor in accordance with Section 11.09.</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Section 9.10. In each case as specified in this Section 9.10, the Administrative Agent will (and each Lender irrevocably authorizes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Administrative Agent to),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Guaranty, in each case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of the Loan Documents and this Section 9.10.</w:t>
      </w:r>
    </w:p>
    <w:p>
      <w:pPr>
        <w:spacing w:after="0" w:line="196"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w:t>
      </w:r>
    </w:p>
    <w:p>
      <w:pPr>
        <w:ind w:right="20"/>
        <w:spacing w:after="0" w:line="226" w:lineRule="auto"/>
        <w:rPr>
          <w:sz w:val="20"/>
          <w:szCs w:val="20"/>
          <w:color w:val="auto"/>
        </w:rPr>
      </w:pPr>
      <w:r>
        <w:rPr>
          <w:rFonts w:ascii="Arial" w:cs="Arial" w:eastAsia="Arial" w:hAnsi="Arial"/>
          <w:sz w:val="18"/>
          <w:szCs w:val="18"/>
          <w:color w:val="auto"/>
        </w:rPr>
        <w:t>prepared by the Borrowers or any of its Restricted Subsidiaries in connection therewith, nor shall the Administrative Agent be responsible or liable to the Lenders for any failure to monitor or maintain any portion of the Collateral.</w:t>
      </w:r>
    </w:p>
    <w:p>
      <w:pPr>
        <w:sectPr>
          <w:pgSz w:w="11900" w:h="16838" w:orient="portrait"/>
          <w:cols w:equalWidth="0" w:num="1">
            <w:col w:w="10900"/>
          </w:cols>
          <w:pgMar w:left="480" w:top="1440" w:right="519" w:bottom="1440" w:gutter="0" w:footer="0" w:header="0"/>
        </w:sectPr>
      </w:pPr>
    </w:p>
    <w:bookmarkStart w:id="217" w:name="page218"/>
    <w:bookmarkEnd w:id="217"/>
    <w:p>
      <w:pPr>
        <w:spacing w:after="0" w:line="21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9.11</w:t>
      </w:r>
      <w:r>
        <w:rPr>
          <w:sz w:val="20"/>
          <w:szCs w:val="20"/>
          <w:color w:val="auto"/>
        </w:rPr>
        <w:tab/>
      </w:r>
      <w:r>
        <w:rPr>
          <w:rFonts w:ascii="Arial" w:cs="Arial" w:eastAsia="Arial" w:hAnsi="Arial"/>
          <w:sz w:val="15"/>
          <w:szCs w:val="15"/>
          <w:color w:val="auto"/>
        </w:rPr>
        <w:t>Secured Hedge Agreements.</w:t>
      </w:r>
    </w:p>
    <w:p>
      <w:pPr>
        <w:spacing w:after="0" w:line="225" w:lineRule="exact"/>
        <w:rPr>
          <w:sz w:val="20"/>
          <w:szCs w:val="20"/>
          <w:color w:val="auto"/>
        </w:rPr>
      </w:pPr>
    </w:p>
    <w:p>
      <w:pPr>
        <w:jc w:val="both"/>
        <w:ind w:right="80" w:firstLine="648"/>
        <w:spacing w:after="0" w:line="241" w:lineRule="auto"/>
        <w:rPr>
          <w:sz w:val="20"/>
          <w:szCs w:val="20"/>
          <w:color w:val="auto"/>
        </w:rPr>
      </w:pPr>
      <w:r>
        <w:rPr>
          <w:rFonts w:ascii="Arial" w:cs="Arial" w:eastAsia="Arial" w:hAnsi="Arial"/>
          <w:sz w:val="16"/>
          <w:szCs w:val="16"/>
          <w:color w:val="auto"/>
        </w:rPr>
        <w:t>Except as otherwise expressly set forth herein or in any Guaranty or any Collateral Document, no Hedge Bank that obtains the benefits of Section 8.03, any Guaranty or any Collateral by virtue of the provisions hereof or of any Guaranty or any Collateral Document shall have any right to notice of any action or to consent to, direct or object to any action hereunder or under any other Loan Document or otherwise in respect of the</w:t>
      </w:r>
    </w:p>
    <w:p>
      <w:pPr>
        <w:spacing w:after="0" w:line="2" w:lineRule="exact"/>
        <w:rPr>
          <w:sz w:val="20"/>
          <w:szCs w:val="20"/>
          <w:color w:val="auto"/>
        </w:rPr>
      </w:pPr>
    </w:p>
    <w:p>
      <w:pPr>
        <w:jc w:val="both"/>
        <w:ind w:right="80"/>
        <w:spacing w:after="0" w:line="234" w:lineRule="auto"/>
        <w:rPr>
          <w:sz w:val="20"/>
          <w:szCs w:val="20"/>
          <w:color w:val="auto"/>
        </w:rPr>
      </w:pPr>
      <w:r>
        <w:rPr>
          <w:rFonts w:ascii="Arial" w:cs="Arial" w:eastAsia="Arial" w:hAnsi="Arial"/>
          <w:sz w:val="16"/>
          <w:szCs w:val="16"/>
          <w:color w:val="auto"/>
        </w:rPr>
        <w:t>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Secured Obligations arising under Secured Hedge</w:t>
      </w:r>
    </w:p>
    <w:p>
      <w:pPr>
        <w:spacing w:after="0" w:line="2" w:lineRule="exact"/>
        <w:rPr>
          <w:sz w:val="20"/>
          <w:szCs w:val="20"/>
          <w:color w:val="auto"/>
        </w:rPr>
      </w:pPr>
    </w:p>
    <w:p>
      <w:pPr>
        <w:jc w:val="both"/>
        <w:ind w:right="80"/>
        <w:spacing w:after="0" w:line="226" w:lineRule="auto"/>
        <w:rPr>
          <w:sz w:val="20"/>
          <w:szCs w:val="20"/>
          <w:color w:val="auto"/>
        </w:rPr>
      </w:pPr>
      <w:r>
        <w:rPr>
          <w:rFonts w:ascii="Arial" w:cs="Arial" w:eastAsia="Arial" w:hAnsi="Arial"/>
          <w:sz w:val="18"/>
          <w:szCs w:val="18"/>
          <w:color w:val="auto"/>
        </w:rPr>
        <w:t>Agreements unless the Administrative Agent has received written notice of such Secured Obligations, together with such supporting documentation as the Administrative Agent may request, from the applicable Hedge Bank.</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Lenders and the Hedge Banks hereby authorize the Administrative Agent to enter into any Intercreditor Agreement or other intercreditor</w:t>
      </w:r>
    </w:p>
    <w:p>
      <w:pPr>
        <w:spacing w:after="0" w:line="21" w:lineRule="exact"/>
        <w:rPr>
          <w:sz w:val="20"/>
          <w:szCs w:val="20"/>
          <w:color w:val="auto"/>
        </w:rPr>
      </w:pPr>
    </w:p>
    <w:p>
      <w:pPr>
        <w:jc w:val="both"/>
        <w:ind w:right="100"/>
        <w:spacing w:after="0" w:line="218" w:lineRule="auto"/>
        <w:rPr>
          <w:sz w:val="20"/>
          <w:szCs w:val="20"/>
          <w:color w:val="auto"/>
        </w:rPr>
      </w:pPr>
      <w:r>
        <w:rPr>
          <w:rFonts w:ascii="Arial" w:cs="Arial" w:eastAsia="Arial" w:hAnsi="Arial"/>
          <w:sz w:val="18"/>
          <w:szCs w:val="18"/>
          <w:color w:val="auto"/>
        </w:rPr>
        <w:t>agreement or arrangement (including any subordination agreement or arrangement) permitted under this Agreement, and any amendment, modification, supplement or joinder with respect thereto, and the Lenders and the Hedge Banks acknowledge that any such intercreditor agreement is binding upon the Lenders and Hedge Banks.</w:t>
      </w:r>
    </w:p>
    <w:p>
      <w:pPr>
        <w:spacing w:after="0" w:line="20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9.12</w:t>
      </w:r>
      <w:r>
        <w:rPr>
          <w:sz w:val="20"/>
          <w:szCs w:val="20"/>
          <w:color w:val="auto"/>
        </w:rPr>
        <w:tab/>
      </w:r>
      <w:r>
        <w:rPr>
          <w:rFonts w:ascii="Arial" w:cs="Arial" w:eastAsia="Arial" w:hAnsi="Arial"/>
          <w:sz w:val="16"/>
          <w:szCs w:val="16"/>
          <w:color w:val="auto"/>
        </w:rPr>
        <w:t>Withholding Tax Indemnity.</w:t>
      </w:r>
    </w:p>
    <w:p>
      <w:pPr>
        <w:spacing w:after="0" w:line="225" w:lineRule="exact"/>
        <w:rPr>
          <w:sz w:val="20"/>
          <w:szCs w:val="20"/>
          <w:color w:val="auto"/>
        </w:rPr>
      </w:pPr>
    </w:p>
    <w:p>
      <w:pPr>
        <w:jc w:val="both"/>
        <w:ind w:right="120" w:firstLine="648"/>
        <w:spacing w:after="0" w:line="241" w:lineRule="auto"/>
        <w:rPr>
          <w:sz w:val="20"/>
          <w:szCs w:val="20"/>
          <w:color w:val="auto"/>
        </w:rPr>
      </w:pPr>
      <w:r>
        <w:rPr>
          <w:rFonts w:ascii="Arial" w:cs="Arial" w:eastAsia="Arial" w:hAnsi="Arial"/>
          <w:sz w:val="16"/>
          <w:szCs w:val="16"/>
          <w:color w:val="auto"/>
        </w:rPr>
        <w:t>To the extent required by any applicable Laws,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reimbursed by the Loan Parties pursuant to Section 3.01 and without limiting or expanding the obligation of the Loan Parties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9.12. The agreements in this Section</w:t>
      </w:r>
    </w:p>
    <w:p>
      <w:pPr>
        <w:spacing w:after="0" w:line="2"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9.12 shall survive the resignation and/or replacement of the Administrative Agent, any assignment of rights by, or the replacement of, a Lender and the repayment, satisfaction or discharge of all other Obligations.</w:t>
      </w:r>
    </w:p>
    <w:p>
      <w:pPr>
        <w:spacing w:after="0" w:line="20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9.13</w:t>
      </w:r>
      <w:r>
        <w:rPr>
          <w:sz w:val="20"/>
          <w:szCs w:val="20"/>
          <w:color w:val="auto"/>
        </w:rPr>
        <w:tab/>
      </w:r>
      <w:r>
        <w:rPr>
          <w:rFonts w:ascii="Arial" w:cs="Arial" w:eastAsia="Arial" w:hAnsi="Arial"/>
          <w:sz w:val="16"/>
          <w:szCs w:val="16"/>
          <w:color w:val="auto"/>
        </w:rPr>
        <w:t>Indemnification by the Lenders.</w:t>
      </w:r>
    </w:p>
    <w:p>
      <w:pPr>
        <w:spacing w:after="0" w:line="225" w:lineRule="exact"/>
        <w:rPr>
          <w:sz w:val="20"/>
          <w:szCs w:val="20"/>
          <w:color w:val="auto"/>
        </w:rPr>
      </w:pPr>
    </w:p>
    <w:p>
      <w:pPr>
        <w:jc w:val="both"/>
        <w:ind w:right="120" w:firstLine="648"/>
        <w:spacing w:after="0" w:line="241" w:lineRule="auto"/>
        <w:rPr>
          <w:sz w:val="20"/>
          <w:szCs w:val="20"/>
          <w:color w:val="auto"/>
        </w:rPr>
      </w:pPr>
      <w:r>
        <w:rPr>
          <w:rFonts w:ascii="Arial" w:cs="Arial" w:eastAsia="Arial" w:hAnsi="Arial"/>
          <w:sz w:val="16"/>
          <w:szCs w:val="16"/>
          <w:color w:val="auto"/>
        </w:rPr>
        <w:t>The Lenders agree to indemnify each Agent (or any Affiliate thereof) (to the extent not reimbursed by the Borrowers or any other Loan Party and without limiting the obligation of the Borrowers to do so), ratably according to their respective Pro Rata Shares in effect on the date on which indemnification is sought under this Section 9.13 from and against any and all liabilities, obligations, losses, damages, penalties, actions, judgments,</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suits, costs, expenses or disbursements of any kind whatsoever which may at any time (including at any time following the payment of the Term Loans) be imposed on, incurred by or asserted against any Agent (or any Affiliate thereof) in any way relating to or arising out of this Agreement, any of the other Loan Documents or the transactions contemplated hereby or thereby or any action taken or omitted by any Agent (or any Affiliate thereof)</w:t>
      </w:r>
    </w:p>
    <w:p>
      <w:pPr>
        <w:spacing w:after="0" w:line="2" w:lineRule="exact"/>
        <w:rPr>
          <w:sz w:val="20"/>
          <w:szCs w:val="20"/>
          <w:color w:val="auto"/>
        </w:rPr>
      </w:pPr>
    </w:p>
    <w:p>
      <w:pPr>
        <w:ind w:right="120"/>
        <w:spacing w:after="0" w:line="211" w:lineRule="auto"/>
        <w:rPr>
          <w:sz w:val="20"/>
          <w:szCs w:val="20"/>
          <w:color w:val="auto"/>
        </w:rPr>
      </w:pPr>
      <w:r>
        <w:rPr>
          <w:rFonts w:ascii="Arial" w:cs="Arial" w:eastAsia="Arial" w:hAnsi="Arial"/>
          <w:sz w:val="18"/>
          <w:szCs w:val="18"/>
          <w:color w:val="auto"/>
        </w:rPr>
        <w:t>under or in connection with any of the foregoing; IN ALL CASES, WHETHER OR NOT CAUSED BY OR ARISING, IN WHOLE OR IN PART, OUT OF COMPARATIVE, CONTRIBUTORY OR SOLE NEGLIGENCE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INDEMNITEE, provided that no Lender shall be liable for the payment of any portion of such liabilities, obligations, losses, damages, penalties, actions, judgments, suits, costs, expenses or disbursements to the extent</w:t>
      </w:r>
    </w:p>
    <w:p>
      <w:pPr>
        <w:sectPr>
          <w:pgSz w:w="11900" w:h="16838" w:orient="portrait"/>
          <w:cols w:equalWidth="0" w:num="1">
            <w:col w:w="11000"/>
          </w:cols>
          <w:pgMar w:left="480" w:top="1440" w:right="419" w:bottom="1440" w:gutter="0" w:footer="0" w:header="0"/>
        </w:sectPr>
      </w:pPr>
    </w:p>
    <w:bookmarkStart w:id="218" w:name="page219"/>
    <w:bookmarkEnd w:id="218"/>
    <w:p>
      <w:pPr>
        <w:spacing w:after="0" w:line="211" w:lineRule="exact"/>
        <w:rPr>
          <w:sz w:val="20"/>
          <w:szCs w:val="20"/>
          <w:color w:val="auto"/>
        </w:rPr>
      </w:pPr>
    </w:p>
    <w:p>
      <w:pPr>
        <w:jc w:val="both"/>
        <w:ind w:right="40"/>
        <w:spacing w:after="0" w:line="237" w:lineRule="auto"/>
        <w:rPr>
          <w:sz w:val="20"/>
          <w:szCs w:val="20"/>
          <w:color w:val="auto"/>
        </w:rPr>
      </w:pPr>
      <w:r>
        <w:rPr>
          <w:rFonts w:ascii="Arial" w:cs="Arial" w:eastAsia="Arial" w:hAnsi="Arial"/>
          <w:sz w:val="17"/>
          <w:szCs w:val="17"/>
          <w:color w:val="auto"/>
        </w:rPr>
        <w:t>arising from (a) such Agent’s gross negligence or willful misconduct or (b) claims made or legal proceedings commenced against such Agent by any security holder or creditor thereof arising out of and based upon rights afforded any such security holder or creditor solely in its capacity as such. The agreements in this Section 9.13 shall survive the payment of the Loans and all other amounts payable hereunder.</w:t>
      </w:r>
    </w:p>
    <w:p>
      <w:pPr>
        <w:spacing w:after="0" w:line="20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9.14</w:t>
      </w:r>
      <w:r>
        <w:rPr>
          <w:sz w:val="20"/>
          <w:szCs w:val="20"/>
          <w:color w:val="auto"/>
        </w:rPr>
        <w:tab/>
      </w:r>
      <w:r>
        <w:rPr>
          <w:rFonts w:ascii="Arial" w:cs="Arial" w:eastAsia="Arial" w:hAnsi="Arial"/>
          <w:sz w:val="16"/>
          <w:szCs w:val="16"/>
          <w:color w:val="auto"/>
        </w:rPr>
        <w:t>Certain ERISA Matters.</w:t>
      </w:r>
    </w:p>
    <w:p>
      <w:pPr>
        <w:spacing w:after="0" w:line="225" w:lineRule="exact"/>
        <w:rPr>
          <w:sz w:val="20"/>
          <w:szCs w:val="20"/>
          <w:color w:val="auto"/>
        </w:rPr>
      </w:pPr>
    </w:p>
    <w:p>
      <w:pPr>
        <w:jc w:val="both"/>
        <w:ind w:right="40" w:firstLine="639"/>
        <w:spacing w:after="0" w:line="224" w:lineRule="auto"/>
        <w:tabs>
          <w:tab w:leader="none" w:pos="115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203" w:lineRule="exact"/>
        <w:rPr>
          <w:rFonts w:ascii="Arial" w:cs="Arial" w:eastAsia="Arial" w:hAnsi="Arial"/>
          <w:sz w:val="18"/>
          <w:szCs w:val="18"/>
          <w:color w:val="auto"/>
        </w:rPr>
      </w:pPr>
    </w:p>
    <w:p>
      <w:pPr>
        <w:ind w:left="1280" w:right="40" w:firstLine="8"/>
        <w:spacing w:after="0" w:line="246" w:lineRule="auto"/>
        <w:tabs>
          <w:tab w:leader="none" w:pos="17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or the Commitments,</w:t>
      </w:r>
    </w:p>
    <w:p>
      <w:pPr>
        <w:spacing w:after="0" w:line="183" w:lineRule="exact"/>
        <w:rPr>
          <w:rFonts w:ascii="Arial" w:cs="Arial" w:eastAsia="Arial" w:hAnsi="Arial"/>
          <w:sz w:val="18"/>
          <w:szCs w:val="18"/>
          <w:color w:val="auto"/>
        </w:rPr>
      </w:pPr>
    </w:p>
    <w:p>
      <w:pPr>
        <w:jc w:val="both"/>
        <w:ind w:left="1280" w:right="40" w:firstLine="8"/>
        <w:spacing w:after="0" w:line="248" w:lineRule="auto"/>
        <w:tabs>
          <w:tab w:leader="none" w:pos="1784"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2" w:lineRule="exact"/>
        <w:rPr>
          <w:rFonts w:ascii="Arial" w:cs="Arial" w:eastAsia="Arial" w:hAnsi="Arial"/>
          <w:sz w:val="16"/>
          <w:szCs w:val="16"/>
          <w:color w:val="auto"/>
        </w:rPr>
      </w:pPr>
    </w:p>
    <w:p>
      <w:pPr>
        <w:jc w:val="both"/>
        <w:ind w:left="1280" w:firstLine="8"/>
        <w:spacing w:after="0" w:line="217" w:lineRule="auto"/>
        <w:tabs>
          <w:tab w:leader="none" w:pos="17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8" w:lineRule="exact"/>
        <w:rPr>
          <w:rFonts w:ascii="Arial" w:cs="Arial" w:eastAsia="Arial" w:hAnsi="Arial"/>
          <w:sz w:val="18"/>
          <w:szCs w:val="18"/>
          <w:color w:val="auto"/>
        </w:rPr>
      </w:pPr>
    </w:p>
    <w:p>
      <w:pPr>
        <w:ind w:left="1280" w:right="40" w:firstLine="8"/>
        <w:spacing w:after="0" w:line="246" w:lineRule="auto"/>
        <w:tabs>
          <w:tab w:leader="none" w:pos="17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83" w:lineRule="exact"/>
        <w:rPr>
          <w:rFonts w:ascii="Arial" w:cs="Arial" w:eastAsia="Arial" w:hAnsi="Arial"/>
          <w:sz w:val="18"/>
          <w:szCs w:val="18"/>
          <w:color w:val="auto"/>
        </w:rPr>
      </w:pPr>
    </w:p>
    <w:p>
      <w:pPr>
        <w:jc w:val="both"/>
        <w:ind w:left="640" w:right="40"/>
        <w:spacing w:after="0" w:line="219" w:lineRule="auto"/>
        <w:tabs>
          <w:tab w:leader="none" w:pos="11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and/or the Arranger and their respective Affiliates, and not, for the avoidance of doubt, to or for the benefit of the Borrowers or any other Loan Party, that:</w:t>
      </w:r>
    </w:p>
    <w:p>
      <w:pPr>
        <w:spacing w:after="0" w:line="189" w:lineRule="exact"/>
        <w:rPr>
          <w:rFonts w:ascii="Arial" w:cs="Arial" w:eastAsia="Arial" w:hAnsi="Arial"/>
          <w:sz w:val="18"/>
          <w:szCs w:val="18"/>
          <w:color w:val="auto"/>
        </w:rPr>
      </w:pPr>
    </w:p>
    <w:p>
      <w:pPr>
        <w:jc w:val="both"/>
        <w:ind w:left="1280" w:right="40" w:firstLine="8"/>
        <w:spacing w:after="0" w:line="229" w:lineRule="auto"/>
        <w:tabs>
          <w:tab w:leader="none" w:pos="17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none of the Administrative Agent and/or the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90" w:lineRule="exact"/>
        <w:rPr>
          <w:rFonts w:ascii="Arial" w:cs="Arial" w:eastAsia="Arial" w:hAnsi="Arial"/>
          <w:sz w:val="18"/>
          <w:szCs w:val="18"/>
          <w:color w:val="auto"/>
        </w:rPr>
      </w:pPr>
    </w:p>
    <w:p>
      <w:pPr>
        <w:jc w:val="both"/>
        <w:ind w:left="1280" w:right="40" w:firstLine="8"/>
        <w:spacing w:after="0" w:line="229" w:lineRule="auto"/>
        <w:tabs>
          <w:tab w:leader="none" w:pos="17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independent (within the meaning of 29 CFR § 2510.3-21) and is a bank, an</w:t>
      </w:r>
    </w:p>
    <w:p>
      <w:pPr>
        <w:sectPr>
          <w:pgSz w:w="11900" w:h="16838" w:orient="portrait"/>
          <w:cols w:equalWidth="0" w:num="1">
            <w:col w:w="10920"/>
          </w:cols>
          <w:pgMar w:left="480" w:top="1440" w:right="499" w:bottom="1440" w:gutter="0" w:footer="0" w:header="0"/>
        </w:sectPr>
      </w:pPr>
    </w:p>
    <w:bookmarkStart w:id="219" w:name="page220"/>
    <w:bookmarkEnd w:id="219"/>
    <w:p>
      <w:pPr>
        <w:spacing w:after="0" w:line="211" w:lineRule="exact"/>
        <w:rPr>
          <w:sz w:val="20"/>
          <w:szCs w:val="20"/>
          <w:color w:val="auto"/>
        </w:rPr>
      </w:pPr>
    </w:p>
    <w:p>
      <w:pPr>
        <w:ind w:left="1280" w:right="40"/>
        <w:spacing w:after="0" w:line="235" w:lineRule="auto"/>
        <w:rPr>
          <w:sz w:val="20"/>
          <w:szCs w:val="20"/>
          <w:color w:val="auto"/>
        </w:rPr>
      </w:pPr>
      <w:r>
        <w:rPr>
          <w:rFonts w:ascii="Arial" w:cs="Arial" w:eastAsia="Arial" w:hAnsi="Arial"/>
          <w:sz w:val="18"/>
          <w:szCs w:val="18"/>
          <w:color w:val="auto"/>
        </w:rPr>
        <w:t>insurance carrier, an investment adviser, a broker-dealer or other person that holds, or has under management or control, total assets of at least $50 million, in each case as described in 29 CFR § 2510.3-21(c)(1)(i)(A)-(E),</w:t>
      </w:r>
    </w:p>
    <w:p>
      <w:pPr>
        <w:spacing w:after="0" w:line="189" w:lineRule="exact"/>
        <w:rPr>
          <w:sz w:val="20"/>
          <w:szCs w:val="20"/>
          <w:color w:val="auto"/>
        </w:rPr>
      </w:pPr>
    </w:p>
    <w:p>
      <w:pPr>
        <w:jc w:val="both"/>
        <w:ind w:left="1280" w:right="40" w:firstLine="8"/>
        <w:spacing w:after="0" w:line="223" w:lineRule="auto"/>
        <w:tabs>
          <w:tab w:leader="none" w:pos="178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202" w:lineRule="exact"/>
        <w:rPr>
          <w:rFonts w:ascii="Arial" w:cs="Arial" w:eastAsia="Arial" w:hAnsi="Arial"/>
          <w:sz w:val="18"/>
          <w:szCs w:val="18"/>
          <w:color w:val="auto"/>
        </w:rPr>
      </w:pPr>
    </w:p>
    <w:p>
      <w:pPr>
        <w:jc w:val="both"/>
        <w:ind w:left="1280" w:right="20" w:firstLine="8"/>
        <w:spacing w:after="0" w:line="223" w:lineRule="auto"/>
        <w:tabs>
          <w:tab w:leader="none" w:pos="178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9" w:lineRule="exact"/>
        <w:rPr>
          <w:rFonts w:ascii="Arial" w:cs="Arial" w:eastAsia="Arial" w:hAnsi="Arial"/>
          <w:sz w:val="18"/>
          <w:szCs w:val="18"/>
          <w:color w:val="auto"/>
        </w:rPr>
      </w:pPr>
    </w:p>
    <w:p>
      <w:pPr>
        <w:ind w:left="1280" w:right="40" w:firstLine="8"/>
        <w:spacing w:after="0" w:line="289" w:lineRule="auto"/>
        <w:tabs>
          <w:tab w:leader="none" w:pos="1784"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the Administrative Agent and/or the Arranger or any of their respective Affiliates for investment advice (as opposed to other services) in connection with the Loans, the Commitments or this Agreement.</w:t>
      </w:r>
    </w:p>
    <w:p>
      <w:pPr>
        <w:spacing w:after="0" w:line="164" w:lineRule="exact"/>
        <w:rPr>
          <w:rFonts w:ascii="Arial" w:cs="Arial" w:eastAsia="Arial" w:hAnsi="Arial"/>
          <w:sz w:val="16"/>
          <w:szCs w:val="16"/>
          <w:color w:val="auto"/>
        </w:rPr>
      </w:pPr>
    </w:p>
    <w:p>
      <w:pPr>
        <w:jc w:val="both"/>
        <w:ind w:left="640"/>
        <w:spacing w:after="0" w:line="214" w:lineRule="auto"/>
        <w:tabs>
          <w:tab w:leader="none" w:pos="11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Administrative Agent and/or the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010000"/>
        </w:rPr>
        <w:t>Section 9.15</w:t>
      </w:r>
      <w:r>
        <w:rPr>
          <w:sz w:val="20"/>
          <w:szCs w:val="20"/>
          <w:color w:val="auto"/>
        </w:rPr>
        <w:tab/>
      </w:r>
      <w:r>
        <w:rPr>
          <w:rFonts w:ascii="Arial" w:cs="Arial" w:eastAsia="Arial" w:hAnsi="Arial"/>
          <w:sz w:val="15"/>
          <w:szCs w:val="15"/>
          <w:color w:val="auto"/>
        </w:rPr>
        <w:t>Erroneous Payments.</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Without limitation of any other provision in this Agreement, if at any time the Administrative Agent makes a payment hereunder in error to any Lender (the “</w:t>
      </w:r>
      <w:r>
        <w:rPr>
          <w:rFonts w:ascii="Arial" w:cs="Arial" w:eastAsia="Arial" w:hAnsi="Arial"/>
          <w:sz w:val="16"/>
          <w:szCs w:val="16"/>
          <w:b w:val="1"/>
          <w:bCs w:val="1"/>
          <w:color w:val="auto"/>
        </w:rPr>
        <w:t>Credit Party</w:t>
      </w:r>
      <w:r>
        <w:rPr>
          <w:rFonts w:ascii="Arial" w:cs="Arial" w:eastAsia="Arial" w:hAnsi="Arial"/>
          <w:sz w:val="16"/>
          <w:szCs w:val="16"/>
          <w:color w:val="auto"/>
        </w:rPr>
        <w:t>”), whether or not in respect of an Obligation due and owing by the Borrower at such time, where such payment is a</w:t>
      </w:r>
    </w:p>
    <w:p>
      <w:pPr>
        <w:jc w:val="both"/>
        <w:ind w:right="20"/>
        <w:spacing w:after="0" w:line="234" w:lineRule="auto"/>
        <w:rPr>
          <w:sz w:val="20"/>
          <w:szCs w:val="20"/>
          <w:color w:val="auto"/>
        </w:rPr>
      </w:pPr>
      <w:r>
        <w:rPr>
          <w:rFonts w:ascii="Arial" w:cs="Arial" w:eastAsia="Arial" w:hAnsi="Arial"/>
          <w:sz w:val="16"/>
          <w:szCs w:val="16"/>
          <w:color w:val="auto"/>
        </w:rPr>
        <w:t>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obligation to return any Rescindable Amount. The Administrative Agent shall inform each Credit Party promptly upon determining that any payment made to such Credit Party comprised, in whole or in part, a Rescindable Amount.</w:t>
      </w:r>
    </w:p>
    <w:p>
      <w:pPr>
        <w:sectPr>
          <w:pgSz w:w="11900" w:h="16838" w:orient="portrait"/>
          <w:cols w:equalWidth="0" w:num="1">
            <w:col w:w="10920"/>
          </w:cols>
          <w:pgMar w:left="480" w:top="1440" w:right="499" w:bottom="1440" w:gutter="0" w:footer="0" w:header="0"/>
        </w:sectPr>
      </w:pPr>
    </w:p>
    <w:bookmarkStart w:id="220" w:name="page221"/>
    <w:bookmarkEnd w:id="220"/>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X. </w:t>
      </w:r>
      <w:r>
        <w:rPr>
          <w:rFonts w:ascii="Arial" w:cs="Arial" w:eastAsia="Arial" w:hAnsi="Arial"/>
          <w:sz w:val="18"/>
          <w:szCs w:val="18"/>
          <w:b w:val="1"/>
          <w:bCs w:val="1"/>
          <w:u w:val="single" w:color="auto"/>
          <w:color w:val="000000"/>
        </w:rPr>
        <w:t>MISCELLANEOUS</w:t>
      </w:r>
    </w:p>
    <w:p>
      <w:pPr>
        <w:spacing w:after="0" w:line="29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10.01</w:t>
      </w:r>
      <w:r>
        <w:rPr>
          <w:sz w:val="20"/>
          <w:szCs w:val="20"/>
          <w:color w:val="auto"/>
        </w:rPr>
        <w:tab/>
      </w:r>
      <w:r>
        <w:rPr>
          <w:rFonts w:ascii="Arial" w:cs="Arial" w:eastAsia="Arial" w:hAnsi="Arial"/>
          <w:sz w:val="16"/>
          <w:szCs w:val="16"/>
          <w:color w:val="auto"/>
        </w:rPr>
        <w:t>Amendments, Etc.</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Except as otherwise set forth in this Agreement, no amendment or waiver of any provision of this Agreement or any other Loan Document, and no consent to any departure by any Loan Party therefrom, shall be effective unless in writing signed by the Required Lenders (other than with</w:t>
      </w:r>
    </w:p>
    <w:p>
      <w:pPr>
        <w:jc w:val="both"/>
        <w:ind w:right="20"/>
        <w:spacing w:after="0" w:line="234" w:lineRule="auto"/>
        <w:rPr>
          <w:sz w:val="20"/>
          <w:szCs w:val="20"/>
          <w:color w:val="auto"/>
        </w:rPr>
      </w:pPr>
      <w:r>
        <w:rPr>
          <w:rFonts w:ascii="Arial" w:cs="Arial" w:eastAsia="Arial" w:hAnsi="Arial"/>
          <w:sz w:val="16"/>
          <w:szCs w:val="16"/>
          <w:color w:val="auto"/>
        </w:rPr>
        <w:t>respect to any amendment or waiver contemplated in clauses (a) through (j) which shall only require the consent of the Lenders expressly set forth therein and not Required Lenders (unless specified therein)) (or by the Administrative Agent with the consent of the Required Lenders) and the Borrowers, the applicable Loan Party, as the case may be, and each such waiver or consent shall be effective only in the specific instance and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specific purpose for which given;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waiver or consent shall:</w:t>
      </w:r>
    </w:p>
    <w:p>
      <w:pPr>
        <w:spacing w:after="0" w:line="196" w:lineRule="exact"/>
        <w:rPr>
          <w:sz w:val="20"/>
          <w:szCs w:val="20"/>
          <w:color w:val="auto"/>
        </w:rPr>
      </w:pPr>
    </w:p>
    <w:p>
      <w:pPr>
        <w:jc w:val="both"/>
        <w:ind w:left="640" w:firstLine="648"/>
        <w:spacing w:after="0" w:line="236" w:lineRule="auto"/>
        <w:tabs>
          <w:tab w:leader="none" w:pos="179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extend or increase the Commitment of any Lender without the written consent of such Lender (it being understood that a waiver of (or amendment to the terms of) any condition precedent set forth in Section 4.02, the waiver of any obligation of the Borrowers to pay interest at the Default Rate or the waiver of any Default, Event of Default, mandatory prepayment of the Loans or mandatory reduction of any Commitments shall not constitute such an extension or increase of any Commitment of any Lender);</w:t>
      </w:r>
    </w:p>
    <w:p>
      <w:pPr>
        <w:spacing w:after="0" w:line="189" w:lineRule="exact"/>
        <w:rPr>
          <w:rFonts w:ascii="Arial" w:cs="Arial" w:eastAsia="Arial" w:hAnsi="Arial"/>
          <w:sz w:val="17"/>
          <w:szCs w:val="17"/>
          <w:color w:val="auto"/>
        </w:rPr>
      </w:pPr>
    </w:p>
    <w:p>
      <w:pPr>
        <w:jc w:val="both"/>
        <w:ind w:left="640" w:right="20" w:firstLine="648"/>
        <w:spacing w:after="0" w:line="245" w:lineRule="auto"/>
        <w:tabs>
          <w:tab w:leader="none" w:pos="179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otherwise expressly provided for hereunder, including without limitation pursuant to a Refinancing Amendment or an Extension Amendment, postpone any date scheduled for any payment of principal (including at final maturity), interest or fees under Section 2.07, 2.08 (other than pursuant to Section 2.08(b)) or 2.09, without the written consent of each Lender directly and adversely affected thereby, it being understood that the waiver of (or amendment to the terms of) any obligation of the Borrowers to pay interest at the Default Rate, any Default or Event of Default, any condition precedent, mandatory prepayment of the Loans or mandatory reduction of Commitments shall not constitute such a postponement of any date scheduled for the payment of principal or interest and it further being understood that any change to the definition of “First Lien Net Leverage Ratio,” or any other ratio used as a basis to calculate the amount of any principal or interest payment or in the component definitions thereof shall not constitute a postponement of such scheduled payment;</w:t>
      </w:r>
    </w:p>
    <w:p>
      <w:pPr>
        <w:spacing w:after="0" w:line="184" w:lineRule="exact"/>
        <w:rPr>
          <w:rFonts w:ascii="Arial" w:cs="Arial" w:eastAsia="Arial" w:hAnsi="Arial"/>
          <w:sz w:val="16"/>
          <w:szCs w:val="16"/>
          <w:color w:val="auto"/>
        </w:rPr>
      </w:pPr>
    </w:p>
    <w:p>
      <w:pPr>
        <w:jc w:val="both"/>
        <w:ind w:left="640" w:right="40" w:firstLine="648"/>
        <w:spacing w:after="0" w:line="217" w:lineRule="auto"/>
        <w:tabs>
          <w:tab w:leader="none" w:pos="179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reduce or forgive the principal of, or the rate of interest specified herein on, any Loan, or (subject to clause (i) of the second proviso to this Section 10.01) any fees payable hereunder or under any other Loan Document (or extend the timing of payments of such fees) without the written consent of each Lender directly and adversely affected thereby, it being understood that any change to the definition of “First Lien Net Leverage Ratio” or any other ratio used as a basis to calculate the amount of any principal or interest payment or fee or other amount or in the component definitions thereof shall not constitute a reduction in any rate of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only the consent of the Required Lenders shall be necessary to amend the definition of “Default Rate” or waive any obligation of the Borrowers to pay interest at the Default Rate;</w:t>
      </w:r>
    </w:p>
    <w:p>
      <w:pPr>
        <w:spacing w:after="0" w:line="201" w:lineRule="exact"/>
        <w:rPr>
          <w:rFonts w:ascii="Arial" w:cs="Arial" w:eastAsia="Arial" w:hAnsi="Arial"/>
          <w:sz w:val="18"/>
          <w:szCs w:val="18"/>
          <w:color w:val="auto"/>
        </w:rPr>
      </w:pPr>
    </w:p>
    <w:p>
      <w:pPr>
        <w:jc w:val="both"/>
        <w:ind w:left="640" w:right="40" w:firstLine="648"/>
        <w:spacing w:after="0" w:line="229" w:lineRule="auto"/>
        <w:tabs>
          <w:tab w:leader="none" w:pos="179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change any provision of this Section 10.01 or the definition of “Required Lenders,” “Required Class Lenders,” or any other provision specifying the number of Lenders or portion of the Loans or Commitments required to take any action under the Loan Documents to reduce the percentage set forth therein, without the written consent of each Lender directly and adversely affected thereby (it being understood that with the consent of the Required Lenders (if such consent is otherwise required) or the Administrative Agent (if the consent of the Required Lenders is not otherwise required), additional extensions of credit pursuant to this Agreement may be included in the determination of the Required Lenders on substantially the same basis as the Term Commitments);</w:t>
      </w:r>
    </w:p>
    <w:p>
      <w:pPr>
        <w:sectPr>
          <w:pgSz w:w="11900" w:h="16838" w:orient="portrait"/>
          <w:cols w:equalWidth="0" w:num="1">
            <w:col w:w="10920"/>
          </w:cols>
          <w:pgMar w:left="480" w:top="1440" w:right="499" w:bottom="1440" w:gutter="0" w:footer="0" w:header="0"/>
        </w:sectPr>
      </w:pPr>
    </w:p>
    <w:bookmarkStart w:id="221" w:name="page222"/>
    <w:bookmarkEnd w:id="221"/>
    <w:p>
      <w:pPr>
        <w:spacing w:after="0" w:line="211" w:lineRule="exact"/>
        <w:rPr>
          <w:sz w:val="20"/>
          <w:szCs w:val="20"/>
          <w:color w:val="auto"/>
        </w:rPr>
      </w:pPr>
    </w:p>
    <w:p>
      <w:pPr>
        <w:ind w:left="649" w:right="40" w:firstLine="648"/>
        <w:spacing w:after="0" w:line="235" w:lineRule="auto"/>
        <w:tabs>
          <w:tab w:leader="none" w:pos="180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other than in connection with a transaction permitted under Section 7.04 or Section 7.05, release all or substantially all of the Collateral in any transaction or series of related transactions, without the written consent of each Lender;</w:t>
      </w:r>
    </w:p>
    <w:p>
      <w:pPr>
        <w:spacing w:after="0" w:line="188" w:lineRule="exact"/>
        <w:rPr>
          <w:rFonts w:ascii="Arial" w:cs="Arial" w:eastAsia="Arial" w:hAnsi="Arial"/>
          <w:sz w:val="18"/>
          <w:szCs w:val="18"/>
          <w:color w:val="auto"/>
        </w:rPr>
      </w:pPr>
    </w:p>
    <w:p>
      <w:pPr>
        <w:ind w:left="649" w:right="40" w:firstLine="648"/>
        <w:spacing w:after="0" w:line="246" w:lineRule="auto"/>
        <w:tabs>
          <w:tab w:leader="none" w:pos="180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other than in connection with a transaction permitted under Section 7.04 or Section 7.05, release all or substantially all of the aggregate value of the Guarantees, without the written consent of each Lender;</w:t>
      </w:r>
    </w:p>
    <w:p>
      <w:pPr>
        <w:spacing w:after="0" w:line="183" w:lineRule="exact"/>
        <w:rPr>
          <w:rFonts w:ascii="Arial" w:cs="Arial" w:eastAsia="Arial" w:hAnsi="Arial"/>
          <w:sz w:val="18"/>
          <w:szCs w:val="18"/>
          <w:color w:val="auto"/>
        </w:rPr>
      </w:pPr>
    </w:p>
    <w:p>
      <w:pPr>
        <w:jc w:val="both"/>
        <w:ind w:left="649" w:firstLine="648"/>
        <w:spacing w:after="0" w:line="232" w:lineRule="auto"/>
        <w:tabs>
          <w:tab w:leader="none" w:pos="1801" w:val="left"/>
        </w:tabs>
        <w:numPr>
          <w:ilvl w:val="1"/>
          <w:numId w:val="292"/>
        </w:numPr>
        <w:rPr>
          <w:rFonts w:ascii="Arial" w:cs="Arial" w:eastAsia="Arial" w:hAnsi="Arial"/>
          <w:sz w:val="17"/>
          <w:szCs w:val="17"/>
          <w:color w:val="auto"/>
        </w:rPr>
      </w:pPr>
      <w:r>
        <w:rPr>
          <w:rFonts w:ascii="Arial" w:cs="Arial" w:eastAsia="Arial" w:hAnsi="Arial"/>
          <w:sz w:val="17"/>
          <w:szCs w:val="17"/>
          <w:color w:val="auto"/>
        </w:rPr>
        <w:t>contractually subordinate the Liens on all or substantially all of the Collateral securing the First Lien Obligations to any other indebtedness (except in the case of (x) any indebtedness that is permitted by this Agreement as in effect on the Closing Date to rank senior to the First Lien Obligations, (y) any “debtor in-possession” facility (or similar facility under applicable law) or (z) any other indebtedness (including to the extent exchanged for, or utilized to refinance, Term B Loans) so long as each affected Lender was offered the opportunity to participate in such indebtedness on a ratable basis), without the written consent of each Lender;</w:t>
      </w:r>
    </w:p>
    <w:p>
      <w:pPr>
        <w:spacing w:after="0" w:line="202" w:lineRule="exact"/>
        <w:rPr>
          <w:rFonts w:ascii="Arial" w:cs="Arial" w:eastAsia="Arial" w:hAnsi="Arial"/>
          <w:sz w:val="17"/>
          <w:szCs w:val="17"/>
          <w:color w:val="auto"/>
        </w:rPr>
      </w:pPr>
    </w:p>
    <w:p>
      <w:pPr>
        <w:jc w:val="both"/>
        <w:ind w:left="649" w:right="40" w:firstLine="647"/>
        <w:spacing w:after="0" w:line="223" w:lineRule="auto"/>
        <w:tabs>
          <w:tab w:leader="none" w:pos="180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 xml:space="preserve">amend, waive or otherwise modify any term or provision (including the availability and conditions to funding under Section 2.14 with respect to Incremental Term Commitments and Incremental Revolving Credit Commitments which directly affects Lenders of one or more Incremental Term Commitments and Incremental Revolving Credit Commitments (solely to the extent prior to (x) the funding of any such Incremental Term Commitments or (y) the effectiveness of any Incremental Revolving Credit Commitments) and does not directly affect Lenders under any other Class, in each case, without the written consent of the Required Class Lenders under such applicable Incremental Term Commitments or Incremental Revolving Credit Commitments (and in the case of multiple Classes which are affected, such Required Class Lenders shall consent together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waivers described in this clause (h) shall not require the consent of any Lenders other than (x) the Required Class Lenders under such applicable Incremental Term Commitments or Incremental Revolving Credit Commitments and</w:t>
      </w:r>
    </w:p>
    <w:p>
      <w:pPr>
        <w:spacing w:after="0" w:line="1" w:lineRule="exact"/>
        <w:rPr>
          <w:rFonts w:ascii="Arial" w:cs="Arial" w:eastAsia="Arial" w:hAnsi="Arial"/>
          <w:sz w:val="17"/>
          <w:szCs w:val="17"/>
          <w:color w:val="auto"/>
        </w:rPr>
      </w:pPr>
    </w:p>
    <w:p>
      <w:pPr>
        <w:jc w:val="both"/>
        <w:ind w:left="649" w:right="40"/>
        <w:spacing w:after="0" w:line="257" w:lineRule="auto"/>
        <w:tabs>
          <w:tab w:leader="none" w:pos="90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the case of any waiver that otherwise would be subject to clause (a), (b), (c), (d), (e) or (f) above or clause (j) below, each Lender, each directly affected Lender or each directly and adversely affected Lender (as specified in clause (a), (b), (c), (d), (e) or (f) above or clause (j) below) under the applicable Class or Classes of Incremental Term Loans (including Loans extended under such Commitments);</w:t>
      </w:r>
    </w:p>
    <w:p>
      <w:pPr>
        <w:spacing w:after="0" w:line="175" w:lineRule="exact"/>
        <w:rPr>
          <w:rFonts w:ascii="Arial" w:cs="Arial" w:eastAsia="Arial" w:hAnsi="Arial"/>
          <w:sz w:val="16"/>
          <w:szCs w:val="16"/>
          <w:color w:val="auto"/>
        </w:rPr>
      </w:pPr>
    </w:p>
    <w:p>
      <w:pPr>
        <w:ind w:left="1949" w:hanging="652"/>
        <w:spacing w:after="0"/>
        <w:tabs>
          <w:tab w:leader="none" w:pos="1949"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jc w:val="both"/>
        <w:ind w:left="649" w:right="40" w:firstLine="648"/>
        <w:spacing w:after="0" w:line="216" w:lineRule="auto"/>
        <w:tabs>
          <w:tab w:leader="none" w:pos="180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amend, waive or otherwise modify the definition of “Pro Rata Share” or any provision requiring pro rata sharing amongst Lenders without the consent of each Lender directly and adversely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modifications to Section 8.03 or the definition of “Pro Rata Share” to the extent necessary in connection with (w) any buy back of Term Loans by the Parent Borrower pursuant to Section 2.05(a)(v) or Section 10.07(l), (x) any Refinancing Amendment or amendment in respect of Replacement Term Loans, (y) any Incremental Amendment or (z) any Extension Amendment, in each case, shall only require approval (to the extent any such approval is otherwise required) of the Required Lenders;</w:t>
      </w:r>
    </w:p>
    <w:p>
      <w:pPr>
        <w:spacing w:after="0" w:line="205" w:lineRule="exact"/>
        <w:rPr>
          <w:sz w:val="20"/>
          <w:szCs w:val="20"/>
          <w:color w:val="auto"/>
        </w:rPr>
      </w:pPr>
    </w:p>
    <w:p>
      <w:pPr>
        <w:jc w:val="both"/>
        <w:ind w:left="9" w:right="40"/>
        <w:spacing w:after="0" w:line="24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 no amendment, waiver or consent shall, unless in writing and signed by the Administrative Agent in addition to the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above, directly and adversely affect the rights or duties of, or any fees or other amounts payable to, the Administrative Agent under this</w:t>
      </w:r>
    </w:p>
    <w:p>
      <w:pPr>
        <w:jc w:val="both"/>
        <w:ind w:left="9" w:right="40"/>
        <w:spacing w:after="0" w:line="234" w:lineRule="auto"/>
        <w:rPr>
          <w:sz w:val="20"/>
          <w:szCs w:val="20"/>
          <w:color w:val="auto"/>
        </w:rPr>
      </w:pPr>
      <w:r>
        <w:rPr>
          <w:rFonts w:ascii="Arial" w:cs="Arial" w:eastAsia="Arial" w:hAnsi="Arial"/>
          <w:sz w:val="16"/>
          <w:szCs w:val="16"/>
          <w:color w:val="auto"/>
        </w:rPr>
        <w:t>Agreement or any other Loan Document, (ii) Section 10.07(h) may not be amended, waived or otherwise modified without the consent of each Granting Lender all or any part of whose Loans are being funded by an SPC at the time of such amendment, waiver or other modification and (iii) (x) no Lender consent is required to effect an Incremental Amendment, Refinancing Amendment or Extension Amendment (except as expressly provided</w:t>
      </w:r>
    </w:p>
    <w:p>
      <w:pPr>
        <w:ind w:left="9"/>
        <w:spacing w:after="0" w:line="23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in the following </w:t>
      </w:r>
      <w:r>
        <w:rPr>
          <w:rFonts w:ascii="Arial" w:cs="Arial" w:eastAsia="Arial" w:hAnsi="Arial"/>
          <w:sz w:val="16"/>
          <w:szCs w:val="16"/>
          <w:u w:val="single" w:color="auto"/>
          <w:color w:val="auto"/>
        </w:rPr>
        <w:t>clause (y) or (z), as applicable</w:t>
      </w:r>
      <w:r>
        <w:rPr>
          <w:rFonts w:ascii="Arial" w:cs="Arial" w:eastAsia="Arial" w:hAnsi="Arial"/>
          <w:sz w:val="16"/>
          <w:szCs w:val="16"/>
          <w:color w:val="auto"/>
        </w:rPr>
        <w:t xml:space="preserve">) or to effect any amendment expressly contemplated by </w:t>
      </w:r>
      <w:r>
        <w:rPr>
          <w:rFonts w:ascii="Arial" w:cs="Arial" w:eastAsia="Arial" w:hAnsi="Arial"/>
          <w:sz w:val="16"/>
          <w:szCs w:val="16"/>
          <w:u w:val="single" w:color="auto"/>
          <w:color w:val="auto"/>
        </w:rPr>
        <w:t>Section 6.19</w:t>
      </w:r>
      <w:r>
        <w:rPr>
          <w:rFonts w:ascii="Arial" w:cs="Arial" w:eastAsia="Arial" w:hAnsi="Arial"/>
          <w:sz w:val="16"/>
          <w:szCs w:val="16"/>
          <w:color w:val="auto"/>
        </w:rPr>
        <w:t>,</w:t>
      </w:r>
    </w:p>
    <w:p>
      <w:pPr>
        <w:jc w:val="both"/>
        <w:ind w:left="9" w:right="40" w:hanging="9"/>
        <w:spacing w:after="0" w:line="218" w:lineRule="auto"/>
        <w:tabs>
          <w:tab w:leader="none" w:pos="26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connection with an amendment that addresses solely a re-pricing transaction in which any Class of Term Loans is refinanced with a replacement Class of term loans bearing (or is modified in such a manner such that the resulting term loans bear) a lower All-In Yield (which may include other customary technical amendments related thereto, including providing that such replacement term loans may have a prepayment premium in connection therewith) (a</w:t>
      </w:r>
    </w:p>
    <w:p>
      <w:pPr>
        <w:sectPr>
          <w:pgSz w:w="11900" w:h="16838" w:orient="portrait"/>
          <w:cols w:equalWidth="0" w:num="1">
            <w:col w:w="10929"/>
          </w:cols>
          <w:pgMar w:left="471" w:top="1440" w:right="499" w:bottom="1440" w:gutter="0" w:footer="0" w:header="0"/>
        </w:sectPr>
      </w:pPr>
    </w:p>
    <w:bookmarkStart w:id="222" w:name="page223"/>
    <w:bookmarkEnd w:id="222"/>
    <w:p>
      <w:pPr>
        <w:spacing w:after="0" w:line="207"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Repricing Amendment</w:t>
      </w:r>
      <w:r>
        <w:rPr>
          <w:rFonts w:ascii="Arial" w:cs="Arial" w:eastAsia="Arial" w:hAnsi="Arial"/>
          <w:sz w:val="16"/>
          <w:szCs w:val="16"/>
          <w:color w:val="auto"/>
        </w:rPr>
        <w:t>”), only the consent of the Lenders holding Term Loans subject to such permitted repricing transaction that will continue as a Lender in respect of the repriced tranche of Term Loans or modified Term Loans shall be required for such Permitted Repricing Amendment, and (z) in connection with an Extension Amendment, only the consent of the Lenders that will continue as a Lender in respect of the</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Extended Term Loans or Extended Revolving Credit Commitments, as applicable, subject to such Extension Amendment shall be required for such Extension Amendment.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to the contrary herein, no Defaulting Lender shall have any right to approve or disapprove any amendment, waiver</w:t>
      </w:r>
    </w:p>
    <w:p>
      <w:pPr>
        <w:spacing w:after="0" w:line="2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or consent hereunder (and any amendment, waiver or consent which by its terms requires the consent of all Lenders or each affected Lender may be effected with the consent of the applicable Lenders other than Defaulting Lenders (it being understood that any Commitments or Loans held or deemed held by any Defaulting Lender shall be excluded for a vote of the Lenders hereunder requiring any consent of the Required Lenders or</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Required Class Lenders)), except that (x) the Commitment of any such Defaulting Lender may not be increased or extended, the rate of interest on any Loans of any Defaulting Lender may not be reduced and the principal amount of any of such Loans may not be forgiven, in each case without the consent of such Lender and (y) any waiver, amendment or modification requiring the consent of all Lenders or each directly and adversely affected</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Lender that by its terms materially and adversely affects any Defaulting Lender to a greater extent than other affected Lenders (or, if there are no such affected Lenders (other than such affected Lenders which are Defaulting Lenders), Lenders of the same Class) shall require the consent of such Defaulting Lender.</w:t>
      </w:r>
    </w:p>
    <w:p>
      <w:pPr>
        <w:spacing w:after="0" w:line="20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Notwithstanding anything to the contrary herein, no Lender consent is required for the Administrative Agent to enter into or to effect any amendment, modification or supplement to any ABL Intercreditor Agreement, any First Lien Intercreditor Agreement, any Second Lien Intercreditor Agreement, any subordination agreement or other intercreditor agreement or arrangement permitted under this Agreement or in any document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pertaining to any Indebtedness permitted hereby that is permitted to be secured by the Collateral, including any Incremental Loans, any Incremental Equivalent Debt, any Permitted Pari Passu Secured Refinancing Debt or any Permitted Junior Secured Refinancing Debt (i) that is for the purpose of adding the holders of such secured or subordinated Indebtedness permitted to be incurred under this Agreement (or, in each case, a Senior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Representative with respect thereto), as parties thereto, as expressly contemplated by the terms of such ABL Intercreditor Agreement, First Lien Intercreditor Agreement, such Second Lien Intercreditor Agreement, such subordination agreement or such other intercreditor agreement or arrangement permitted under this Agreement, as applicable (it being understood that any such amendment or supplement may make such other changes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to the applicable intercreditor agreement as, in the good faith determination of the Administrative Agent, are required to effectuate the foregoing and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other changes are not adverse, in any material respect (taken as a whole), to the interests of the Lenders) or (ii) that is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any ABL Intercreditor Agreement, any First Lien Intercreditor Agreement, the Second Lien Intercreditor Agreement,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subordination agreement or other intercreditor agreement or arrangement permitted under this Agreement or in any document pertaining to any Indebtedness permitted hereby that is permitted to be secured by the Collateral, including any Incremental Loans, any Incremental Equivalent Debt, any Permitted Pari Passu Secured Refinancing Debt or any Permitted Junior Secured Refinancing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agreement shall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directly and adversely amend, modify or otherwise affect the rights or duties of the Administrative Agent hereunder or under any other Loan Document without the prior written consent of the Administrative Agent.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Notwithstanding anything to the contrary herein, this Agreement may be amended (or amended and restated) with the written consent of the Required Lenders, the Administrative Agent and the Borrowers (a) to add one or more additional credit facilities to this Agreement and to permit the</w:t>
      </w:r>
    </w:p>
    <w:p>
      <w:pPr>
        <w:jc w:val="both"/>
        <w:spacing w:after="0" w:line="231" w:lineRule="auto"/>
        <w:rPr>
          <w:sz w:val="20"/>
          <w:szCs w:val="20"/>
          <w:color w:val="auto"/>
        </w:rPr>
      </w:pPr>
      <w:r>
        <w:rPr>
          <w:rFonts w:ascii="Arial" w:cs="Arial" w:eastAsia="Arial" w:hAnsi="Arial"/>
          <w:sz w:val="17"/>
          <w:szCs w:val="17"/>
          <w:color w:val="auto"/>
        </w:rPr>
        <w:t>extensions of credit from time to time outstanding thereunder and the accrued interest and fees in respect thereof to share ratably in the benefits of this Agreement and the other Loan Documents with the Term Loans and Revolving Credit Loans and the accrued interest and fees in respect thereof and (b) to include appropriately the Lenders holding such credit facilities in any determination of the Required Lenders.</w:t>
      </w:r>
    </w:p>
    <w:p>
      <w:pPr>
        <w:spacing w:after="0" w:line="203"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In addition, notwithstanding the foregoing, this Agreement may be amended with the written consent of the Administrative Agent, the Borrowers and the Lenders providing the Replacement Term Loans (as defined below) to permit the refinancing of all or a portion of the outstanding Term Loans of any Class (“</w:t>
      </w:r>
      <w:r>
        <w:rPr>
          <w:rFonts w:ascii="Arial" w:cs="Arial" w:eastAsia="Arial" w:hAnsi="Arial"/>
          <w:sz w:val="18"/>
          <w:szCs w:val="18"/>
          <w:b w:val="1"/>
          <w:bCs w:val="1"/>
          <w:color w:val="auto"/>
        </w:rPr>
        <w:t>Replaced Term Loans</w:t>
      </w:r>
      <w:r>
        <w:rPr>
          <w:rFonts w:ascii="Arial" w:cs="Arial" w:eastAsia="Arial" w:hAnsi="Arial"/>
          <w:sz w:val="18"/>
          <w:szCs w:val="18"/>
          <w:color w:val="auto"/>
        </w:rPr>
        <w:t>”)</w:t>
      </w:r>
    </w:p>
    <w:p>
      <w:pPr>
        <w:sectPr>
          <w:pgSz w:w="11900" w:h="16838" w:orient="portrait"/>
          <w:cols w:equalWidth="0" w:num="1">
            <w:col w:w="10920"/>
          </w:cols>
          <w:pgMar w:left="480" w:top="1440" w:right="499" w:bottom="1440" w:gutter="0" w:footer="0" w:header="0"/>
        </w:sectPr>
      </w:pPr>
    </w:p>
    <w:bookmarkStart w:id="223" w:name="page224"/>
    <w:bookmarkEnd w:id="223"/>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with one or more tranches of replacement term loans (“</w:t>
      </w:r>
      <w:r>
        <w:rPr>
          <w:rFonts w:ascii="Arial" w:cs="Arial" w:eastAsia="Arial" w:hAnsi="Arial"/>
          <w:sz w:val="16"/>
          <w:szCs w:val="16"/>
          <w:b w:val="1"/>
          <w:bCs w:val="1"/>
          <w:color w:val="auto"/>
        </w:rPr>
        <w:t>Replacement Term Loans</w:t>
      </w:r>
      <w:r>
        <w:rPr>
          <w:rFonts w:ascii="Arial" w:cs="Arial" w:eastAsia="Arial" w:hAnsi="Arial"/>
          <w:sz w:val="16"/>
          <w:szCs w:val="16"/>
          <w:color w:val="auto"/>
        </w:rPr>
        <w:t xml:space="preserv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aggregate principal amount of such Replacement Term Loans shall not exceed the aggregate principal amount of such Replaced Term Loans, plus any accrued but unpaid interest on such Replaced Term Loans plus the amount of any tender premium or penalty or premium required to be paid under the terms of the instrument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documents governing such Replaced Term Loans and any defeasance costs and any fees and expenses (including OID, upfront fees or similar fees) incurred in connection with the issuance of such Replacement Term Loans (but nothing in this clause (a) shall limit the ability of the Borrowers to incur Incremental Loans of the same Class or of a different Class at the same time if such incurrence is otherwise permitted hereunder), (b) [reserved], (c)</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except to the extent incurred under the then available Inside Maturity Basket, the Weighted Average Life to Maturity of such Replacement Term Loans shall not be shorter than the Weighted Average Life to Maturity of such Replaced Term Loans at the time of such refinancing and (d) all other terms (other than with respect to pricing, interest rate margins, fees, discounts, rate floors and prepayment or redemption terms) applicable to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Replacement Term Loans shall either, at the option of the Borrowers, (i) reflect market terms and conditions (taken as a whole) at the time of incurrence of such Replacement Term Loans (as determined by the Administrative Borrower in good faith), (ii) if not otherwise consistent with the terms of such Replaced Term Loans, not be materially more restrictive to the Borrowers (as determined by the Administrative Borrower in good faith),</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when taken as a whole, than the terms of such Replaced Term Loans, except to the extent necessary to provide for (x) covenants and other terms applicable to any period after the Latest Maturity Date of the Loans in effect immediately prior to such refinancing or (y) subject to the immediately succeeding proviso, a Previously Absent Financial Maintenance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contained herein, if any such terms of the Replacement Term Loans contain a Previously Absent Financial Maintenance Covenant that is in effect prior to the applicable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Latest Maturity Date, such Previously Absent Financial Maintenance Covenant shall be included for the benefit of each Facility or (iii) be reasonably acceptable to the Administrative Agent (it being understood that any covenants or other provisions applicable to periods after the Latest Maturity Date need not be reasonably satisfactory to the Administrative Agent). Each amendment to this Agreement providing for Replacement Term Loans may,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without the consent of any other Lenders, effect such amendments to this Agreement and the other Loan Documents as may be necessary or appropriate, in the opinion of the Administrative Agent and the Borrowers to effect the provisions of this paragraph, including any amendments necessary in connection with any Replacement Term Loans necessary to provide that such Replacement Term Loans are fungible for U.S. federal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income tax purposes with an existing Class of Term Loans, and for the avoidance of doubt, this paragraph shall supersede any other provisions in this Section 10.01 to the contrary. If necessary to consummate any such Replacement Term Loans as fungible for U.S. federal income tax purposes with an existing Class of Term Loans, the interest rate margins and rate floors on the applicable existing Class of Term Loans may be automatically increased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any call protection provision may be made more favorable to the applicable existing Lenders.</w:t>
      </w:r>
    </w:p>
    <w:p>
      <w:pPr>
        <w:spacing w:after="0" w:line="196"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6"/>
          <w:szCs w:val="16"/>
          <w:color w:val="auto"/>
        </w:rPr>
        <w:t>Notwithstanding anything to the contrary contained in this Section 10.01, the Guaranty, the Collateral Documents and related documents executed by the Loan Parties or the Restricted Subsidiaries in connection with this Agreement may be in a form reasonably determined by the</w:t>
      </w:r>
    </w:p>
    <w:p>
      <w:pPr>
        <w:jc w:val="both"/>
        <w:ind w:right="40"/>
        <w:spacing w:after="0" w:line="234" w:lineRule="auto"/>
        <w:rPr>
          <w:sz w:val="20"/>
          <w:szCs w:val="20"/>
          <w:color w:val="auto"/>
        </w:rPr>
      </w:pPr>
      <w:r>
        <w:rPr>
          <w:rFonts w:ascii="Arial" w:cs="Arial" w:eastAsia="Arial" w:hAnsi="Arial"/>
          <w:sz w:val="16"/>
          <w:szCs w:val="16"/>
          <w:color w:val="auto"/>
        </w:rPr>
        <w:t>Administrative Agent and may be, together with this Agreement, amended and waived with the consent of the Administrative Agent at the request of the Administrative Borrower without the need to obtain the consent of any other Lender if such amendment or waiver is delivered in order (i) to comply with local Law or advice of local counsel, (ii) to cure any ambiguities or defects or (iii) to cause such Guaranty, Collateral Document or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document to be consistent with this Agreement and the other Loan Documents.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to the contrary contained in Section 10.01, if the Administrative Agent and the Administrative Borrower shall have</w:t>
      </w:r>
    </w:p>
    <w:p>
      <w:pPr>
        <w:spacing w:after="0" w:line="2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jointly identified an ambiguity, mistake,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Administrative</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Borrower or any other relevant Loan Party shall be permitted to amend such provision and such amendment shall become effective without any further action or consent of any other party to any Loan Document. Notification of such amendment shall be made by the Administrative Agent to the Lenders promptly upon such amendment becoming effective.</w:t>
      </w:r>
    </w:p>
    <w:p>
      <w:pPr>
        <w:sectPr>
          <w:pgSz w:w="11900" w:h="16838" w:orient="portrait"/>
          <w:cols w:equalWidth="0" w:num="1">
            <w:col w:w="10920"/>
          </w:cols>
          <w:pgMar w:left="480" w:top="1440" w:right="499" w:bottom="1440" w:gutter="0" w:footer="0" w:header="0"/>
        </w:sectPr>
      </w:pPr>
    </w:p>
    <w:bookmarkStart w:id="224" w:name="page225"/>
    <w:bookmarkEnd w:id="224"/>
    <w:p>
      <w:pPr>
        <w:spacing w:after="0" w:line="211"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10.02</w:t>
      </w:r>
      <w:r>
        <w:rPr>
          <w:sz w:val="20"/>
          <w:szCs w:val="20"/>
          <w:color w:val="auto"/>
        </w:rPr>
        <w:tab/>
      </w:r>
      <w:r>
        <w:rPr>
          <w:rFonts w:ascii="Arial" w:cs="Arial" w:eastAsia="Arial" w:hAnsi="Arial"/>
          <w:sz w:val="16"/>
          <w:szCs w:val="16"/>
          <w:color w:val="auto"/>
        </w:rPr>
        <w:t>Notices and Other Communications; Facsimile Copies.</w:t>
      </w:r>
    </w:p>
    <w:p>
      <w:pPr>
        <w:spacing w:after="0" w:line="225" w:lineRule="exact"/>
        <w:rPr>
          <w:sz w:val="20"/>
          <w:szCs w:val="20"/>
          <w:color w:val="auto"/>
        </w:rPr>
      </w:pPr>
    </w:p>
    <w:p>
      <w:pPr>
        <w:ind w:left="1288" w:hanging="640"/>
        <w:spacing w:after="0"/>
        <w:tabs>
          <w:tab w:leader="none" w:pos="1288" w:val="left"/>
        </w:tabs>
        <w:numPr>
          <w:ilvl w:val="1"/>
          <w:numId w:val="295"/>
        </w:numPr>
        <w:rPr>
          <w:rFonts w:ascii="Arial" w:cs="Arial" w:eastAsia="Arial" w:hAnsi="Arial"/>
          <w:sz w:val="18"/>
          <w:szCs w:val="18"/>
          <w:color w:val="010000"/>
        </w:rPr>
      </w:pPr>
      <w:r>
        <w:rPr>
          <w:rFonts w:ascii="Arial" w:cs="Arial" w:eastAsia="Arial" w:hAnsi="Arial"/>
          <w:sz w:val="18"/>
          <w:szCs w:val="18"/>
          <w:color w:val="auto"/>
        </w:rPr>
        <w:t>Notices; Effectiveness; Electronic Communications.</w:t>
      </w:r>
    </w:p>
    <w:p>
      <w:pPr>
        <w:spacing w:after="0" w:line="225" w:lineRule="exact"/>
        <w:rPr>
          <w:rFonts w:ascii="Arial" w:cs="Arial" w:eastAsia="Arial" w:hAnsi="Arial"/>
          <w:sz w:val="18"/>
          <w:szCs w:val="18"/>
          <w:color w:val="010000"/>
        </w:rPr>
      </w:pPr>
    </w:p>
    <w:p>
      <w:pPr>
        <w:jc w:val="both"/>
        <w:ind w:left="8" w:right="20" w:firstLine="551"/>
        <w:spacing w:after="0" w:line="236" w:lineRule="auto"/>
        <w:tabs>
          <w:tab w:leader="none" w:pos="116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(C)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9" w:lineRule="exact"/>
        <w:rPr>
          <w:rFonts w:ascii="Arial" w:cs="Arial" w:eastAsia="Arial" w:hAnsi="Arial"/>
          <w:sz w:val="17"/>
          <w:szCs w:val="17"/>
          <w:color w:val="auto"/>
        </w:rPr>
      </w:pPr>
    </w:p>
    <w:p>
      <w:pPr>
        <w:jc w:val="both"/>
        <w:ind w:left="1048" w:right="20" w:firstLine="654"/>
        <w:spacing w:after="0" w:line="245" w:lineRule="auto"/>
        <w:tabs>
          <w:tab w:leader="none" w:pos="2442" w:val="left"/>
        </w:tabs>
        <w:numPr>
          <w:ilvl w:val="2"/>
          <w:numId w:val="296"/>
        </w:numPr>
        <w:rPr>
          <w:rFonts w:ascii="Arial" w:cs="Arial" w:eastAsia="Arial" w:hAnsi="Arial"/>
          <w:sz w:val="17"/>
          <w:szCs w:val="17"/>
          <w:color w:val="010000"/>
        </w:rPr>
      </w:pPr>
      <w:r>
        <w:rPr>
          <w:rFonts w:ascii="Arial" w:cs="Arial" w:eastAsia="Arial" w:hAnsi="Arial"/>
          <w:sz w:val="17"/>
          <w:szCs w:val="17"/>
          <w:color w:val="auto"/>
        </w:rPr>
        <w:t xml:space="preserve">if to the Parent Borrower or the Administrative Agent, to the address, facsimile number, electronic mail address or telephone number specified for such Person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or to such other address, facsimile number, electronic mail address or telephone number as shall be designated by such party in a written notice to the other parties; and</w:t>
      </w:r>
    </w:p>
    <w:p>
      <w:pPr>
        <w:spacing w:after="0" w:line="184" w:lineRule="exact"/>
        <w:rPr>
          <w:rFonts w:ascii="Arial" w:cs="Arial" w:eastAsia="Arial" w:hAnsi="Arial"/>
          <w:sz w:val="17"/>
          <w:szCs w:val="17"/>
          <w:color w:val="010000"/>
        </w:rPr>
      </w:pPr>
    </w:p>
    <w:p>
      <w:pPr>
        <w:jc w:val="both"/>
        <w:ind w:left="1048" w:right="20" w:firstLine="654"/>
        <w:spacing w:after="0" w:line="229" w:lineRule="auto"/>
        <w:tabs>
          <w:tab w:leader="none" w:pos="2442" w:val="left"/>
        </w:tabs>
        <w:numPr>
          <w:ilvl w:val="2"/>
          <w:numId w:val="296"/>
        </w:numPr>
        <w:rPr>
          <w:rFonts w:ascii="Arial" w:cs="Arial" w:eastAsia="Arial" w:hAnsi="Arial"/>
          <w:sz w:val="18"/>
          <w:szCs w:val="18"/>
          <w:color w:val="010000"/>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Borrowers and the Administrative Agent.</w:t>
      </w:r>
    </w:p>
    <w:p>
      <w:pPr>
        <w:spacing w:after="0" w:line="191" w:lineRule="exact"/>
        <w:rPr>
          <w:sz w:val="20"/>
          <w:szCs w:val="20"/>
          <w:color w:val="auto"/>
        </w:rPr>
      </w:pPr>
    </w:p>
    <w:p>
      <w:pPr>
        <w:jc w:val="both"/>
        <w:ind w:left="8" w:right="20"/>
        <w:spacing w:after="0" w:line="248"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w:t>
      </w:r>
    </w:p>
    <w:p>
      <w:pPr>
        <w:jc w:val="both"/>
        <w:ind w:left="8" w:right="20"/>
        <w:spacing w:after="0" w:line="218" w:lineRule="auto"/>
        <w:rPr>
          <w:sz w:val="20"/>
          <w:szCs w:val="20"/>
          <w:color w:val="auto"/>
        </w:rPr>
      </w:pPr>
      <w:r>
        <w:rPr>
          <w:rFonts w:ascii="Arial" w:cs="Arial" w:eastAsia="Arial" w:hAnsi="Arial"/>
          <w:sz w:val="18"/>
          <w:szCs w:val="18"/>
          <w:color w:val="auto"/>
        </w:rPr>
        <w:t>during normal business hours for the recipient, shall be deemed to have been given at the opening of business on the next Business Day for the recipient). Notices and other communications delivered through electronic communications to the extent provided in subsection (C) below shall be effective as provided in such subsection (C).</w:t>
      </w:r>
    </w:p>
    <w:p>
      <w:pPr>
        <w:spacing w:after="0" w:line="203" w:lineRule="exact"/>
        <w:rPr>
          <w:sz w:val="20"/>
          <w:szCs w:val="20"/>
          <w:color w:val="auto"/>
        </w:rPr>
      </w:pPr>
    </w:p>
    <w:p>
      <w:pPr>
        <w:jc w:val="both"/>
        <w:ind w:left="1048" w:right="20" w:firstLine="654"/>
        <w:spacing w:after="0" w:line="217" w:lineRule="auto"/>
        <w:tabs>
          <w:tab w:leader="none" w:pos="2442" w:val="left"/>
        </w:tabs>
        <w:numPr>
          <w:ilvl w:val="0"/>
          <w:numId w:val="297"/>
        </w:numPr>
        <w:rPr>
          <w:rFonts w:ascii="Arial" w:cs="Arial" w:eastAsia="Arial" w:hAnsi="Arial"/>
          <w:sz w:val="18"/>
          <w:szCs w:val="18"/>
          <w:color w:val="010000"/>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a Loan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ind w:left="8" w:right="20" w:firstLine="648"/>
        <w:spacing w:after="0" w:line="248" w:lineRule="auto"/>
        <w:rPr>
          <w:sz w:val="20"/>
          <w:szCs w:val="20"/>
          <w:color w:val="auto"/>
        </w:rPr>
      </w:pPr>
      <w:r>
        <w:rPr>
          <w:rFonts w:ascii="Arial" w:cs="Arial" w:eastAsia="Arial" w:hAnsi="Arial"/>
          <w:sz w:val="16"/>
          <w:szCs w:val="16"/>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w:t>
      </w:r>
    </w:p>
    <w:p>
      <w:pPr>
        <w:ind w:left="8" w:right="20"/>
        <w:spacing w:after="0" w:line="211" w:lineRule="auto"/>
        <w:rPr>
          <w:sz w:val="20"/>
          <w:szCs w:val="20"/>
          <w:color w:val="auto"/>
        </w:rPr>
      </w:pPr>
      <w:r>
        <w:rPr>
          <w:rFonts w:ascii="Arial" w:cs="Arial" w:eastAsia="Arial" w:hAnsi="Arial"/>
          <w:sz w:val="18"/>
          <w:szCs w:val="18"/>
          <w:color w:val="auto"/>
        </w:rPr>
        <w:t>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1" w:lineRule="exact"/>
        <w:rPr>
          <w:sz w:val="20"/>
          <w:szCs w:val="20"/>
          <w:color w:val="auto"/>
        </w:rPr>
      </w:pPr>
    </w:p>
    <w:p>
      <w:pPr>
        <w:jc w:val="both"/>
        <w:ind w:left="8" w:right="20" w:hanging="8"/>
        <w:spacing w:after="0" w:line="218" w:lineRule="auto"/>
        <w:tabs>
          <w:tab w:leader="none" w:pos="23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202" w:lineRule="exact"/>
        <w:rPr>
          <w:rFonts w:ascii="Arial" w:cs="Arial" w:eastAsia="Arial" w:hAnsi="Arial"/>
          <w:sz w:val="18"/>
          <w:szCs w:val="18"/>
          <w:color w:val="auto"/>
        </w:rPr>
      </w:pPr>
    </w:p>
    <w:p>
      <w:pPr>
        <w:jc w:val="both"/>
        <w:ind w:left="8" w:firstLine="640"/>
        <w:spacing w:after="0" w:line="216" w:lineRule="auto"/>
        <w:tabs>
          <w:tab w:leader="none" w:pos="1160" w:val="left"/>
        </w:tabs>
        <w:numPr>
          <w:ilvl w:val="1"/>
          <w:numId w:val="298"/>
        </w:numPr>
        <w:rPr>
          <w:rFonts w:ascii="Arial" w:cs="Arial" w:eastAsia="Arial" w:hAnsi="Arial"/>
          <w:sz w:val="18"/>
          <w:szCs w:val="18"/>
          <w:color w:val="010000"/>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ANY</w:t>
      </w:r>
    </w:p>
    <w:p>
      <w:pPr>
        <w:sectPr>
          <w:pgSz w:w="11900" w:h="16838" w:orient="portrait"/>
          <w:cols w:equalWidth="0" w:num="1">
            <w:col w:w="10908"/>
          </w:cols>
          <w:pgMar w:left="472" w:top="1440" w:right="519" w:bottom="1440" w:gutter="0" w:footer="0" w:header="0"/>
        </w:sectPr>
      </w:pPr>
    </w:p>
    <w:bookmarkStart w:id="225" w:name="page226"/>
    <w:bookmarkEnd w:id="225"/>
    <w:p>
      <w:pPr>
        <w:spacing w:after="0" w:line="196" w:lineRule="exact"/>
        <w:rPr>
          <w:sz w:val="20"/>
          <w:szCs w:val="20"/>
          <w:color w:val="auto"/>
        </w:rPr>
      </w:pPr>
    </w:p>
    <w:p>
      <w:pPr>
        <w:ind w:left="8"/>
        <w:spacing w:after="0"/>
        <w:rPr>
          <w:sz w:val="20"/>
          <w:szCs w:val="20"/>
          <w:color w:val="auto"/>
        </w:rPr>
      </w:pPr>
      <w:r>
        <w:rPr>
          <w:rFonts w:ascii="Arial" w:cs="Arial" w:eastAsia="Arial" w:hAnsi="Arial"/>
          <w:sz w:val="18"/>
          <w:szCs w:val="18"/>
          <w:color w:val="auto"/>
        </w:rPr>
        <w:t>AGENT PARTY IN CONNECTION WITH THE BORROWER MATERIALS OR THE PLATFORM. In no event</w:t>
      </w:r>
    </w:p>
    <w:p>
      <w:pPr>
        <w:jc w:val="both"/>
        <w:ind w:left="8"/>
        <w:spacing w:after="0" w:line="237" w:lineRule="auto"/>
        <w:rPr>
          <w:sz w:val="20"/>
          <w:szCs w:val="20"/>
          <w:color w:val="auto"/>
        </w:rPr>
      </w:pPr>
      <w:r>
        <w:rPr>
          <w:rFonts w:ascii="Arial" w:cs="Arial" w:eastAsia="Arial" w:hAnsi="Arial"/>
          <w:sz w:val="16"/>
          <w:szCs w:val="16"/>
          <w:color w:val="auto"/>
        </w:rPr>
        <w:t>shall the Administrative Agent or any of its Related Parties (collectively, the “</w:t>
      </w:r>
      <w:r>
        <w:rPr>
          <w:rFonts w:ascii="Arial" w:cs="Arial" w:eastAsia="Arial" w:hAnsi="Arial"/>
          <w:sz w:val="16"/>
          <w:szCs w:val="16"/>
          <w:b w:val="1"/>
          <w:bCs w:val="1"/>
          <w:color w:val="auto"/>
        </w:rPr>
        <w:t>Agent Parties</w:t>
      </w:r>
      <w:r>
        <w:rPr>
          <w:rFonts w:ascii="Arial" w:cs="Arial" w:eastAsia="Arial" w:hAnsi="Arial"/>
          <w:sz w:val="16"/>
          <w:szCs w:val="16"/>
          <w:color w:val="auto"/>
        </w:rPr>
        <w:t>”) have any liability to the Loan Parties, any Lender or any other Person for losses, claims, damages, liabilities or expenses of any kind (whether in tort, contract or otherwise) arising out of the Borrowers’, any</w:t>
      </w:r>
    </w:p>
    <w:p>
      <w:pPr>
        <w:spacing w:after="0" w:line="1"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Loan Party’s or the Administrative Agent’s transmission of Borrower Materials or notices through the Platform, any other electronic platform or electronic messaging services, or through the Internet, except to the extent that such losses, claims, damages, liabilities or expenses are determined by a court of competent jurisdiction by a final and non-appealable judgment to have resulted from the gross negligence, material breach of the Loan</w:t>
      </w:r>
    </w:p>
    <w:p>
      <w:pPr>
        <w:spacing w:after="0" w:line="2" w:lineRule="exact"/>
        <w:rPr>
          <w:sz w:val="20"/>
          <w:szCs w:val="20"/>
          <w:color w:val="auto"/>
        </w:rPr>
      </w:pPr>
    </w:p>
    <w:p>
      <w:pPr>
        <w:jc w:val="both"/>
        <w:ind w:left="8"/>
        <w:spacing w:after="0" w:line="218" w:lineRule="auto"/>
        <w:rPr>
          <w:sz w:val="20"/>
          <w:szCs w:val="20"/>
          <w:color w:val="auto"/>
        </w:rPr>
      </w:pPr>
      <w:r>
        <w:rPr>
          <w:rFonts w:ascii="Arial" w:cs="Arial" w:eastAsia="Arial" w:hAnsi="Arial"/>
          <w:sz w:val="18"/>
          <w:szCs w:val="18"/>
          <w:color w:val="auto"/>
        </w:rPr>
        <w:t xml:space="preserve">Documents, bad faith or willful misconduct of such Agent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any Agent Party have any liability to the Loan Parties, any Lender or any other Person for indirect, special, incidental, consequential or punitive damages (as opposed to direct or actual damages).</w:t>
      </w:r>
    </w:p>
    <w:p>
      <w:pPr>
        <w:spacing w:after="0" w:line="203" w:lineRule="exact"/>
        <w:rPr>
          <w:sz w:val="20"/>
          <w:szCs w:val="20"/>
          <w:color w:val="auto"/>
        </w:rPr>
      </w:pPr>
    </w:p>
    <w:p>
      <w:pPr>
        <w:ind w:left="8" w:right="20" w:firstLine="640"/>
        <w:spacing w:after="0" w:line="241" w:lineRule="auto"/>
        <w:tabs>
          <w:tab w:leader="none" w:pos="1160" w:val="left"/>
        </w:tabs>
        <w:numPr>
          <w:ilvl w:val="0"/>
          <w:numId w:val="299"/>
        </w:numPr>
        <w:rPr>
          <w:rFonts w:ascii="Arial" w:cs="Arial" w:eastAsia="Arial" w:hAnsi="Arial"/>
          <w:sz w:val="16"/>
          <w:szCs w:val="16"/>
          <w:color w:val="010000"/>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Any Loan Party and the Administrative Agent, may change its address, electronic mail address, facsimile or telephone number for notices and other communications hereunder by notice to the other parties hereto. Each other Lender may change its address, electronic mail address, facsimile or telephone number for notices and other communications hereunder by notice to the Borrowers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w:t>
      </w:r>
    </w:p>
    <w:p>
      <w:pPr>
        <w:spacing w:after="0" w:line="190" w:lineRule="exact"/>
        <w:rPr>
          <w:rFonts w:ascii="Arial" w:cs="Arial" w:eastAsia="Arial" w:hAnsi="Arial"/>
          <w:sz w:val="16"/>
          <w:szCs w:val="16"/>
          <w:color w:val="010000"/>
        </w:rPr>
      </w:pPr>
    </w:p>
    <w:p>
      <w:pPr>
        <w:jc w:val="both"/>
        <w:ind w:left="8" w:right="20" w:firstLine="640"/>
        <w:spacing w:after="0" w:line="217" w:lineRule="auto"/>
        <w:tabs>
          <w:tab w:leader="none" w:pos="1160" w:val="left"/>
        </w:tabs>
        <w:numPr>
          <w:ilvl w:val="0"/>
          <w:numId w:val="299"/>
        </w:numPr>
        <w:rPr>
          <w:rFonts w:ascii="Arial" w:cs="Arial" w:eastAsia="Arial" w:hAnsi="Arial"/>
          <w:sz w:val="18"/>
          <w:szCs w:val="18"/>
          <w:color w:val="010000"/>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Committed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each Lender and the Related Parties of each of them (other than any Excluded Affiliate) from all losses, costs, expenses and liabilities resulting from the reliance by such Person on each notice purportedly given by or on behalf of the Borrowers in accordance with Section 10.05 hereof. All telephonic notices to and other telephonic communications with the Administrative Agent may be recorded by the Administrative Agent, and each of the parties hereto hereby consents to such recording.</w:t>
      </w:r>
    </w:p>
    <w:p>
      <w:pPr>
        <w:spacing w:after="0" w:line="190"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10.03</w:t>
      </w:r>
      <w:r>
        <w:rPr>
          <w:sz w:val="20"/>
          <w:szCs w:val="20"/>
          <w:color w:val="auto"/>
        </w:rPr>
        <w:tab/>
      </w:r>
      <w:r>
        <w:rPr>
          <w:rFonts w:ascii="Arial" w:cs="Arial" w:eastAsia="Arial" w:hAnsi="Arial"/>
          <w:sz w:val="16"/>
          <w:szCs w:val="16"/>
          <w:color w:val="auto"/>
        </w:rPr>
        <w:t>No Waiver; Cumulative Remedies.</w:t>
      </w:r>
    </w:p>
    <w:p>
      <w:pPr>
        <w:spacing w:after="0" w:line="225" w:lineRule="exact"/>
        <w:rPr>
          <w:sz w:val="20"/>
          <w:szCs w:val="20"/>
          <w:color w:val="auto"/>
        </w:rPr>
      </w:pPr>
    </w:p>
    <w:p>
      <w:pPr>
        <w:jc w:val="both"/>
        <w:ind w:left="8" w:right="20" w:firstLine="648"/>
        <w:spacing w:after="0" w:line="248" w:lineRule="auto"/>
        <w:rPr>
          <w:sz w:val="20"/>
          <w:szCs w:val="20"/>
          <w:color w:val="auto"/>
        </w:rPr>
      </w:pPr>
      <w:r>
        <w:rPr>
          <w:rFonts w:ascii="Arial" w:cs="Arial" w:eastAsia="Arial" w:hAnsi="Arial"/>
          <w:sz w:val="16"/>
          <w:szCs w:val="16"/>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w:t>
      </w:r>
    </w:p>
    <w:p>
      <w:pPr>
        <w:jc w:val="both"/>
        <w:ind w:left="8" w:right="20"/>
        <w:spacing w:after="0" w:line="218" w:lineRule="auto"/>
        <w:rPr>
          <w:sz w:val="20"/>
          <w:szCs w:val="20"/>
          <w:color w:val="auto"/>
        </w:rPr>
      </w:pPr>
      <w:r>
        <w:rPr>
          <w:rFonts w:ascii="Arial" w:cs="Arial" w:eastAsia="Arial" w:hAnsi="Arial"/>
          <w:sz w:val="18"/>
          <w:szCs w:val="18"/>
          <w:color w:val="auto"/>
        </w:rPr>
        <w:t>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3" w:lineRule="exact"/>
        <w:rPr>
          <w:sz w:val="20"/>
          <w:szCs w:val="20"/>
          <w:color w:val="auto"/>
        </w:rPr>
      </w:pPr>
    </w:p>
    <w:p>
      <w:pPr>
        <w:jc w:val="both"/>
        <w:ind w:left="8" w:firstLine="648"/>
        <w:spacing w:after="0" w:line="241" w:lineRule="auto"/>
        <w:rPr>
          <w:sz w:val="20"/>
          <w:szCs w:val="20"/>
          <w:color w:val="auto"/>
        </w:rPr>
      </w:pPr>
      <w:r>
        <w:rPr>
          <w:rFonts w:ascii="Arial" w:cs="Arial" w:eastAsia="Arial" w:hAnsi="Arial"/>
          <w:sz w:val="16"/>
          <w:szCs w:val="16"/>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w:t>
      </w:r>
    </w:p>
    <w:p>
      <w:pPr>
        <w:spacing w:after="0" w:line="2" w:lineRule="exact"/>
        <w:rPr>
          <w:sz w:val="20"/>
          <w:szCs w:val="20"/>
          <w:color w:val="auto"/>
        </w:rPr>
      </w:pPr>
    </w:p>
    <w:p>
      <w:pPr>
        <w:jc w:val="both"/>
        <w:ind w:left="8"/>
        <w:spacing w:after="0" w:line="228" w:lineRule="auto"/>
        <w:rPr>
          <w:sz w:val="20"/>
          <w:szCs w:val="20"/>
          <w:color w:val="auto"/>
        </w:rPr>
      </w:pPr>
      <w:r>
        <w:rPr>
          <w:rFonts w:ascii="Arial" w:cs="Arial" w:eastAsia="Arial" w:hAnsi="Arial"/>
          <w:sz w:val="16"/>
          <w:szCs w:val="16"/>
          <w:color w:val="auto"/>
        </w:rPr>
        <w:t xml:space="preserve">8.02 for the benefit of all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1" w:lineRule="exact"/>
        <w:rPr>
          <w:sz w:val="20"/>
          <w:szCs w:val="20"/>
          <w:color w:val="auto"/>
        </w:rPr>
      </w:pPr>
    </w:p>
    <w:p>
      <w:pPr>
        <w:ind w:left="8" w:hanging="8"/>
        <w:spacing w:after="0" w:line="233" w:lineRule="auto"/>
        <w:tabs>
          <w:tab w:leader="none" w:pos="28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Lender from exercising setoff rights in accordance with Section 10.09 (subject to the terms of Section 2.13), or (c) any Lender from filing proofs of claim or appearing</w:t>
      </w:r>
    </w:p>
    <w:p>
      <w:pPr>
        <w:sectPr>
          <w:pgSz w:w="11900" w:h="16838" w:orient="portrait"/>
          <w:cols w:equalWidth="0" w:num="1">
            <w:col w:w="10908"/>
          </w:cols>
          <w:pgMar w:left="472" w:top="1440" w:right="519" w:bottom="1440" w:gutter="0" w:footer="0" w:header="0"/>
        </w:sectPr>
      </w:pPr>
    </w:p>
    <w:bookmarkStart w:id="226" w:name="page227"/>
    <w:bookmarkEnd w:id="226"/>
    <w:p>
      <w:pPr>
        <w:spacing w:after="0" w:line="211" w:lineRule="exact"/>
        <w:rPr>
          <w:sz w:val="20"/>
          <w:szCs w:val="20"/>
          <w:color w:val="auto"/>
        </w:rPr>
      </w:pPr>
    </w:p>
    <w:p>
      <w:pPr>
        <w:jc w:val="both"/>
        <w:ind w:left="8" w:right="40"/>
        <w:spacing w:after="0" w:line="241" w:lineRule="auto"/>
        <w:rPr>
          <w:sz w:val="20"/>
          <w:szCs w:val="20"/>
          <w:color w:val="auto"/>
        </w:rPr>
      </w:pPr>
      <w:r>
        <w:rPr>
          <w:rFonts w:ascii="Arial" w:cs="Arial" w:eastAsia="Arial" w:hAnsi="Arial"/>
          <w:sz w:val="16"/>
          <w:szCs w:val="16"/>
          <w:color w:val="auto"/>
        </w:rPr>
        <w:t xml:space="preserve">and filing pleadings on its own behalf during the pendency of a proceeding relative to any Loan Party under any Debtor Relief Law;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at any time there is no Person acting as Administrative Agent hereunder and under the other Loan Documents, then (i)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shall have the rights otherwise ascribed to the Administrative Agent pursuant to Section 8.02 and (ii) in addition to the matters set forth in</w:t>
      </w:r>
    </w:p>
    <w:p>
      <w:pPr>
        <w:spacing w:after="0" w:line="2" w:lineRule="exact"/>
        <w:rPr>
          <w:sz w:val="20"/>
          <w:szCs w:val="20"/>
          <w:color w:val="auto"/>
        </w:rPr>
      </w:pPr>
    </w:p>
    <w:p>
      <w:pPr>
        <w:jc w:val="both"/>
        <w:ind w:left="8" w:right="40"/>
        <w:spacing w:after="0" w:line="226" w:lineRule="auto"/>
        <w:rPr>
          <w:sz w:val="20"/>
          <w:szCs w:val="20"/>
          <w:color w:val="auto"/>
        </w:rPr>
      </w:pPr>
      <w:r>
        <w:rPr>
          <w:rFonts w:ascii="Arial" w:cs="Arial" w:eastAsia="Arial" w:hAnsi="Arial"/>
          <w:sz w:val="18"/>
          <w:szCs w:val="18"/>
          <w:color w:val="auto"/>
        </w:rPr>
        <w:t>clauses (b), (c) and (d) of the preceding proviso and subject to Section 2.13, any Lender may, with the consent of the Required Lenders, enforce any rights and remedies available to it and as authorized by the Required Lenders.</w:t>
      </w:r>
    </w:p>
    <w:p>
      <w:pPr>
        <w:spacing w:after="0" w:line="188"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10.04</w:t>
      </w:r>
      <w:r>
        <w:rPr>
          <w:sz w:val="20"/>
          <w:szCs w:val="20"/>
          <w:color w:val="auto"/>
        </w:rPr>
        <w:tab/>
      </w:r>
      <w:r>
        <w:rPr>
          <w:rFonts w:ascii="Arial" w:cs="Arial" w:eastAsia="Arial" w:hAnsi="Arial"/>
          <w:sz w:val="16"/>
          <w:szCs w:val="16"/>
          <w:color w:val="auto"/>
        </w:rPr>
        <w:t>Attorney Costs and Expenses.</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The Borrowers agree (a) to pay or reimburse the Engagement Parties for such out-of-pocket costs and expenses as shall have been separately</w:t>
      </w:r>
    </w:p>
    <w:p>
      <w:pPr>
        <w:spacing w:after="0" w:line="21"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agreed upon in writing and to pay or reimburse the Administrative Agent and the other Agents for all reasonable and documented out-of-pocket costs and expenses incurred in connection with the preparation, negotiation, syndication, execution, delivery and administration of this Agreement and the other Loan Documents, and any amendment, waiver, consent or other modification of the provisions hereof and thereof (whether or not the transactions</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contemplated thereby are consummated), and the consummation and administration of the transactions contemplated hereby and thereby, including, in each case, all Attorney Costs, which shall be limited to (i) one primary counsel to the Administrative Agent and its Affiliates (other than Excluded Affiliates), taken as a whole, or the Administrative Agent (and its Affiliates (other than Excluded Affiliates), as applicable) and one local counsel, if</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necessary, in any relevant jurisdiction material to the interests of the Lenders taken as a whole), in each case excluding allocated costs of in-house counsel and (ii) in the case of other consultants and advisors, the fees and expenses of such persons approved by the Borrowers and (b) after the Closing Date, to pay or reimburse the Administrative Agent and the Lenders for all reasonable and documented out-of-pocket costs and expenses</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incurred in connection with the enforcement or protection of any rights or remedies under this Agreement or the other Loan Documents (including all such costs and expenses incurred during any legal proceeding, including any proceeding under any Debtor Relief Law, and including (i) all respective Attorney Costs, which shall be limited to Attorney Costs of one primary counsel to the Administrative Agent and the Lenders taken as a whole, and one</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local counsel, if necessary, in any relevant jurisdiction material to the interests of the Lenders taken as a whole and, solely in the case of an actual conflict of interest, one additional counsel in each relevant material jurisdiction to the similarly situated Persons taken as a whole and (ii) in the case of other consultants or advisors, the fees and expenses of such persons approved by the Borrowers). The agreements in this Section 10.04 shall survive the</w:t>
      </w:r>
    </w:p>
    <w:p>
      <w:pPr>
        <w:ind w:left="8"/>
        <w:spacing w:after="0" w:line="231" w:lineRule="auto"/>
        <w:rPr>
          <w:sz w:val="20"/>
          <w:szCs w:val="20"/>
          <w:color w:val="auto"/>
        </w:rPr>
      </w:pPr>
      <w:r>
        <w:rPr>
          <w:rFonts w:ascii="Arial" w:cs="Arial" w:eastAsia="Arial" w:hAnsi="Arial"/>
          <w:sz w:val="16"/>
          <w:szCs w:val="16"/>
          <w:color w:val="auto"/>
        </w:rPr>
        <w:t>termination of the Aggregate Commitments and repayment of all other Obligations. All amounts due under this Section 10.04 shall be paid within thirty</w:t>
      </w:r>
    </w:p>
    <w:p>
      <w:pPr>
        <w:jc w:val="both"/>
        <w:ind w:left="8" w:hanging="8"/>
        <w:spacing w:after="0" w:line="243" w:lineRule="auto"/>
        <w:tabs>
          <w:tab w:leader="none" w:pos="36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days after written demand therefor (together with backup documentation supporting such reimbursement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Closing Date, all amounts due under this Section 10.04 shall be paid on the Closing Date solely to the extent invoiced to the Borrowers at least three (3) Business Days prior to the Closing Date (or such later date as the Borrowers may agree in its sole discretion). If any Loan Party fails to pay when due any costs, expenses or other amounts payable by it hereunder or under any Loan Document, such amount may be paid on behalf of such Loan Party by the Administrative Agent in its discretion following five Business Days’ prior written notice to the Parent Borrower. For the avoidance of doubt, this Section 10.04 shall not apply to Taxes, except any Taxes that represent costs and expenses arising from any non-Tax claim.</w:t>
      </w:r>
    </w:p>
    <w:p>
      <w:pPr>
        <w:spacing w:after="0" w:line="203"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10.05</w:t>
      </w:r>
      <w:r>
        <w:rPr>
          <w:sz w:val="20"/>
          <w:szCs w:val="20"/>
          <w:color w:val="auto"/>
        </w:rPr>
        <w:tab/>
      </w:r>
      <w:r>
        <w:rPr>
          <w:rFonts w:ascii="Arial" w:cs="Arial" w:eastAsia="Arial" w:hAnsi="Arial"/>
          <w:sz w:val="16"/>
          <w:szCs w:val="16"/>
          <w:color w:val="auto"/>
        </w:rPr>
        <w:t>Indemnification by the Borrowers.</w:t>
      </w:r>
    </w:p>
    <w:p>
      <w:pPr>
        <w:spacing w:after="0" w:line="225" w:lineRule="exact"/>
        <w:rPr>
          <w:sz w:val="20"/>
          <w:szCs w:val="20"/>
          <w:color w:val="auto"/>
        </w:rPr>
      </w:pPr>
    </w:p>
    <w:p>
      <w:pPr>
        <w:jc w:val="both"/>
        <w:ind w:left="8" w:right="20" w:firstLine="648"/>
        <w:spacing w:after="0" w:line="241" w:lineRule="auto"/>
        <w:rPr>
          <w:sz w:val="20"/>
          <w:szCs w:val="20"/>
          <w:color w:val="auto"/>
        </w:rPr>
      </w:pPr>
      <w:r>
        <w:rPr>
          <w:rFonts w:ascii="Arial" w:cs="Arial" w:eastAsia="Arial" w:hAnsi="Arial"/>
          <w:sz w:val="16"/>
          <w:szCs w:val="16"/>
          <w:color w:val="auto"/>
        </w:rPr>
        <w:t>The Borrowers shall indemnify and hold harmless each Agent, Lender, each Arranger and their respective Affiliates (other than Excluded Affiliates) and controlling Persons, and their respective directors, officers, employees, advisors, agents and other representatives of each of the foregoing and their respective successors and permitted assigns (but excluding any Excluded Affiliates)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w:t>
      </w:r>
    </w:p>
    <w:p>
      <w:pPr>
        <w:spacing w:after="0" w:line="2"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6"/>
          <w:szCs w:val="16"/>
          <w:color w:val="auto"/>
        </w:rPr>
        <w:t>against any and all actual losses, claims, damages, liabilities and expenses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that is material to the interests of the Lenders,</w:t>
      </w:r>
    </w:p>
    <w:p>
      <w:pPr>
        <w:spacing w:after="0" w:line="2"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6"/>
          <w:szCs w:val="16"/>
          <w:color w:val="auto"/>
        </w:rPr>
        <w:t>and solely in the case of an actual conflict of interest, one additional counsel in each relevant material jurisdiction to the affected Indemnitees similarly situated), in each case except allocated costs of in-house counsel, of any kind or nature whatsoever which may at any time be imposed on, incurred by or asserted against any such Indemnitee in any way relating to or arising out of or in connection with (a) the execution, delivery, enforcement,</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performance or administration of any Loan</w:t>
      </w:r>
    </w:p>
    <w:p>
      <w:pPr>
        <w:sectPr>
          <w:pgSz w:w="11900" w:h="16838" w:orient="portrait"/>
          <w:cols w:equalWidth="0" w:num="1">
            <w:col w:w="10928"/>
          </w:cols>
          <w:pgMar w:left="472" w:top="1440" w:right="499" w:bottom="1440" w:gutter="0" w:footer="0" w:header="0"/>
        </w:sectPr>
      </w:pPr>
    </w:p>
    <w:bookmarkStart w:id="227" w:name="page228"/>
    <w:bookmarkEnd w:id="227"/>
    <w:p>
      <w:pPr>
        <w:spacing w:after="0" w:line="211" w:lineRule="exact"/>
        <w:rPr>
          <w:sz w:val="20"/>
          <w:szCs w:val="20"/>
          <w:color w:val="auto"/>
        </w:rPr>
      </w:pPr>
    </w:p>
    <w:p>
      <w:pPr>
        <w:jc w:val="both"/>
        <w:ind w:left="8" w:right="40"/>
        <w:spacing w:after="0" w:line="241" w:lineRule="auto"/>
        <w:rPr>
          <w:sz w:val="20"/>
          <w:szCs w:val="20"/>
          <w:color w:val="auto"/>
        </w:rPr>
      </w:pPr>
      <w:r>
        <w:rPr>
          <w:rFonts w:ascii="Arial" w:cs="Arial" w:eastAsia="Arial" w:hAnsi="Arial"/>
          <w:sz w:val="16"/>
          <w:szCs w:val="16"/>
          <w:color w:val="auto"/>
        </w:rPr>
        <w:t>Document or any other agreement, letter or instrument delivered in connection with the transactions contemplated thereby or the consummation of the transactions contemplated thereby, (b) any Commitment or Loan or the use or proposed use of the proceeds therefrom, (c) any actual or alleged presence or Release of Hazardous Materials at, on, under or from any property or facility currently or formerly owned, leased or operated by the Loan</w:t>
      </w:r>
    </w:p>
    <w:p>
      <w:pPr>
        <w:spacing w:after="0" w:line="2"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6"/>
          <w:szCs w:val="16"/>
          <w:color w:val="auto"/>
        </w:rPr>
        <w:t>Parties or any Subsidiary, or any Environmental Liability of or relating to the Loan Parties or any Subsidiary,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Arial" w:cs="Arial" w:eastAsia="Arial" w:hAnsi="Arial"/>
          <w:sz w:val="16"/>
          <w:szCs w:val="16"/>
          <w:b w:val="1"/>
          <w:bCs w:val="1"/>
          <w:color w:val="auto"/>
        </w:rPr>
        <w:t>Proceeding</w:t>
      </w:r>
      <w:r>
        <w:rPr>
          <w:rFonts w:ascii="Arial" w:cs="Arial" w:eastAsia="Arial" w:hAnsi="Arial"/>
          <w:sz w:val="16"/>
          <w:szCs w:val="16"/>
          <w:color w:val="auto"/>
        </w:rPr>
        <w:t>”) and regardless of whether</w:t>
      </w:r>
    </w:p>
    <w:p>
      <w:pPr>
        <w:spacing w:after="0" w:line="2"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6"/>
          <w:szCs w:val="16"/>
          <w:color w:val="auto"/>
        </w:rPr>
        <w:t xml:space="preserve">any Indemnitee is a party thereto or whether or not such Proceeding is brought by the Borrowers or any other person and, in each case, whether or not caused by or arising, in whole or in part, out of the negligence of the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and expenses resulted from (w) the gross negligence, bad faith, fraud or willful</w:t>
      </w:r>
    </w:p>
    <w:p>
      <w:pPr>
        <w:spacing w:after="0" w:line="2" w:lineRule="exact"/>
        <w:rPr>
          <w:sz w:val="20"/>
          <w:szCs w:val="20"/>
          <w:color w:val="auto"/>
        </w:rPr>
      </w:pPr>
    </w:p>
    <w:p>
      <w:pPr>
        <w:jc w:val="both"/>
        <w:ind w:left="8" w:right="40"/>
        <w:spacing w:after="0" w:line="208" w:lineRule="auto"/>
        <w:rPr>
          <w:sz w:val="20"/>
          <w:szCs w:val="20"/>
          <w:color w:val="auto"/>
        </w:rPr>
      </w:pPr>
      <w:r>
        <w:rPr>
          <w:rFonts w:ascii="Arial" w:cs="Arial" w:eastAsia="Arial" w:hAnsi="Arial"/>
          <w:sz w:val="18"/>
          <w:szCs w:val="18"/>
          <w:color w:val="auto"/>
        </w:rPr>
        <w:t>misconduct of such Indemnitee or of any of its Related Indemnified Persons, as determined by a final non-appealable judgment of a court of competent jurisdiction, (x) a material breach of any obligations under any Loan Document by such Indemnitee or of any of its Related Indemnified Persons, as determined by a final non-appealable judgment of a court of competent jurisdiction,</w:t>
      </w:r>
    </w:p>
    <w:p>
      <w:pPr>
        <w:spacing w:after="0" w:line="2" w:lineRule="exact"/>
        <w:rPr>
          <w:sz w:val="20"/>
          <w:szCs w:val="20"/>
          <w:color w:val="auto"/>
        </w:rPr>
      </w:pPr>
    </w:p>
    <w:p>
      <w:pPr>
        <w:jc w:val="both"/>
        <w:ind w:left="8" w:right="20" w:hanging="8"/>
        <w:spacing w:after="0" w:line="236" w:lineRule="auto"/>
        <w:tabs>
          <w:tab w:leader="none" w:pos="268"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any dispute solely among Indemnitees other than any claims against an Indemnitee in its capacity or in fulfilling its role as an administrative agent or arranger or any similar role under any Facility and other than any claims arising out of any act or omission of the Borrowers or any of their Affiliates or (z) settlements effected without the Borrowers’ prior written consent (which consent shall not be unreasonably withheld, delayed or conditioned), but if settled with Borrowers’ written consent, or if there is a final judgment against an Indemnitee, the Borrowers shall indemnify and hold harmless such Indemnitee to the extent and the manner set forth above. In case any Proceeding is instituted involving any Indemnitee for which indemnification is to be sought hereunder by such Indemnitee, then such Indemnitee will promptly notify the Parent Borrower of the commencement of any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so to notify the Parent Borrower will not relieve the Borrowers from any liability to such Indemnitee pursuant to this </w:t>
      </w:r>
      <w:r>
        <w:rPr>
          <w:rFonts w:ascii="Arial" w:cs="Arial" w:eastAsia="Arial" w:hAnsi="Arial"/>
          <w:sz w:val="16"/>
          <w:szCs w:val="16"/>
          <w:u w:val="single" w:color="auto"/>
          <w:color w:val="auto"/>
        </w:rPr>
        <w:t>Section 10.05</w:t>
      </w:r>
      <w:r>
        <w:rPr>
          <w:rFonts w:ascii="Arial" w:cs="Arial" w:eastAsia="Arial" w:hAnsi="Arial"/>
          <w:sz w:val="16"/>
          <w:szCs w:val="16"/>
          <w:color w:val="auto"/>
        </w:rPr>
        <w:t>. Each applicable Indemnitee (by accepting the benefits hereof) agrees to refund and return any and all amounts paid by or on behalf of the Borrowers (or any other Loan Party) to such Indemnitee, in each case, pursuant to the terms of this paragraph to the extent such Indemnitee is not entitled to the payment thereof pursuant to the terms of this paragraph, as determined by a final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(except for direct (as opposed to indirect, special, punitive or consequential) damages resulting from the gross negligence, bad faith, fraud or willful misconduct of, or material breach of this Agreement or the other Loan Documents, as determined by a court of competent jurisdiction in a final and non-appealable judgment, of any such Indemnitee), nor shall any Indemnitee, Related Indemnified Person, Loan Party or any Subsidiary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obligations, liabilities, losses, damages, penalties, demands, actions, judgments, suits, costs, disbursements, claims or expenses incurred or paid or required to be paid by an Indemnitee to a third party (including another Indemnitee)). In the case of an investigation, litigation or other proceeding to which the indemnity in this Section 10.05 applies, such indemnity shall be effective whether or not such investigation, litigation or proceeding is brought by any Loan Party, any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10.05 shall be paid within thirty (30) days after written demand therefor (together with backup documentation supporting such reimbursement request). The agreements in this Section 10.05 shall survive the resignation or removal of the Administrative Agent, the replacement of any Lender, the termination of the Aggregate Commitments and the repayment, satisfaction or discharge of all the other Obligations. For the avoidance of doubt, this Section 10.05 shall not apply to Taxes, except any Taxes that represent liabilities, obligations, losses, damages, penalties, claims, demands, actions, prepayments, suits, costs, expenses and disbursements arising from any non-Tax claims.</w:t>
      </w:r>
    </w:p>
    <w:p>
      <w:pPr>
        <w:spacing w:after="0" w:line="202" w:lineRule="exact"/>
        <w:rPr>
          <w:sz w:val="20"/>
          <w:szCs w:val="20"/>
          <w:color w:val="auto"/>
        </w:rPr>
      </w:pPr>
    </w:p>
    <w:p>
      <w:pPr>
        <w:ind w:left="8" w:firstLine="648"/>
        <w:spacing w:after="0" w:line="233" w:lineRule="auto"/>
        <w:rPr>
          <w:sz w:val="20"/>
          <w:szCs w:val="20"/>
          <w:color w:val="auto"/>
        </w:rPr>
      </w:pPr>
      <w:r>
        <w:rPr>
          <w:rFonts w:ascii="Arial" w:cs="Arial" w:eastAsia="Arial" w:hAnsi="Arial"/>
          <w:sz w:val="17"/>
          <w:szCs w:val="17"/>
          <w:color w:val="auto"/>
        </w:rPr>
        <w:t>To the extent that the Borrowers for any reason fails to pay any amount required under this Section 10.05 or Section 10.04 to be paid by it to the Administrative Agent (or any sub-agent thereof) or any Related Party of any of the foregoing, each Lender severally agrees to pay to the</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Administrative Agent (or any such sub-agent) or such</w:t>
      </w:r>
    </w:p>
    <w:p>
      <w:pPr>
        <w:sectPr>
          <w:pgSz w:w="11900" w:h="16838" w:orient="portrait"/>
          <w:cols w:equalWidth="0" w:num="1">
            <w:col w:w="10928"/>
          </w:cols>
          <w:pgMar w:left="472" w:top="1440" w:right="499" w:bottom="1440" w:gutter="0" w:footer="0" w:header="0"/>
        </w:sectPr>
      </w:pPr>
    </w:p>
    <w:bookmarkStart w:id="228" w:name="page229"/>
    <w:bookmarkEnd w:id="228"/>
    <w:p>
      <w:pPr>
        <w:spacing w:after="0" w:line="211" w:lineRule="exact"/>
        <w:rPr>
          <w:sz w:val="20"/>
          <w:szCs w:val="20"/>
          <w:color w:val="auto"/>
        </w:rPr>
      </w:pPr>
    </w:p>
    <w:p>
      <w:pPr>
        <w:jc w:val="both"/>
        <w:ind w:left="9" w:right="40"/>
        <w:spacing w:after="0" w:line="241" w:lineRule="auto"/>
        <w:rPr>
          <w:sz w:val="20"/>
          <w:szCs w:val="20"/>
          <w:color w:val="auto"/>
        </w:rPr>
      </w:pPr>
      <w:r>
        <w:rPr>
          <w:rFonts w:ascii="Arial" w:cs="Arial" w:eastAsia="Arial" w:hAnsi="Arial"/>
          <w:sz w:val="16"/>
          <w:szCs w:val="16"/>
          <w:color w:val="auto"/>
        </w:rPr>
        <w:t xml:space="preserve">Related Party, as the case may be, such Lender’s Pro Rata Share (determined as of the time that the applicable unreimbursed expense or indemnity payment is sought) of such unpaid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w:t>
      </w:r>
    </w:p>
    <w:p>
      <w:pPr>
        <w:spacing w:after="0" w:line="2" w:lineRule="exact"/>
        <w:rPr>
          <w:sz w:val="20"/>
          <w:szCs w:val="20"/>
          <w:color w:val="auto"/>
        </w:rPr>
      </w:pPr>
    </w:p>
    <w:p>
      <w:pPr>
        <w:jc w:val="both"/>
        <w:ind w:left="9" w:right="40"/>
        <w:spacing w:after="0" w:line="226" w:lineRule="auto"/>
        <w:rPr>
          <w:sz w:val="20"/>
          <w:szCs w:val="20"/>
          <w:color w:val="auto"/>
        </w:rPr>
      </w:pPr>
      <w:r>
        <w:rPr>
          <w:rFonts w:ascii="Arial" w:cs="Arial" w:eastAsia="Arial" w:hAnsi="Arial"/>
          <w:sz w:val="18"/>
          <w:szCs w:val="18"/>
          <w:color w:val="auto"/>
        </w:rPr>
        <w:t>Party of any of the foregoing acting for the Administrative Agent (or any such sub-agent) in connection with such capacity. The obligations of the Lenders under this paragraph are subject to the provisions of Section 2.12(d).</w:t>
      </w:r>
    </w:p>
    <w:p>
      <w:pPr>
        <w:spacing w:after="0" w:line="188" w:lineRule="exact"/>
        <w:rPr>
          <w:sz w:val="20"/>
          <w:szCs w:val="20"/>
          <w:color w:val="auto"/>
        </w:rPr>
      </w:pPr>
    </w:p>
    <w:p>
      <w:pPr>
        <w:ind w:left="649"/>
        <w:spacing w:after="0"/>
        <w:tabs>
          <w:tab w:leader="none" w:pos="1789" w:val="left"/>
        </w:tabs>
        <w:rPr>
          <w:sz w:val="20"/>
          <w:szCs w:val="20"/>
          <w:color w:val="auto"/>
        </w:rPr>
      </w:pPr>
      <w:r>
        <w:rPr>
          <w:rFonts w:ascii="Arial" w:cs="Arial" w:eastAsia="Arial" w:hAnsi="Arial"/>
          <w:sz w:val="18"/>
          <w:szCs w:val="18"/>
          <w:color w:val="010000"/>
        </w:rPr>
        <w:t>Section 10.06</w:t>
      </w:r>
      <w:r>
        <w:rPr>
          <w:sz w:val="20"/>
          <w:szCs w:val="20"/>
          <w:color w:val="auto"/>
        </w:rPr>
        <w:tab/>
      </w:r>
      <w:r>
        <w:rPr>
          <w:rFonts w:ascii="Arial" w:cs="Arial" w:eastAsia="Arial" w:hAnsi="Arial"/>
          <w:sz w:val="15"/>
          <w:szCs w:val="15"/>
          <w:color w:val="auto"/>
        </w:rPr>
        <w:t>Payments Set Aside.</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7"/>
          <w:szCs w:val="17"/>
          <w:color w:val="auto"/>
        </w:rPr>
        <w:t>To the extent that any payment by or on behalf of the Borrowers is made to the Administrative Agent or any Lender, or the Administrative</w:t>
      </w:r>
    </w:p>
    <w:p>
      <w:pPr>
        <w:spacing w:after="0" w:line="10" w:lineRule="exact"/>
        <w:rPr>
          <w:sz w:val="20"/>
          <w:szCs w:val="20"/>
          <w:color w:val="auto"/>
        </w:rPr>
      </w:pPr>
    </w:p>
    <w:p>
      <w:pPr>
        <w:ind w:left="9" w:right="260"/>
        <w:spacing w:after="0" w:line="234" w:lineRule="auto"/>
        <w:rPr>
          <w:sz w:val="20"/>
          <w:szCs w:val="20"/>
          <w:color w:val="auto"/>
        </w:rPr>
      </w:pPr>
      <w:r>
        <w:rPr>
          <w:rFonts w:ascii="Arial" w:cs="Arial" w:eastAsia="Arial" w:hAnsi="Arial"/>
          <w:sz w:val="16"/>
          <w:szCs w:val="16"/>
          <w:color w:val="auto"/>
        </w:rPr>
        <w:t>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w:t>
      </w:r>
    </w:p>
    <w:p>
      <w:pPr>
        <w:spacing w:after="0" w:line="2" w:lineRule="exact"/>
        <w:rPr>
          <w:sz w:val="20"/>
          <w:szCs w:val="20"/>
          <w:color w:val="auto"/>
        </w:rPr>
      </w:pPr>
    </w:p>
    <w:p>
      <w:pPr>
        <w:ind w:left="9" w:right="80"/>
        <w:spacing w:after="0" w:line="234" w:lineRule="auto"/>
        <w:rPr>
          <w:sz w:val="20"/>
          <w:szCs w:val="20"/>
          <w:color w:val="auto"/>
        </w:rPr>
      </w:pPr>
      <w:r>
        <w:rPr>
          <w:rFonts w:ascii="Arial" w:cs="Arial" w:eastAsia="Arial" w:hAnsi="Arial"/>
          <w:sz w:val="16"/>
          <w:szCs w:val="16"/>
          <w:color w:val="auto"/>
        </w:rPr>
        <w:t>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w:t>
      </w:r>
    </w:p>
    <w:p>
      <w:pPr>
        <w:spacing w:after="0" w:line="2" w:lineRule="exact"/>
        <w:rPr>
          <w:sz w:val="20"/>
          <w:szCs w:val="20"/>
          <w:color w:val="auto"/>
        </w:rPr>
      </w:pPr>
    </w:p>
    <w:p>
      <w:pPr>
        <w:ind w:left="9" w:right="160"/>
        <w:spacing w:after="0" w:line="21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203" w:lineRule="exact"/>
        <w:rPr>
          <w:sz w:val="20"/>
          <w:szCs w:val="20"/>
          <w:color w:val="auto"/>
        </w:rPr>
      </w:pPr>
    </w:p>
    <w:p>
      <w:pPr>
        <w:ind w:left="649"/>
        <w:spacing w:after="0"/>
        <w:tabs>
          <w:tab w:leader="none" w:pos="1789" w:val="left"/>
        </w:tabs>
        <w:rPr>
          <w:sz w:val="20"/>
          <w:szCs w:val="20"/>
          <w:color w:val="auto"/>
        </w:rPr>
      </w:pPr>
      <w:r>
        <w:rPr>
          <w:rFonts w:ascii="Arial" w:cs="Arial" w:eastAsia="Arial" w:hAnsi="Arial"/>
          <w:sz w:val="18"/>
          <w:szCs w:val="18"/>
          <w:color w:val="010000"/>
        </w:rPr>
        <w:t>Section 10.07</w:t>
      </w:r>
      <w:r>
        <w:rPr>
          <w:sz w:val="20"/>
          <w:szCs w:val="20"/>
          <w:color w:val="auto"/>
        </w:rPr>
        <w:tab/>
      </w:r>
      <w:r>
        <w:rPr>
          <w:rFonts w:ascii="Arial" w:cs="Arial" w:eastAsia="Arial" w:hAnsi="Arial"/>
          <w:sz w:val="15"/>
          <w:szCs w:val="15"/>
          <w:color w:val="auto"/>
        </w:rPr>
        <w:t>Successors and Assigns.</w:t>
      </w:r>
    </w:p>
    <w:p>
      <w:pPr>
        <w:spacing w:after="0" w:line="225" w:lineRule="exact"/>
        <w:rPr>
          <w:sz w:val="20"/>
          <w:szCs w:val="20"/>
          <w:color w:val="auto"/>
        </w:rPr>
      </w:pPr>
    </w:p>
    <w:p>
      <w:pPr>
        <w:jc w:val="both"/>
        <w:ind w:left="9" w:firstLine="640"/>
        <w:spacing w:after="0" w:line="211" w:lineRule="auto"/>
        <w:tabs>
          <w:tab w:leader="none" w:pos="1161" w:val="left"/>
        </w:tabs>
        <w:numPr>
          <w:ilvl w:val="1"/>
          <w:numId w:val="303"/>
        </w:numPr>
        <w:rPr>
          <w:rFonts w:ascii="Arial" w:cs="Arial" w:eastAsia="Arial" w:hAnsi="Arial"/>
          <w:sz w:val="18"/>
          <w:szCs w:val="18"/>
          <w:color w:val="010000"/>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except that the Parent Borrower may not (except as permitted by Section 7.04) assign or otherwise transfer any of its rights or obligations hereunder without the prior written consent of the Administrative Agent and each Lender and no Lender may assign or otherwise transfer any of its rights or obligations hereunder (including to existing Lenders and their Affiliates) except (i) to an Assignee in accordance with the provisions of Section 10.07(b) (such an assignee, an “</w:t>
      </w:r>
      <w:r>
        <w:rPr>
          <w:rFonts w:ascii="Arial" w:cs="Arial" w:eastAsia="Arial" w:hAnsi="Arial"/>
          <w:sz w:val="18"/>
          <w:szCs w:val="18"/>
          <w:b w:val="1"/>
          <w:bCs w:val="1"/>
          <w:color w:val="auto"/>
        </w:rPr>
        <w:t>Eligible Assignee</w:t>
      </w:r>
      <w:r>
        <w:rPr>
          <w:rFonts w:ascii="Arial" w:cs="Arial" w:eastAsia="Arial" w:hAnsi="Arial"/>
          <w:sz w:val="18"/>
          <w:szCs w:val="18"/>
          <w:color w:val="auto"/>
        </w:rPr>
        <w:t>”) and in the case of any Assignee that is the Parent Borrower or any of their respective Subsidiaries, Section 2.05(a)(v) or 10.07(l),</w:t>
      </w:r>
    </w:p>
    <w:p>
      <w:pPr>
        <w:spacing w:after="0" w:line="4" w:lineRule="exact"/>
        <w:rPr>
          <w:rFonts w:ascii="Arial" w:cs="Arial" w:eastAsia="Arial" w:hAnsi="Arial"/>
          <w:sz w:val="18"/>
          <w:szCs w:val="18"/>
          <w:color w:val="010000"/>
        </w:rPr>
      </w:pPr>
    </w:p>
    <w:p>
      <w:pPr>
        <w:jc w:val="both"/>
        <w:ind w:left="9" w:right="20" w:hanging="9"/>
        <w:spacing w:after="0" w:line="224" w:lineRule="auto"/>
        <w:tabs>
          <w:tab w:leader="none" w:pos="279"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by way of participation in accordance with the provisions of Section 10.07(e), (iii) by way of pledge or assignment of a security interest subject to the restrictions of Section 10.07(g) or (i) or (iv) to an SPC in accordance with the provisions of Section 10.07(h) (and any other attempted assignment or transfer by any party hereto shall be null and void);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no Lender may assign or, other than in the case of clause (iii) below, transfer by participation any of its rights or obligations hereunder to (i) any Person that is a Defaulting Lender, (ii) a natural Person (or a holding company, investment vehicle or trust for, or owned and operated for the primary benefit of a natural Person), (iii) a Disqualified Institution (unless otherwise agreed by the Administrative Borrower in its sole discretion and, notwithstanding anything herein to the contrary, without giving effect to any provision providing for deemed consent by the Administrative Borrower) or (iv) to the Parent Borrower or any of its Subsidiaries (except pursuant to Section 2.05(a)(v)or Section 10.07(l), as applicable). Nothing in this Agreement, expressed or implied, shall be construed to confer upon any Person (other than the parties hereto, their respective successors and assigns permitted hereby, Participants to the extent provided in Section 10.07(e) and, to the extent expressly contemplated hereby, the Indemnitees) any legal or equitable right, remedy or claim under or by reason of this Agreement.</w:t>
      </w:r>
    </w:p>
    <w:p>
      <w:pPr>
        <w:spacing w:after="0" w:line="200" w:lineRule="exact"/>
        <w:rPr>
          <w:rFonts w:ascii="Arial" w:cs="Arial" w:eastAsia="Arial" w:hAnsi="Arial"/>
          <w:sz w:val="17"/>
          <w:szCs w:val="17"/>
          <w:color w:val="auto"/>
        </w:rPr>
      </w:pPr>
    </w:p>
    <w:p>
      <w:pPr>
        <w:jc w:val="both"/>
        <w:ind w:left="9" w:right="40" w:firstLine="639"/>
        <w:spacing w:after="0" w:line="224" w:lineRule="auto"/>
        <w:tabs>
          <w:tab w:leader="none" w:pos="1162" w:val="left"/>
        </w:tabs>
        <w:numPr>
          <w:ilvl w:val="1"/>
          <w:numId w:val="304"/>
        </w:numPr>
        <w:rPr>
          <w:rFonts w:ascii="Arial" w:cs="Arial" w:eastAsia="Arial" w:hAnsi="Arial"/>
          <w:sz w:val="18"/>
          <w:szCs w:val="18"/>
          <w:color w:val="010000"/>
        </w:rPr>
      </w:pPr>
      <w:r>
        <w:rPr>
          <w:rFonts w:ascii="Arial" w:cs="Arial" w:eastAsia="Arial" w:hAnsi="Arial"/>
          <w:sz w:val="18"/>
          <w:szCs w:val="18"/>
          <w:color w:val="auto"/>
        </w:rPr>
        <w:t>(i) Subject to the conditions set forth in paragraph (b)(ii) below, any Lender may assign to one or more assignees (“</w:t>
      </w:r>
      <w:r>
        <w:rPr>
          <w:rFonts w:ascii="Arial" w:cs="Arial" w:eastAsia="Arial" w:hAnsi="Arial"/>
          <w:sz w:val="18"/>
          <w:szCs w:val="18"/>
          <w:b w:val="1"/>
          <w:bCs w:val="1"/>
          <w:color w:val="auto"/>
        </w:rPr>
        <w:t>Assignees</w:t>
      </w:r>
      <w:r>
        <w:rPr>
          <w:rFonts w:ascii="Arial" w:cs="Arial" w:eastAsia="Arial" w:hAnsi="Arial"/>
          <w:sz w:val="18"/>
          <w:szCs w:val="18"/>
          <w:color w:val="auto"/>
        </w:rPr>
        <w:t>”) all or a portion of its rights and obligations under this Agreement (including all or a portion of its Commitment and the Loans) with the prior written consent (such consent not to be unreasonably withheld or delayed, except in connection with a proposed assignment to any Disqualified Institution, which consent by the Administrative Borrower may be withheld in its sole discretion) of:</w:t>
      </w:r>
    </w:p>
    <w:p>
      <w:pPr>
        <w:spacing w:after="0" w:line="189" w:lineRule="exact"/>
        <w:rPr>
          <w:rFonts w:ascii="Arial" w:cs="Arial" w:eastAsia="Arial" w:hAnsi="Arial"/>
          <w:sz w:val="18"/>
          <w:szCs w:val="18"/>
          <w:color w:val="010000"/>
        </w:rPr>
      </w:pPr>
    </w:p>
    <w:p>
      <w:pPr>
        <w:ind w:left="1049" w:right="320" w:firstLine="654"/>
        <w:spacing w:after="0" w:line="246" w:lineRule="auto"/>
        <w:tabs>
          <w:tab w:leader="none" w:pos="2443" w:val="left"/>
        </w:tabs>
        <w:numPr>
          <w:ilvl w:val="2"/>
          <w:numId w:val="304"/>
        </w:numPr>
        <w:rPr>
          <w:rFonts w:ascii="Arial" w:cs="Arial" w:eastAsia="Arial" w:hAnsi="Arial"/>
          <w:sz w:val="18"/>
          <w:szCs w:val="18"/>
          <w:color w:val="010000"/>
        </w:rPr>
      </w:pPr>
      <w:r>
        <w:rPr>
          <w:rFonts w:ascii="Arial" w:cs="Arial" w:eastAsia="Arial" w:hAnsi="Arial"/>
          <w:sz w:val="18"/>
          <w:szCs w:val="18"/>
          <w:color w:val="auto"/>
        </w:rPr>
        <w:t xml:space="preserve">the Administrative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Administrative Borrower shall be required for (i) an assignment of all or a portion of the Term Loans or Term</w:t>
      </w:r>
    </w:p>
    <w:p>
      <w:pPr>
        <w:sectPr>
          <w:pgSz w:w="11900" w:h="16838" w:orient="portrait"/>
          <w:cols w:equalWidth="0" w:num="1">
            <w:col w:w="10929"/>
          </w:cols>
          <w:pgMar w:left="471" w:top="1440" w:right="499" w:bottom="1440" w:gutter="0" w:footer="0" w:header="0"/>
        </w:sectPr>
      </w:pPr>
    </w:p>
    <w:bookmarkStart w:id="229" w:name="page230"/>
    <w:bookmarkEnd w:id="229"/>
    <w:p>
      <w:pPr>
        <w:spacing w:after="0" w:line="211" w:lineRule="exact"/>
        <w:rPr>
          <w:sz w:val="20"/>
          <w:szCs w:val="20"/>
          <w:color w:val="auto"/>
        </w:rPr>
      </w:pPr>
    </w:p>
    <w:p>
      <w:pPr>
        <w:jc w:val="both"/>
        <w:ind w:left="1040" w:right="40"/>
        <w:spacing w:after="0" w:line="241" w:lineRule="auto"/>
        <w:rPr>
          <w:sz w:val="20"/>
          <w:szCs w:val="20"/>
          <w:color w:val="auto"/>
        </w:rPr>
      </w:pPr>
      <w:r>
        <w:rPr>
          <w:rFonts w:ascii="Arial" w:cs="Arial" w:eastAsia="Arial" w:hAnsi="Arial"/>
          <w:sz w:val="16"/>
          <w:szCs w:val="16"/>
          <w:color w:val="auto"/>
        </w:rPr>
        <w:t xml:space="preserve">Commitments to a Lender, an Affiliate of a Lender or an Approved Fund, (ii) other than with respect to any proposed assignment to a Disqualified Institution, if an Event of Default under Section 8.01(a) or, solely with respect to the Parent Borrower, Section 8.01(f) has occurred and is continuing, to any Assignee or (iii) an assignment of all or a portion of the Loans pursuant to Section 10.07(l); </w:t>
      </w:r>
      <w:r>
        <w:rPr>
          <w:rFonts w:ascii="Arial" w:cs="Arial" w:eastAsia="Arial" w:hAnsi="Arial"/>
          <w:sz w:val="16"/>
          <w:szCs w:val="16"/>
          <w:i w:val="1"/>
          <w:iCs w:val="1"/>
          <w:color w:val="auto"/>
        </w:rPr>
        <w:t>provided</w:t>
      </w:r>
    </w:p>
    <w:p>
      <w:pPr>
        <w:spacing w:after="0" w:line="2" w:lineRule="exact"/>
        <w:rPr>
          <w:sz w:val="20"/>
          <w:szCs w:val="20"/>
          <w:color w:val="auto"/>
        </w:rPr>
      </w:pPr>
    </w:p>
    <w:p>
      <w:pPr>
        <w:jc w:val="both"/>
        <w:ind w:left="1040" w:right="40"/>
        <w:spacing w:after="0" w:line="208" w:lineRule="auto"/>
        <w:rPr>
          <w:sz w:val="20"/>
          <w:szCs w:val="20"/>
          <w:color w:val="auto"/>
        </w:rPr>
      </w:pPr>
      <w:r>
        <w:rPr>
          <w:rFonts w:ascii="Arial" w:cs="Arial" w:eastAsia="Arial" w:hAnsi="Arial"/>
          <w:sz w:val="18"/>
          <w:szCs w:val="18"/>
          <w:color w:val="auto"/>
        </w:rPr>
        <w:t>that, other than with respect to any proposed assignment to a Disqualified Institution, the Administrative Borrower shall be deemed to have consented to any such assignment of the Term Loans unless it shall have objected thereto by written notice to the Administrative Agent within ten</w:t>
      </w:r>
    </w:p>
    <w:p>
      <w:pPr>
        <w:spacing w:after="0" w:line="2" w:lineRule="exact"/>
        <w:rPr>
          <w:sz w:val="20"/>
          <w:szCs w:val="20"/>
          <w:color w:val="auto"/>
        </w:rPr>
      </w:pPr>
    </w:p>
    <w:p>
      <w:pPr>
        <w:ind w:left="1400" w:hanging="354"/>
        <w:spacing w:after="0"/>
        <w:tabs>
          <w:tab w:leader="none" w:pos="14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Business Days after having acknowledged receipt of a written notice thereof; and</w:t>
      </w:r>
    </w:p>
    <w:p>
      <w:pPr>
        <w:spacing w:after="0" w:line="209" w:lineRule="exact"/>
        <w:rPr>
          <w:rFonts w:ascii="Arial" w:cs="Arial" w:eastAsia="Arial" w:hAnsi="Arial"/>
          <w:sz w:val="18"/>
          <w:szCs w:val="18"/>
          <w:color w:val="auto"/>
        </w:rPr>
      </w:pPr>
    </w:p>
    <w:p>
      <w:pPr>
        <w:ind w:left="2440" w:hanging="746"/>
        <w:spacing w:after="0"/>
        <w:tabs>
          <w:tab w:leader="none" w:pos="2440" w:val="left"/>
        </w:tabs>
        <w:numPr>
          <w:ilvl w:val="2"/>
          <w:numId w:val="305"/>
        </w:numPr>
        <w:rPr>
          <w:rFonts w:ascii="Arial" w:cs="Arial" w:eastAsia="Arial" w:hAnsi="Arial"/>
          <w:sz w:val="16"/>
          <w:szCs w:val="16"/>
          <w:color w:val="010000"/>
        </w:rPr>
      </w:pPr>
      <w:r>
        <w:rPr>
          <w:rFonts w:ascii="Arial" w:cs="Arial" w:eastAsia="Arial" w:hAnsi="Arial"/>
          <w:sz w:val="16"/>
          <w:szCs w:val="16"/>
          <w:color w:val="auto"/>
        </w:rPr>
        <w:t xml:space="preserve">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consent of the Administrative Agent shall be required for an assignment</w:t>
      </w:r>
    </w:p>
    <w:p>
      <w:pPr>
        <w:spacing w:after="0" w:line="7" w:lineRule="exact"/>
        <w:rPr>
          <w:rFonts w:ascii="Arial" w:cs="Arial" w:eastAsia="Arial" w:hAnsi="Arial"/>
          <w:sz w:val="16"/>
          <w:szCs w:val="16"/>
          <w:color w:val="010000"/>
        </w:rPr>
      </w:pPr>
    </w:p>
    <w:p>
      <w:pPr>
        <w:ind w:left="1040"/>
        <w:spacing w:after="0" w:line="226" w:lineRule="auto"/>
        <w:rPr>
          <w:rFonts w:ascii="Arial" w:cs="Arial" w:eastAsia="Arial" w:hAnsi="Arial"/>
          <w:sz w:val="16"/>
          <w:szCs w:val="16"/>
          <w:color w:val="010000"/>
        </w:rPr>
      </w:pPr>
      <w:r>
        <w:rPr>
          <w:rFonts w:ascii="Arial" w:cs="Arial" w:eastAsia="Arial" w:hAnsi="Arial"/>
          <w:sz w:val="18"/>
          <w:szCs w:val="18"/>
          <w:color w:val="auto"/>
        </w:rPr>
        <w:t>(i) of all or any portion of a Term Loan to a Lender, an Affiliate of a Lender or an Approved Fund or (ii) of all or a portion of the Loans pursuant to Section 10.7(l).</w:t>
      </w:r>
    </w:p>
    <w:p>
      <w:pPr>
        <w:spacing w:after="0" w:line="201" w:lineRule="exact"/>
        <w:rPr>
          <w:rFonts w:ascii="Arial" w:cs="Arial" w:eastAsia="Arial" w:hAnsi="Arial"/>
          <w:sz w:val="16"/>
          <w:szCs w:val="16"/>
          <w:color w:val="010000"/>
        </w:rPr>
      </w:pPr>
    </w:p>
    <w:p>
      <w:pPr>
        <w:ind w:left="1120" w:hanging="619"/>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040" w:firstLine="654"/>
        <w:spacing w:after="0" w:line="219" w:lineRule="auto"/>
        <w:tabs>
          <w:tab w:leader="none" w:pos="2434" w:val="left"/>
        </w:tabs>
        <w:numPr>
          <w:ilvl w:val="2"/>
          <w:numId w:val="306"/>
        </w:numPr>
        <w:rPr>
          <w:rFonts w:ascii="Arial" w:cs="Arial" w:eastAsia="Arial" w:hAnsi="Arial"/>
          <w:sz w:val="18"/>
          <w:szCs w:val="18"/>
          <w:color w:val="010000"/>
        </w:rPr>
      </w:pPr>
      <w:r>
        <w:rPr>
          <w:rFonts w:ascii="Arial" w:cs="Arial" w:eastAsia="Arial" w:hAnsi="Arial"/>
          <w:sz w:val="18"/>
          <w:szCs w:val="18"/>
          <w:color w:val="auto"/>
        </w:rPr>
        <w:t xml:space="preserve">except in the case of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an amount of $1,000,000, and shall be in increments of an amount of $1,000,000, in excess thereof unless each of the Administrative Borrower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assignments shall be aggregated in respect of each Lender and its Affiliates or Approved Funds, if any;</w:t>
      </w:r>
    </w:p>
    <w:p>
      <w:pPr>
        <w:spacing w:after="0" w:line="203" w:lineRule="exact"/>
        <w:rPr>
          <w:rFonts w:ascii="Arial" w:cs="Arial" w:eastAsia="Arial" w:hAnsi="Arial"/>
          <w:sz w:val="18"/>
          <w:szCs w:val="18"/>
          <w:color w:val="010000"/>
        </w:rPr>
      </w:pPr>
    </w:p>
    <w:p>
      <w:pPr>
        <w:jc w:val="both"/>
        <w:ind w:left="1040" w:right="40" w:firstLine="654"/>
        <w:spacing w:after="0" w:line="224" w:lineRule="auto"/>
        <w:tabs>
          <w:tab w:leader="none" w:pos="2434" w:val="left"/>
        </w:tabs>
        <w:numPr>
          <w:ilvl w:val="2"/>
          <w:numId w:val="306"/>
        </w:numPr>
        <w:rPr>
          <w:rFonts w:ascii="Arial" w:cs="Arial" w:eastAsia="Arial" w:hAnsi="Arial"/>
          <w:sz w:val="18"/>
          <w:szCs w:val="18"/>
          <w:color w:val="010000"/>
        </w:rPr>
      </w:pPr>
      <w:r>
        <w:rPr>
          <w:rFonts w:ascii="Arial" w:cs="Arial" w:eastAsia="Arial" w:hAnsi="Arial"/>
          <w:sz w:val="18"/>
          <w:szCs w:val="18"/>
          <w:color w:val="auto"/>
        </w:rPr>
        <w:t>the parties to each assignment shall execute and deliver to the Administrative Agent an Assignment and Assumption either manually or via an electronic settlement system acceptable to the Administrative Agent, together with a processing and recordation fee of $3,500 (unless waived or reduced by the Administrative Agent in its sole discretion);</w:t>
      </w:r>
    </w:p>
    <w:p>
      <w:pPr>
        <w:spacing w:after="0" w:line="203" w:lineRule="exact"/>
        <w:rPr>
          <w:rFonts w:ascii="Arial" w:cs="Arial" w:eastAsia="Arial" w:hAnsi="Arial"/>
          <w:sz w:val="18"/>
          <w:szCs w:val="18"/>
          <w:color w:val="010000"/>
        </w:rPr>
      </w:pPr>
    </w:p>
    <w:p>
      <w:pPr>
        <w:ind w:left="1040" w:right="20" w:firstLine="654"/>
        <w:spacing w:after="0" w:line="235" w:lineRule="auto"/>
        <w:tabs>
          <w:tab w:leader="none" w:pos="2434" w:val="left"/>
        </w:tabs>
        <w:numPr>
          <w:ilvl w:val="2"/>
          <w:numId w:val="306"/>
        </w:numPr>
        <w:rPr>
          <w:rFonts w:ascii="Arial" w:cs="Arial" w:eastAsia="Arial" w:hAnsi="Arial"/>
          <w:sz w:val="18"/>
          <w:szCs w:val="18"/>
          <w:color w:val="010000"/>
        </w:rPr>
      </w:pPr>
      <w:r>
        <w:rPr>
          <w:rFonts w:ascii="Arial" w:cs="Arial" w:eastAsia="Arial" w:hAnsi="Arial"/>
          <w:sz w:val="18"/>
          <w:szCs w:val="18"/>
          <w:color w:val="auto"/>
        </w:rPr>
        <w:t>other than in the case of assignments pursuant to Section 10.07(l), the Assignee, if it shall not be a Lender, shall deliver to the Administrative Agent an Administrative Questionnaire; and</w:t>
      </w:r>
    </w:p>
    <w:p>
      <w:pPr>
        <w:spacing w:after="0" w:line="188" w:lineRule="exact"/>
        <w:rPr>
          <w:rFonts w:ascii="Arial" w:cs="Arial" w:eastAsia="Arial" w:hAnsi="Arial"/>
          <w:sz w:val="18"/>
          <w:szCs w:val="18"/>
          <w:color w:val="010000"/>
        </w:rPr>
      </w:pPr>
    </w:p>
    <w:p>
      <w:pPr>
        <w:ind w:left="1040" w:right="40" w:firstLine="654"/>
        <w:spacing w:after="0" w:line="246" w:lineRule="auto"/>
        <w:tabs>
          <w:tab w:leader="none" w:pos="2434" w:val="left"/>
        </w:tabs>
        <w:numPr>
          <w:ilvl w:val="2"/>
          <w:numId w:val="306"/>
        </w:numPr>
        <w:rPr>
          <w:rFonts w:ascii="Arial" w:cs="Arial" w:eastAsia="Arial" w:hAnsi="Arial"/>
          <w:sz w:val="18"/>
          <w:szCs w:val="18"/>
          <w:color w:val="010000"/>
        </w:rPr>
      </w:pPr>
      <w:r>
        <w:rPr>
          <w:rFonts w:ascii="Arial" w:cs="Arial" w:eastAsia="Arial" w:hAnsi="Arial"/>
          <w:sz w:val="18"/>
          <w:szCs w:val="18"/>
          <w:color w:val="auto"/>
        </w:rPr>
        <w:t>the Assignee shall execute and deliver to the Administrative Agent and the Administrative Borrower the forms described in Sections 3.01(d) and 3.01(e) applicable to it.</w:t>
      </w:r>
    </w:p>
    <w:p>
      <w:pPr>
        <w:spacing w:after="0" w:line="197"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This paragraph (b) shall not prohibit any Lender from assigning all or a portion of its rights and obligations among separate Facilities on a non-pro rata basis among such Facilities.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w:t>
      </w:r>
    </w:p>
    <w:p>
      <w:pPr>
        <w:jc w:val="both"/>
        <w:spacing w:after="0" w:line="234" w:lineRule="auto"/>
        <w:rPr>
          <w:sz w:val="20"/>
          <w:szCs w:val="20"/>
          <w:color w:val="auto"/>
        </w:rPr>
      </w:pPr>
      <w:r>
        <w:rPr>
          <w:rFonts w:ascii="Arial" w:cs="Arial" w:eastAsia="Arial" w:hAnsi="Arial"/>
          <w:sz w:val="16"/>
          <w:szCs w:val="16"/>
          <w:color w:val="auto"/>
        </w:rPr>
        <w:t>Administrative Agent in an aggregate amount sufficient, upon distribution thereof as appropriate (which may be outright payment, purchases by the assignee of participations or subparticipations, or other compensating actions, including funding, with the consent of the Administrative Borrower and the Administrative Agent, the applicable Pro Rata Share of Loans previously requested but not funded by the Defaulting Lender, to each of which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Pro Rata Share. Notwithstanding the foregoing, in the event that any assignment of rights and obligations of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ectPr>
          <w:pgSz w:w="11900" w:h="16838" w:orient="portrait"/>
          <w:cols w:equalWidth="0" w:num="1">
            <w:col w:w="10920"/>
          </w:cols>
          <w:pgMar w:left="480" w:top="1440" w:right="499" w:bottom="1440" w:gutter="0" w:footer="0" w:header="0"/>
        </w:sectPr>
      </w:pPr>
    </w:p>
    <w:bookmarkStart w:id="230" w:name="page231"/>
    <w:bookmarkEnd w:id="230"/>
    <w:p>
      <w:pPr>
        <w:spacing w:after="0" w:line="211" w:lineRule="exact"/>
        <w:rPr>
          <w:sz w:val="20"/>
          <w:szCs w:val="20"/>
          <w:color w:val="auto"/>
        </w:rPr>
      </w:pPr>
    </w:p>
    <w:p>
      <w:pPr>
        <w:jc w:val="both"/>
        <w:ind w:left="8" w:firstLine="648"/>
        <w:spacing w:after="0" w:line="241" w:lineRule="auto"/>
        <w:rPr>
          <w:sz w:val="20"/>
          <w:szCs w:val="20"/>
          <w:color w:val="auto"/>
        </w:rPr>
      </w:pPr>
      <w:r>
        <w:rPr>
          <w:rFonts w:ascii="Arial" w:cs="Arial" w:eastAsia="Arial" w:hAnsi="Arial"/>
          <w:sz w:val="16"/>
          <w:szCs w:val="16"/>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w:t>
      </w:r>
    </w:p>
    <w:p>
      <w:pPr>
        <w:ind w:left="8"/>
        <w:spacing w:after="0" w:line="205" w:lineRule="auto"/>
        <w:rPr>
          <w:sz w:val="20"/>
          <w:szCs w:val="20"/>
          <w:color w:val="auto"/>
        </w:rPr>
      </w:pPr>
      <w:r>
        <w:rPr>
          <w:rFonts w:ascii="Arial" w:cs="Arial" w:eastAsia="Arial" w:hAnsi="Arial"/>
          <w:sz w:val="18"/>
          <w:szCs w:val="18"/>
          <w:color w:val="auto"/>
        </w:rPr>
        <w:t>Institution or</w:t>
      </w:r>
    </w:p>
    <w:p>
      <w:pPr>
        <w:jc w:val="both"/>
        <w:ind w:left="8" w:right="20" w:hanging="8"/>
        <w:spacing w:after="0" w:line="236" w:lineRule="auto"/>
        <w:tabs>
          <w:tab w:leader="none" w:pos="296" w:val="left"/>
        </w:tabs>
        <w:numPr>
          <w:ilvl w:val="0"/>
          <w:numId w:val="307"/>
        </w:numPr>
        <w:rPr>
          <w:rFonts w:ascii="Arial" w:cs="Arial" w:eastAsia="Arial" w:hAnsi="Arial"/>
          <w:sz w:val="17"/>
          <w:szCs w:val="17"/>
          <w:color w:val="auto"/>
        </w:rPr>
      </w:pPr>
      <w:r>
        <w:rPr>
          <w:rFonts w:ascii="Arial" w:cs="Arial" w:eastAsia="Arial" w:hAnsi="Arial"/>
          <w:sz w:val="17"/>
          <w:szCs w:val="17"/>
          <w:color w:val="auto"/>
        </w:rPr>
        <w:t>have any liability with respect to or arising out of any assignment or participation of Loans or Commitments, or disclosure of confidential information, to any Disqualified Institution. The identity of Disqualified Institutions will not be posted or distributed to any Person by the Administrative Agent or Arranger, but may be communicated by the Administrative Agent to a Lender upon request therefor.</w:t>
      </w:r>
    </w:p>
    <w:p>
      <w:pPr>
        <w:spacing w:after="0" w:line="190" w:lineRule="exact"/>
        <w:rPr>
          <w:rFonts w:ascii="Arial" w:cs="Arial" w:eastAsia="Arial" w:hAnsi="Arial"/>
          <w:sz w:val="17"/>
          <w:szCs w:val="17"/>
          <w:color w:val="auto"/>
        </w:rPr>
      </w:pPr>
    </w:p>
    <w:p>
      <w:pPr>
        <w:jc w:val="both"/>
        <w:ind w:left="8" w:right="20" w:firstLine="640"/>
        <w:spacing w:after="0" w:line="226" w:lineRule="auto"/>
        <w:tabs>
          <w:tab w:leader="none" w:pos="1160" w:val="left"/>
        </w:tabs>
        <w:numPr>
          <w:ilvl w:val="1"/>
          <w:numId w:val="307"/>
        </w:numPr>
        <w:rPr>
          <w:rFonts w:ascii="Arial" w:cs="Arial" w:eastAsia="Arial" w:hAnsi="Arial"/>
          <w:sz w:val="17"/>
          <w:szCs w:val="17"/>
          <w:color w:val="010000"/>
        </w:rPr>
      </w:pPr>
      <w:r>
        <w:rPr>
          <w:rFonts w:ascii="Arial" w:cs="Arial" w:eastAsia="Arial" w:hAnsi="Arial"/>
          <w:sz w:val="17"/>
          <w:szCs w:val="17"/>
          <w:color w:val="auto"/>
        </w:rPr>
        <w:t>Subject to acceptance and recording thereof by the Administrative Agent pursuant to Section 10.07(d), from and after the effective date specified in each Assignment and Assumption, (1) other than in connection with an assignment pursuant to Section 10.07(l),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and subject to the obligations of Sections 3.01, 3.04, 3.05, 10.04 and 10.05 with respect to facts and circumstances occurring prior to the effective date of such assignment). Upon request, and the surrender by the assigning Lender of its Note, the Borrowers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10.07(e).</w:t>
      </w:r>
    </w:p>
    <w:p>
      <w:pPr>
        <w:spacing w:after="0" w:line="202" w:lineRule="exact"/>
        <w:rPr>
          <w:rFonts w:ascii="Arial" w:cs="Arial" w:eastAsia="Arial" w:hAnsi="Arial"/>
          <w:sz w:val="17"/>
          <w:szCs w:val="17"/>
          <w:color w:val="010000"/>
        </w:rPr>
      </w:pPr>
    </w:p>
    <w:p>
      <w:pPr>
        <w:jc w:val="both"/>
        <w:ind w:left="8" w:right="20" w:firstLine="639"/>
        <w:spacing w:after="0" w:line="227" w:lineRule="auto"/>
        <w:tabs>
          <w:tab w:leader="none" w:pos="1161" w:val="left"/>
        </w:tabs>
        <w:numPr>
          <w:ilvl w:val="1"/>
          <w:numId w:val="307"/>
        </w:numPr>
        <w:rPr>
          <w:rFonts w:ascii="Arial" w:cs="Arial" w:eastAsia="Arial" w:hAnsi="Arial"/>
          <w:sz w:val="17"/>
          <w:szCs w:val="17"/>
          <w:color w:val="010000"/>
        </w:rPr>
      </w:pPr>
      <w:r>
        <w:rPr>
          <w:rFonts w:ascii="Arial" w:cs="Arial" w:eastAsia="Arial" w:hAnsi="Arial"/>
          <w:sz w:val="17"/>
          <w:szCs w:val="17"/>
          <w:color w:val="auto"/>
        </w:rPr>
        <w:t>The Administrative Agent, acting solely for this purpose as an agent of the Borrowers, shall maintain at the Administrative Agent’s Office a copy of each Assignment and Assumption and each notice of cancellation of any Loans delivered by the Borrowers pursuant to Section 10.07(l) and a register for the recordation of the names and addresses of the Lenders, and the Commitments of, and principal amounts (and related interest amounts) of the Loans,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The Register shall be available for inspection by the Borrowers, any Agent and any Lender (solely with respect to the information as it relates to such Lender), at any reasonable time and from time to time upon reasonable prior notice. This Section 10.07(d) and Section 2.11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89" w:lineRule="exact"/>
        <w:rPr>
          <w:rFonts w:ascii="Arial" w:cs="Arial" w:eastAsia="Arial" w:hAnsi="Arial"/>
          <w:sz w:val="17"/>
          <w:szCs w:val="17"/>
          <w:color w:val="010000"/>
        </w:rPr>
      </w:pPr>
    </w:p>
    <w:p>
      <w:pPr>
        <w:ind w:left="8" w:right="20" w:firstLine="640"/>
        <w:spacing w:after="0" w:line="225" w:lineRule="auto"/>
        <w:tabs>
          <w:tab w:leader="none" w:pos="1160" w:val="left"/>
        </w:tabs>
        <w:numPr>
          <w:ilvl w:val="1"/>
          <w:numId w:val="307"/>
        </w:numPr>
        <w:rPr>
          <w:rFonts w:ascii="Arial" w:cs="Arial" w:eastAsia="Arial" w:hAnsi="Arial"/>
          <w:sz w:val="17"/>
          <w:szCs w:val="17"/>
          <w:color w:val="010000"/>
        </w:rPr>
      </w:pPr>
      <w:r>
        <w:rPr>
          <w:rFonts w:ascii="Arial" w:cs="Arial" w:eastAsia="Arial" w:hAnsi="Arial"/>
          <w:sz w:val="17"/>
          <w:szCs w:val="17"/>
          <w:color w:val="auto"/>
        </w:rPr>
        <w:t>Any Lender may at any time sell participations to any Person (other than a natural person (or a holding company, investment vehicle or trust for, or owned and operated for the primary benefit of a natural Person), a Defaulting Lender or a Disqualified Institution)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clauses (a), (b), (c), (e), (f) and (j) of the first proviso to Section 10.01 that requires the affirmative vote of such Lender. Subject to Section 10.07(f), the Borrowers agree that each Participant shall be entitled to the benefits and subject to the obligations of Sections 3.01, 3.04 and 3.05 to the same extent as if it were a Lender (subject, for the avoidance of doubt, to the limitations and requirements of those Sections applying to each Participant as if it were a Lender and</w:t>
      </w:r>
    </w:p>
    <w:p>
      <w:pPr>
        <w:sectPr>
          <w:pgSz w:w="11900" w:h="16838" w:orient="portrait"/>
          <w:cols w:equalWidth="0" w:num="1">
            <w:col w:w="10908"/>
          </w:cols>
          <w:pgMar w:left="472" w:top="1440" w:right="519" w:bottom="1440" w:gutter="0" w:footer="0" w:header="0"/>
        </w:sectPr>
      </w:pPr>
    </w:p>
    <w:bookmarkStart w:id="231" w:name="page232"/>
    <w:bookmarkEnd w:id="231"/>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 xml:space="preserve">provided that any documentation required to be provided under Section 3.01(d) shall be provided solely to the participating Lender) and had acquired its interest by assignment pursuant to Section 10.07(c). To the extent permitted by applicable Law, each Participant also shall be entitled to the benefits of Section 10.09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also shall be subject to Section 2.13 as though it were a Lender. Each</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Lender that sells a participation shall, acting solely for this purpose as a non-fiduciary agent of the Borrowers, maintain a register on which it enters the name and address of each Participant and the principal amounts (and related interest amounts) of each Participant’s interest in the Loans or other obligations under the Loan Documents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and such Lender shall treat each Person whose name is recorded in the Participant Register as the owner of such participation for all purposes of this Agreement notwithstanding any notice to the contrary. The portion of any Participant Register relating to any Participant or SPC requesting payment from the Borrowers or seeking to exercise its rights under Section 10.09 shall be available for inspection by the Borrowers or any other Person only to</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extent that such disclosure is necessary to establish that such commitment, loan, letter of credit or other obligation is in registered form under Section 5f.103-1(c) of the United States Treasury Regulations and Section 1.163-5(b) of the proposed United States Treasury Regulations. For the avoidance of doubt, the Administrative Agent (in its capacity as Administrative Agent) shall have no responsibility for maintaining a Participant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Register.</w:t>
      </w:r>
    </w:p>
    <w:p>
      <w:pPr>
        <w:spacing w:after="0" w:line="196" w:lineRule="exact"/>
        <w:rPr>
          <w:sz w:val="20"/>
          <w:szCs w:val="20"/>
          <w:color w:val="auto"/>
        </w:rPr>
      </w:pPr>
    </w:p>
    <w:p>
      <w:pPr>
        <w:jc w:val="both"/>
        <w:ind w:firstLine="640"/>
        <w:spacing w:after="0" w:line="229" w:lineRule="auto"/>
        <w:tabs>
          <w:tab w:leader="none" w:pos="1152" w:val="left"/>
        </w:tabs>
        <w:numPr>
          <w:ilvl w:val="0"/>
          <w:numId w:val="308"/>
        </w:numPr>
        <w:rPr>
          <w:rFonts w:ascii="Arial" w:cs="Arial" w:eastAsia="Arial" w:hAnsi="Arial"/>
          <w:sz w:val="17"/>
          <w:szCs w:val="17"/>
          <w:color w:val="010000"/>
        </w:rPr>
      </w:pPr>
      <w:r>
        <w:rPr>
          <w:rFonts w:ascii="Arial" w:cs="Arial" w:eastAsia="Arial" w:hAnsi="Arial"/>
          <w:sz w:val="17"/>
          <w:szCs w:val="17"/>
          <w:color w:val="auto"/>
        </w:rPr>
        <w:t>A Participant shall not be entitled to receive any greater payment under Sections 3.01, 3.04 or 3.05 than the applicable Lender would have been entitled to receive with respect to the participation sold to such Participant, unless (i) such entitlement to a greater payment results from a Change in Law after the sale of the participation to such Participant takes place or (ii) the sale of the participation to such Participant is made with the Administrative Borrower’s prior written consent. A Participant shall not be entitled to the benefits of Section 3.01 unless such Participant complies with Sections 3.01(a), (d), (e), (f) and (h) as though it were a Lender (it being understood that the documentation required under Section 3.01(d) shall be delivered solely to the participating Lender and, at the time such participant has made a claim under Section 3.01, as necessary to substantiate a claim for additional amounts pursuant to Section 3.01).</w:t>
      </w:r>
    </w:p>
    <w:p>
      <w:pPr>
        <w:spacing w:after="0" w:line="206" w:lineRule="exact"/>
        <w:rPr>
          <w:rFonts w:ascii="Arial" w:cs="Arial" w:eastAsia="Arial" w:hAnsi="Arial"/>
          <w:sz w:val="17"/>
          <w:szCs w:val="17"/>
          <w:color w:val="010000"/>
        </w:rPr>
      </w:pPr>
    </w:p>
    <w:p>
      <w:pPr>
        <w:jc w:val="both"/>
        <w:ind w:right="40" w:firstLine="640"/>
        <w:spacing w:after="0" w:line="223" w:lineRule="auto"/>
        <w:tabs>
          <w:tab w:leader="none" w:pos="1152" w:val="left"/>
        </w:tabs>
        <w:numPr>
          <w:ilvl w:val="0"/>
          <w:numId w:val="308"/>
        </w:numPr>
        <w:rPr>
          <w:rFonts w:ascii="Arial" w:cs="Arial" w:eastAsia="Arial" w:hAnsi="Arial"/>
          <w:sz w:val="18"/>
          <w:szCs w:val="18"/>
          <w:color w:val="010000"/>
        </w:rPr>
      </w:pPr>
      <w:r>
        <w:rPr>
          <w:rFonts w:ascii="Arial" w:cs="Arial" w:eastAsia="Arial" w:hAnsi="Arial"/>
          <w:sz w:val="18"/>
          <w:szCs w:val="18"/>
          <w:color w:val="auto"/>
        </w:rPr>
        <w:t xml:space="preserve">Any Lender may, without the consent of the Borrowers or the Administrative Agent, at any time pledge or assign a security interest in all or any portion of its rights under this Agreement (including under its Note, if any) to secure obligations of such Lender to a Federal Reserve Bank or to any central bank having jurisdiction over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5" w:lineRule="exact"/>
        <w:rPr>
          <w:rFonts w:ascii="Arial" w:cs="Arial" w:eastAsia="Arial" w:hAnsi="Arial"/>
          <w:sz w:val="18"/>
          <w:szCs w:val="18"/>
          <w:color w:val="010000"/>
        </w:rPr>
      </w:pPr>
    </w:p>
    <w:p>
      <w:pPr>
        <w:ind w:right="40" w:firstLine="639"/>
        <w:spacing w:after="0" w:line="224" w:lineRule="auto"/>
        <w:tabs>
          <w:tab w:leader="none" w:pos="1153" w:val="left"/>
        </w:tabs>
        <w:numPr>
          <w:ilvl w:val="0"/>
          <w:numId w:val="308"/>
        </w:numPr>
        <w:rPr>
          <w:rFonts w:ascii="Arial" w:cs="Arial" w:eastAsia="Arial" w:hAnsi="Arial"/>
          <w:sz w:val="17"/>
          <w:szCs w:val="17"/>
          <w:color w:val="010000"/>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b w:val="1"/>
          <w:bCs w:val="1"/>
          <w:color w:val="auto"/>
        </w:rPr>
        <w:t>Granting Lender</w:t>
      </w:r>
      <w:r>
        <w:rPr>
          <w:rFonts w:ascii="Arial" w:cs="Arial" w:eastAsia="Arial" w:hAnsi="Arial"/>
          <w:sz w:val="17"/>
          <w:szCs w:val="17"/>
          <w:color w:val="auto"/>
        </w:rPr>
        <w:t>”) may grant to a special purpose funding vehicle (other than a Disqualified Institution) identified as such in writing from time to time by the Granting Lender to the Administrative Agent and the Administrative Borrower (an “</w:t>
      </w:r>
      <w:r>
        <w:rPr>
          <w:rFonts w:ascii="Arial" w:cs="Arial" w:eastAsia="Arial" w:hAnsi="Arial"/>
          <w:sz w:val="17"/>
          <w:szCs w:val="17"/>
          <w:b w:val="1"/>
          <w:bCs w:val="1"/>
          <w:color w:val="auto"/>
        </w:rPr>
        <w:t>SPC</w:t>
      </w:r>
      <w:r>
        <w:rPr>
          <w:rFonts w:ascii="Arial" w:cs="Arial" w:eastAsia="Arial" w:hAnsi="Arial"/>
          <w:sz w:val="17"/>
          <w:szCs w:val="17"/>
          <w:color w:val="auto"/>
        </w:rPr>
        <w:t xml:space="preserve">”) the option to provide all or any part of any Loan that such Granting Lender would otherwise be obligated to make pursuant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 of Sections 3.01, 3.04 and 3.05 (subject to the requirements and the limitations of such Sections), but neither the grant to any SPC nor the exercise by any SPC of such option shall increase the costs or expenses or otherwise increase or change the obligations of the Borrowers under this Agreement except, in the case of Section 3.01, to the extent that the grant to the SPC was made with the prior written consent of the Administrative Borrower (not to be unreasonably withheld or delayed; for the avoidance of doubt, the Administrative Borrower shall have a reasonable basis for withholding consent if an exercise by an SPC immediately after the grant would result in materially increased indemnification obligation to the Borrowers at such time),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Borrowers and the Administrative Agent and</w:t>
      </w:r>
    </w:p>
    <w:p>
      <w:pPr>
        <w:sectPr>
          <w:pgSz w:w="11900" w:h="16838" w:orient="portrait"/>
          <w:cols w:equalWidth="0" w:num="1">
            <w:col w:w="10920"/>
          </w:cols>
          <w:pgMar w:left="480" w:top="1440" w:right="499" w:bottom="1440" w:gutter="0" w:footer="0" w:header="0"/>
        </w:sectPr>
      </w:pPr>
    </w:p>
    <w:bookmarkStart w:id="232" w:name="page233"/>
    <w:bookmarkEnd w:id="232"/>
    <w:p>
      <w:pPr>
        <w:spacing w:after="0" w:line="211" w:lineRule="exact"/>
        <w:rPr>
          <w:sz w:val="20"/>
          <w:szCs w:val="20"/>
          <w:color w:val="auto"/>
        </w:rPr>
      </w:pPr>
    </w:p>
    <w:p>
      <w:pPr>
        <w:jc w:val="both"/>
        <w:ind w:left="8" w:right="20"/>
        <w:spacing w:after="0" w:line="241" w:lineRule="auto"/>
        <w:rPr>
          <w:sz w:val="20"/>
          <w:szCs w:val="20"/>
          <w:color w:val="auto"/>
        </w:rPr>
      </w:pPr>
      <w:r>
        <w:rPr>
          <w:rFonts w:ascii="Arial" w:cs="Arial" w:eastAsia="Arial" w:hAnsi="Arial"/>
          <w:sz w:val="16"/>
          <w:szCs w:val="16"/>
          <w:color w:val="auto"/>
        </w:rPr>
        <w:t>with the payment of a processing fee of $3,500 (which fee may be waived or reduced by the Administrative Agent in its sole discretion),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enhancement to such SPC.</w:t>
      </w:r>
    </w:p>
    <w:p>
      <w:pPr>
        <w:spacing w:after="0" w:line="196" w:lineRule="exact"/>
        <w:rPr>
          <w:sz w:val="20"/>
          <w:szCs w:val="20"/>
          <w:color w:val="auto"/>
        </w:rPr>
      </w:pPr>
    </w:p>
    <w:p>
      <w:pPr>
        <w:jc w:val="both"/>
        <w:ind w:left="8" w:firstLine="640"/>
        <w:spacing w:after="0" w:line="228" w:lineRule="auto"/>
        <w:tabs>
          <w:tab w:leader="none" w:pos="1160" w:val="left"/>
        </w:tabs>
        <w:numPr>
          <w:ilvl w:val="0"/>
          <w:numId w:val="309"/>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contained herein, without the consent of the Borrowers or the Administrative Agent,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(other than a Disqualified Institution) for holders of obligations owed, or securities issued, by such Fund as security for such obligations or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201" w:lineRule="exact"/>
        <w:rPr>
          <w:rFonts w:ascii="Arial" w:cs="Arial" w:eastAsia="Arial" w:hAnsi="Arial"/>
          <w:sz w:val="17"/>
          <w:szCs w:val="17"/>
          <w:color w:val="010000"/>
        </w:rPr>
      </w:pPr>
    </w:p>
    <w:p>
      <w:pPr>
        <w:ind w:left="1288" w:hanging="640"/>
        <w:spacing w:after="0"/>
        <w:tabs>
          <w:tab w:leader="none" w:pos="1288"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1288" w:hanging="640"/>
        <w:spacing w:after="0"/>
        <w:tabs>
          <w:tab w:leader="none" w:pos="1288"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left="8" w:right="20" w:firstLine="640"/>
        <w:spacing w:after="0" w:line="241" w:lineRule="auto"/>
        <w:tabs>
          <w:tab w:leader="none" w:pos="1160" w:val="left"/>
        </w:tabs>
        <w:numPr>
          <w:ilvl w:val="0"/>
          <w:numId w:val="309"/>
        </w:numPr>
        <w:rPr>
          <w:rFonts w:ascii="Arial" w:cs="Arial" w:eastAsia="Arial" w:hAnsi="Arial"/>
          <w:sz w:val="16"/>
          <w:szCs w:val="16"/>
          <w:color w:val="010000"/>
        </w:rPr>
      </w:pPr>
      <w:r>
        <w:rPr>
          <w:rFonts w:ascii="Arial" w:cs="Arial" w:eastAsia="Arial" w:hAnsi="Arial"/>
          <w:sz w:val="16"/>
          <w:szCs w:val="16"/>
          <w:color w:val="auto"/>
        </w:rPr>
        <w:t>Any Lender may, so long as no Event of Default has occurred and is continuing, at any time, assign all or a portion of its rights and obligations with respect to Term Loans under this Agreement to the Parent Borrower or any Restricted Subsidiary through (x) Dutch auctions or other offers to purchase open to all Lenders holding Term Loans of such class on a pro rata basis consistent with the procedures set forth in Section 2.05(a)</w:t>
      </w:r>
    </w:p>
    <w:p>
      <w:pPr>
        <w:ind w:left="8"/>
        <w:spacing w:after="0" w:line="205" w:lineRule="auto"/>
        <w:rPr>
          <w:sz w:val="20"/>
          <w:szCs w:val="20"/>
          <w:color w:val="auto"/>
        </w:rPr>
      </w:pPr>
      <w:r>
        <w:rPr>
          <w:rFonts w:ascii="Arial" w:cs="Arial" w:eastAsia="Arial" w:hAnsi="Arial"/>
          <w:sz w:val="18"/>
          <w:szCs w:val="18"/>
          <w:color w:val="auto"/>
        </w:rPr>
        <w:t>(v) or</w:t>
      </w:r>
    </w:p>
    <w:p>
      <w:pPr>
        <w:ind w:left="8" w:right="20" w:hanging="8"/>
        <w:spacing w:after="0" w:line="226" w:lineRule="auto"/>
        <w:tabs>
          <w:tab w:leader="none" w:pos="26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notwithstanding Sections 2.12 and 2.13 or any other provision in this Agreement, open market purchase on a non-pro rata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w:t>
      </w:r>
    </w:p>
    <w:p>
      <w:pPr>
        <w:spacing w:after="0" w:line="215" w:lineRule="exact"/>
        <w:rPr>
          <w:rFonts w:ascii="Arial" w:cs="Arial" w:eastAsia="Arial" w:hAnsi="Arial"/>
          <w:sz w:val="18"/>
          <w:szCs w:val="18"/>
          <w:color w:val="auto"/>
        </w:rPr>
      </w:pPr>
    </w:p>
    <w:p>
      <w:pPr>
        <w:jc w:val="both"/>
        <w:ind w:left="648" w:right="20" w:firstLine="648"/>
        <w:spacing w:after="0" w:line="237" w:lineRule="auto"/>
        <w:tabs>
          <w:tab w:leader="none" w:pos="1800" w:val="left"/>
        </w:tabs>
        <w:numPr>
          <w:ilvl w:val="2"/>
          <w:numId w:val="310"/>
        </w:numPr>
        <w:rPr>
          <w:rFonts w:ascii="Arial" w:cs="Arial" w:eastAsia="Arial" w:hAnsi="Arial"/>
          <w:sz w:val="17"/>
          <w:szCs w:val="17"/>
          <w:color w:val="010000"/>
        </w:rPr>
      </w:pPr>
      <w:r>
        <w:rPr>
          <w:rFonts w:ascii="Arial" w:cs="Arial" w:eastAsia="Arial" w:hAnsi="Arial"/>
          <w:sz w:val="17"/>
          <w:szCs w:val="17"/>
          <w:color w:val="auto"/>
        </w:rPr>
        <w:t xml:space="preserve">upon such assignment to any Restricted Subsidiary, such Restricted Subsidiary shall be deemed to have assigned or transferred the principal amount of such Term Loans, plus all accrued and unpaid interest thereon, to the Parent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contribution shall not increase any availability or amount permitted pursuant to any covenant under Article VII;</w:t>
      </w:r>
    </w:p>
    <w:p>
      <w:pPr>
        <w:spacing w:after="0" w:line="203" w:lineRule="exact"/>
        <w:rPr>
          <w:rFonts w:ascii="Arial" w:cs="Arial" w:eastAsia="Arial" w:hAnsi="Arial"/>
          <w:sz w:val="17"/>
          <w:szCs w:val="17"/>
          <w:color w:val="010000"/>
        </w:rPr>
      </w:pPr>
    </w:p>
    <w:p>
      <w:pPr>
        <w:ind w:left="1808" w:hanging="512"/>
        <w:spacing w:after="0"/>
        <w:tabs>
          <w:tab w:leader="none" w:pos="1808" w:val="left"/>
        </w:tabs>
        <w:numPr>
          <w:ilvl w:val="2"/>
          <w:numId w:val="310"/>
        </w:numPr>
        <w:rPr>
          <w:rFonts w:ascii="Arial" w:cs="Arial" w:eastAsia="Arial" w:hAnsi="Arial"/>
          <w:sz w:val="16"/>
          <w:szCs w:val="16"/>
          <w:color w:val="010000"/>
        </w:rPr>
      </w:pPr>
      <w:r>
        <w:rPr>
          <w:rFonts w:ascii="Arial" w:cs="Arial" w:eastAsia="Arial" w:hAnsi="Arial"/>
          <w:sz w:val="16"/>
          <w:szCs w:val="16"/>
          <w:color w:val="auto"/>
        </w:rPr>
        <w:t>if the assignee is the Parent Borrower (including through contribution, assignments or transfers set forth in clause (i) above),</w:t>
      </w:r>
    </w:p>
    <w:p>
      <w:pPr>
        <w:spacing w:after="0" w:line="7" w:lineRule="exact"/>
        <w:rPr>
          <w:rFonts w:ascii="Arial" w:cs="Arial" w:eastAsia="Arial" w:hAnsi="Arial"/>
          <w:sz w:val="16"/>
          <w:szCs w:val="16"/>
          <w:color w:val="010000"/>
        </w:rPr>
      </w:pPr>
    </w:p>
    <w:p>
      <w:pPr>
        <w:jc w:val="both"/>
        <w:ind w:left="648" w:right="20"/>
        <w:spacing w:after="0" w:line="213" w:lineRule="auto"/>
        <w:tabs>
          <w:tab w:leader="none" w:pos="89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principal amount of such Term Loans, along with all accrued and unpaid interest thereon, so contributed, assigned or transferred to the Borrowers shall be deemed automatically cancelled and extinguished on the date of such contribution, assignment or transfer, (b) the aggregate outstanding principal amount of Term Loans of the remaining Lenders shall reflect such cancellation and extinguishing of the Term Loans then held by the Parent Borrower and (c) the Parent Borrower shall promptly provide notice to the Administrative Agent of such contribution, assignment or transfer of such Term Loans, and the Administrative Agent, upon receipt of such notice, shall reflect the cancellation of the applicable Term Loans in the Register; and</w:t>
      </w:r>
    </w:p>
    <w:p>
      <w:pPr>
        <w:spacing w:after="0" w:line="204" w:lineRule="exact"/>
        <w:rPr>
          <w:rFonts w:ascii="Arial" w:cs="Arial" w:eastAsia="Arial" w:hAnsi="Arial"/>
          <w:sz w:val="18"/>
          <w:szCs w:val="18"/>
          <w:color w:val="auto"/>
        </w:rPr>
      </w:pPr>
    </w:p>
    <w:p>
      <w:pPr>
        <w:ind w:left="648" w:right="20" w:firstLine="648"/>
        <w:spacing w:after="0" w:line="235" w:lineRule="auto"/>
        <w:tabs>
          <w:tab w:leader="none" w:pos="1801" w:val="left"/>
        </w:tabs>
        <w:numPr>
          <w:ilvl w:val="2"/>
          <w:numId w:val="311"/>
        </w:numPr>
        <w:rPr>
          <w:rFonts w:ascii="Arial" w:cs="Arial" w:eastAsia="Arial" w:hAnsi="Arial"/>
          <w:sz w:val="18"/>
          <w:szCs w:val="18"/>
          <w:color w:val="010000"/>
        </w:rPr>
      </w:pPr>
      <w:r>
        <w:rPr>
          <w:rFonts w:ascii="Arial" w:cs="Arial" w:eastAsia="Arial" w:hAnsi="Arial"/>
          <w:sz w:val="18"/>
          <w:szCs w:val="18"/>
          <w:color w:val="auto"/>
        </w:rPr>
        <w:t>purchases of Term Loans pursuant to this Section 10.07(l) shall not be funded with the proceeds of Revolving Credit Loans or ABL Revolving Loans.</w:t>
      </w:r>
    </w:p>
    <w:p>
      <w:pPr>
        <w:spacing w:after="0" w:line="202" w:lineRule="exact"/>
        <w:rPr>
          <w:sz w:val="20"/>
          <w:szCs w:val="20"/>
          <w:color w:val="auto"/>
        </w:rPr>
      </w:pPr>
    </w:p>
    <w:p>
      <w:pPr>
        <w:jc w:val="both"/>
        <w:ind w:left="8" w:firstLine="648"/>
        <w:spacing w:after="0" w:line="241" w:lineRule="auto"/>
        <w:rPr>
          <w:sz w:val="20"/>
          <w:szCs w:val="20"/>
          <w:color w:val="auto"/>
        </w:rPr>
      </w:pPr>
      <w:r>
        <w:rPr>
          <w:rFonts w:ascii="Arial" w:cs="Arial" w:eastAsia="Arial" w:hAnsi="Arial"/>
          <w:sz w:val="16"/>
          <w:szCs w:val="16"/>
          <w:color w:val="auto"/>
        </w:rPr>
        <w:t>Each Lender participating in any assignment to the Parent Borrower or any of its Restricted Subsidiaries acknowledges and agrees that in connection with such assignment, (1) the Parent Borrower or any of its Restricted Subsidiaries then may have, and later may come into possession of Excluded Information, (2) such Lender has independently and, without reliance on, any Borrower or any of their Subsidiaries, the Administrative</w:t>
      </w:r>
    </w:p>
    <w:p>
      <w:pPr>
        <w:spacing w:after="0" w:line="2"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Agent or any other Agent-Related Persons, made its own analysis and determination to participate in such assignment notwithstanding such Lender’s lack of knowledge of the Excluded Information, (3) none of the Administrative Agent or any other Agent-Related Persons shall have any liability to such Lender, and such Lender hereby waives and releases, to the extent permitted by law, any claims such Lender may have against the Administrative</w:t>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color w:val="auto"/>
        </w:rPr>
        <w:t>Agent and any</w:t>
      </w:r>
    </w:p>
    <w:p>
      <w:pPr>
        <w:sectPr>
          <w:pgSz w:w="11900" w:h="16838" w:orient="portrait"/>
          <w:cols w:equalWidth="0" w:num="1">
            <w:col w:w="10908"/>
          </w:cols>
          <w:pgMar w:left="472" w:top="1440" w:right="519" w:bottom="1440" w:gutter="0" w:footer="0" w:header="0"/>
        </w:sectPr>
      </w:pPr>
    </w:p>
    <w:bookmarkStart w:id="233" w:name="page234"/>
    <w:bookmarkEnd w:id="233"/>
    <w:p>
      <w:pPr>
        <w:spacing w:after="0" w:line="21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other Agent-Related Persons, under applicable laws or otherwise, with respect to the nondisclosure of the Excluded Information and (4) that the Excluded Information may not be available to the Administrative Agent or the other Lenders.</w:t>
      </w:r>
    </w:p>
    <w:p>
      <w:pPr>
        <w:spacing w:after="0" w:line="189" w:lineRule="exact"/>
        <w:rPr>
          <w:sz w:val="20"/>
          <w:szCs w:val="20"/>
          <w:color w:val="auto"/>
        </w:rPr>
      </w:pPr>
    </w:p>
    <w:p>
      <w:pPr>
        <w:ind w:left="1280" w:hanging="640"/>
        <w:spacing w:after="0"/>
        <w:tabs>
          <w:tab w:leader="none" w:pos="1280"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1280" w:hanging="640"/>
        <w:spacing w:after="0"/>
        <w:tabs>
          <w:tab w:leader="none" w:pos="1280"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1280" w:hanging="640"/>
        <w:spacing w:after="0"/>
        <w:tabs>
          <w:tab w:leader="none" w:pos="1280"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jc w:val="both"/>
        <w:ind w:right="40" w:firstLine="639"/>
        <w:spacing w:after="0" w:line="239" w:lineRule="auto"/>
        <w:tabs>
          <w:tab w:leader="none" w:pos="1153" w:val="left"/>
        </w:tabs>
        <w:numPr>
          <w:ilvl w:val="0"/>
          <w:numId w:val="312"/>
        </w:numPr>
        <w:rPr>
          <w:rFonts w:ascii="Arial" w:cs="Arial" w:eastAsia="Arial" w:hAnsi="Arial"/>
          <w:sz w:val="16"/>
          <w:szCs w:val="16"/>
          <w:color w:val="010000"/>
        </w:rPr>
      </w:pPr>
      <w:r>
        <w:rPr>
          <w:rFonts w:ascii="Arial" w:cs="Arial" w:eastAsia="Arial" w:hAnsi="Arial"/>
          <w:sz w:val="16"/>
          <w:szCs w:val="16"/>
          <w:color w:val="auto"/>
        </w:rPr>
        <w:t xml:space="preserve">Notwithstanding the foregoing, if an entire Class of Loans or Commitments is refinanced or replaced in full with other Loans or Commitments hereunder, the Parent Borrower shall have the option, with the consent of the Administrative Agent and subject to at least three Business Days’ advance notice (which notice may be rescinded if the transactions contemplated by such Refinancing Amendment are not consummated) to each Lender holding any Class of Loans or Commitments being refinanced or replaced to consummate such refinancing or replacement of such Class by way of assignment by purchasing each such Lender’s Loans or unfunded Commitments at par, accompanied by payment of any accrued interest and fees thereon (including, if applicable, amounts payable pursuant to </w:t>
      </w:r>
      <w:r>
        <w:rPr>
          <w:rFonts w:ascii="Arial" w:cs="Arial" w:eastAsia="Arial" w:hAnsi="Arial"/>
          <w:sz w:val="16"/>
          <w:szCs w:val="16"/>
          <w:u w:val="single" w:color="auto"/>
          <w:color w:val="auto"/>
        </w:rPr>
        <w:t>Section 2.05(a)(vi)</w:t>
      </w:r>
      <w:r>
        <w:rPr>
          <w:rFonts w:ascii="Arial" w:cs="Arial" w:eastAsia="Arial" w:hAnsi="Arial"/>
          <w:sz w:val="16"/>
          <w:szCs w:val="16"/>
          <w:color w:val="auto"/>
        </w:rPr>
        <w:t xml:space="preserve"> if in connection with a Repricing Transaction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3.07(e)</w:t>
      </w:r>
      <w:r>
        <w:rPr>
          <w:rFonts w:ascii="Arial" w:cs="Arial" w:eastAsia="Arial" w:hAnsi="Arial"/>
          <w:sz w:val="16"/>
          <w:szCs w:val="16"/>
          <w:color w:val="auto"/>
        </w:rPr>
        <w:t xml:space="preserve">) instead of prepaying the Loans or reducing or terminating the Commitments to be refinanced or replaced. The assigned Loans and Commitments shall be amended immediately thereafter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to reflect the terms of any such refinancing or replacement. The assignee under any such assignment may be (but shall not be required to be) the Administrative Agent, any arranger of the new Loans or Commitments or any other Person designated by the Administrative Agent. By receiving the purchase price, the Lenders having the replaced or refinanced Class of Loans or Commitments shall automatically be deemed to have assigned such Loans or Commitments pursuant to the terms of an Assignment and Assumption, and accordingly no other action by such Lenders shall be required in connection therewith. The provisions of this paragraph are intended to facilitate the maintenance of the perfection and priority of existing security interests in the Collateral.</w:t>
      </w:r>
    </w:p>
    <w:p>
      <w:pPr>
        <w:spacing w:after="0" w:line="210"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10.08</w:t>
      </w:r>
      <w:r>
        <w:rPr>
          <w:sz w:val="20"/>
          <w:szCs w:val="20"/>
          <w:color w:val="auto"/>
        </w:rPr>
        <w:tab/>
      </w:r>
      <w:r>
        <w:rPr>
          <w:rFonts w:ascii="Arial" w:cs="Arial" w:eastAsia="Arial" w:hAnsi="Arial"/>
          <w:sz w:val="17"/>
          <w:szCs w:val="17"/>
          <w:color w:val="auto"/>
        </w:rPr>
        <w:t>Confidentiality.</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of the Agents and the Lenders agrees to maintain the confidentiality of the Information, except that Information may be disclosed (a) to its Affiliates and its and its Affiliates’ limited partners, lenders, investors, managed accounts, officers, directors, employees, legal counsel, independent</w:t>
      </w:r>
    </w:p>
    <w:p>
      <w:pPr>
        <w:jc w:val="both"/>
        <w:spacing w:after="0" w:line="234" w:lineRule="auto"/>
        <w:rPr>
          <w:sz w:val="20"/>
          <w:szCs w:val="20"/>
          <w:color w:val="auto"/>
        </w:rPr>
      </w:pPr>
      <w:r>
        <w:rPr>
          <w:rFonts w:ascii="Arial" w:cs="Arial" w:eastAsia="Arial" w:hAnsi="Arial"/>
          <w:sz w:val="16"/>
          <w:szCs w:val="16"/>
          <w:color w:val="auto"/>
        </w:rPr>
        <w:t>auditors, professionals, service providers and other experts or agents, in each case other than Excluded Affiliates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who need to know such Information (it being understood that the Persons to whom such disclosure is made will be informed of the confidential nature of such Information and agree to keep such Information confidential and the Agents and the Lenders shall be principally liable to the extent any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confidentiality restrictions set forth herein are violated by one or more of its Representatives); (b) to the extent required or requested by any Governmental Authority or self-regulatory authority having or asserting jurisdiction over such Person (including any Governmental Authority regulating any Lender or its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applicable Agent or such Lender, as applicable, agrees that it will promptly notify the</w:t>
      </w:r>
    </w:p>
    <w:p>
      <w:pPr>
        <w:jc w:val="both"/>
        <w:spacing w:after="0" w:line="233" w:lineRule="auto"/>
        <w:rPr>
          <w:sz w:val="20"/>
          <w:szCs w:val="20"/>
          <w:color w:val="auto"/>
        </w:rPr>
      </w:pPr>
      <w:r>
        <w:rPr>
          <w:rFonts w:ascii="Arial" w:cs="Arial" w:eastAsia="Arial" w:hAnsi="Arial"/>
          <w:sz w:val="16"/>
          <w:szCs w:val="16"/>
          <w:color w:val="auto"/>
        </w:rPr>
        <w:t xml:space="preserve">Administrative Borrower prior to any such disclosure by such Person (other than at the request of a regulatory authority as part of a regulatory examination) unless such notification is prohibited by law, rule or regulation; (c) to the extent required by applicable Laws or regulations or by any subpoena or order of any court or administrative agency or in any pending legal or administrative proceeding or similar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Agent or such Lender, as applicable, agrees that it will notify the Administrative Borrower in advance of any such disclosure by such Person</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(except with respect to any routine audit or examination conducted by bank accountants or regulatory authority exercising routine examination or regulatory authority) unless such notification is prohibited by law, rule or regulation; (d) to any other party to this Agreement; (e) subject to an agreement containing provisions at least as restrictive as those of this Section 10.08 (or as may otherwise be reasonably acceptable to the</w:t>
      </w:r>
    </w:p>
    <w:p>
      <w:pPr>
        <w:jc w:val="both"/>
        <w:spacing w:after="0" w:line="234" w:lineRule="auto"/>
        <w:rPr>
          <w:sz w:val="20"/>
          <w:szCs w:val="20"/>
          <w:color w:val="auto"/>
        </w:rPr>
      </w:pPr>
      <w:r>
        <w:rPr>
          <w:rFonts w:ascii="Arial" w:cs="Arial" w:eastAsia="Arial" w:hAnsi="Arial"/>
          <w:sz w:val="16"/>
          <w:szCs w:val="16"/>
          <w:color w:val="auto"/>
        </w:rPr>
        <w:t>Administrative Borrower), to any assignee of or Participant in, or any prospective assignee of or Participant in, any of its rights or obligations under this Agreement or any Eligible Assignee or potential Lender invited to be an Additional Lender (except, in each case, to the extent the Administrative Borrower has declined to consent to such assignment), any pledgee referred to in Section 10.07(g), or any actual or prospective direct or indirect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counterparty (or its advisors) to any swap or derivative transaction relating to the Borrowers and</w:t>
      </w:r>
    </w:p>
    <w:p>
      <w:pPr>
        <w:sectPr>
          <w:pgSz w:w="11900" w:h="16838" w:orient="portrait"/>
          <w:cols w:equalWidth="0" w:num="1">
            <w:col w:w="10920"/>
          </w:cols>
          <w:pgMar w:left="480" w:top="1440" w:right="499" w:bottom="1440" w:gutter="0" w:footer="0" w:header="0"/>
        </w:sectPr>
      </w:pPr>
    </w:p>
    <w:bookmarkStart w:id="234" w:name="page235"/>
    <w:bookmarkEnd w:id="234"/>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their obligations; (f) with the written consent of the Administrative Borrower; (g) to the extent such Information becomes publicly available other than as a result of a breach of this Section 10.08 or other obligation of confidentiality owed to the Borrowers or any of their respective Affiliates; (h) to any rating agency when required by it on a customary basis and after consultation with the Administrative Borrower (it being understood that, prior to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disclosure, such rating agency shall undertake to preserve the confidentiality of any Information relating to Loan Parties and their Subsidiaries received by it from such Lender) or to the CUSIP Service Bureau or any similar organization; (i) in connection with the exercise of any remedies hereunder, under any other Loan Document or the enforcement of its rights hereunder or thereunder; (j) to the extent that such information is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independently developed by the applicable Agent or its Affiliates (other than any Excluded Affiliates) or the applicable Lender or its Affiliates in each case so long as not based on information obtained in a manner that would otherwise violate this Section 10.08, (k) for purposes of establishing a “due diligence” defense; or (l) to market data collectors, similar services providers to the lending industry, and service providers to the Arranger and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Lenders in connection with the administration and management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no disclosure shall be made to any Disqualified Institution. In addition, the Agents and the Lenders may disclose the existence of this Agreement and information about this Agreement to market data collectors, similar service providers to the lending industry, and service providers to the Agents and the Lenders in connection with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administration and management of this Agreement, the other Loan Documents, the Commitments, and the Credit Extensions; provided that such Person is advised and agrees to be bound by the provisions of this Section 10.08.</w:t>
      </w:r>
    </w:p>
    <w:p>
      <w:pPr>
        <w:spacing w:after="0" w:line="19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b w:val="1"/>
          <w:bCs w:val="1"/>
          <w:color w:val="auto"/>
        </w:rPr>
        <w:t>Information</w:t>
      </w:r>
      <w:r>
        <w:rPr>
          <w:rFonts w:ascii="Arial" w:cs="Arial" w:eastAsia="Arial" w:hAnsi="Arial"/>
          <w:sz w:val="17"/>
          <w:szCs w:val="17"/>
          <w:color w:val="auto"/>
        </w:rPr>
        <w:t>” means all information received from any Loan Party or any Subsidiary thereof relating to any Loan Party or any Subsidiary thereof, their respective businesses and their respective Affiliates and their Affiliates’ directors, officers, employees, trustees, investments advisors or agents, other than any such information that is available to the Administrative Agent or any Lender on a</w:t>
      </w:r>
    </w:p>
    <w:p>
      <w:pPr>
        <w:spacing w:after="0"/>
        <w:rPr>
          <w:sz w:val="20"/>
          <w:szCs w:val="20"/>
          <w:color w:val="auto"/>
        </w:rPr>
      </w:pPr>
      <w:r>
        <w:rPr>
          <w:rFonts w:ascii="Arial" w:cs="Arial" w:eastAsia="Arial" w:hAnsi="Arial"/>
          <w:sz w:val="17"/>
          <w:szCs w:val="17"/>
          <w:color w:val="auto"/>
        </w:rPr>
        <w:t>nonconfidential basis prior to disclosure by any Loan Party or any Subsidiary thereof other than as a result of a breach of this Section 10.08.</w:t>
      </w:r>
    </w:p>
    <w:p>
      <w:pPr>
        <w:spacing w:after="0" w:line="20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Each of the Agents and the Lenders acknowledges that (a) the Information may include Material Non-Public Information, (b) it has developed compliance procedures regarding the use of Material Non-Public Information and (c) it will handle such Material Non-Public Information in</w:t>
      </w:r>
    </w:p>
    <w:p>
      <w:pPr>
        <w:jc w:val="both"/>
        <w:ind w:right="20"/>
        <w:spacing w:after="0" w:line="226" w:lineRule="auto"/>
        <w:rPr>
          <w:sz w:val="20"/>
          <w:szCs w:val="20"/>
          <w:color w:val="auto"/>
        </w:rPr>
      </w:pPr>
      <w:r>
        <w:rPr>
          <w:rFonts w:ascii="Arial" w:cs="Arial" w:eastAsia="Arial" w:hAnsi="Arial"/>
          <w:sz w:val="18"/>
          <w:szCs w:val="18"/>
          <w:color w:val="auto"/>
        </w:rPr>
        <w:t>accordance with applicable Law, including United States federal and state securities Laws. The provisions of this paragraph shall not affect any Borrowers’ obligations under the last paragraph of Section 6.02.</w:t>
      </w:r>
    </w:p>
    <w:p>
      <w:pPr>
        <w:spacing w:after="0" w:line="188"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10.09</w:t>
      </w:r>
      <w:r>
        <w:rPr>
          <w:sz w:val="20"/>
          <w:szCs w:val="20"/>
          <w:color w:val="auto"/>
        </w:rPr>
        <w:tab/>
      </w:r>
      <w:r>
        <w:rPr>
          <w:rFonts w:ascii="Arial" w:cs="Arial" w:eastAsia="Arial" w:hAnsi="Arial"/>
          <w:sz w:val="17"/>
          <w:szCs w:val="17"/>
          <w:color w:val="auto"/>
        </w:rPr>
        <w:t>Setoff.</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to any rights and remedies of the Lenders provided by Law, upon the occurrence and during the continuance of any Event of</w:t>
      </w:r>
    </w:p>
    <w:p>
      <w:pPr>
        <w:spacing w:after="0" w:line="10"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Default, each Lender and its Affiliates (and the Administrative Agent, in respect of any unpaid fees, costs and expenses payable hereunder) is authorized at any time and from time to time, without prior notice to the Borrowers, any such notice being waived by the Borrowers (on its own behalf and on behalf of each Loan Party and each of its Subsidiaries) to the fullest extent permitted by applicable Law, after obtaining the written consent of</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Administrative Agent, to set off and apply any and all deposits (general or special, time or demand, provisional or final but excluding escrow, payroll, petty cash, trust and tax accounts) at any time held by, and other Indebtedness at any time owing by, such Lender and its Affiliates or the Administrative Agent to or for the credit or the account of the respective Loan Parties against any and all Obligations owing to such Lender and its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Affiliates or the Administrative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any</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Defaulting Lender shall exercise any such right of setoff, (x) all amounts so set off shall be 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and the Lenders, and (y) the Defaulting Lender shall provide</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 xml:space="preserve">promptly to the Administrative Agent a statement describing in reasonable detail the Obligations owing to such Defaulting Lender as to which it exercised such right of setoff. Each Lender agrees promptly to notify the Administrative Borrower and the Administrative Agent after any such set off and application made by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give</w:t>
      </w:r>
    </w:p>
    <w:p>
      <w:pPr>
        <w:sectPr>
          <w:pgSz w:w="11900" w:h="16838" w:orient="portrait"/>
          <w:cols w:equalWidth="0" w:num="1">
            <w:col w:w="10900"/>
          </w:cols>
          <w:pgMar w:left="480" w:top="1440" w:right="519" w:bottom="1440" w:gutter="0" w:footer="0" w:header="0"/>
        </w:sectPr>
      </w:pPr>
    </w:p>
    <w:bookmarkStart w:id="235" w:name="page236"/>
    <w:bookmarkEnd w:id="235"/>
    <w:p>
      <w:pPr>
        <w:spacing w:after="0" w:line="211" w:lineRule="exact"/>
        <w:rPr>
          <w:sz w:val="20"/>
          <w:szCs w:val="20"/>
          <w:color w:val="auto"/>
        </w:rPr>
      </w:pPr>
    </w:p>
    <w:p>
      <w:pPr>
        <w:ind w:left="160" w:right="20"/>
        <w:spacing w:after="0" w:line="289" w:lineRule="auto"/>
        <w:rPr>
          <w:sz w:val="20"/>
          <w:szCs w:val="20"/>
          <w:color w:val="auto"/>
        </w:rPr>
      </w:pPr>
      <w:r>
        <w:rPr>
          <w:rFonts w:ascii="Arial" w:cs="Arial" w:eastAsia="Arial" w:hAnsi="Arial"/>
          <w:sz w:val="16"/>
          <w:szCs w:val="16"/>
          <w:color w:val="auto"/>
        </w:rPr>
        <w:t>such notice shall not affect the validity of such setoff and application. The rights of the Administrative Agent and each Lender under this Section 10.09 are in addition to other rights and remedies (including other rights of setoff) that the Administrative Agent and such Lender may have at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10000"/>
        </w:rPr>
        <w:t xml:space="preserve">Section 10.10 </w:t>
      </w:r>
      <w:r>
        <w:rPr>
          <w:rFonts w:ascii="Arial" w:cs="Arial" w:eastAsia="Arial" w:hAnsi="Arial"/>
          <w:sz w:val="18"/>
          <w:szCs w:val="18"/>
          <w:color w:val="000000"/>
        </w:rPr>
        <w:t>Interest Rate Limitation.</w:t>
      </w:r>
    </w:p>
    <w:p>
      <w:pPr>
        <w:spacing w:after="0" w:line="225" w:lineRule="exact"/>
        <w:rPr>
          <w:sz w:val="20"/>
          <w:szCs w:val="20"/>
          <w:color w:val="auto"/>
        </w:rPr>
      </w:pPr>
    </w:p>
    <w:p>
      <w:pPr>
        <w:jc w:val="both"/>
        <w:ind w:left="160" w:firstLine="648"/>
        <w:spacing w:after="0" w:line="241"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 principal of the Loans or, if it exceeds such</w:t>
      </w:r>
    </w:p>
    <w:p>
      <w:pPr>
        <w:spacing w:after="0" w:line="2" w:lineRule="exact"/>
        <w:rPr>
          <w:sz w:val="20"/>
          <w:szCs w:val="20"/>
          <w:color w:val="auto"/>
        </w:rPr>
      </w:pPr>
    </w:p>
    <w:p>
      <w:pPr>
        <w:jc w:val="both"/>
        <w:ind w:left="160"/>
        <w:spacing w:after="0" w:line="234" w:lineRule="auto"/>
        <w:rPr>
          <w:sz w:val="20"/>
          <w:szCs w:val="20"/>
          <w:color w:val="auto"/>
        </w:rPr>
      </w:pPr>
      <w:r>
        <w:rPr>
          <w:rFonts w:ascii="Arial" w:cs="Arial" w:eastAsia="Arial" w:hAnsi="Arial"/>
          <w:sz w:val="16"/>
          <w:szCs w:val="16"/>
          <w:color w:val="auto"/>
        </w:rPr>
        <w:t>unpaid principal, refunded to the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unequal parts the total amount of interest throughout the contemplated term of the Obligations hereunder.</w:t>
      </w:r>
    </w:p>
    <w:p>
      <w:pPr>
        <w:spacing w:after="0" w:line="196" w:lineRule="exact"/>
        <w:rPr>
          <w:sz w:val="20"/>
          <w:szCs w:val="20"/>
          <w:color w:val="auto"/>
        </w:rPr>
      </w:pPr>
    </w:p>
    <w:p>
      <w:pPr>
        <w:ind w:left="800"/>
        <w:spacing w:after="0"/>
        <w:tabs>
          <w:tab w:leader="none" w:pos="1940" w:val="left"/>
        </w:tabs>
        <w:rPr>
          <w:sz w:val="20"/>
          <w:szCs w:val="20"/>
          <w:color w:val="auto"/>
        </w:rPr>
      </w:pPr>
      <w:r>
        <w:rPr>
          <w:rFonts w:ascii="Arial" w:cs="Arial" w:eastAsia="Arial" w:hAnsi="Arial"/>
          <w:sz w:val="18"/>
          <w:szCs w:val="18"/>
          <w:color w:val="010000"/>
        </w:rPr>
        <w:t>Section 10.11</w:t>
      </w:r>
      <w:r>
        <w:rPr>
          <w:sz w:val="20"/>
          <w:szCs w:val="20"/>
          <w:color w:val="auto"/>
        </w:rPr>
        <w:tab/>
      </w:r>
      <w:r>
        <w:rPr>
          <w:rFonts w:ascii="Arial" w:cs="Arial" w:eastAsia="Arial" w:hAnsi="Arial"/>
          <w:sz w:val="16"/>
          <w:szCs w:val="16"/>
          <w:color w:val="auto"/>
        </w:rPr>
        <w:t>Counterparts; Electronic Execution of Assignments and Certain Other Documents.</w:t>
      </w:r>
    </w:p>
    <w:p>
      <w:pPr>
        <w:spacing w:after="0" w:line="225" w:lineRule="exact"/>
        <w:rPr>
          <w:sz w:val="20"/>
          <w:szCs w:val="20"/>
          <w:color w:val="auto"/>
        </w:rPr>
      </w:pPr>
    </w:p>
    <w:p>
      <w:pPr>
        <w:jc w:val="both"/>
        <w:ind w:left="160" w:right="20" w:firstLine="648"/>
        <w:spacing w:after="0" w:line="248" w:lineRule="auto"/>
        <w:rPr>
          <w:sz w:val="20"/>
          <w:szCs w:val="20"/>
          <w:color w:val="auto"/>
        </w:rPr>
      </w:pPr>
      <w:r>
        <w:rPr>
          <w:rFonts w:ascii="Arial" w:cs="Arial" w:eastAsia="Arial" w:hAnsi="Arial"/>
          <w:sz w:val="16"/>
          <w:szCs w:val="16"/>
          <w:color w:val="auto"/>
        </w:rPr>
        <w:t>This Agreement and each other Loan Document may be executed in one or more counterparts, each of which shall be deemed an original, but all of which together shall constitute one and the same instrument. Delivery by facsimile, .pdf or other electronic means of an executed counterpart of</w:t>
      </w:r>
    </w:p>
    <w:p>
      <w:pPr>
        <w:jc w:val="both"/>
        <w:ind w:left="160" w:right="20"/>
        <w:spacing w:after="0" w:line="234" w:lineRule="auto"/>
        <w:rPr>
          <w:sz w:val="20"/>
          <w:szCs w:val="20"/>
          <w:color w:val="auto"/>
        </w:rPr>
      </w:pPr>
      <w:r>
        <w:rPr>
          <w:rFonts w:ascii="Arial" w:cs="Arial" w:eastAsia="Arial" w:hAnsi="Arial"/>
          <w:sz w:val="16"/>
          <w:szCs w:val="16"/>
          <w:color w:val="auto"/>
        </w:rPr>
        <w:t xml:space="preserve">a signature page to this Agreement and each other Loan Document shall be effective as delivery of an original executed counterpart of this Agreement and such other Loan Document. The Agents may also require that any such documents and signatures delivered by facsimile, .pdf or other electronic means be confirmed by a manually signed original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request or deliver the same shall not limit the effectiveness of</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any document or signature delivered by facsimile, .pdf or other electronic means.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This Agreement and any document, amendment, approval, consent, information, notice, certificate, request, statement, disclosure or</w:t>
      </w:r>
    </w:p>
    <w:p>
      <w:pPr>
        <w:spacing w:after="0" w:line="10" w:lineRule="exact"/>
        <w:rPr>
          <w:sz w:val="20"/>
          <w:szCs w:val="20"/>
          <w:color w:val="auto"/>
        </w:rPr>
      </w:pPr>
    </w:p>
    <w:p>
      <w:pPr>
        <w:jc w:val="both"/>
        <w:ind w:left="160"/>
        <w:spacing w:after="0" w:line="234" w:lineRule="auto"/>
        <w:rPr>
          <w:sz w:val="20"/>
          <w:szCs w:val="20"/>
          <w:color w:val="auto"/>
        </w:rPr>
      </w:pPr>
      <w:r>
        <w:rPr>
          <w:rFonts w:ascii="Arial" w:cs="Arial" w:eastAsia="Arial" w:hAnsi="Arial"/>
          <w:sz w:val="16"/>
          <w:szCs w:val="16"/>
          <w:color w:val="auto"/>
        </w:rPr>
        <w:t>authorization related to this Amendment (each a “Communication”), including Communications required to be in writing, may, if agreed by the parties hereto, be in the form of an Electronic Record and may be executed using Electronic Signatures, including, without limitation, facsimile and/or .pdf. Each of the Loan Parties hereto agrees that any Electronic Signature (including, without limitation, facsimile or .pdf) on or associated with any</w:t>
      </w:r>
    </w:p>
    <w:p>
      <w:pPr>
        <w:spacing w:after="0" w:line="2" w:lineRule="exact"/>
        <w:rPr>
          <w:sz w:val="20"/>
          <w:szCs w:val="20"/>
          <w:color w:val="auto"/>
        </w:rPr>
      </w:pPr>
    </w:p>
    <w:p>
      <w:pPr>
        <w:jc w:val="both"/>
        <w:ind w:left="160"/>
        <w:spacing w:after="0" w:line="234" w:lineRule="auto"/>
        <w:rPr>
          <w:sz w:val="20"/>
          <w:szCs w:val="20"/>
          <w:color w:val="auto"/>
        </w:rPr>
      </w:pPr>
      <w:r>
        <w:rPr>
          <w:rFonts w:ascii="Arial" w:cs="Arial" w:eastAsia="Arial" w:hAnsi="Arial"/>
          <w:sz w:val="16"/>
          <w:szCs w:val="16"/>
          <w:color w:val="auto"/>
        </w:rPr>
        <w:t>Communication shall be valid and binding on them to the same extent as a manual, original signature, and that any Communication entered into by Electronic Signature, will constitute the legal, valid and binding obligation of the Loan Parties enforceable against them in accordance with the terms thereof to the same extent as if a manually executed original signature was delivered to the Agent. Any Communication may be executed in as many</w:t>
      </w:r>
    </w:p>
    <w:p>
      <w:pPr>
        <w:spacing w:after="0" w:line="2" w:lineRule="exact"/>
        <w:rPr>
          <w:sz w:val="20"/>
          <w:szCs w:val="20"/>
          <w:color w:val="auto"/>
        </w:rPr>
      </w:pPr>
    </w:p>
    <w:p>
      <w:pPr>
        <w:jc w:val="both"/>
        <w:ind w:left="160"/>
        <w:spacing w:after="0" w:line="234" w:lineRule="auto"/>
        <w:rPr>
          <w:sz w:val="20"/>
          <w:szCs w:val="20"/>
          <w:color w:val="auto"/>
        </w:rPr>
      </w:pPr>
      <w:r>
        <w:rPr>
          <w:rFonts w:ascii="Arial" w:cs="Arial" w:eastAsia="Arial" w:hAnsi="Arial"/>
          <w:sz w:val="16"/>
          <w:szCs w:val="16"/>
          <w:color w:val="auto"/>
        </w:rPr>
        <w:t>counterparts as necessary or convenient, including both paper and electronic counterparts, but all such counterparts are one and the same Communication. For the avoidance of doubt, the authorization under this paragraph may include, without limitation, use or acceptance by the Agent of a manually signed paper Communication which has been converted into electronic form (such as scanned into PDF format), or an electronically signed</w:t>
      </w:r>
    </w:p>
    <w:p>
      <w:pPr>
        <w:spacing w:after="0" w:line="2"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Communication converted into another format, for transmission, delivery and/or retention. The Agent may, at its option, create one or more copies of any Communication in the form of an imaged Electronic Record (“Electronic Copy”), which shall be deemed created in the ordinary course of the Agent’s,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w:t>
      </w:r>
    </w:p>
    <w:p>
      <w:pPr>
        <w:spacing w:after="0" w:line="1" w:lineRule="exact"/>
        <w:rPr>
          <w:sz w:val="20"/>
          <w:szCs w:val="20"/>
          <w:color w:val="auto"/>
        </w:rPr>
      </w:pPr>
    </w:p>
    <w:p>
      <w:pPr>
        <w:jc w:val="both"/>
        <w:ind w:left="160"/>
        <w:spacing w:after="0" w:line="234" w:lineRule="auto"/>
        <w:rPr>
          <w:sz w:val="20"/>
          <w:szCs w:val="20"/>
          <w:color w:val="auto"/>
        </w:rPr>
      </w:pPr>
      <w:r>
        <w:rPr>
          <w:rFonts w:ascii="Arial" w:cs="Arial" w:eastAsia="Arial" w:hAnsi="Arial"/>
          <w:sz w:val="16"/>
          <w:szCs w:val="16"/>
          <w:color w:val="auto"/>
        </w:rPr>
        <w:t>anything contained herein to the contrary, the Agent shall be under no obligation to accept an Electronic Signature in any form or in any format unless expressly agreed to by the Agent pursuant to procedures approved by them; provided, further, without limiting the foregoing, (a) to the extent the Agent has agreed to accept such Electronic Signature, the Agent shall be entitled to rely on any such Electronic Signature purportedly given by or on</w:t>
      </w:r>
    </w:p>
    <w:p>
      <w:pPr>
        <w:spacing w:after="0" w:line="2" w:lineRule="exact"/>
        <w:rPr>
          <w:sz w:val="20"/>
          <w:szCs w:val="20"/>
          <w:color w:val="auto"/>
        </w:rPr>
      </w:pPr>
    </w:p>
    <w:p>
      <w:pPr>
        <w:jc w:val="both"/>
        <w:ind w:left="160"/>
        <w:spacing w:after="0" w:line="218" w:lineRule="auto"/>
        <w:rPr>
          <w:sz w:val="20"/>
          <w:szCs w:val="20"/>
          <w:color w:val="auto"/>
        </w:rPr>
      </w:pPr>
      <w:r>
        <w:rPr>
          <w:rFonts w:ascii="Arial" w:cs="Arial" w:eastAsia="Arial" w:hAnsi="Arial"/>
          <w:sz w:val="18"/>
          <w:szCs w:val="18"/>
          <w:color w:val="auto"/>
        </w:rPr>
        <w:t>behalf of the Loan Parties without further verification and (b) upon the request of the Agent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sectPr>
          <w:pgSz w:w="11900" w:h="16838" w:orient="portrait"/>
          <w:cols w:equalWidth="0" w:num="1">
            <w:col w:w="11060"/>
          </w:cols>
          <w:pgMar w:left="320" w:top="1440" w:right="519" w:bottom="1440" w:gutter="0" w:footer="0" w:header="0"/>
        </w:sectPr>
      </w:pPr>
    </w:p>
    <w:bookmarkStart w:id="236" w:name="page237"/>
    <w:bookmarkEnd w:id="236"/>
    <w:p>
      <w:pPr>
        <w:spacing w:after="0" w:line="211"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10.12</w:t>
      </w:r>
      <w:r>
        <w:rPr>
          <w:sz w:val="20"/>
          <w:szCs w:val="20"/>
          <w:color w:val="auto"/>
        </w:rPr>
        <w:tab/>
      </w:r>
      <w:r>
        <w:rPr>
          <w:rFonts w:ascii="Arial" w:cs="Arial" w:eastAsia="Arial" w:hAnsi="Arial"/>
          <w:sz w:val="16"/>
          <w:szCs w:val="16"/>
          <w:color w:val="auto"/>
        </w:rPr>
        <w:t>Integration.</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This Agreement, together with the other Loan Documents, comprises the complete and integrated agreement of the parties on the subject matter hereof and thereof and supersedes all prior agreements, written or oral, on such subject matter. Subject to Section 10.20 in the event of any conflict between the provisions of this Agreement and those of any other Loan Document, the provisions of this Agreement shall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203"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10.13</w:t>
      </w:r>
      <w:r>
        <w:rPr>
          <w:sz w:val="20"/>
          <w:szCs w:val="20"/>
          <w:color w:val="auto"/>
        </w:rPr>
        <w:tab/>
      </w:r>
      <w:r>
        <w:rPr>
          <w:rFonts w:ascii="Arial" w:cs="Arial" w:eastAsia="Arial" w:hAnsi="Arial"/>
          <w:sz w:val="16"/>
          <w:szCs w:val="16"/>
          <w:color w:val="auto"/>
        </w:rPr>
        <w:t>Survival of Representations and Warranties.</w:t>
      </w:r>
    </w:p>
    <w:p>
      <w:pPr>
        <w:spacing w:after="0" w:line="225"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16"/>
          <w:szCs w:val="16"/>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w:t>
      </w:r>
    </w:p>
    <w:p>
      <w:pPr>
        <w:spacing w:after="0" w:line="2" w:lineRule="exact"/>
        <w:rPr>
          <w:sz w:val="20"/>
          <w:szCs w:val="20"/>
          <w:color w:val="auto"/>
        </w:rPr>
      </w:pPr>
    </w:p>
    <w:p>
      <w:pPr>
        <w:jc w:val="both"/>
        <w:ind w:right="40"/>
        <w:spacing w:after="0" w:line="218" w:lineRule="auto"/>
        <w:rPr>
          <w:sz w:val="20"/>
          <w:szCs w:val="20"/>
          <w:color w:val="auto"/>
        </w:rPr>
      </w:pPr>
      <w:r>
        <w:rPr>
          <w:rFonts w:ascii="Arial" w:cs="Arial" w:eastAsia="Arial" w:hAnsi="Arial"/>
          <w:sz w:val="18"/>
          <w:szCs w:val="18"/>
          <w:color w:val="auto"/>
        </w:rPr>
        <w:t>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(other than contingent indemnification obligations as to which no claim has been asserted).</w:t>
      </w:r>
    </w:p>
    <w:p>
      <w:pPr>
        <w:spacing w:after="0" w:line="203"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10.14</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which comes as close as possible to that of the illegal, invalid or unenforceable provisions;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Lenders shall charge no fee in connection with any such amendment. The invalidity of a provision in a particular jurisdiction shall not invalidate or render unenforceable such provision in any other jurisdiction. Without limiting the foregoing provisions of this Section 10.14, if and to the extent that the enforceability of any provisions in this</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Agreement relating to Defaulting Lenders shall be limited by Debtor Relief Laws, as determined in good faith by the Administrative Agent, then such provisions shall be deemed to be in effect only to the extent not so limited.</w:t>
      </w:r>
    </w:p>
    <w:p>
      <w:pPr>
        <w:spacing w:after="0" w:line="202"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10.15</w:t>
      </w:r>
      <w:r>
        <w:rPr>
          <w:sz w:val="20"/>
          <w:szCs w:val="20"/>
          <w:color w:val="auto"/>
        </w:rPr>
        <w:tab/>
      </w:r>
      <w:r>
        <w:rPr>
          <w:rFonts w:ascii="Arial" w:cs="Arial" w:eastAsia="Arial" w:hAnsi="Arial"/>
          <w:sz w:val="17"/>
          <w:szCs w:val="17"/>
          <w:color w:val="auto"/>
        </w:rPr>
        <w:t>GOVERNING LAW.</w:t>
      </w:r>
    </w:p>
    <w:p>
      <w:pPr>
        <w:spacing w:after="0" w:line="225" w:lineRule="exact"/>
        <w:rPr>
          <w:sz w:val="20"/>
          <w:szCs w:val="20"/>
          <w:color w:val="auto"/>
        </w:rPr>
      </w:pPr>
    </w:p>
    <w:p>
      <w:pPr>
        <w:jc w:val="both"/>
        <w:ind w:right="40" w:firstLine="640"/>
        <w:spacing w:after="0" w:line="224" w:lineRule="auto"/>
        <w:tabs>
          <w:tab w:leader="none" w:pos="1152" w:val="left"/>
        </w:tabs>
        <w:numPr>
          <w:ilvl w:val="0"/>
          <w:numId w:val="313"/>
        </w:numPr>
        <w:rPr>
          <w:rFonts w:ascii="Arial" w:cs="Arial" w:eastAsia="Arial" w:hAnsi="Arial"/>
          <w:sz w:val="18"/>
          <w:szCs w:val="18"/>
          <w:color w:val="010000"/>
        </w:rPr>
      </w:pPr>
      <w:r>
        <w:rPr>
          <w:rFonts w:ascii="Arial" w:cs="Arial" w:eastAsia="Arial" w:hAnsi="Arial"/>
          <w:sz w:val="18"/>
          <w:szCs w:val="18"/>
          <w:color w:val="auto"/>
        </w:rPr>
        <w:t>THIS AGREEMENT AND EACH OTHER LOAN DOCUMENT AND ANY CLAIM OR CONTROVERSY RELATING TO THE SUBJECT MATTER HEREOF AND THEREOF, WHETHER SOUNDING IN CONTRACT LAW, TORT LAW OR OTHERWISE, SHALL BE GOVERNED BY, AND CONSTRUED IN ACCORDANCE WITH, THE LAW OF THE STATE OF NEW YORK.</w:t>
      </w:r>
    </w:p>
    <w:p>
      <w:pPr>
        <w:spacing w:after="0" w:line="203" w:lineRule="exact"/>
        <w:rPr>
          <w:rFonts w:ascii="Arial" w:cs="Arial" w:eastAsia="Arial" w:hAnsi="Arial"/>
          <w:sz w:val="18"/>
          <w:szCs w:val="18"/>
          <w:color w:val="010000"/>
        </w:rPr>
      </w:pPr>
    </w:p>
    <w:p>
      <w:pPr>
        <w:jc w:val="both"/>
        <w:ind w:firstLine="640"/>
        <w:spacing w:after="0" w:line="214" w:lineRule="auto"/>
        <w:tabs>
          <w:tab w:leader="none" w:pos="1152" w:val="left"/>
        </w:tabs>
        <w:numPr>
          <w:ilvl w:val="0"/>
          <w:numId w:val="313"/>
        </w:numPr>
        <w:rPr>
          <w:rFonts w:ascii="Arial" w:cs="Arial" w:eastAsia="Arial" w:hAnsi="Arial"/>
          <w:sz w:val="18"/>
          <w:szCs w:val="18"/>
          <w:color w:val="010000"/>
        </w:rPr>
      </w:pPr>
      <w:r>
        <w:rPr>
          <w:rFonts w:ascii="Arial" w:cs="Arial" w:eastAsia="Arial" w:hAnsi="Arial"/>
          <w:sz w:val="18"/>
          <w:szCs w:val="18"/>
          <w:color w:val="auto"/>
        </w:rPr>
        <w:t>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(BOROUGH OF MANHATTAN) (OR ANY APPELLATE COURT THEREOF) OR OF THE UNITED STATES FOR THE SOUTHERN DISTRICT OF SUCH STATE (OR ANY APPELLATE COURT THEREOF), AND BY EXECUTION AND DELIVERY OF THIS AGREEMENT, EACH LOAN PARTY, EACH AGENT AND EACH LENDER CONSENTS, FOR ITSELF AND IN RESPECT OF ITS PROPERTY, TO THE EXCLUSIVE JURISDICTION OF THOSE COURTS AND AGREES THAT IT WILL NOT COMMENCE OR SUPPORT ANY SUCH ACTION OR PROCEEDING IN ANOTHER JURISDICTION. EACH OF THE PARTIES HERETO AGREES THAT A FINAL JUDGMENT IN ANY SUCH ACTION OR PROCEEDING SHALL BE</w:t>
      </w:r>
    </w:p>
    <w:p>
      <w:pPr>
        <w:sectPr>
          <w:pgSz w:w="11900" w:h="16838" w:orient="portrait"/>
          <w:cols w:equalWidth="0" w:num="1">
            <w:col w:w="10920"/>
          </w:cols>
          <w:pgMar w:left="480" w:top="1440" w:right="499" w:bottom="1440" w:gutter="0" w:footer="0" w:header="0"/>
        </w:sectPr>
      </w:pPr>
    </w:p>
    <w:bookmarkStart w:id="237" w:name="page238"/>
    <w:bookmarkEnd w:id="237"/>
    <w:p>
      <w:pPr>
        <w:spacing w:after="0" w:line="211" w:lineRule="exact"/>
        <w:rPr>
          <w:sz w:val="20"/>
          <w:szCs w:val="20"/>
          <w:color w:val="auto"/>
        </w:rPr>
      </w:pPr>
    </w:p>
    <w:p>
      <w:pPr>
        <w:jc w:val="both"/>
        <w:ind w:left="8"/>
        <w:spacing w:after="0" w:line="227" w:lineRule="auto"/>
        <w:rPr>
          <w:sz w:val="20"/>
          <w:szCs w:val="20"/>
          <w:color w:val="auto"/>
        </w:rPr>
      </w:pPr>
      <w:r>
        <w:rPr>
          <w:rFonts w:ascii="Arial" w:cs="Arial" w:eastAsia="Arial" w:hAnsi="Arial"/>
          <w:sz w:val="17"/>
          <w:szCs w:val="17"/>
          <w:color w:val="auto"/>
        </w:rPr>
        <w:t>CONCLUSIVE AND MAY BE ENFORCED IN OTHER JURISDICTIONS BY SUIT ON THE JUDGMENT OR IN ANY OTHER MANNER PROVIDED BY LAW. EACH LOAN PARTY, EACH AGENT AND EACH LENDER IRREVOCABLY WAIVES (TO THE EXTENT PERMITTED BY APPLICABLE LAW) ANY OBJECTION, INCLUDING ANY OBJECTION TO THE LAYING OF VENUE OR BASED ON THE GROUNDS</w:t>
      </w:r>
    </w:p>
    <w:p>
      <w:pPr>
        <w:spacing w:after="0" w:line="1" w:lineRule="exact"/>
        <w:rPr>
          <w:sz w:val="20"/>
          <w:szCs w:val="20"/>
          <w:color w:val="auto"/>
        </w:rPr>
      </w:pPr>
    </w:p>
    <w:p>
      <w:pPr>
        <w:jc w:val="both"/>
        <w:ind w:left="8"/>
        <w:spacing w:after="0" w:line="221" w:lineRule="auto"/>
        <w:rPr>
          <w:sz w:val="20"/>
          <w:szCs w:val="20"/>
          <w:color w:val="auto"/>
        </w:rPr>
      </w:pPr>
      <w:r>
        <w:rPr>
          <w:rFonts w:ascii="Arial" w:cs="Arial" w:eastAsia="Arial" w:hAnsi="Arial"/>
          <w:sz w:val="17"/>
          <w:szCs w:val="17"/>
          <w:color w:val="auto"/>
        </w:rPr>
        <w:t>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w:t>
      </w:r>
    </w:p>
    <w:p>
      <w:pPr>
        <w:jc w:val="both"/>
        <w:ind w:left="8"/>
        <w:spacing w:after="0" w:line="221" w:lineRule="auto"/>
        <w:rPr>
          <w:sz w:val="20"/>
          <w:szCs w:val="20"/>
          <w:color w:val="auto"/>
        </w:rPr>
      </w:pPr>
      <w:r>
        <w:rPr>
          <w:rFonts w:ascii="Arial" w:cs="Arial" w:eastAsia="Arial" w:hAnsi="Arial"/>
          <w:sz w:val="17"/>
          <w:szCs w:val="17"/>
          <w:color w:val="auto"/>
        </w:rPr>
        <w:t>ANY LOAN DOCUMENTS IN THE MANNER PROVIDED FOR NOTICES (OTHER THAN FACSIMILE OR ELECTRONIC MAIL) IN SECTION 10.02. NOTHING IN THIS AGREEMENT OR ANY OTHER LOAN DOCUMENT WILL AFFECT THE RIGHT OF ANY PARTY HERETO TO SERVE PROCESS IN ANY OTHER MANNER PERMITTED BY APPLICABLE LAW. FURTHERMORE, NOTWITHSTANDING</w:t>
      </w:r>
    </w:p>
    <w:p>
      <w:pPr>
        <w:jc w:val="both"/>
        <w:ind w:left="8"/>
        <w:spacing w:after="0" w:line="221" w:lineRule="auto"/>
        <w:rPr>
          <w:sz w:val="20"/>
          <w:szCs w:val="20"/>
          <w:color w:val="auto"/>
        </w:rPr>
      </w:pPr>
      <w:r>
        <w:rPr>
          <w:rFonts w:ascii="Arial" w:cs="Arial" w:eastAsia="Arial" w:hAnsi="Arial"/>
          <w:sz w:val="17"/>
          <w:szCs w:val="17"/>
          <w:color w:val="auto"/>
        </w:rPr>
        <w:t>THE FOREGOING OR ANYTHING TO THE CONTRARY IN THIS AGREEMENT OR ANY OTHER LOAN DOCUMENT, NOTHING IN THIS AGREEMENT OR ANY OTHER LOAN DOCUMENT OR OTHERWISE SHALL AFFECT ANY RIGHT THAT ANY SECURED PARTY MAY OTHERWISE HAVE TO BRING ANY ACTION OR PROCEEDING TO ENFORCE ANY AWARD OR JUDGMENT OR EXERCISE ANY RIGHT</w:t>
      </w:r>
    </w:p>
    <w:p>
      <w:pPr>
        <w:jc w:val="both"/>
        <w:ind w:left="8"/>
        <w:spacing w:after="0" w:line="226" w:lineRule="auto"/>
        <w:rPr>
          <w:sz w:val="20"/>
          <w:szCs w:val="20"/>
          <w:color w:val="auto"/>
        </w:rPr>
      </w:pPr>
      <w:r>
        <w:rPr>
          <w:rFonts w:ascii="Arial" w:cs="Arial" w:eastAsia="Arial" w:hAnsi="Arial"/>
          <w:sz w:val="18"/>
          <w:szCs w:val="18"/>
          <w:color w:val="auto"/>
        </w:rPr>
        <w:t>UNDER THE COLLATERAL DOCUMENTS OR AGAINST ANY COLLATERAL OR ANY OTHER PROPERTY OF ANY LOAN PARTY IN THE COURTS OF OTHER FORUM IN WHICH JURISDICTION CAN BE ESTABLISHED.</w:t>
      </w:r>
    </w:p>
    <w:p>
      <w:pPr>
        <w:spacing w:after="0" w:line="202"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10.16</w:t>
      </w:r>
      <w:r>
        <w:rPr>
          <w:sz w:val="20"/>
          <w:szCs w:val="20"/>
          <w:color w:val="auto"/>
        </w:rPr>
        <w:tab/>
      </w:r>
      <w:r>
        <w:rPr>
          <w:rFonts w:ascii="Arial" w:cs="Arial" w:eastAsia="Arial" w:hAnsi="Arial"/>
          <w:sz w:val="17"/>
          <w:szCs w:val="17"/>
          <w:color w:val="auto"/>
        </w:rPr>
        <w:t>WAIVER OF RIGHT TO TRIAL BY JURY.</w:t>
      </w:r>
    </w:p>
    <w:p>
      <w:pPr>
        <w:spacing w:after="0" w:line="225" w:lineRule="exact"/>
        <w:rPr>
          <w:sz w:val="20"/>
          <w:szCs w:val="20"/>
          <w:color w:val="auto"/>
        </w:rPr>
      </w:pPr>
    </w:p>
    <w:p>
      <w:pPr>
        <w:jc w:val="both"/>
        <w:ind w:left="8" w:right="40" w:firstLine="648"/>
        <w:spacing w:after="0" w:line="214"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w:t>
      </w:r>
    </w:p>
    <w:p>
      <w:pPr>
        <w:spacing w:after="0" w:line="2" w:lineRule="exact"/>
        <w:rPr>
          <w:sz w:val="20"/>
          <w:szCs w:val="20"/>
          <w:color w:val="auto"/>
        </w:rPr>
      </w:pPr>
    </w:p>
    <w:p>
      <w:pPr>
        <w:jc w:val="both"/>
        <w:ind w:left="8" w:right="40"/>
        <w:spacing w:after="0" w:line="221" w:lineRule="auto"/>
        <w:rPr>
          <w:sz w:val="20"/>
          <w:szCs w:val="20"/>
          <w:color w:val="auto"/>
        </w:rPr>
      </w:pPr>
      <w:r>
        <w:rPr>
          <w:rFonts w:ascii="Arial" w:cs="Arial" w:eastAsia="Arial" w:hAnsi="Arial"/>
          <w:sz w:val="17"/>
          <w:szCs w:val="17"/>
          <w:color w:val="auto"/>
        </w:rPr>
        <w:t>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w:t>
      </w:r>
    </w:p>
    <w:p>
      <w:pPr>
        <w:jc w:val="both"/>
        <w:ind w:left="8" w:right="40"/>
        <w:spacing w:after="0" w:line="239" w:lineRule="auto"/>
        <w:rPr>
          <w:sz w:val="20"/>
          <w:szCs w:val="20"/>
          <w:color w:val="auto"/>
        </w:rPr>
      </w:pPr>
      <w:r>
        <w:rPr>
          <w:rFonts w:ascii="Arial" w:cs="Arial" w:eastAsia="Arial" w:hAnsi="Arial"/>
          <w:sz w:val="17"/>
          <w:szCs w:val="17"/>
          <w:color w:val="auto"/>
        </w:rPr>
        <w:t>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10.17</w:t>
      </w:r>
      <w:r>
        <w:rPr>
          <w:sz w:val="20"/>
          <w:szCs w:val="20"/>
          <w:color w:val="auto"/>
        </w:rPr>
        <w:tab/>
      </w:r>
      <w:r>
        <w:rPr>
          <w:rFonts w:ascii="Arial" w:cs="Arial" w:eastAsia="Arial" w:hAnsi="Arial"/>
          <w:sz w:val="17"/>
          <w:szCs w:val="17"/>
          <w:color w:val="auto"/>
        </w:rPr>
        <w:t>Binding Effect.</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This Agreement shall become effective when (i) it shall have been executed and delivered by the Loan Parties and each other party hereto and</w:t>
      </w:r>
    </w:p>
    <w:p>
      <w:pPr>
        <w:spacing w:after="0" w:line="21" w:lineRule="exact"/>
        <w:rPr>
          <w:sz w:val="20"/>
          <w:szCs w:val="20"/>
          <w:color w:val="auto"/>
        </w:rPr>
      </w:pPr>
    </w:p>
    <w:p>
      <w:pPr>
        <w:jc w:val="both"/>
        <w:ind w:left="8" w:right="40" w:hanging="8"/>
        <w:spacing w:after="0" w:line="208" w:lineRule="auto"/>
        <w:tabs>
          <w:tab w:leader="none" w:pos="28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Administrative Agent shall have been notified by each Lender that each such Lender has executed it and thereafter shall be binding upon and inure to the benefit of the Loan Parties, each Agent and each Lender and their respective successors and assigns, in each case in accordance with Section</w:t>
      </w:r>
    </w:p>
    <w:p>
      <w:pPr>
        <w:spacing w:after="0" w:line="1" w:lineRule="exact"/>
        <w:rPr>
          <w:rFonts w:ascii="Arial" w:cs="Arial" w:eastAsia="Arial" w:hAnsi="Arial"/>
          <w:sz w:val="18"/>
          <w:szCs w:val="18"/>
          <w:color w:val="auto"/>
        </w:rPr>
      </w:pPr>
    </w:p>
    <w:p>
      <w:pPr>
        <w:ind w:left="8" w:right="40"/>
        <w:spacing w:after="0" w:line="226" w:lineRule="auto"/>
        <w:rPr>
          <w:rFonts w:ascii="Arial" w:cs="Arial" w:eastAsia="Arial" w:hAnsi="Arial"/>
          <w:sz w:val="18"/>
          <w:szCs w:val="18"/>
          <w:color w:val="auto"/>
        </w:rPr>
      </w:pPr>
      <w:r>
        <w:rPr>
          <w:rFonts w:ascii="Arial" w:cs="Arial" w:eastAsia="Arial" w:hAnsi="Arial"/>
          <w:sz w:val="18"/>
          <w:szCs w:val="18"/>
          <w:color w:val="auto"/>
        </w:rPr>
        <w:t>10.07 (if applicable) and except that no Loan Party shall have the right to assign its rights hereunder or any interest herein without the prior written consent of the Lenders except as permitted by Section 7.04.</w:t>
      </w:r>
    </w:p>
    <w:p>
      <w:pPr>
        <w:spacing w:after="0" w:line="188"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10.18</w:t>
      </w:r>
      <w:r>
        <w:rPr>
          <w:sz w:val="20"/>
          <w:szCs w:val="20"/>
          <w:color w:val="auto"/>
        </w:rPr>
        <w:tab/>
      </w:r>
      <w:r>
        <w:rPr>
          <w:rFonts w:ascii="Arial" w:cs="Arial" w:eastAsia="Arial" w:hAnsi="Arial"/>
          <w:sz w:val="16"/>
          <w:szCs w:val="16"/>
          <w:color w:val="auto"/>
        </w:rPr>
        <w:t>USA Patriot Act.</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Each Lender that is subject to the USA Patriot Act and the Administrative Agent (for itself and not on behalf of any Lender) hereby notifies</w:t>
      </w:r>
    </w:p>
    <w:p>
      <w:pPr>
        <w:spacing w:after="0" w:line="21"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the Borrowers that pursuant to the requirements of the USA Patriot Act and the Beneficial Ownership Regulation,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w:t>
      </w:r>
    </w:p>
    <w:p>
      <w:pPr>
        <w:spacing w:after="0" w:line="2" w:lineRule="exact"/>
        <w:rPr>
          <w:sz w:val="20"/>
          <w:szCs w:val="20"/>
          <w:color w:val="auto"/>
        </w:rPr>
      </w:pPr>
    </w:p>
    <w:p>
      <w:pPr>
        <w:jc w:val="both"/>
        <w:ind w:left="8"/>
        <w:spacing w:after="0" w:line="231" w:lineRule="auto"/>
        <w:rPr>
          <w:sz w:val="20"/>
          <w:szCs w:val="20"/>
          <w:color w:val="auto"/>
        </w:rPr>
      </w:pPr>
      <w:r>
        <w:rPr>
          <w:rFonts w:ascii="Arial" w:cs="Arial" w:eastAsia="Arial" w:hAnsi="Arial"/>
          <w:sz w:val="17"/>
          <w:szCs w:val="17"/>
          <w:color w:val="auto"/>
        </w:rPr>
        <w:t>accordance with the USA Patriot Act and the Beneficial Ownership Regulation. This notice is given in accordance with the requirements of the USA Patriot Act and the Beneficial Ownership Regulation and is effective as to the Lenders and the Administrative Agent. Each Loan Party shall, promptly following a request by the Administrative Agent, provide all documentation and other information that the Administrative Agent or any</w:t>
      </w:r>
    </w:p>
    <w:p>
      <w:pPr>
        <w:sectPr>
          <w:pgSz w:w="11900" w:h="16838" w:orient="portrait"/>
          <w:cols w:equalWidth="0" w:num="1">
            <w:col w:w="10928"/>
          </w:cols>
          <w:pgMar w:left="472" w:top="1440" w:right="499" w:bottom="1440" w:gutter="0" w:footer="0" w:header="0"/>
        </w:sectPr>
      </w:pPr>
    </w:p>
    <w:bookmarkStart w:id="238" w:name="page239"/>
    <w:bookmarkEnd w:id="238"/>
    <w:p>
      <w:pPr>
        <w:spacing w:after="0" w:line="211" w:lineRule="exact"/>
        <w:rPr>
          <w:sz w:val="20"/>
          <w:szCs w:val="20"/>
          <w:color w:val="auto"/>
        </w:rPr>
      </w:pPr>
    </w:p>
    <w:p>
      <w:pPr>
        <w:ind w:left="9" w:right="40"/>
        <w:spacing w:after="0" w:line="235" w:lineRule="auto"/>
        <w:rPr>
          <w:sz w:val="20"/>
          <w:szCs w:val="20"/>
          <w:color w:val="auto"/>
        </w:rPr>
      </w:pPr>
      <w:r>
        <w:rPr>
          <w:rFonts w:ascii="Arial" w:cs="Arial" w:eastAsia="Arial" w:hAnsi="Arial"/>
          <w:sz w:val="18"/>
          <w:szCs w:val="18"/>
          <w:color w:val="auto"/>
        </w:rPr>
        <w:t>Lender reasonably requests which is required in order to comply with its ongoing obligations under applicable “know your customer” and anti-money laundering rules and regulations, including the USA Patriot Act and the Beneficial Ownership Regulation.</w:t>
      </w:r>
    </w:p>
    <w:p>
      <w:pPr>
        <w:spacing w:after="0" w:line="189" w:lineRule="exact"/>
        <w:rPr>
          <w:sz w:val="20"/>
          <w:szCs w:val="20"/>
          <w:color w:val="auto"/>
        </w:rPr>
      </w:pPr>
    </w:p>
    <w:p>
      <w:pPr>
        <w:ind w:left="649"/>
        <w:spacing w:after="0"/>
        <w:tabs>
          <w:tab w:leader="none" w:pos="1789" w:val="left"/>
        </w:tabs>
        <w:rPr>
          <w:sz w:val="20"/>
          <w:szCs w:val="20"/>
          <w:color w:val="auto"/>
        </w:rPr>
      </w:pPr>
      <w:r>
        <w:rPr>
          <w:rFonts w:ascii="Arial" w:cs="Arial" w:eastAsia="Arial" w:hAnsi="Arial"/>
          <w:sz w:val="18"/>
          <w:szCs w:val="18"/>
          <w:color w:val="010000"/>
        </w:rPr>
        <w:t>Section 10.19</w:t>
      </w:r>
      <w:r>
        <w:rPr>
          <w:sz w:val="20"/>
          <w:szCs w:val="20"/>
          <w:color w:val="auto"/>
        </w:rPr>
        <w:tab/>
      </w:r>
      <w:r>
        <w:rPr>
          <w:rFonts w:ascii="Arial" w:cs="Arial" w:eastAsia="Arial" w:hAnsi="Arial"/>
          <w:sz w:val="16"/>
          <w:szCs w:val="16"/>
          <w:color w:val="auto"/>
        </w:rPr>
        <w:t>No Advisory or Fiduciary Responsibility.</w:t>
      </w:r>
    </w:p>
    <w:p>
      <w:pPr>
        <w:spacing w:after="0" w:line="225" w:lineRule="exact"/>
        <w:rPr>
          <w:sz w:val="20"/>
          <w:szCs w:val="20"/>
          <w:color w:val="auto"/>
        </w:rPr>
      </w:pPr>
    </w:p>
    <w:p>
      <w:pPr>
        <w:jc w:val="both"/>
        <w:ind w:left="9" w:right="40" w:firstLine="648"/>
        <w:spacing w:after="0" w:line="248"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each Loan Party acknowledges and agrees, and acknowledges its Affiliates’ understanding, that:</w:t>
      </w:r>
    </w:p>
    <w:p>
      <w:pPr>
        <w:jc w:val="both"/>
        <w:ind w:left="9" w:right="40" w:hanging="8"/>
        <w:spacing w:after="0" w:line="237" w:lineRule="auto"/>
        <w:tabs>
          <w:tab w:leader="none" w:pos="25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 the arranging and other services regarding this Agreement provided by the Administrative Agent and the other Arranger are arm’s-length commercial transactions between the Loan Parties and their respective Affiliates, on the one hand, and the Administrative Agent, the other Arranger and the Lenders, on the other hand, (B) each Loan Party has consulted its own legal, accounting, regulatory and tax advisors to the extent it has deemed appropriate, and (C) each Loan Party is capable of evaluating, and understands and accepts, the terms, risks and conditions of the transactions contemplated hereby and by the other Loan Documents; (ii) (A) the Administrative Agent, each other Arranger and each Lenders each is and has been acting solely as a principal and, except as expressly agreed in writing by the relevant parties, has not been, is not, and will not be acting as an advisor, agent or fiduciary for each Loan Party or any of their respective Affiliates, or any other Person and (B) neither the Administrative Agent, any other Arranger nor any Lender has any obligation to the Loan Parties or any of their respective Affiliates with respect to the transactions contemplated hereby except those obligations expressly set forth herein and in the other Loan Documents; and (iii) the Administrative Agent, the other Arranger, the Lenders and their respective Affiliates may be engaged in a broad range of transactions that involve interests that differ from those of the Loan Parties and their respective Affiliates, and neither the Administrative Agent nor any other Arranger nor any Lender has any obligation to disclose any of such interests to the Loan Parties or any of their respective Affiliates. To the fullest extent permitted by law, each Loan Party hereby waives and releases any claims that it may have against the Administrative Agent, the other Arranger and the Lenders with respect to any breach or alleged breach of agency or fiduciary duty in connection with any aspect of any transaction contemplated hereby.</w:t>
      </w:r>
    </w:p>
    <w:p>
      <w:pPr>
        <w:spacing w:after="0" w:line="208" w:lineRule="exact"/>
        <w:rPr>
          <w:sz w:val="20"/>
          <w:szCs w:val="20"/>
          <w:color w:val="auto"/>
        </w:rPr>
      </w:pPr>
    </w:p>
    <w:p>
      <w:pPr>
        <w:ind w:left="649"/>
        <w:spacing w:after="0"/>
        <w:tabs>
          <w:tab w:leader="none" w:pos="1789" w:val="left"/>
        </w:tabs>
        <w:rPr>
          <w:sz w:val="20"/>
          <w:szCs w:val="20"/>
          <w:color w:val="auto"/>
        </w:rPr>
      </w:pPr>
      <w:r>
        <w:rPr>
          <w:rFonts w:ascii="Arial" w:cs="Arial" w:eastAsia="Arial" w:hAnsi="Arial"/>
          <w:sz w:val="18"/>
          <w:szCs w:val="18"/>
          <w:color w:val="010000"/>
        </w:rPr>
        <w:t>Section 10.20</w:t>
      </w:r>
      <w:r>
        <w:rPr>
          <w:sz w:val="20"/>
          <w:szCs w:val="20"/>
          <w:color w:val="auto"/>
        </w:rPr>
        <w:tab/>
      </w:r>
      <w:r>
        <w:rPr>
          <w:rFonts w:ascii="Arial" w:cs="Arial" w:eastAsia="Arial" w:hAnsi="Arial"/>
          <w:sz w:val="16"/>
          <w:szCs w:val="16"/>
          <w:color w:val="auto"/>
        </w:rPr>
        <w:t>Intercreditor Agreements.</w:t>
      </w:r>
    </w:p>
    <w:p>
      <w:pPr>
        <w:spacing w:after="0" w:line="21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Each Lender hereunder (a) acknowledges that it has received a copy of the Intercreditor Agreements,</w:t>
      </w:r>
    </w:p>
    <w:p>
      <w:pPr>
        <w:jc w:val="both"/>
        <w:ind w:left="9" w:hanging="9"/>
        <w:spacing w:after="0" w:line="225" w:lineRule="auto"/>
        <w:tabs>
          <w:tab w:leader="none" w:pos="27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agrees that it will be bound by and will take no actions contrary to the provisions of the Intercreditor Agreements and (c) authorizes and instructs the Administrative Agent to enter into the Intercreditor Agreements as Administrative Agent and on behalf of such Lender. The foregoing provisions are intended as an inducement to the lenders under the ABL Financing Documents, Second Lien Financing Documents and any documentation governing other parity lien or junior lien Indebtedness permitted to be incurred hereunder to extend credit to the Loan Parties and such lenders are intended third party beneficiaries of such provisions. In the event of any conflict or inconsistency between the provisions of any Intercreditor Agreement and this Agreement, the provisions of such Intercreditor Agreement shall control. Notwithstanding anything to the contrary set forth herein or in any other Loan Document, prior to the payment in full of the ABL Obligations to the extent that any Loan Party is required to give physical possession over any Collateral (other than Term Loan Priority Collateral) to the Administrative Agent under this Agreement or the other Loan Documents, such requirement to give possession shall be satisfied if such Collateral is delivered to and held by the ABL Agent pursuant to the ABL Intercreditor Agreement or any other applicable Intercreditor Agreement entered into after the Closing Date.</w:t>
      </w:r>
    </w:p>
    <w:p>
      <w:pPr>
        <w:spacing w:after="0" w:line="203" w:lineRule="exact"/>
        <w:rPr>
          <w:sz w:val="20"/>
          <w:szCs w:val="20"/>
          <w:color w:val="auto"/>
        </w:rPr>
      </w:pPr>
    </w:p>
    <w:p>
      <w:pPr>
        <w:ind w:left="649"/>
        <w:spacing w:after="0"/>
        <w:rPr>
          <w:sz w:val="20"/>
          <w:szCs w:val="20"/>
          <w:color w:val="auto"/>
        </w:rPr>
      </w:pPr>
      <w:r>
        <w:rPr>
          <w:rFonts w:ascii="Arial" w:cs="Arial" w:eastAsia="Arial" w:hAnsi="Arial"/>
          <w:sz w:val="18"/>
          <w:szCs w:val="18"/>
          <w:color w:val="010000"/>
        </w:rPr>
        <w:t xml:space="preserve">Section 10.21 </w:t>
      </w:r>
      <w:r>
        <w:rPr>
          <w:rFonts w:ascii="Arial" w:cs="Arial" w:eastAsia="Arial" w:hAnsi="Arial"/>
          <w:sz w:val="18"/>
          <w:szCs w:val="18"/>
          <w:color w:val="000000"/>
        </w:rPr>
        <w:t>Acknowledgment and Consent to Bail-In of EEA Financial Institutions.</w:t>
      </w:r>
    </w:p>
    <w:p>
      <w:pPr>
        <w:spacing w:after="0" w:line="225" w:lineRule="exact"/>
        <w:rPr>
          <w:sz w:val="20"/>
          <w:szCs w:val="20"/>
          <w:color w:val="auto"/>
        </w:rPr>
      </w:pPr>
    </w:p>
    <w:p>
      <w:pPr>
        <w:ind w:left="9" w:right="40" w:firstLine="648"/>
        <w:spacing w:after="0" w:line="248" w:lineRule="auto"/>
        <w:rPr>
          <w:sz w:val="20"/>
          <w:szCs w:val="20"/>
          <w:color w:val="auto"/>
        </w:rPr>
      </w:pPr>
      <w:r>
        <w:rPr>
          <w:rFonts w:ascii="Arial" w:cs="Arial" w:eastAsia="Arial" w:hAnsi="Arial"/>
          <w:sz w:val="16"/>
          <w:szCs w:val="16"/>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w:t>
      </w:r>
    </w:p>
    <w:p>
      <w:pPr>
        <w:ind w:left="9" w:right="40"/>
        <w:spacing w:after="0" w:line="226" w:lineRule="auto"/>
        <w:rPr>
          <w:sz w:val="20"/>
          <w:szCs w:val="20"/>
          <w:color w:val="auto"/>
        </w:rPr>
      </w:pPr>
      <w:r>
        <w:rPr>
          <w:rFonts w:ascii="Arial" w:cs="Arial" w:eastAsia="Arial" w:hAnsi="Arial"/>
          <w:sz w:val="18"/>
          <w:szCs w:val="18"/>
          <w:color w:val="auto"/>
        </w:rPr>
        <w:t>the extent such liability is unsecured, may be subject to the write-down and conversion powers of the applicable Resolution Authority and agrees and consents to, and acknowledges and agrees to be bound by:</w:t>
      </w:r>
    </w:p>
    <w:p>
      <w:pPr>
        <w:spacing w:after="0" w:line="188" w:lineRule="exact"/>
        <w:rPr>
          <w:sz w:val="20"/>
          <w:szCs w:val="20"/>
          <w:color w:val="auto"/>
        </w:rPr>
      </w:pPr>
    </w:p>
    <w:p>
      <w:pPr>
        <w:ind w:left="1949" w:hanging="652"/>
        <w:spacing w:after="0"/>
        <w:tabs>
          <w:tab w:leader="none" w:pos="194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w:t>
      </w:r>
    </w:p>
    <w:p>
      <w:pPr>
        <w:sectPr>
          <w:pgSz w:w="11900" w:h="16838" w:orient="portrait"/>
          <w:cols w:equalWidth="0" w:num="1">
            <w:col w:w="10929"/>
          </w:cols>
          <w:pgMar w:left="471" w:top="1440" w:right="499" w:bottom="1440" w:gutter="0" w:footer="0" w:header="0"/>
        </w:sectPr>
      </w:pPr>
    </w:p>
    <w:bookmarkStart w:id="239" w:name="page240"/>
    <w:bookmarkEnd w:id="239"/>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Authority to any such liabilities arising hereunder which may be payable to it by any Lender that is an Affected Financial Institution; and</w:t>
      </w:r>
    </w:p>
    <w:p>
      <w:pPr>
        <w:spacing w:after="0" w:line="225" w:lineRule="exact"/>
        <w:rPr>
          <w:sz w:val="20"/>
          <w:szCs w:val="20"/>
          <w:color w:val="auto"/>
        </w:rPr>
      </w:pPr>
    </w:p>
    <w:p>
      <w:pPr>
        <w:ind w:left="1948" w:hanging="652"/>
        <w:spacing w:after="0"/>
        <w:tabs>
          <w:tab w:leader="none" w:pos="194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588" w:hanging="644"/>
        <w:spacing w:after="0"/>
        <w:tabs>
          <w:tab w:leader="none" w:pos="258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48" w:right="40" w:firstLine="1296"/>
        <w:spacing w:after="0" w:line="223" w:lineRule="auto"/>
        <w:tabs>
          <w:tab w:leader="none" w:pos="244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9" w:lineRule="exact"/>
        <w:rPr>
          <w:rFonts w:ascii="Arial" w:cs="Arial" w:eastAsia="Arial" w:hAnsi="Arial"/>
          <w:sz w:val="18"/>
          <w:szCs w:val="18"/>
          <w:color w:val="auto"/>
        </w:rPr>
      </w:pPr>
    </w:p>
    <w:p>
      <w:pPr>
        <w:ind w:left="648" w:right="180" w:firstLine="1296"/>
        <w:spacing w:after="0" w:line="235" w:lineRule="auto"/>
        <w:tabs>
          <w:tab w:leader="none" w:pos="244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202" w:lineRule="exact"/>
        <w:rPr>
          <w:sz w:val="20"/>
          <w:szCs w:val="20"/>
          <w:color w:val="auto"/>
        </w:rPr>
      </w:pPr>
    </w:p>
    <w:p>
      <w:pPr>
        <w:ind w:left="648"/>
        <w:spacing w:after="0"/>
        <w:tabs>
          <w:tab w:leader="none" w:pos="1788" w:val="left"/>
        </w:tabs>
        <w:rPr>
          <w:sz w:val="20"/>
          <w:szCs w:val="20"/>
          <w:color w:val="auto"/>
        </w:rPr>
      </w:pPr>
      <w:r>
        <w:rPr>
          <w:rFonts w:ascii="Arial" w:cs="Arial" w:eastAsia="Arial" w:hAnsi="Arial"/>
          <w:sz w:val="18"/>
          <w:szCs w:val="18"/>
          <w:color w:val="010000"/>
        </w:rPr>
        <w:t>Section 10.22</w:t>
      </w:r>
      <w:r>
        <w:rPr>
          <w:sz w:val="20"/>
          <w:szCs w:val="20"/>
          <w:color w:val="auto"/>
        </w:rPr>
        <w:tab/>
      </w:r>
      <w:r>
        <w:rPr>
          <w:rFonts w:ascii="Arial" w:cs="Arial" w:eastAsia="Arial" w:hAnsi="Arial"/>
          <w:sz w:val="16"/>
          <w:szCs w:val="16"/>
          <w:color w:val="auto"/>
        </w:rPr>
        <w:t>Acknowledgement Regarding Any Supported QFCs.</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To the extent that the Loan Documents provide support, through a guarantee or otherwise, for any Swap Contract or any other agreement or</w:t>
      </w:r>
    </w:p>
    <w:p>
      <w:pPr>
        <w:spacing w:after="0" w:line="21"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6"/>
          <w:szCs w:val="16"/>
          <w:color w:val="auto"/>
        </w:rPr>
        <w:t>instrument that is a QFC (such support, “</w:t>
      </w:r>
      <w:r>
        <w:rPr>
          <w:rFonts w:ascii="Arial" w:cs="Arial" w:eastAsia="Arial" w:hAnsi="Arial"/>
          <w:sz w:val="16"/>
          <w:szCs w:val="16"/>
          <w:b w:val="1"/>
          <w:bCs w:val="1"/>
          <w:color w:val="auto"/>
        </w:rPr>
        <w:t>QFC Credit Support</w:t>
      </w:r>
      <w:r>
        <w:rPr>
          <w:rFonts w:ascii="Arial" w:cs="Arial" w:eastAsia="Arial" w:hAnsi="Arial"/>
          <w:sz w:val="16"/>
          <w:szCs w:val="16"/>
          <w:color w:val="auto"/>
        </w:rPr>
        <w:t>”, and each such QFC, a “</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b w:val="1"/>
          <w:bCs w:val="1"/>
          <w:color w:val="auto"/>
        </w:rPr>
        <w:t>U.S. Special Resolution</w:t>
      </w:r>
    </w:p>
    <w:p>
      <w:pPr>
        <w:spacing w:after="0" w:line="2" w:lineRule="exact"/>
        <w:rPr>
          <w:sz w:val="20"/>
          <w:szCs w:val="20"/>
          <w:color w:val="auto"/>
        </w:rPr>
      </w:pPr>
    </w:p>
    <w:p>
      <w:pPr>
        <w:jc w:val="both"/>
        <w:ind w:left="8" w:right="40"/>
        <w:spacing w:after="0" w:line="218" w:lineRule="auto"/>
        <w:rPr>
          <w:sz w:val="20"/>
          <w:szCs w:val="20"/>
          <w:color w:val="auto"/>
        </w:rPr>
      </w:pPr>
      <w:r>
        <w:rPr>
          <w:rFonts w:ascii="Arial" w:cs="Arial" w:eastAsia="Arial" w:hAnsi="Arial"/>
          <w:sz w:val="18"/>
          <w:szCs w:val="18"/>
          <w:b w:val="1"/>
          <w:bCs w:val="1"/>
          <w:color w:val="auto"/>
        </w:rPr>
        <w:t>Regimes</w:t>
      </w:r>
      <w:r>
        <w:rPr>
          <w:rFonts w:ascii="Arial" w:cs="Arial" w:eastAsia="Arial" w:hAnsi="Arial"/>
          <w:sz w:val="18"/>
          <w:szCs w:val="18"/>
          <w:color w:val="auto"/>
        </w:rPr>
        <w:t>”) in respect of such Supported QFC and QFC Credit Support (with the provisions below applicable notwithstanding that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any Supported QFC may in fact be stated to be governed by the laws of the State of New York and/or of the United States or any other state of the United States):</w:t>
      </w:r>
    </w:p>
    <w:p>
      <w:pPr>
        <w:spacing w:after="0" w:line="199" w:lineRule="exact"/>
        <w:rPr>
          <w:sz w:val="20"/>
          <w:szCs w:val="20"/>
          <w:color w:val="auto"/>
        </w:rPr>
      </w:pPr>
    </w:p>
    <w:p>
      <w:pPr>
        <w:jc w:val="both"/>
        <w:ind w:left="8" w:firstLine="1288"/>
        <w:spacing w:after="0"/>
        <w:tabs>
          <w:tab w:leader="none" w:pos="180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7" w:lineRule="exact"/>
        <w:rPr>
          <w:rFonts w:ascii="Arial" w:cs="Arial" w:eastAsia="Arial" w:hAnsi="Arial"/>
          <w:sz w:val="16"/>
          <w:szCs w:val="16"/>
          <w:color w:val="auto"/>
        </w:rPr>
      </w:pPr>
    </w:p>
    <w:p>
      <w:pPr>
        <w:ind w:left="1948" w:hanging="652"/>
        <w:spacing w:after="0"/>
        <w:tabs>
          <w:tab w:leader="none" w:pos="194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As used in this Section 10.22, the following terms have the following meanings:</w:t>
      </w:r>
    </w:p>
    <w:p>
      <w:pPr>
        <w:spacing w:after="0" w:line="221" w:lineRule="exact"/>
        <w:rPr>
          <w:sz w:val="20"/>
          <w:szCs w:val="20"/>
          <w:color w:val="auto"/>
        </w:rPr>
      </w:pPr>
    </w:p>
    <w:p>
      <w:pPr>
        <w:ind w:left="8" w:right="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99" w:lineRule="exact"/>
        <w:rPr>
          <w:sz w:val="20"/>
          <w:szCs w:val="20"/>
          <w:color w:val="auto"/>
        </w:rPr>
      </w:pPr>
    </w:p>
    <w:p>
      <w:pPr>
        <w:ind w:left="6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w:t>
      </w:r>
    </w:p>
    <w:p>
      <w:pPr>
        <w:spacing w:after="0" w:line="12" w:lineRule="exact"/>
        <w:rPr>
          <w:sz w:val="20"/>
          <w:szCs w:val="20"/>
          <w:color w:val="auto"/>
        </w:rPr>
      </w:pPr>
    </w:p>
    <w:p>
      <w:pPr>
        <w:ind w:left="8" w:right="40" w:hanging="8"/>
        <w:spacing w:after="0" w:line="233" w:lineRule="auto"/>
        <w:tabs>
          <w:tab w:leader="none" w:pos="15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ectPr>
          <w:pgSz w:w="11900" w:h="16838" w:orient="portrait"/>
          <w:cols w:equalWidth="0" w:num="1">
            <w:col w:w="10928"/>
          </w:cols>
          <w:pgMar w:left="472" w:top="1440" w:right="499" w:bottom="1440" w:gutter="0" w:footer="0" w:header="0"/>
        </w:sectPr>
      </w:pPr>
    </w:p>
    <w:bookmarkStart w:id="240" w:name="page241"/>
    <w:bookmarkEnd w:id="240"/>
    <w:p>
      <w:pPr>
        <w:spacing w:after="0" w:line="207" w:lineRule="exact"/>
        <w:rPr>
          <w:sz w:val="20"/>
          <w:szCs w:val="20"/>
          <w:color w:val="auto"/>
        </w:rPr>
      </w:pPr>
    </w:p>
    <w:p>
      <w:pPr>
        <w:ind w:left="9" w:right="278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99" w:lineRule="exact"/>
        <w:rPr>
          <w:sz w:val="20"/>
          <w:szCs w:val="20"/>
          <w:color w:val="auto"/>
        </w:rPr>
      </w:pPr>
    </w:p>
    <w:p>
      <w:pPr>
        <w:ind w:left="6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12" w:lineRule="exact"/>
        <w:rPr>
          <w:sz w:val="20"/>
          <w:szCs w:val="20"/>
          <w:color w:val="auto"/>
        </w:rPr>
      </w:pPr>
    </w:p>
    <w:p>
      <w:pPr>
        <w:ind w:left="9"/>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010000"/>
        </w:rPr>
        <w:t xml:space="preserve">ARTICLE XI. </w:t>
      </w:r>
      <w:r>
        <w:rPr>
          <w:rFonts w:ascii="Arial" w:cs="Arial" w:eastAsia="Arial" w:hAnsi="Arial"/>
          <w:sz w:val="18"/>
          <w:szCs w:val="18"/>
          <w:b w:val="1"/>
          <w:bCs w:val="1"/>
          <w:u w:val="single" w:color="auto"/>
          <w:color w:val="000000"/>
        </w:rPr>
        <w:t>GUARANTEE</w:t>
      </w:r>
    </w:p>
    <w:p>
      <w:pPr>
        <w:spacing w:after="0" w:line="310" w:lineRule="exact"/>
        <w:rPr>
          <w:sz w:val="20"/>
          <w:szCs w:val="20"/>
          <w:color w:val="auto"/>
        </w:rPr>
      </w:pPr>
    </w:p>
    <w:p>
      <w:pPr>
        <w:ind w:left="649"/>
        <w:spacing w:after="0"/>
        <w:tabs>
          <w:tab w:leader="none" w:pos="1789" w:val="left"/>
        </w:tabs>
        <w:rPr>
          <w:sz w:val="20"/>
          <w:szCs w:val="20"/>
          <w:color w:val="auto"/>
        </w:rPr>
      </w:pPr>
      <w:r>
        <w:rPr>
          <w:rFonts w:ascii="Arial" w:cs="Arial" w:eastAsia="Arial" w:hAnsi="Arial"/>
          <w:sz w:val="18"/>
          <w:szCs w:val="18"/>
          <w:color w:val="010000"/>
        </w:rPr>
        <w:t>Section 11.01</w:t>
      </w:r>
      <w:r>
        <w:rPr>
          <w:sz w:val="20"/>
          <w:szCs w:val="20"/>
          <w:color w:val="auto"/>
        </w:rPr>
        <w:tab/>
      </w:r>
      <w:r>
        <w:rPr>
          <w:rFonts w:ascii="Arial" w:cs="Arial" w:eastAsia="Arial" w:hAnsi="Arial"/>
          <w:sz w:val="15"/>
          <w:szCs w:val="15"/>
          <w:color w:val="auto"/>
        </w:rPr>
        <w:t>The Guarantee.</w:t>
      </w:r>
    </w:p>
    <w:p>
      <w:pPr>
        <w:spacing w:after="0" w:line="225" w:lineRule="exact"/>
        <w:rPr>
          <w:sz w:val="20"/>
          <w:szCs w:val="20"/>
          <w:color w:val="auto"/>
        </w:rPr>
      </w:pPr>
    </w:p>
    <w:p>
      <w:pPr>
        <w:jc w:val="both"/>
        <w:ind w:left="9" w:right="100" w:firstLine="648"/>
        <w:spacing w:after="0" w:line="241" w:lineRule="auto"/>
        <w:rPr>
          <w:sz w:val="20"/>
          <w:szCs w:val="20"/>
          <w:color w:val="auto"/>
        </w:rPr>
      </w:pPr>
      <w:r>
        <w:rPr>
          <w:rFonts w:ascii="Arial" w:cs="Arial" w:eastAsia="Arial" w:hAnsi="Arial"/>
          <w:sz w:val="16"/>
          <w:szCs w:val="16"/>
          <w:color w:val="auto"/>
        </w:rPr>
        <w:t>Each Guarantor hereby jointly and severally with the other Guarantors guarantees, as a primary obligor and not as a surety, to each Secured Party and their respective successors and permitted assigns, the prompt payment in full when due (whether at stated maturity, by required prepayment, declaration, demand, by acceleration or otherwise) of (a) the principal of and interest (including any interest, fees, costs or charges that would accrue</w:t>
      </w:r>
    </w:p>
    <w:p>
      <w:pPr>
        <w:ind w:left="9"/>
        <w:spacing w:after="0" w:line="231" w:lineRule="auto"/>
        <w:rPr>
          <w:sz w:val="20"/>
          <w:szCs w:val="20"/>
          <w:color w:val="auto"/>
        </w:rPr>
      </w:pPr>
      <w:r>
        <w:rPr>
          <w:rFonts w:ascii="Arial" w:cs="Arial" w:eastAsia="Arial" w:hAnsi="Arial"/>
          <w:sz w:val="16"/>
          <w:szCs w:val="16"/>
          <w:color w:val="auto"/>
        </w:rPr>
        <w:t>but for the provisions of (i) Title 11 of the United States Code after any bankruptcy or insolvency petition under Title 11 of the United States Code and</w:t>
      </w:r>
    </w:p>
    <w:p>
      <w:pPr>
        <w:jc w:val="both"/>
        <w:ind w:left="9" w:right="100" w:hanging="9"/>
        <w:spacing w:after="0"/>
        <w:tabs>
          <w:tab w:leader="none" w:pos="2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any other Debtor Relief Laws) on the Loans made by the Lenders to, and the Notes held by each Lender of, the Borrowers </w:t>
      </w:r>
      <w:r>
        <w:rPr>
          <w:rFonts w:ascii="Arial" w:cs="Arial" w:eastAsia="Arial" w:hAnsi="Arial"/>
          <w:sz w:val="16"/>
          <w:szCs w:val="16"/>
          <w:color w:val="010101"/>
        </w:rPr>
        <w:t>(or, in the case of such</w:t>
      </w:r>
      <w:r>
        <w:rPr>
          <w:rFonts w:ascii="Arial" w:cs="Arial" w:eastAsia="Arial" w:hAnsi="Arial"/>
          <w:sz w:val="16"/>
          <w:szCs w:val="16"/>
          <w:color w:val="auto"/>
        </w:rPr>
        <w:t xml:space="preserve"> </w:t>
      </w:r>
      <w:r>
        <w:rPr>
          <w:rFonts w:ascii="Arial" w:cs="Arial" w:eastAsia="Arial" w:hAnsi="Arial"/>
          <w:sz w:val="16"/>
          <w:szCs w:val="16"/>
          <w:color w:val="010101"/>
        </w:rPr>
        <w:t>guarantee by a Guarantor that is also a Borrower, on the Loans made by the Lenders to, and the Notes held by each Lender of, each other Borrower)</w:t>
      </w:r>
      <w:r>
        <w:rPr>
          <w:rFonts w:ascii="Arial" w:cs="Arial" w:eastAsia="Arial" w:hAnsi="Arial"/>
          <w:sz w:val="16"/>
          <w:szCs w:val="16"/>
          <w:color w:val="000000"/>
        </w:rPr>
        <w:t>,</w:t>
      </w:r>
      <w:r>
        <w:rPr>
          <w:rFonts w:ascii="Arial" w:cs="Arial" w:eastAsia="Arial" w:hAnsi="Arial"/>
          <w:sz w:val="16"/>
          <w:szCs w:val="16"/>
          <w:color w:val="010101"/>
        </w:rPr>
        <w:t xml:space="preserve"> </w:t>
      </w:r>
      <w:r>
        <w:rPr>
          <w:rFonts w:ascii="Arial" w:cs="Arial" w:eastAsia="Arial" w:hAnsi="Arial"/>
          <w:sz w:val="16"/>
          <w:szCs w:val="16"/>
          <w:color w:val="000000"/>
        </w:rPr>
        <w:t>and (b) all other Secured Obligations from time to time owing to the Secured Parties by the Loan Parties under any Loan Document or Secured Hedge Agreement (all such obligations described in clauses (a) and (b), including any future increases in the amounts thereof, being herein collectively called the “</w:t>
      </w:r>
      <w:r>
        <w:rPr>
          <w:rFonts w:ascii="Arial" w:cs="Arial" w:eastAsia="Arial" w:hAnsi="Arial"/>
          <w:sz w:val="16"/>
          <w:szCs w:val="16"/>
          <w:b w:val="1"/>
          <w:bCs w:val="1"/>
          <w:color w:val="000000"/>
        </w:rPr>
        <w:t>Guaranteed Obligations</w:t>
      </w:r>
      <w:r>
        <w:rPr>
          <w:rFonts w:ascii="Arial" w:cs="Arial" w:eastAsia="Arial" w:hAnsi="Arial"/>
          <w:sz w:val="16"/>
          <w:szCs w:val="16"/>
          <w:color w:val="000000"/>
        </w:rPr>
        <w:t xml:space="preserve">”);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Guaranteed Obligations shall exclude all Excluded Swap Obligations. The Guarantors hereby jointly and severally agree that if the Borrowers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91" w:lineRule="exact"/>
        <w:rPr>
          <w:sz w:val="20"/>
          <w:szCs w:val="20"/>
          <w:color w:val="auto"/>
        </w:rPr>
      </w:pPr>
    </w:p>
    <w:p>
      <w:pPr>
        <w:ind w:left="649"/>
        <w:spacing w:after="0"/>
        <w:tabs>
          <w:tab w:leader="none" w:pos="1789" w:val="left"/>
        </w:tabs>
        <w:rPr>
          <w:sz w:val="20"/>
          <w:szCs w:val="20"/>
          <w:color w:val="auto"/>
        </w:rPr>
      </w:pPr>
      <w:r>
        <w:rPr>
          <w:rFonts w:ascii="Arial" w:cs="Arial" w:eastAsia="Arial" w:hAnsi="Arial"/>
          <w:sz w:val="18"/>
          <w:szCs w:val="18"/>
          <w:color w:val="010000"/>
        </w:rPr>
        <w:t>Section 11.02</w:t>
      </w:r>
      <w:r>
        <w:rPr>
          <w:sz w:val="20"/>
          <w:szCs w:val="20"/>
          <w:color w:val="auto"/>
        </w:rPr>
        <w:tab/>
      </w:r>
      <w:r>
        <w:rPr>
          <w:rFonts w:ascii="Arial" w:cs="Arial" w:eastAsia="Arial" w:hAnsi="Arial"/>
          <w:sz w:val="16"/>
          <w:szCs w:val="16"/>
          <w:color w:val="auto"/>
        </w:rPr>
        <w:t>Obligations Unconditional.</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6"/>
          <w:szCs w:val="16"/>
          <w:color w:val="auto"/>
        </w:rPr>
        <w:t>The obligations of the Guarantors under Section 11.01 shall constitute a guaranty of payment and to the fullest extent permitted by applicable</w:t>
      </w:r>
    </w:p>
    <w:p>
      <w:pPr>
        <w:spacing w:after="0" w:line="21" w:lineRule="exact"/>
        <w:rPr>
          <w:sz w:val="20"/>
          <w:szCs w:val="20"/>
          <w:color w:val="auto"/>
        </w:rPr>
      </w:pPr>
    </w:p>
    <w:p>
      <w:pPr>
        <w:jc w:val="both"/>
        <w:ind w:left="9" w:right="100"/>
        <w:spacing w:after="0" w:line="234" w:lineRule="auto"/>
        <w:rPr>
          <w:sz w:val="20"/>
          <w:szCs w:val="20"/>
          <w:color w:val="auto"/>
        </w:rPr>
      </w:pPr>
      <w:r>
        <w:rPr>
          <w:rFonts w:ascii="Arial" w:cs="Arial" w:eastAsia="Arial" w:hAnsi="Arial"/>
          <w:sz w:val="16"/>
          <w:szCs w:val="16"/>
          <w:color w:val="auto"/>
        </w:rPr>
        <w:t>Law, are absolute, irrevocable and unconditional, joint and several, irrespective of the value, genuineness, validity, regularity or enforceability of the Guaranteed Obligations of the Borrowers under this Agreement, the Notes, if any, or any other agreement or instrument referred to herein or therein, or any substitution, release or exchange of any other guarantee of or security for any of the Guaranteed Obligations, and, to the extent permitted by</w:t>
      </w:r>
    </w:p>
    <w:p>
      <w:pPr>
        <w:spacing w:after="0" w:line="2" w:lineRule="exact"/>
        <w:rPr>
          <w:sz w:val="20"/>
          <w:szCs w:val="20"/>
          <w:color w:val="auto"/>
        </w:rPr>
      </w:pPr>
    </w:p>
    <w:p>
      <w:pPr>
        <w:jc w:val="both"/>
        <w:ind w:left="9" w:right="100"/>
        <w:spacing w:after="0" w:line="234" w:lineRule="auto"/>
        <w:rPr>
          <w:sz w:val="20"/>
          <w:szCs w:val="20"/>
          <w:color w:val="auto"/>
        </w:rPr>
      </w:pPr>
      <w:r>
        <w:rPr>
          <w:rFonts w:ascii="Arial" w:cs="Arial" w:eastAsia="Arial" w:hAnsi="Arial"/>
          <w:sz w:val="16"/>
          <w:szCs w:val="16"/>
          <w:color w:val="auto"/>
        </w:rPr>
        <w:t>applicable Law irrespective of any other circumstance whatsoever that might otherwise constitute a legal or equitable discharge or defense of a surety or Guarantor (except for payment in full). Without limiting the generality of the foregoing, to the extent permitted by applicable Law, it is agreed that the occurrence of any one or more of the following shall not alter or impair the liability of the Guarantors hereunder which shall remain absolute,</w:t>
      </w:r>
    </w:p>
    <w:p>
      <w:pPr>
        <w:spacing w:after="0" w:line="2" w:lineRule="exact"/>
        <w:rPr>
          <w:sz w:val="20"/>
          <w:szCs w:val="20"/>
          <w:color w:val="auto"/>
        </w:rPr>
      </w:pPr>
    </w:p>
    <w:p>
      <w:pPr>
        <w:ind w:left="9"/>
        <w:spacing w:after="0"/>
        <w:rPr>
          <w:sz w:val="20"/>
          <w:szCs w:val="20"/>
          <w:color w:val="auto"/>
        </w:rPr>
      </w:pPr>
      <w:r>
        <w:rPr>
          <w:rFonts w:ascii="Arial" w:cs="Arial" w:eastAsia="Arial" w:hAnsi="Arial"/>
          <w:sz w:val="18"/>
          <w:szCs w:val="18"/>
          <w:color w:val="auto"/>
        </w:rPr>
        <w:t>irrevocable and unconditional under any and all circumstances as described above:</w:t>
      </w:r>
    </w:p>
    <w:p>
      <w:pPr>
        <w:spacing w:after="0" w:line="196" w:lineRule="exact"/>
        <w:rPr>
          <w:sz w:val="20"/>
          <w:szCs w:val="20"/>
          <w:color w:val="auto"/>
        </w:rPr>
      </w:pPr>
    </w:p>
    <w:p>
      <w:pPr>
        <w:jc w:val="both"/>
        <w:ind w:left="649" w:right="120" w:firstLine="647"/>
        <w:spacing w:after="0" w:line="289" w:lineRule="auto"/>
        <w:tabs>
          <w:tab w:leader="none" w:pos="1802" w:val="left"/>
        </w:tabs>
        <w:numPr>
          <w:ilvl w:val="0"/>
          <w:numId w:val="322"/>
        </w:numPr>
        <w:rPr>
          <w:rFonts w:ascii="Arial" w:cs="Arial" w:eastAsia="Arial" w:hAnsi="Arial"/>
          <w:sz w:val="16"/>
          <w:szCs w:val="16"/>
          <w:color w:val="010000"/>
        </w:rPr>
      </w:pPr>
      <w:r>
        <w:rPr>
          <w:rFonts w:ascii="Arial" w:cs="Arial" w:eastAsia="Arial" w:hAnsi="Arial"/>
          <w:sz w:val="16"/>
          <w:szCs w:val="16"/>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64" w:lineRule="exact"/>
        <w:rPr>
          <w:rFonts w:ascii="Arial" w:cs="Arial" w:eastAsia="Arial" w:hAnsi="Arial"/>
          <w:sz w:val="16"/>
          <w:szCs w:val="16"/>
          <w:color w:val="010000"/>
        </w:rPr>
      </w:pPr>
    </w:p>
    <w:p>
      <w:pPr>
        <w:jc w:val="both"/>
        <w:ind w:left="649" w:right="120" w:firstLine="648"/>
        <w:spacing w:after="0" w:line="224" w:lineRule="auto"/>
        <w:tabs>
          <w:tab w:leader="none" w:pos="1801" w:val="left"/>
        </w:tabs>
        <w:numPr>
          <w:ilvl w:val="0"/>
          <w:numId w:val="322"/>
        </w:numPr>
        <w:rPr>
          <w:rFonts w:ascii="Arial" w:cs="Arial" w:eastAsia="Arial" w:hAnsi="Arial"/>
          <w:sz w:val="18"/>
          <w:szCs w:val="18"/>
          <w:color w:val="010000"/>
        </w:rPr>
      </w:pPr>
      <w:r>
        <w:rPr>
          <w:rFonts w:ascii="Arial" w:cs="Arial" w:eastAsia="Arial" w:hAnsi="Arial"/>
          <w:sz w:val="18"/>
          <w:szCs w:val="18"/>
          <w:color w:val="auto"/>
        </w:rPr>
        <w:t>any of the acts mentioned in any of the provisions of this Agreement or the Notes, if any, or any other agreement or instrument referred to herein or therein shall be done or omitted (including incurring any increase or decrease in the principal amount of the Guaranteed Obligations or the rate of interest or the fees thereon);</w:t>
      </w:r>
    </w:p>
    <w:p>
      <w:pPr>
        <w:sectPr>
          <w:pgSz w:w="11900" w:h="16838" w:orient="portrait"/>
          <w:cols w:equalWidth="0" w:num="1">
            <w:col w:w="11009"/>
          </w:cols>
          <w:pgMar w:left="471" w:top="1440" w:right="419" w:bottom="1440" w:gutter="0" w:footer="0" w:header="0"/>
        </w:sectPr>
      </w:pPr>
    </w:p>
    <w:bookmarkStart w:id="241" w:name="page242"/>
    <w:bookmarkEnd w:id="241"/>
    <w:p>
      <w:pPr>
        <w:spacing w:after="0" w:line="211" w:lineRule="exact"/>
        <w:rPr>
          <w:sz w:val="20"/>
          <w:szCs w:val="20"/>
          <w:color w:val="auto"/>
        </w:rPr>
      </w:pPr>
    </w:p>
    <w:p>
      <w:pPr>
        <w:jc w:val="both"/>
        <w:ind w:left="640" w:right="20" w:firstLine="648"/>
        <w:spacing w:after="0" w:line="236" w:lineRule="auto"/>
        <w:tabs>
          <w:tab w:leader="none" w:pos="1792" w:val="left"/>
        </w:tabs>
        <w:numPr>
          <w:ilvl w:val="0"/>
          <w:numId w:val="323"/>
        </w:numPr>
        <w:rPr>
          <w:rFonts w:ascii="Arial" w:cs="Arial" w:eastAsia="Arial" w:hAnsi="Arial"/>
          <w:sz w:val="17"/>
          <w:szCs w:val="17"/>
          <w:color w:val="010000"/>
        </w:rPr>
      </w:pPr>
      <w:r>
        <w:rPr>
          <w:rFonts w:ascii="Arial" w:cs="Arial" w:eastAsia="Arial" w:hAnsi="Arial"/>
          <w:sz w:val="17"/>
          <w:szCs w:val="17"/>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pursuant to Section 11.09, any security therefor shall be released or exchanged in whole or in part or otherwise dealt with;</w:t>
      </w:r>
    </w:p>
    <w:p>
      <w:pPr>
        <w:spacing w:after="0" w:line="189" w:lineRule="exact"/>
        <w:rPr>
          <w:rFonts w:ascii="Arial" w:cs="Arial" w:eastAsia="Arial" w:hAnsi="Arial"/>
          <w:sz w:val="17"/>
          <w:szCs w:val="17"/>
          <w:color w:val="010000"/>
        </w:rPr>
      </w:pPr>
    </w:p>
    <w:p>
      <w:pPr>
        <w:ind w:left="640" w:firstLine="648"/>
        <w:spacing w:after="0" w:line="235" w:lineRule="auto"/>
        <w:tabs>
          <w:tab w:leader="none" w:pos="1792"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any Lien or security interest granted to, or in favor of, any Lender or Agent as security for any of the Guaranteed Obligations shall fail to be perfected; or</w:t>
      </w:r>
    </w:p>
    <w:p>
      <w:pPr>
        <w:spacing w:after="0" w:line="202" w:lineRule="exact"/>
        <w:rPr>
          <w:rFonts w:ascii="Arial" w:cs="Arial" w:eastAsia="Arial" w:hAnsi="Arial"/>
          <w:sz w:val="18"/>
          <w:szCs w:val="18"/>
          <w:color w:val="010000"/>
        </w:rPr>
      </w:pPr>
    </w:p>
    <w:p>
      <w:pPr>
        <w:ind w:left="1940" w:hanging="652"/>
        <w:spacing w:after="0"/>
        <w:tabs>
          <w:tab w:leader="none" w:pos="1940"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the release of any other Guarantor pursuant to Section 11.09.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Guarantors hereby expressly waive (to the fullest extent permitted by Law) diligence, presentment, demand of payment, protest and, to</w:t>
      </w:r>
    </w:p>
    <w:p>
      <w:pPr>
        <w:spacing w:after="0" w:line="2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extent permitted by Law, all notices whatsoever, and any requirement that any Secured Party exhaust any right, power or remedy or proceed against the Borrowers under this Agreement or the Notes, if any, or any other agreement or instrument referred to herein or therein, or against any other Person under any other guarantee of, or security for, any of the Guaranteed Obligations. The Guarantors waive, to the extent permitted by Law,</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Borrowers and the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not be conditioned or contingent upon the pursuit by the Secured Parties or any other Person at any time of any right or remedy against the Borrowers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to the extent of its terms upon the Guarantors and the successors and permitted assigns thereof, and shall inure to the benefit of the Lenders, and their respective successors and permitted assigns, notwithstanding that from time to time during the term of this Agreement there may be no Guaranteed Obligations outstanding.</w:t>
      </w:r>
    </w:p>
    <w:p>
      <w:pPr>
        <w:spacing w:after="0" w:line="203"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11.03</w:t>
      </w:r>
      <w:r>
        <w:rPr>
          <w:sz w:val="20"/>
          <w:szCs w:val="20"/>
          <w:color w:val="auto"/>
        </w:rPr>
        <w:tab/>
      </w:r>
      <w:r>
        <w:rPr>
          <w:rFonts w:ascii="Arial" w:cs="Arial" w:eastAsia="Arial" w:hAnsi="Arial"/>
          <w:sz w:val="16"/>
          <w:szCs w:val="16"/>
          <w:color w:val="auto"/>
        </w:rPr>
        <w:t>Reinstatement.</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The obligations of the Guarantors under this Article XI shall be automatically reinstated if and to the extent that for any reason any payment by or on behalf of the Borrowers or other Loan Party in respect of the Guaranteed Obligations is rescinded or must be otherwise restored by any holder</w:t>
      </w:r>
    </w:p>
    <w:p>
      <w:pPr>
        <w:spacing w:after="0"/>
        <w:rPr>
          <w:sz w:val="20"/>
          <w:szCs w:val="20"/>
          <w:color w:val="auto"/>
        </w:rPr>
      </w:pPr>
      <w:r>
        <w:rPr>
          <w:rFonts w:ascii="Arial" w:cs="Arial" w:eastAsia="Arial" w:hAnsi="Arial"/>
          <w:sz w:val="18"/>
          <w:szCs w:val="18"/>
          <w:color w:val="auto"/>
        </w:rPr>
        <w:t>of any of the Guaranteed Obligations, whether as a result of any proceedings in bankruptcy or reorganization or otherwise.</w:t>
      </w:r>
    </w:p>
    <w:p>
      <w:pPr>
        <w:spacing w:after="0" w:line="196"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11.04</w:t>
      </w:r>
      <w:r>
        <w:rPr>
          <w:sz w:val="20"/>
          <w:szCs w:val="20"/>
          <w:color w:val="auto"/>
        </w:rPr>
        <w:tab/>
      </w:r>
      <w:r>
        <w:rPr>
          <w:rFonts w:ascii="Arial" w:cs="Arial" w:eastAsia="Arial" w:hAnsi="Arial"/>
          <w:sz w:val="16"/>
          <w:szCs w:val="16"/>
          <w:color w:val="auto"/>
        </w:rPr>
        <w:t>Subrogation; Subordination.</w:t>
      </w:r>
    </w:p>
    <w:p>
      <w:pPr>
        <w:spacing w:after="0" w:line="22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Each Guarantor hereby agrees that until the payment and satisfaction in full in cash of all Guaranteed Obligations (other than contingent indemnification obligations as to which no claim has been asserted) and the expiration and termination of the Commitments of the Lenders under this</w:t>
      </w:r>
    </w:p>
    <w:p>
      <w:pPr>
        <w:jc w:val="both"/>
        <w:ind w:right="20"/>
        <w:spacing w:after="0" w:line="234" w:lineRule="auto"/>
        <w:rPr>
          <w:sz w:val="20"/>
          <w:szCs w:val="20"/>
          <w:color w:val="auto"/>
        </w:rPr>
      </w:pPr>
      <w:r>
        <w:rPr>
          <w:rFonts w:ascii="Arial" w:cs="Arial" w:eastAsia="Arial" w:hAnsi="Arial"/>
          <w:sz w:val="16"/>
          <w:szCs w:val="16"/>
          <w:color w:val="auto"/>
        </w:rPr>
        <w:t>Agreement it shall subordinate any claim and shall not exercise any right or remedy, direct or indirect, arising by reason of any performance by it of its guarantee in Section 11.01, whether by subrogation or otherwise, against the Borrowers or any other Guarantor of any of the Guaranteed Obligations or any security for any of the Guaranteed Obligations. Any Indebtedness of any Loan Party to any Non-Loan Party permitted pursuant to 7.03(b) or (d)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shall be subordinated to such Loan Party’s Secured Obligations in the manner set forth in the Intercompany Note evidencing such Indebtedness.</w:t>
      </w:r>
    </w:p>
    <w:p>
      <w:pPr>
        <w:spacing w:after="0" w:line="20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11.05</w:t>
      </w:r>
      <w:r>
        <w:rPr>
          <w:sz w:val="20"/>
          <w:szCs w:val="20"/>
          <w:color w:val="auto"/>
        </w:rPr>
        <w:tab/>
      </w:r>
      <w:r>
        <w:rPr>
          <w:rFonts w:ascii="Arial" w:cs="Arial" w:eastAsia="Arial" w:hAnsi="Arial"/>
          <w:sz w:val="15"/>
          <w:szCs w:val="15"/>
          <w:color w:val="auto"/>
        </w:rPr>
        <w:t>Remedies.</w:t>
      </w:r>
    </w:p>
    <w:p>
      <w:pPr>
        <w:spacing w:after="0" w:line="22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Guarantors jointly and severally agree that, as between the Guarantors and the Lenders, the obligations of the Borrowers under this Agreement and the Notes, if any, may be declared to be forthwith due and payable as</w:t>
      </w:r>
    </w:p>
    <w:p>
      <w:pPr>
        <w:sectPr>
          <w:pgSz w:w="11900" w:h="16838" w:orient="portrait"/>
          <w:cols w:equalWidth="0" w:num="1">
            <w:col w:w="10900"/>
          </w:cols>
          <w:pgMar w:left="480" w:top="1440" w:right="519" w:bottom="1440" w:gutter="0" w:footer="0" w:header="0"/>
        </w:sectPr>
      </w:pPr>
    </w:p>
    <w:bookmarkStart w:id="242" w:name="page243"/>
    <w:bookmarkEnd w:id="242"/>
    <w:p>
      <w:pPr>
        <w:spacing w:after="0" w:line="21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Borrowers and that, in the event of such declaration (or such obligations being deemed to have become</w:t>
      </w:r>
    </w:p>
    <w:p>
      <w:pPr>
        <w:spacing w:after="0" w:line="2"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automatically due and payable), such obligations (whether or not due and payable by the Borrowers) shall forthwith become due and payable by the Guarantors for purposes of Section 11.01.</w:t>
      </w:r>
    </w:p>
    <w:p>
      <w:pPr>
        <w:spacing w:after="0" w:line="188"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11.06</w:t>
      </w:r>
      <w:r>
        <w:rPr>
          <w:sz w:val="20"/>
          <w:szCs w:val="20"/>
          <w:color w:val="auto"/>
        </w:rPr>
        <w:tab/>
      </w:r>
      <w:r>
        <w:rPr>
          <w:rFonts w:ascii="Arial" w:cs="Arial" w:eastAsia="Arial" w:hAnsi="Arial"/>
          <w:sz w:val="16"/>
          <w:szCs w:val="16"/>
          <w:color w:val="auto"/>
        </w:rPr>
        <w:t>Instrument for the Payment of Money.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Guarantor hereby acknowledges that the guarantee in this Article XI constitutes an instrument for the payment of money, and consents</w:t>
      </w:r>
    </w:p>
    <w:p>
      <w:pPr>
        <w:spacing w:after="0" w:line="2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and agrees that any Lender or Agent, at its sole option, in the event of a dispute by such Guarantor in the payment of any moneys due hereunder, shall have the right to bring a motion-action under New York CPLR Section 3213.</w:t>
      </w:r>
    </w:p>
    <w:p>
      <w:pPr>
        <w:spacing w:after="0" w:line="188"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11.07</w:t>
      </w:r>
      <w:r>
        <w:rPr>
          <w:sz w:val="20"/>
          <w:szCs w:val="20"/>
          <w:color w:val="auto"/>
        </w:rPr>
        <w:tab/>
      </w:r>
      <w:r>
        <w:rPr>
          <w:rFonts w:ascii="Arial" w:cs="Arial" w:eastAsia="Arial" w:hAnsi="Arial"/>
          <w:sz w:val="16"/>
          <w:szCs w:val="16"/>
          <w:color w:val="auto"/>
        </w:rPr>
        <w:t>Continuing Guarantee.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guarantee in this Article XI is a continuing guarantee of payment, and shall apply to all Guaranteed Obligations whenever arising.</w:t>
      </w:r>
    </w:p>
    <w:p>
      <w:pPr>
        <w:spacing w:after="0" w:line="23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11.08</w:t>
      </w:r>
      <w:r>
        <w:rPr>
          <w:sz w:val="20"/>
          <w:szCs w:val="20"/>
          <w:color w:val="auto"/>
        </w:rPr>
        <w:tab/>
      </w:r>
      <w:r>
        <w:rPr>
          <w:rFonts w:ascii="Arial" w:cs="Arial" w:eastAsia="Arial" w:hAnsi="Arial"/>
          <w:sz w:val="16"/>
          <w:szCs w:val="16"/>
          <w:color w:val="auto"/>
        </w:rPr>
        <w:t>General Limitation on Guarantee Obligations.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any action or proceeding involving any state corporate limited partnership or limited liability company law, or any applicable state, federal</w:t>
      </w:r>
    </w:p>
    <w:p>
      <w:pPr>
        <w:spacing w:after="0" w:line="2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or foreign bankruptcy, insolvency, reorganization or other Law affecting the rights of creditors generally, if the obligations of any Guarantor (other than the Borrowers) under Section 11.01 would otherwise be held or determined to be void, voidable, invalid or unenforceable, or subordinated to the claims of any other creditors, on account of the amount of its liability under Section 11.01, then, notwithstanding any other provision to the contrary,</w:t>
      </w:r>
    </w:p>
    <w:p>
      <w:pPr>
        <w:spacing w:after="0" w:line="2"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the amount of such liability shall, without any further action by such Guarantor, any Loan Party or any other Person, be automatically limited and reduced to the highest amount (after giving effect to the liability under this Guaranty and the right of contribution established in Section 11.10) that is valid and enforceable and not subordinated to the claims of other creditors as determined in such action or proceeding.</w:t>
      </w:r>
    </w:p>
    <w:p>
      <w:pPr>
        <w:spacing w:after="0" w:line="203"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11.09</w:t>
      </w:r>
      <w:r>
        <w:rPr>
          <w:sz w:val="20"/>
          <w:szCs w:val="20"/>
          <w:color w:val="auto"/>
        </w:rPr>
        <w:tab/>
      </w:r>
      <w:r>
        <w:rPr>
          <w:rFonts w:ascii="Arial" w:cs="Arial" w:eastAsia="Arial" w:hAnsi="Arial"/>
          <w:sz w:val="15"/>
          <w:szCs w:val="15"/>
          <w:color w:val="auto"/>
        </w:rPr>
        <w:t>Release of Guarantors.</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If, in compliance with the terms and provisions of the Loan Documents, (i) any Guarantor that is a Restricted Subsidiary of a Loan Party ceases to be a Restricted Subsidiary of a Loan Party in a transaction permitted hereunder, (ii) any Guarantor becomes an Excluded Subsidiary or (iii) subject to Section 10.01, if the release of such Guarantor is approved, authorized or ratified in writing by the Required Lenders (any such Guarantor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referred to in clause (i), (ii) or (iii) a “</w:t>
      </w:r>
      <w:r>
        <w:rPr>
          <w:rFonts w:ascii="Arial" w:cs="Arial" w:eastAsia="Arial" w:hAnsi="Arial"/>
          <w:sz w:val="16"/>
          <w:szCs w:val="16"/>
          <w:b w:val="1"/>
          <w:bCs w:val="1"/>
          <w:color w:val="auto"/>
        </w:rPr>
        <w:t>Released Guarantor</w:t>
      </w:r>
      <w:r>
        <w:rPr>
          <w:rFonts w:ascii="Arial" w:cs="Arial" w:eastAsia="Arial" w:hAnsi="Arial"/>
          <w:sz w:val="16"/>
          <w:szCs w:val="16"/>
          <w:color w:val="auto"/>
        </w:rPr>
        <w:t>”), such Released Guarantor shall upon the consummation of the related transaction, change in status, request, approval, authorization or ratification be (in the case of clauses (i) and (iii)) automatically released and (in the case of clause (ii)) released by the Administrative Agent pursuant to appropriate documentation following a written request from the Administrative Borrower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Administrative Agent requesting such release, in each case, from its obligations under this Agreement (including under Section 10.05 hereof) and the other Loan Documents, including its obligations to pledge and grant any Collateral owned by it pursuant to any Collateral Document and, in the case of a sale of any of the Equity Interests of the Released Guarantor to a Person that is not a Loan Party, the pledge of such Equity Interests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Administrative Agent pursuant to the Collateral Documents shall be automatically released, and, so long as the Borrowers shall have provided the Administrative Agent such certifications or documents as any Agent shall reasonably request, the Administrative Agent shall take such actions as are necessary to effect each release described in this Section 11.09 in accordance with the relevant provisions of this Agreement and the Collateral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Documents; </w:t>
      </w:r>
      <w:r>
        <w:rPr>
          <w:rFonts w:ascii="Arial" w:cs="Arial" w:eastAsia="Arial" w:hAnsi="Arial"/>
          <w:sz w:val="16"/>
          <w:szCs w:val="16"/>
          <w:i w:val="1"/>
          <w:iCs w:val="1"/>
          <w:color w:val="auto"/>
        </w:rPr>
        <w:t>provided</w:t>
      </w:r>
      <w:r>
        <w:rPr>
          <w:rFonts w:ascii="Arial" w:cs="Arial" w:eastAsia="Arial" w:hAnsi="Arial"/>
          <w:sz w:val="16"/>
          <w:szCs w:val="16"/>
          <w:color w:val="auto"/>
        </w:rPr>
        <w:t>, that no such release shall occur, and no such Guarantor shall constitute a Released Guarantor, if (x) such Guarantor continues to be a guarantor in respect of any other First Lien Obligations, any ABL Obligations, any Second Lien Obligations or any Junior Financing or (y) such Guarantor continues to constitute a Subsidiary of the Parent Borrower and becomes an Excluded Subsidiary under clause (a) of the definition thereof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unless (i) no Event of Default shall have occurred and be continuing at the time such Guarantor becomes an Excluded Subsidiary under clause (a) of the definition</w:t>
      </w:r>
    </w:p>
    <w:p>
      <w:pPr>
        <w:sectPr>
          <w:pgSz w:w="11900" w:h="16838" w:orient="portrait"/>
          <w:cols w:equalWidth="0" w:num="1">
            <w:col w:w="10920"/>
          </w:cols>
          <w:pgMar w:left="480" w:top="1440" w:right="499" w:bottom="1440" w:gutter="0" w:footer="0" w:header="0"/>
        </w:sectPr>
      </w:pPr>
    </w:p>
    <w:bookmarkStart w:id="243" w:name="page244"/>
    <w:bookmarkEnd w:id="243"/>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thereof and (ii) after giving Pro Forma Effect to such release and the consummation of the transaction that causes such Person to become an Excluded Subsidiary under clause (a) of the definition thereof, the Borrowers and Restricted Subsidiaries shall be deemed to have made an Investment in, or a Restricted Payment in respect of, as applicable, such Person (as if such Person were then newly acquired or formed) and such Investment or Restricted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Payment is permitted hereunder at such time.</w:t>
      </w:r>
    </w:p>
    <w:p>
      <w:pPr>
        <w:spacing w:after="0" w:line="19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When all Commitments hereunder have terminated, and all Loans or other Obligations hereunder (other than contingent indemnification obligations as to which no claim has been asserted) have been paid or satisfied in full, this Agreement and the Guarantees made herein shall terminate</w:t>
      </w:r>
    </w:p>
    <w:p>
      <w:pPr>
        <w:spacing w:after="0"/>
        <w:rPr>
          <w:sz w:val="20"/>
          <w:szCs w:val="20"/>
          <w:color w:val="auto"/>
        </w:rPr>
      </w:pPr>
      <w:r>
        <w:rPr>
          <w:rFonts w:ascii="Arial" w:cs="Arial" w:eastAsia="Arial" w:hAnsi="Arial"/>
          <w:sz w:val="17"/>
          <w:szCs w:val="17"/>
          <w:color w:val="auto"/>
        </w:rPr>
        <w:t>with respect to all Obligations, except with respect to Obligations that expressly survive such repayment pursuant to the terms of this Agreement.</w:t>
      </w:r>
    </w:p>
    <w:p>
      <w:pPr>
        <w:spacing w:after="0" w:line="20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11.10</w:t>
      </w:r>
      <w:r>
        <w:rPr>
          <w:sz w:val="20"/>
          <w:szCs w:val="20"/>
          <w:color w:val="auto"/>
        </w:rPr>
        <w:tab/>
      </w:r>
      <w:r>
        <w:rPr>
          <w:rFonts w:ascii="Arial" w:cs="Arial" w:eastAsia="Arial" w:hAnsi="Arial"/>
          <w:sz w:val="17"/>
          <w:szCs w:val="17"/>
          <w:color w:val="auto"/>
        </w:rPr>
        <w:t>Right of Contribution.</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w:t>
      </w:r>
    </w:p>
    <w:p>
      <w:pPr>
        <w:jc w:val="both"/>
        <w:spacing w:after="0" w:line="248" w:lineRule="auto"/>
        <w:rPr>
          <w:sz w:val="20"/>
          <w:szCs w:val="20"/>
          <w:color w:val="auto"/>
        </w:rPr>
      </w:pPr>
      <w:r>
        <w:rPr>
          <w:rFonts w:ascii="Arial" w:cs="Arial" w:eastAsia="Arial" w:hAnsi="Arial"/>
          <w:sz w:val="16"/>
          <w:szCs w:val="16"/>
          <w:color w:val="auto"/>
        </w:rPr>
        <w:t>proportionate share of such payment. Each Guarantor’s right of contribution shall be subject to the terms and conditions of Section 11.04. The provisions of this Section 11.10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9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11.11</w:t>
      </w:r>
      <w:r>
        <w:rPr>
          <w:sz w:val="20"/>
          <w:szCs w:val="20"/>
          <w:color w:val="auto"/>
        </w:rPr>
        <w:tab/>
      </w:r>
      <w:r>
        <w:rPr>
          <w:rFonts w:ascii="Arial" w:cs="Arial" w:eastAsia="Arial" w:hAnsi="Arial"/>
          <w:sz w:val="17"/>
          <w:szCs w:val="17"/>
          <w:color w:val="auto"/>
        </w:rPr>
        <w:t>Keepwell.</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Each Qualified ECP Guarantor hereby jointly and severally absolutely, unconditionally and irrevocably undertakes to provide such funds or other support as may be needed from time to time by each other Loan Party to honor all of its obligations under this Guaranty in respect of any Swap Obligations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Qualified ECP Guarantor shall only be liable under this Section 11.11 for the maximum amount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liability that can be hereby incurred without rendering its obligations under this Section 11.11, or otherwise under this Agreement, voidable under applicable law relating to fraudulent conveyance or fraudulent transfer, and not for any greater amount). The obligations of each Qualified ECP Guarantor under this Section 11.11 shall remain in full force and effect until the payment in full and discharge of the Guaranteed Obligations. Each</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Qualified ECP Guarantor intends that this Section 11.11 constitute, and this Section 11.11 shall be deemed to constitute, a “keepwell, support, or other agreement” for the benefit of each other Loan Party for all purposes of Section 1a(18)(A)(v)(II) of the Commodity Exchange Act.</w:t>
      </w:r>
    </w:p>
    <w:p>
      <w:pPr>
        <w:spacing w:after="0" w:line="189"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010000"/>
        </w:rPr>
        <w:t>Section 11.12</w:t>
      </w:r>
      <w:r>
        <w:rPr>
          <w:sz w:val="20"/>
          <w:szCs w:val="20"/>
          <w:color w:val="auto"/>
        </w:rPr>
        <w:tab/>
      </w:r>
      <w:r>
        <w:rPr>
          <w:rFonts w:ascii="Arial" w:cs="Arial" w:eastAsia="Arial" w:hAnsi="Arial"/>
          <w:sz w:val="16"/>
          <w:szCs w:val="16"/>
          <w:color w:val="auto"/>
        </w:rPr>
        <w:t>Independent Obligation.</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obligations of each Guarantor hereunder are independent of the obligations of any other Guarantor, any other party or the Borrowers, and a separate action or actions may be brought and prosecuted against such Guarantor whether or not action is brought against any other Guarantor, any other party or the Borrowers and whether or not any other Guarantor, any other party or the Borrowers be joined in any such action or actions.</w:t>
      </w:r>
    </w:p>
    <w:p>
      <w:pPr>
        <w:sectPr>
          <w:pgSz w:w="11900" w:h="16838" w:orient="portrait"/>
          <w:cols w:equalWidth="0" w:num="1">
            <w:col w:w="10900"/>
          </w:cols>
          <w:pgMar w:left="480" w:top="1440" w:right="51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20"/>
          <w:szCs w:val="20"/>
          <w:b w:val="1"/>
          <w:bCs w:val="1"/>
          <w:u w:val="single" w:color="auto"/>
          <w:color w:val="auto"/>
        </w:rPr>
        <w:t>Annex B</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1399" w:right="1440"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color w:val="auto"/>
        </w:rPr>
        <w:t>Annex B</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91"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FORM OF COMMITTED LOAN NOTICE</w:t>
      </w:r>
    </w:p>
    <w:p>
      <w:pPr>
        <w:ind w:left="69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-24765</wp:posOffset>
            </wp:positionV>
            <wp:extent cx="125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 w:lineRule="exact"/>
        <w:rPr>
          <w:sz w:val="20"/>
          <w:szCs w:val="20"/>
          <w:color w:val="auto"/>
        </w:rPr>
      </w:pPr>
    </w:p>
    <w:p>
      <w:pPr>
        <w:ind w:left="460" w:right="3720" w:hanging="648"/>
        <w:spacing w:after="0" w:line="212" w:lineRule="auto"/>
        <w:tabs>
          <w:tab w:leader="none" w:pos="440" w:val="left"/>
        </w:tabs>
        <w:rPr>
          <w:sz w:val="20"/>
          <w:szCs w:val="20"/>
          <w:color w:val="auto"/>
        </w:rPr>
      </w:pPr>
      <w:r>
        <w:rPr>
          <w:rFonts w:ascii="Arial" w:cs="Arial" w:eastAsia="Arial" w:hAnsi="Arial"/>
          <w:sz w:val="20"/>
          <w:szCs w:val="20"/>
          <w:color w:val="auto"/>
        </w:rPr>
        <w:t>To:</w:t>
        <w:tab/>
        <w:t>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Lenders party to the Credit Agreement referred to below.</w:t>
      </w:r>
    </w:p>
    <w:p>
      <w:pPr>
        <w:ind w:left="640"/>
        <w:spacing w:after="0" w:line="212" w:lineRule="auto"/>
        <w:rPr>
          <w:sz w:val="20"/>
          <w:szCs w:val="20"/>
          <w:color w:val="auto"/>
        </w:rPr>
      </w:pPr>
      <w:r>
        <w:rPr>
          <w:rFonts w:ascii="Arial" w:cs="Arial" w:eastAsia="Arial" w:hAnsi="Arial"/>
          <w:sz w:val="20"/>
          <w:szCs w:val="20"/>
          <w:color w:val="auto"/>
        </w:rPr>
        <w:t>2380 Performance Drive Building C, TX2-984-03-23</w:t>
      </w:r>
    </w:p>
    <w:p>
      <w:pPr>
        <w:ind w:left="640"/>
        <w:spacing w:after="0" w:line="197" w:lineRule="auto"/>
        <w:rPr>
          <w:sz w:val="20"/>
          <w:szCs w:val="20"/>
          <w:color w:val="auto"/>
        </w:rPr>
      </w:pPr>
      <w:r>
        <w:rPr>
          <w:rFonts w:ascii="Arial" w:cs="Arial" w:eastAsia="Arial" w:hAnsi="Arial"/>
          <w:sz w:val="20"/>
          <w:szCs w:val="20"/>
          <w:color w:val="auto"/>
        </w:rPr>
        <w:t>Richardson, TX 75082 Attention: Gita Pandey Tel: 214-</w:t>
      </w:r>
    </w:p>
    <w:p>
      <w:pPr>
        <w:ind w:left="640"/>
        <w:spacing w:after="0" w:line="226" w:lineRule="auto"/>
        <w:rPr>
          <w:sz w:val="20"/>
          <w:szCs w:val="20"/>
          <w:color w:val="auto"/>
        </w:rPr>
      </w:pPr>
      <w:r>
        <w:rPr>
          <w:rFonts w:ascii="Arial" w:cs="Arial" w:eastAsia="Arial" w:hAnsi="Arial"/>
          <w:sz w:val="20"/>
          <w:szCs w:val="20"/>
          <w:color w:val="auto"/>
        </w:rPr>
        <w:t>209-2984</w:t>
      </w:r>
    </w:p>
    <w:p>
      <w:pPr>
        <w:ind w:left="640"/>
        <w:spacing w:after="0"/>
        <w:rPr>
          <w:sz w:val="20"/>
          <w:szCs w:val="20"/>
          <w:color w:val="auto"/>
        </w:rPr>
      </w:pPr>
      <w:r>
        <w:rPr>
          <w:rFonts w:ascii="Arial" w:cs="Arial" w:eastAsia="Arial" w:hAnsi="Arial"/>
          <w:sz w:val="20"/>
          <w:szCs w:val="20"/>
          <w:color w:val="auto"/>
        </w:rPr>
        <w:t>Facsimile: 214-290-8350 Email: gita.pandey@bofa.com</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Reference is made to the Amended and Restated First Lien Credit Agreement, dated as of October 27, 2021 (as amended,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restated, extended, supplemented or otherwise modified in writing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among Option Care Health, Inc. (f/k/a BioScrip,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the “</w:t>
      </w:r>
      <w:r>
        <w:rPr>
          <w:rFonts w:ascii="Arial" w:cs="Arial" w:eastAsia="Arial" w:hAnsi="Arial"/>
          <w:sz w:val="18"/>
          <w:szCs w:val="18"/>
          <w:b w:val="1"/>
          <w:bCs w:val="1"/>
          <w:color w:val="auto"/>
        </w:rPr>
        <w:t>Parent Borrower</w:t>
      </w:r>
      <w:r>
        <w:rPr>
          <w:rFonts w:ascii="Arial" w:cs="Arial" w:eastAsia="Arial" w:hAnsi="Arial"/>
          <w:sz w:val="18"/>
          <w:szCs w:val="18"/>
          <w:color w:val="auto"/>
        </w:rPr>
        <w:t>”), the other Borrowers party</w:t>
      </w:r>
    </w:p>
    <w:p>
      <w:pPr>
        <w:spacing w:after="0" w:line="224" w:lineRule="auto"/>
        <w:rPr>
          <w:sz w:val="20"/>
          <w:szCs w:val="20"/>
          <w:color w:val="auto"/>
        </w:rPr>
      </w:pPr>
      <w:r>
        <w:rPr>
          <w:rFonts w:ascii="Arial" w:cs="Arial" w:eastAsia="Arial" w:hAnsi="Arial"/>
          <w:sz w:val="19"/>
          <w:szCs w:val="19"/>
          <w:color w:val="auto"/>
        </w:rPr>
        <w:t>thereto from time to time, the Guarantors party thereto from time to time, Bank of America, N.A., as Administrative Agent and the</w:t>
      </w:r>
    </w:p>
    <w:p>
      <w:pPr>
        <w:spacing w:after="0" w:line="220" w:lineRule="auto"/>
        <w:rPr>
          <w:sz w:val="20"/>
          <w:szCs w:val="20"/>
          <w:color w:val="auto"/>
        </w:rPr>
      </w:pPr>
      <w:r>
        <w:rPr>
          <w:rFonts w:ascii="Arial" w:cs="Arial" w:eastAsia="Arial" w:hAnsi="Arial"/>
          <w:sz w:val="20"/>
          <w:szCs w:val="20"/>
          <w:color w:val="auto"/>
        </w:rPr>
        <w:t>Lenders and other parties from time to time party thereto. Capitalized terms used herein and not otherwise defined herein shall have the meanings assigned to such terms in the Credit Agreement.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Administrative Borrower hereby requests (select one):</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 Borrowing of new Loans (the “</w:t>
      </w:r>
      <w:r>
        <w:rPr>
          <w:rFonts w:ascii="Arial" w:cs="Arial" w:eastAsia="Arial" w:hAnsi="Arial"/>
          <w:sz w:val="20"/>
          <w:szCs w:val="20"/>
          <w:b w:val="1"/>
          <w:bCs w:val="1"/>
          <w:color w:val="auto"/>
        </w:rPr>
        <w:t>Borrowing</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22860</wp:posOffset>
            </wp:positionV>
            <wp:extent cx="23228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6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 conversion of Loans made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10160</wp:posOffset>
            </wp:positionV>
            <wp:extent cx="23228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OR</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 continuation of Term SOFR Loans made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10160</wp:posOffset>
            </wp:positionV>
            <wp:extent cx="23228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to be made on the terms set forth below:</w:t>
      </w:r>
    </w:p>
    <w:p>
      <w:pPr>
        <w:spacing w:after="0" w:line="283" w:lineRule="exact"/>
        <w:rPr>
          <w:sz w:val="20"/>
          <w:szCs w:val="20"/>
          <w:color w:val="auto"/>
        </w:rPr>
      </w:pPr>
    </w:p>
    <w:p>
      <w:pPr>
        <w:ind w:left="480" w:hanging="464"/>
        <w:spacing w:after="0"/>
        <w:tabs>
          <w:tab w:leader="none" w:pos="48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Class of Borrowing</w:t>
      </w:r>
      <w:r>
        <w:rPr>
          <w:rFonts w:ascii="Arial" w:cs="Arial" w:eastAsia="Arial" w:hAnsi="Arial"/>
          <w:sz w:val="25"/>
          <w:szCs w:val="25"/>
          <w:color w:val="auto"/>
          <w:vertAlign w:val="superscript"/>
        </w:rPr>
        <w:t>1</w:t>
      </w:r>
    </w:p>
    <w:p>
      <w:pPr>
        <w:spacing w:after="0" w:line="252" w:lineRule="exact"/>
        <w:rPr>
          <w:rFonts w:ascii="Arial" w:cs="Arial" w:eastAsia="Arial" w:hAnsi="Arial"/>
          <w:sz w:val="20"/>
          <w:szCs w:val="20"/>
          <w:color w:val="auto"/>
        </w:rPr>
      </w:pPr>
    </w:p>
    <w:p>
      <w:pPr>
        <w:ind w:left="500" w:right="6140" w:hanging="485"/>
        <w:spacing w:after="0" w:line="288" w:lineRule="auto"/>
        <w:tabs>
          <w:tab w:leader="none" w:pos="473" w:val="left"/>
        </w:tabs>
        <w:numPr>
          <w:ilvl w:val="0"/>
          <w:numId w:val="324"/>
        </w:numPr>
        <w:rPr>
          <w:rFonts w:ascii="Arial" w:cs="Arial" w:eastAsia="Arial" w:hAnsi="Arial"/>
          <w:sz w:val="20"/>
          <w:szCs w:val="20"/>
          <w:color w:val="auto"/>
        </w:rPr>
      </w:pPr>
      <w:r>
        <w:rPr>
          <w:rFonts w:ascii="Arial" w:cs="Arial" w:eastAsia="Arial" w:hAnsi="Arial"/>
          <w:sz w:val="20"/>
          <w:szCs w:val="20"/>
          <w:color w:val="auto"/>
        </w:rPr>
        <w:t>Date of Borrowing, conversion or continuation (which is a Business Day)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right="260" w:firstLine="648"/>
        <w:spacing w:after="0" w:line="209" w:lineRule="auto"/>
        <w:rPr>
          <w:rFonts w:ascii="Arial" w:cs="Arial" w:eastAsia="Arial" w:hAnsi="Arial"/>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E.g., Term B Loans, Incremental Term Loans, Incremental Revolving Loans, Refinancing Term Loans, Refinancing Revolving Loans or Extended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-1198880</wp:posOffset>
            </wp:positionV>
            <wp:extent cx="2177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-676275</wp:posOffset>
            </wp:positionV>
            <wp:extent cx="2177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10940"/>
          </w:cols>
          <w:pgMar w:left="480" w:top="739" w:right="479" w:bottom="1440" w:gutter="0" w:footer="0" w:header="0"/>
        </w:sectPr>
      </w:pPr>
    </w:p>
    <w:bookmarkStart w:id="246" w:name="page247"/>
    <w:bookmarkEnd w:id="246"/>
    <w:p>
      <w:pPr>
        <w:spacing w:after="0" w:line="236" w:lineRule="exact"/>
        <w:rPr>
          <w:sz w:val="20"/>
          <w:szCs w:val="20"/>
          <w:color w:val="auto"/>
        </w:rPr>
      </w:pPr>
    </w:p>
    <w:p>
      <w:pPr>
        <w:ind w:left="480" w:hanging="464"/>
        <w:spacing w:after="0"/>
        <w:tabs>
          <w:tab w:leader="none" w:pos="48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Principal amount</w:t>
      </w:r>
      <w:r>
        <w:rPr>
          <w:rFonts w:ascii="Arial" w:cs="Arial" w:eastAsia="Arial" w:hAnsi="Arial"/>
          <w:sz w:val="25"/>
          <w:szCs w:val="25"/>
          <w:color w:val="auto"/>
          <w:vertAlign w:val="superscript"/>
        </w:rPr>
        <w:t>2</w:t>
      </w:r>
    </w:p>
    <w:p>
      <w:pPr>
        <w:spacing w:after="0" w:line="212" w:lineRule="exact"/>
        <w:rPr>
          <w:rFonts w:ascii="Arial" w:cs="Arial" w:eastAsia="Arial" w:hAnsi="Arial"/>
          <w:sz w:val="20"/>
          <w:szCs w:val="20"/>
          <w:color w:val="auto"/>
        </w:rPr>
      </w:pPr>
    </w:p>
    <w:p>
      <w:pPr>
        <w:ind w:left="480" w:hanging="464"/>
        <w:spacing w:after="0"/>
        <w:tabs>
          <w:tab w:leader="none" w:pos="48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Type of Loan</w:t>
      </w:r>
      <w:r>
        <w:rPr>
          <w:rFonts w:ascii="Arial" w:cs="Arial" w:eastAsia="Arial" w:hAnsi="Arial"/>
          <w:sz w:val="25"/>
          <w:szCs w:val="25"/>
          <w:color w:val="auto"/>
          <w:vertAlign w:val="superscript"/>
        </w:rPr>
        <w:t>3</w:t>
      </w:r>
    </w:p>
    <w:p>
      <w:pPr>
        <w:spacing w:after="0" w:line="184" w:lineRule="exact"/>
        <w:rPr>
          <w:rFonts w:ascii="Arial" w:cs="Arial" w:eastAsia="Arial" w:hAnsi="Arial"/>
          <w:sz w:val="20"/>
          <w:szCs w:val="20"/>
          <w:color w:val="auto"/>
        </w:rPr>
      </w:pPr>
    </w:p>
    <w:p>
      <w:pPr>
        <w:ind w:left="460" w:hanging="444"/>
        <w:spacing w:after="0"/>
        <w:tabs>
          <w:tab w:leader="none" w:pos="46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Interest Period and the last day thereof</w:t>
      </w:r>
      <w:r>
        <w:rPr>
          <w:rFonts w:ascii="Arial" w:cs="Arial" w:eastAsia="Arial" w:hAnsi="Arial"/>
          <w:sz w:val="25"/>
          <w:szCs w:val="25"/>
          <w:color w:val="auto"/>
          <w:vertAlign w:val="superscript"/>
        </w:rPr>
        <w:t>4</w:t>
      </w:r>
    </w:p>
    <w:p>
      <w:pPr>
        <w:spacing w:after="0" w:line="219" w:lineRule="exact"/>
        <w:rPr>
          <w:rFonts w:ascii="Arial" w:cs="Arial" w:eastAsia="Arial" w:hAnsi="Arial"/>
          <w:sz w:val="20"/>
          <w:szCs w:val="20"/>
          <w:color w:val="auto"/>
        </w:rPr>
      </w:pPr>
    </w:p>
    <w:p>
      <w:pPr>
        <w:ind w:left="500" w:right="6260" w:hanging="485"/>
        <w:spacing w:after="0" w:line="239" w:lineRule="auto"/>
        <w:tabs>
          <w:tab w:leader="none" w:pos="45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Applicable Borrower (the “</w:t>
      </w:r>
      <w:r>
        <w:rPr>
          <w:rFonts w:ascii="Arial" w:cs="Arial" w:eastAsia="Arial" w:hAnsi="Arial"/>
          <w:sz w:val="20"/>
          <w:szCs w:val="20"/>
          <w:b w:val="1"/>
          <w:bCs w:val="1"/>
          <w:color w:val="auto"/>
        </w:rPr>
        <w:t>Borrower</w:t>
      </w:r>
      <w:r>
        <w:rPr>
          <w:rFonts w:ascii="Arial" w:cs="Arial" w:eastAsia="Arial" w:hAnsi="Arial"/>
          <w:sz w:val="20"/>
          <w:szCs w:val="20"/>
          <w:color w:val="auto"/>
        </w:rPr>
        <w:t>”) receiving the proceeds</w:t>
      </w:r>
    </w:p>
    <w:p>
      <w:pPr>
        <w:spacing w:after="0" w:line="114" w:lineRule="exact"/>
        <w:rPr>
          <w:rFonts w:ascii="Arial" w:cs="Arial" w:eastAsia="Arial" w:hAnsi="Arial"/>
          <w:sz w:val="20"/>
          <w:szCs w:val="20"/>
          <w:color w:val="auto"/>
        </w:rPr>
      </w:pPr>
    </w:p>
    <w:p>
      <w:pPr>
        <w:ind w:left="500" w:right="5940" w:hanging="485"/>
        <w:spacing w:after="0" w:line="301" w:lineRule="auto"/>
        <w:tabs>
          <w:tab w:leader="none" w:pos="484"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Wire instructions for Borrower account(s) and amount of requested Borrowing:</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-1549400</wp:posOffset>
            </wp:positionV>
            <wp:extent cx="21774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177415"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-1232535</wp:posOffset>
            </wp:positionV>
            <wp:extent cx="21774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-932180</wp:posOffset>
            </wp:positionV>
            <wp:extent cx="2177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-486410</wp:posOffset>
            </wp:positionV>
            <wp:extent cx="2177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-66675</wp:posOffset>
            </wp:positionV>
            <wp:extent cx="2177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[Except in respect of any conversion or continuation of a Borrowing, the undersigned hereby represents and warrants to the Administrative Agent and the Lenders that the conditions to lending specified in clauses (i) and (ii) of Section 4.02 of the Credit Agreement will be satisfied as of the date of the Borrowing set forth above.]</w:t>
      </w:r>
      <w:r>
        <w:rPr>
          <w:rFonts w:ascii="Arial" w:cs="Arial" w:eastAsia="Arial" w:hAnsi="Arial"/>
          <w:sz w:val="16"/>
          <w:szCs w:val="16"/>
          <w:color w:val="auto"/>
        </w:rPr>
        <w:t>6</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Borrowings contemplated by this Committed Loan Notice are conditioned upon the closing of the Credit Agreement.]</w:t>
      </w:r>
      <w:r>
        <w:rPr>
          <w:rFonts w:ascii="Arial" w:cs="Arial" w:eastAsia="Arial" w:hAnsi="Arial"/>
          <w:sz w:val="24"/>
          <w:szCs w:val="24"/>
          <w:color w:val="auto"/>
          <w:vertAlign w:val="superscript"/>
        </w:rPr>
        <w:t>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0"/>
        <w:spacing w:after="0" w:line="206" w:lineRule="auto"/>
        <w:tabs>
          <w:tab w:leader="none" w:pos="944" w:val="left"/>
        </w:tabs>
        <w:numPr>
          <w:ilvl w:val="0"/>
          <w:numId w:val="326"/>
        </w:numPr>
        <w:rPr>
          <w:rFonts w:ascii="Arial" w:cs="Arial" w:eastAsia="Arial" w:hAnsi="Arial"/>
          <w:sz w:val="23"/>
          <w:szCs w:val="23"/>
          <w:color w:val="auto"/>
          <w:vertAlign w:val="superscript"/>
        </w:rPr>
      </w:pPr>
      <w:r>
        <w:rPr>
          <w:rFonts w:ascii="Arial" w:cs="Arial" w:eastAsia="Arial" w:hAnsi="Arial"/>
          <w:sz w:val="18"/>
          <w:szCs w:val="18"/>
          <w:color w:val="auto"/>
        </w:rPr>
        <w:t>Term SOFR borrowings to be in a minimum principal amount of $1,000,000 or in whole multiples of $500,000 in excess thereof. Base Rate borrowings to be in a minimum principal amount of $500,000 or in whole multiples of $100,000 in excess thereof.</w:t>
      </w:r>
    </w:p>
    <w:p>
      <w:pPr>
        <w:sectPr>
          <w:pgSz w:w="11900" w:h="16838" w:orient="portrait"/>
          <w:cols w:equalWidth="0" w:num="1">
            <w:col w:w="10940"/>
          </w:cols>
          <w:pgMar w:left="480" w:top="1440" w:right="479" w:bottom="1440" w:gutter="0" w:footer="0" w:header="0"/>
        </w:sectPr>
      </w:pP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9"/>
          <w:szCs w:val="9"/>
          <w:color w:val="auto"/>
        </w:rPr>
        <w:t>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month.</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Specify Term SOFR or Base Rate.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Applicable for Term SOFR Loan Borrowings only. If no Interest Period is specified, it will be deemed to be an Interest Period of one (1)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Wiring instructions apply only to Borrowings after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Applies only to the Borrowings after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Applies only to the Borrowings on the Closing Date.</w:t>
      </w:r>
    </w:p>
    <w:p>
      <w:pPr>
        <w:sectPr>
          <w:pgSz w:w="11900" w:h="16838" w:orient="portrait"/>
          <w:cols w:equalWidth="0" w:num="2">
            <w:col w:w="700" w:space="180"/>
            <w:col w:w="10060"/>
          </w:cols>
          <w:pgMar w:left="480" w:top="1440" w:right="479" w:bottom="1440" w:gutter="0" w:footer="0" w:header="0"/>
          <w:type w:val="continuous"/>
        </w:sectPr>
      </w:pPr>
    </w:p>
    <w:bookmarkStart w:id="247" w:name="page248"/>
    <w:bookmarkEnd w:id="247"/>
    <w:p>
      <w:pPr>
        <w:spacing w:after="0" w:line="189" w:lineRule="exact"/>
        <w:rPr>
          <w:sz w:val="20"/>
          <w:szCs w:val="20"/>
          <w:color w:val="auto"/>
        </w:rPr>
      </w:pPr>
    </w:p>
    <w:p>
      <w:pPr>
        <w:ind w:left="2920"/>
        <w:spacing w:after="0"/>
        <w:rPr>
          <w:sz w:val="20"/>
          <w:szCs w:val="20"/>
          <w:color w:val="auto"/>
        </w:rPr>
      </w:pPr>
      <w:r>
        <w:rPr>
          <w:rFonts w:ascii="Arial" w:cs="Arial" w:eastAsia="Arial" w:hAnsi="Arial"/>
          <w:sz w:val="19"/>
          <w:szCs w:val="19"/>
          <w:b w:val="1"/>
          <w:bCs w:val="1"/>
          <w:color w:val="auto"/>
        </w:rPr>
        <w:t>OPTION CARE HEALTH, INC. (f/k/a BIOSCRIP, INC.)</w:t>
      </w:r>
    </w:p>
    <w:p>
      <w:pPr>
        <w:spacing w:after="0" w:line="200" w:lineRule="exact"/>
        <w:rPr>
          <w:sz w:val="20"/>
          <w:szCs w:val="20"/>
          <w:color w:val="auto"/>
        </w:rPr>
      </w:pPr>
    </w:p>
    <w:p>
      <w:pPr>
        <w:spacing w:after="0" w:line="222" w:lineRule="exact"/>
        <w:rPr>
          <w:sz w:val="20"/>
          <w:szCs w:val="20"/>
          <w:color w:val="auto"/>
        </w:rPr>
      </w:pPr>
    </w:p>
    <w:p>
      <w:pPr>
        <w:ind w:left="2920"/>
        <w:spacing w:after="0"/>
        <w:tabs>
          <w:tab w:leader="none" w:pos="3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-14605</wp:posOffset>
            </wp:positionV>
            <wp:extent cx="125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9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40" w:right="1440" w:bottom="1440" w:gutter="0" w:footer="0" w:header="0"/>
        </w:sectPr>
      </w:pPr>
    </w:p>
    <w:bookmarkStart w:id="248" w:name="page249"/>
    <w:bookmarkEnd w:id="248"/>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03" w:lineRule="exact"/>
        <w:rPr>
          <w:rFonts w:ascii="Arial" w:cs="Arial" w:eastAsia="Arial" w:hAnsi="Arial"/>
          <w:sz w:val="18"/>
          <w:szCs w:val="18"/>
          <w:color w:val="auto"/>
        </w:rPr>
      </w:pPr>
    </w:p>
    <w:p>
      <w:pPr>
        <w:ind w:left="660" w:hanging="652"/>
        <w:spacing w:after="0" w:line="263" w:lineRule="auto"/>
        <w:tabs>
          <w:tab w:leader="none" w:pos="43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443" w:val="left"/>
        </w:tabs>
        <w:numPr>
          <w:ilvl w:val="0"/>
          <w:numId w:val="3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hanging="644"/>
        <w:spacing w:after="0" w:line="263" w:lineRule="auto"/>
        <w:tabs>
          <w:tab w:leader="none" w:pos="115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8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300" w:hanging="644"/>
        <w:spacing w:after="0" w:line="263" w:lineRule="auto"/>
        <w:tabs>
          <w:tab w:leader="none" w:pos="118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42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hanging="644"/>
        <w:spacing w:after="0" w:line="308" w:lineRule="auto"/>
        <w:tabs>
          <w:tab w:leader="none" w:pos="1224"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161"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5"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03" w:lineRule="exact"/>
        <w:rPr>
          <w:rFonts w:ascii="Arial" w:cs="Arial" w:eastAsia="Arial" w:hAnsi="Arial"/>
          <w:sz w:val="18"/>
          <w:szCs w:val="18"/>
          <w:color w:val="auto"/>
        </w:rPr>
      </w:pPr>
    </w:p>
    <w:p>
      <w:pPr>
        <w:ind w:left="660" w:hanging="652"/>
        <w:spacing w:after="0" w:line="263" w:lineRule="auto"/>
        <w:tabs>
          <w:tab w:leader="none" w:pos="43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44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hanging="644"/>
        <w:spacing w:after="0" w:line="263" w:lineRule="auto"/>
        <w:tabs>
          <w:tab w:leader="none" w:pos="1157"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8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300" w:hanging="644"/>
        <w:spacing w:after="0" w:line="263" w:lineRule="auto"/>
        <w:tabs>
          <w:tab w:leader="none" w:pos="118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42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hanging="644"/>
        <w:spacing w:after="0" w:line="308" w:lineRule="auto"/>
        <w:tabs>
          <w:tab w:leader="none" w:pos="1224"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161"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5"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2023,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1"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2023,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1)"/>
      <w:numFmt w:val="decimal"/>
      <w:start w:val="1"/>
    </w:lvl>
  </w:abstractNum>
  <w:abstractNum w:abstractNumId="3">
    <w:nsid w:val="68B867D3"/>
    <w:multiLevelType w:val="hybridMultilevel"/>
    <w:lvl w:ilvl="0">
      <w:lvlJc w:val="left"/>
      <w:lvlText w:val="(%1)"/>
      <w:numFmt w:val="decimal"/>
      <w:start w:val="1"/>
    </w:lvl>
  </w:abstractNum>
  <w:abstractNum w:abstractNumId="4">
    <w:nsid w:val="3F7F5DD9"/>
    <w:multiLevelType w:val="hybridMultilevel"/>
    <w:lvl w:ilvl="0">
      <w:lvlJc w:val="left"/>
      <w:lvlText w:val="(%1)"/>
      <w:numFmt w:val="decimal"/>
      <w:start w:val="1"/>
    </w:lvl>
  </w:abstractNum>
  <w:abstractNum w:abstractNumId="5">
    <w:nsid w:val="2AE05A34"/>
    <w:multiLevelType w:val="hybridMultilevel"/>
    <w:lvl w:ilvl="0">
      <w:lvlJc w:val="left"/>
      <w:lvlText w:val="•"/>
      <w:numFmt w:val="bullet"/>
      <w:start w:val="1"/>
    </w:lvl>
  </w:abstractNum>
  <w:abstractNum w:abstractNumId="6">
    <w:nsid w:val="32794FF7"/>
    <w:multiLevelType w:val="hybridMultilevel"/>
    <w:lvl w:ilvl="0">
      <w:lvlJc w:val="left"/>
      <w:lvlText w:val="%1."/>
      <w:numFmt w:val="upperLetter"/>
      <w:start w:val="1"/>
    </w:lvl>
  </w:abstractNum>
  <w:abstractNum w:abstractNumId="7">
    <w:nsid w:val="5454945E"/>
    <w:multiLevelType w:val="hybridMultilevel"/>
    <w:lvl w:ilvl="0">
      <w:lvlJc w:val="left"/>
      <w:lvlText w:val="%1."/>
      <w:numFmt w:val="upperLetter"/>
      <w:start w:val="1"/>
    </w:lvl>
  </w:abstractNum>
  <w:abstractNum w:abstractNumId="8">
    <w:nsid w:val="4DEFDFA0"/>
    <w:multiLevelType w:val="hybridMultilevel"/>
    <w:lvl w:ilvl="0">
      <w:lvlJc w:val="left"/>
      <w:lvlText w:val="%1"/>
      <w:numFmt w:val="upperLetter"/>
      <w:start w:val="1"/>
    </w:lvl>
    <w:lvl w:ilvl="1">
      <w:lvlJc w:val="left"/>
      <w:lvlText w:val="(%2)"/>
      <w:numFmt w:val="lowerRoman"/>
      <w:start w:val="1"/>
    </w:lvl>
  </w:abstractNum>
  <w:abstractNum w:abstractNumId="9">
    <w:nsid w:val="2123D5F2"/>
    <w:multiLevelType w:val="hybridMultilevel"/>
    <w:lvl w:ilvl="0">
      <w:lvlJc w:val="left"/>
      <w:lvlText w:val="%1."/>
      <w:numFmt w:val="upperLetter"/>
      <w:start w:val="2"/>
    </w:lvl>
    <w:lvl w:ilvl="1">
      <w:lvlJc w:val="left"/>
      <w:lvlText w:val="%2"/>
      <w:numFmt w:val="lowerRoman"/>
      <w:start w:val="1"/>
    </w:lvl>
  </w:abstractNum>
  <w:abstractNum w:abstractNumId="10">
    <w:nsid w:val="135B8110"/>
    <w:multiLevelType w:val="hybridMultilevel"/>
    <w:lvl w:ilvl="0">
      <w:lvlJc w:val="left"/>
      <w:lvlText w:val="I"/>
      <w:numFmt w:val="bullet"/>
      <w:start w:val="1"/>
    </w:lvl>
  </w:abstractNum>
  <w:abstractNum w:abstractNumId="11">
    <w:nsid w:val="94927A8"/>
    <w:multiLevelType w:val="hybridMultilevel"/>
    <w:lvl w:ilvl="0">
      <w:lvlJc w:val="left"/>
      <w:lvlText w:val="A"/>
      <w:numFmt w:val="bullet"/>
      <w:start w:val="1"/>
    </w:lvl>
  </w:abstractNum>
  <w:abstractNum w:abstractNumId="12">
    <w:nsid w:val="DCDF8F6"/>
    <w:multiLevelType w:val="hybridMultilevel"/>
    <w:lvl w:ilvl="0">
      <w:lvlJc w:val="left"/>
      <w:lvlText w:val="B"/>
      <w:numFmt w:val="bullet"/>
      <w:start w:val="1"/>
    </w:lvl>
  </w:abstractNum>
  <w:abstractNum w:abstractNumId="13">
    <w:nsid w:val="52D7B105"/>
    <w:multiLevelType w:val="hybridMultilevel"/>
    <w:lvl w:ilvl="0">
      <w:lvlJc w:val="left"/>
      <w:lvlText w:val="F"/>
      <w:numFmt w:val="bullet"/>
      <w:start w:val="1"/>
    </w:lvl>
  </w:abstractNum>
  <w:abstractNum w:abstractNumId="14">
    <w:nsid w:val="2E8A6394"/>
    <w:multiLevelType w:val="hybridMultilevel"/>
    <w:lvl w:ilvl="0">
      <w:lvlJc w:val="left"/>
      <w:lvlText w:val="G"/>
      <w:numFmt w:val="bullet"/>
      <w:start w:val="1"/>
    </w:lvl>
  </w:abstractNum>
  <w:abstractNum w:abstractNumId="15">
    <w:nsid w:val="24E60401"/>
    <w:multiLevelType w:val="hybridMultilevel"/>
    <w:lvl w:ilvl="0">
      <w:lvlJc w:val="left"/>
      <w:lvlText w:val="(%1)"/>
      <w:numFmt w:val="lowerLetter"/>
      <w:start w:val="1"/>
    </w:lvl>
  </w:abstractNum>
  <w:abstractNum w:abstractNumId="16">
    <w:nsid w:val="2A6AD9BE"/>
    <w:multiLevelType w:val="hybridMultilevel"/>
    <w:lvl w:ilvl="0">
      <w:lvlJc w:val="left"/>
      <w:lvlText w:val="(%1)"/>
      <w:numFmt w:val="lowerLetter"/>
      <w:start w:val="2"/>
    </w:lvl>
  </w:abstractNum>
  <w:abstractNum w:abstractNumId="17">
    <w:nsid w:val="BAAC1B4"/>
    <w:multiLevelType w:val="hybridMultilevel"/>
    <w:lvl w:ilvl="0">
      <w:lvlJc w:val="left"/>
      <w:lvlText w:val="(%1)"/>
      <w:numFmt w:val="decimal"/>
      <w:start w:val="1"/>
    </w:lvl>
  </w:abstractNum>
  <w:abstractNum w:abstractNumId="18">
    <w:nsid w:val="36B2ACBC"/>
    <w:multiLevelType w:val="hybridMultilevel"/>
    <w:lvl w:ilvl="0">
      <w:lvlJc w:val="left"/>
      <w:lvlText w:val="(%1)"/>
      <w:numFmt w:val="decimal"/>
      <w:start w:val="1"/>
    </w:lvl>
  </w:abstractNum>
  <w:abstractNum w:abstractNumId="19">
    <w:nsid w:val="779D8544"/>
    <w:multiLevelType w:val="hybridMultilevel"/>
    <w:lvl w:ilvl="0">
      <w:lvlJc w:val="left"/>
      <w:lvlText w:val="(%1)"/>
      <w:numFmt w:val="decimal"/>
      <w:start w:val="2"/>
    </w:lvl>
  </w:abstractNum>
  <w:abstractNum w:abstractNumId="20">
    <w:nsid w:val="4AB26E78"/>
    <w:multiLevelType w:val="hybridMultilevel"/>
    <w:lvl w:ilvl="0">
      <w:lvlJc w:val="left"/>
      <w:lvlText w:val="(%1)"/>
      <w:numFmt w:val="lowerLetter"/>
      <w:start w:val="1"/>
    </w:lvl>
  </w:abstractNum>
  <w:abstractNum w:abstractNumId="21">
    <w:nsid w:val="21FAA2FA"/>
    <w:multiLevelType w:val="hybridMultilevel"/>
    <w:lvl w:ilvl="0">
      <w:lvlJc w:val="left"/>
      <w:lvlText w:val="(%1)"/>
      <w:numFmt w:val="lowerLetter"/>
      <w:start w:val="4"/>
    </w:lvl>
  </w:abstractNum>
  <w:abstractNum w:abstractNumId="22">
    <w:nsid w:val="5451CF49"/>
    <w:multiLevelType w:val="hybridMultilevel"/>
    <w:lvl w:ilvl="0">
      <w:lvlJc w:val="left"/>
      <w:lvlText w:val="(%1)"/>
      <w:numFmt w:val="lowerLetter"/>
      <w:start w:val="12"/>
    </w:lvl>
  </w:abstractNum>
  <w:abstractNum w:abstractNumId="23">
    <w:nsid w:val="6181EF69"/>
    <w:multiLevelType w:val="hybridMultilevel"/>
    <w:lvl w:ilvl="0">
      <w:lvlJc w:val="left"/>
      <w:lvlText w:val="(%1)"/>
      <w:numFmt w:val="lowerLetter"/>
      <w:start w:val="2"/>
    </w:lvl>
  </w:abstractNum>
  <w:abstractNum w:abstractNumId="24">
    <w:nsid w:val="3E6400E6"/>
    <w:multiLevelType w:val="hybridMultilevel"/>
    <w:lvl w:ilvl="0">
      <w:lvlJc w:val="left"/>
      <w:lvlText w:val="(%1)"/>
      <w:numFmt w:val="lowerLetter"/>
      <w:start w:val="3"/>
    </w:lvl>
  </w:abstractNum>
  <w:abstractNum w:abstractNumId="25">
    <w:nsid w:val="14217E23"/>
    <w:multiLevelType w:val="hybridMultilevel"/>
    <w:lvl w:ilvl="0">
      <w:lvlJc w:val="left"/>
      <w:lvlText w:val="(%1)"/>
      <w:numFmt w:val="lowerLetter"/>
      <w:start w:val="1"/>
    </w:lvl>
  </w:abstractNum>
  <w:abstractNum w:abstractNumId="26">
    <w:nsid w:val="710757D0"/>
    <w:multiLevelType w:val="hybridMultilevel"/>
    <w:lvl w:ilvl="0">
      <w:lvlJc w:val="left"/>
      <w:lvlText w:val="(%1)"/>
      <w:numFmt w:val="lowerRoman"/>
      <w:start w:val="1"/>
    </w:lvl>
  </w:abstractNum>
  <w:abstractNum w:abstractNumId="27">
    <w:nsid w:val="5015CD1A"/>
    <w:multiLevelType w:val="hybridMultilevel"/>
    <w:lvl w:ilvl="0">
      <w:lvlJc w:val="left"/>
      <w:lvlText w:val="%1"/>
      <w:numFmt w:val="lowerLetter"/>
      <w:start w:val="1"/>
    </w:lvl>
    <w:lvl w:ilvl="1">
      <w:lvlJc w:val="left"/>
      <w:lvlText w:val="(%2)"/>
      <w:numFmt w:val="lowerLetter"/>
      <w:start w:val="35"/>
    </w:lvl>
  </w:abstractNum>
  <w:abstractNum w:abstractNumId="28">
    <w:nsid w:val="424479DA"/>
    <w:multiLevelType w:val="hybridMultilevel"/>
    <w:lvl w:ilvl="0">
      <w:lvlJc w:val="left"/>
      <w:lvlText w:val="(%1)"/>
      <w:numFmt w:val="lowerLetter"/>
      <w:start w:val="2"/>
    </w:lvl>
    <w:lvl w:ilvl="1">
      <w:lvlJc w:val="left"/>
      <w:lvlText w:val="(%2)"/>
      <w:numFmt w:val="lowerLetter"/>
      <w:start w:val="61"/>
    </w:lvl>
  </w:abstractNum>
  <w:abstractNum w:abstractNumId="29">
    <w:nsid w:val="1A9A9E69"/>
    <w:multiLevelType w:val="hybridMultilevel"/>
    <w:lvl w:ilvl="0">
      <w:lvlJc w:val="left"/>
      <w:lvlText w:val="(%1)"/>
      <w:numFmt w:val="lowerLetter"/>
      <w:start w:val="1"/>
    </w:lvl>
  </w:abstractNum>
  <w:abstractNum w:abstractNumId="30">
    <w:nsid w:val="475E256A"/>
    <w:multiLevelType w:val="hybridMultilevel"/>
    <w:lvl w:ilvl="0">
      <w:lvlJc w:val="left"/>
      <w:lvlText w:val="(%1)"/>
      <w:numFmt w:val="lowerLetter"/>
      <w:start w:val="5"/>
    </w:lvl>
  </w:abstractNum>
  <w:abstractNum w:abstractNumId="31">
    <w:nsid w:val="368DB37E"/>
    <w:multiLevelType w:val="hybridMultilevel"/>
    <w:lvl w:ilvl="0">
      <w:lvlJc w:val="left"/>
      <w:lvlText w:val="(%1)"/>
      <w:numFmt w:val="lowerLetter"/>
      <w:start w:val="1"/>
    </w:lvl>
    <w:lvl w:ilvl="1">
      <w:lvlJc w:val="left"/>
      <w:lvlText w:val="(%2)"/>
      <w:numFmt w:val="lowerRoman"/>
      <w:start w:val="1"/>
    </w:lvl>
  </w:abstractNum>
  <w:abstractNum w:abstractNumId="32">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33">
    <w:nsid w:val="327B517E"/>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
    </w:lvl>
  </w:abstractNum>
  <w:abstractNum w:abstractNumId="34">
    <w:nsid w:val="1F461B5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5">
    <w:nsid w:val="29BACF25"/>
    <w:multiLevelType w:val="hybridMultilevel"/>
    <w:lvl w:ilvl="0">
      <w:lvlJc w:val="left"/>
      <w:lvlText w:val="(%1)"/>
      <w:numFmt w:val="lowerLetter"/>
      <w:start w:val="1"/>
    </w:lvl>
  </w:abstractNum>
  <w:abstractNum w:abstractNumId="36">
    <w:nsid w:val="5D5BABB3"/>
    <w:multiLevelType w:val="hybridMultilevel"/>
    <w:lvl w:ilvl="0">
      <w:lvlJc w:val="left"/>
      <w:lvlText w:val="(%1)"/>
      <w:numFmt w:val="lowerLetter"/>
      <w:start w:val="5"/>
    </w:lvl>
  </w:abstractNum>
  <w:abstractNum w:abstractNumId="37">
    <w:nsid w:val="51BF6B48"/>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38">
    <w:nsid w:val="7E0F6384"/>
    <w:multiLevelType w:val="hybridMultilevel"/>
    <w:lvl w:ilvl="0">
      <w:lvlJc w:val="left"/>
      <w:lvlText w:val="(%1)"/>
      <w:numFmt w:val="lowerLetter"/>
      <w:start w:val="13"/>
    </w:lvl>
    <w:lvl w:ilvl="1">
      <w:lvlJc w:val="left"/>
      <w:lvlText w:val="(%2)"/>
      <w:numFmt w:val="lowerLetter"/>
      <w:start w:val="14"/>
    </w:lvl>
    <w:lvl w:ilvl="2">
      <w:lvlJc w:val="left"/>
      <w:lvlText w:val="(%3)"/>
      <w:numFmt w:val="lowerRoman"/>
      <w:start w:val="1"/>
    </w:lvl>
  </w:abstractNum>
  <w:abstractNum w:abstractNumId="39">
    <w:nsid w:val="2B4B8B53"/>
    <w:multiLevelType w:val="hybridMultilevel"/>
    <w:lvl w:ilvl="0">
      <w:lvlJc w:val="left"/>
      <w:lvlText w:val="(%1)"/>
      <w:numFmt w:val="lowerRoman"/>
      <w:start w:val="3"/>
    </w:lvl>
  </w:abstractNum>
  <w:abstractNum w:abstractNumId="40">
    <w:nsid w:val="72E3413A"/>
    <w:multiLevelType w:val="hybridMultilevel"/>
    <w:lvl w:ilvl="0">
      <w:lvlJc w:val="left"/>
      <w:lvlText w:val="(%1)"/>
      <w:numFmt w:val="lowerRoman"/>
      <w:start w:val="1"/>
    </w:lvl>
  </w:abstractNum>
  <w:abstractNum w:abstractNumId="41">
    <w:nsid w:val="116AE494"/>
    <w:multiLevelType w:val="hybridMultilevel"/>
    <w:lvl w:ilvl="0">
      <w:lvlJc w:val="left"/>
      <w:lvlText w:val="(%1)"/>
      <w:numFmt w:val="lowerLetter"/>
      <w:start w:val="1"/>
    </w:lvl>
    <w:lvl w:ilvl="1">
      <w:lvlJc w:val="left"/>
      <w:lvlText w:val="(%2)"/>
      <w:numFmt w:val="lowerRoman"/>
      <w:start w:val="1"/>
    </w:lvl>
  </w:abstractNum>
  <w:abstractNum w:abstractNumId="42">
    <w:nsid w:val="3494B2FB"/>
    <w:multiLevelType w:val="hybridMultilevel"/>
    <w:lvl w:ilvl="0">
      <w:lvlJc w:val="left"/>
      <w:lvlText w:val="(%1)"/>
      <w:numFmt w:val="lowerRoman"/>
      <w:start w:val="3"/>
    </w:lvl>
  </w:abstractNum>
  <w:abstractNum w:abstractNumId="43">
    <w:nsid w:val="B13A31"/>
    <w:multiLevelType w:val="hybridMultilevel"/>
    <w:lvl w:ilvl="0">
      <w:lvlJc w:val="left"/>
      <w:lvlText w:val="(%1)"/>
      <w:numFmt w:val="lowerLetter"/>
      <w:start w:val="1"/>
    </w:lvl>
  </w:abstractNum>
  <w:abstractNum w:abstractNumId="44">
    <w:nsid w:val="64429599"/>
    <w:multiLevelType w:val="hybridMultilevel"/>
    <w:lvl w:ilvl="0">
      <w:lvlJc w:val="left"/>
      <w:lvlText w:val="(%1)"/>
      <w:numFmt w:val="decimal"/>
      <w:start w:val="1"/>
    </w:lvl>
  </w:abstractNum>
  <w:abstractNum w:abstractNumId="45">
    <w:nsid w:val="631F1690"/>
    <w:multiLevelType w:val="hybridMultilevel"/>
    <w:lvl w:ilvl="0">
      <w:lvlJc w:val="left"/>
      <w:lvlText w:val="(%1)"/>
      <w:numFmt w:val="lowerLetter"/>
      <w:start w:val="1"/>
    </w:lvl>
  </w:abstractNum>
  <w:abstractNum w:abstractNumId="46">
    <w:nsid w:val="25973E32"/>
    <w:multiLevelType w:val="hybridMultilevel"/>
    <w:lvl w:ilvl="0">
      <w:lvlJc w:val="left"/>
      <w:lvlText w:val="(%1)"/>
      <w:numFmt w:val="lowerLetter"/>
      <w:start w:val="1"/>
    </w:lvl>
    <w:lvl w:ilvl="1">
      <w:lvlJc w:val="left"/>
      <w:lvlText w:val="(%2)"/>
      <w:numFmt w:val="lowerRoman"/>
      <w:start w:val="1"/>
    </w:lvl>
  </w:abstractNum>
  <w:abstractNum w:abstractNumId="47">
    <w:nsid w:val="EAD6F57"/>
    <w:multiLevelType w:val="hybridMultilevel"/>
    <w:lvl w:ilvl="0">
      <w:lvlJc w:val="left"/>
      <w:lvlText w:val="(%1)"/>
      <w:numFmt w:val="lowerRoman"/>
      <w:start w:val="5"/>
    </w:lvl>
  </w:abstractNum>
  <w:abstractNum w:abstractNumId="48">
    <w:nsid w:val="6EC9D844"/>
    <w:multiLevelType w:val="hybridMultilevel"/>
    <w:lvl w:ilvl="0">
      <w:lvlJc w:val="left"/>
      <w:lvlText w:val="(%1)"/>
      <w:numFmt w:val="lowerLetter"/>
      <w:start w:val="2"/>
    </w:lvl>
    <w:lvl w:ilvl="1">
      <w:lvlJc w:val="left"/>
      <w:lvlText w:val="(%2)"/>
      <w:numFmt w:val="lowerRoman"/>
      <w:start w:val="1"/>
    </w:lvl>
  </w:abstractNum>
  <w:abstractNum w:abstractNumId="49">
    <w:nsid w:val="5C49EAEE"/>
    <w:multiLevelType w:val="hybridMultilevel"/>
    <w:lvl w:ilvl="0">
      <w:lvlJc w:val="left"/>
      <w:lvlText w:val="(%1)"/>
      <w:numFmt w:val="lowerRoman"/>
      <w:start w:val="4"/>
    </w:lvl>
  </w:abstractNum>
  <w:abstractNum w:abstractNumId="50">
    <w:nsid w:val="64AF49B"/>
    <w:multiLevelType w:val="hybridMultilevel"/>
    <w:lvl w:ilvl="0">
      <w:lvlJc w:val="left"/>
      <w:lvlText w:val="(%1)"/>
      <w:numFmt w:val="lowerRoman"/>
      <w:start w:val="12"/>
    </w:lvl>
  </w:abstractNum>
  <w:abstractNum w:abstractNumId="51">
    <w:nsid w:val="397C46BC"/>
    <w:multiLevelType w:val="hybridMultilevel"/>
    <w:lvl w:ilvl="0">
      <w:lvlJc w:val="left"/>
      <w:lvlText w:val="(%1)"/>
      <w:numFmt w:val="lowerRoman"/>
      <w:start w:val="2"/>
    </w:lvl>
  </w:abstractNum>
  <w:abstractNum w:abstractNumId="52">
    <w:nsid w:val="7E448DE9"/>
    <w:multiLevelType w:val="hybridMultilevel"/>
    <w:lvl w:ilvl="0">
      <w:lvlJc w:val="left"/>
      <w:lvlText w:val="(%1)"/>
      <w:numFmt w:val="upperLetter"/>
      <w:start w:val="3"/>
    </w:lvl>
  </w:abstractNum>
  <w:abstractNum w:abstractNumId="53">
    <w:nsid w:val="5A9CC3E5"/>
    <w:multiLevelType w:val="hybridMultilevel"/>
    <w:lvl w:ilvl="0">
      <w:lvlJc w:val="left"/>
      <w:lvlText w:val="(%1)"/>
      <w:numFmt w:val="lowerLetter"/>
      <w:start w:val="9"/>
    </w:lvl>
    <w:lvl w:ilvl="1">
      <w:lvlJc w:val="left"/>
      <w:lvlText w:val="%2"/>
      <w:numFmt w:val="lowerLetter"/>
      <w:start w:val="1"/>
    </w:lvl>
  </w:abstractNum>
  <w:abstractNum w:abstractNumId="54">
    <w:nsid w:val="1AFE3625"/>
    <w:multiLevelType w:val="hybridMultilevel"/>
    <w:lvl w:ilvl="0">
      <w:lvlJc w:val="left"/>
      <w:lvlText w:val="(%1)"/>
      <w:numFmt w:val="lowerLetter"/>
      <w:start w:val="8"/>
    </w:lvl>
    <w:lvl w:ilvl="1">
      <w:lvlJc w:val="left"/>
      <w:lvlText w:val="%2"/>
      <w:numFmt w:val="lowerLetter"/>
      <w:start w:val="1"/>
    </w:lvl>
  </w:abstractNum>
  <w:abstractNum w:abstractNumId="55">
    <w:nsid w:val="3CA88ECF"/>
    <w:multiLevelType w:val="hybridMultilevel"/>
    <w:lvl w:ilvl="0">
      <w:lvlJc w:val="left"/>
      <w:lvlText w:val="%1"/>
      <w:numFmt w:val="lowerLetter"/>
      <w:start w:val="1"/>
    </w:lvl>
    <w:lvl w:ilvl="1">
      <w:lvlJc w:val="left"/>
      <w:lvlText w:val="(%2)"/>
      <w:numFmt w:val="lowerLetter"/>
      <w:start w:val="1"/>
    </w:lvl>
  </w:abstractNum>
  <w:abstractNum w:abstractNumId="56">
    <w:nsid w:val="6EBE4208"/>
    <w:multiLevelType w:val="hybridMultilevel"/>
    <w:lvl w:ilvl="0">
      <w:lvlJc w:val="left"/>
      <w:lvlText w:val="(%1)"/>
      <w:numFmt w:val="lowerLetter"/>
      <w:start w:val="9"/>
    </w:lvl>
    <w:lvl w:ilvl="1">
      <w:lvlJc w:val="left"/>
      <w:lvlText w:val="%2"/>
      <w:numFmt w:val="lowerLetter"/>
      <w:start w:val="1"/>
    </w:lvl>
  </w:abstractNum>
  <w:abstractNum w:abstractNumId="57">
    <w:nsid w:val="C058DF5"/>
    <w:multiLevelType w:val="hybridMultilevel"/>
    <w:lvl w:ilvl="0">
      <w:lvlJc w:val="left"/>
      <w:lvlText w:val="(%1)"/>
      <w:numFmt w:val="lowerLetter"/>
      <w:start w:val="5"/>
    </w:lvl>
  </w:abstractNum>
  <w:abstractNum w:abstractNumId="58">
    <w:nsid w:val="CBE5BE9"/>
    <w:multiLevelType w:val="hybridMultilevel"/>
    <w:lvl w:ilvl="0">
      <w:lvlJc w:val="left"/>
      <w:lvlText w:val="(%1)"/>
      <w:numFmt w:val="lowerLetter"/>
      <w:start w:val="8"/>
    </w:lvl>
  </w:abstractNum>
  <w:abstractNum w:abstractNumId="59">
    <w:nsid w:val="3102BBE2"/>
    <w:multiLevelType w:val="hybridMultilevel"/>
    <w:lvl w:ilvl="0">
      <w:lvlJc w:val="left"/>
      <w:lvlText w:val="(%1)"/>
      <w:numFmt w:val="lowerRoman"/>
      <w:start w:val="4"/>
    </w:lvl>
  </w:abstractNum>
  <w:abstractNum w:abstractNumId="60">
    <w:nsid w:val="26A02C5E"/>
    <w:multiLevelType w:val="hybridMultilevel"/>
    <w:lvl w:ilvl="0">
      <w:lvlJc w:val="left"/>
      <w:lvlText w:val="(%1)"/>
      <w:numFmt w:val="lowerLetter"/>
      <w:start w:val="2"/>
    </w:lvl>
  </w:abstractNum>
  <w:abstractNum w:abstractNumId="61">
    <w:nsid w:val="541C8153"/>
    <w:multiLevelType w:val="hybridMultilevel"/>
    <w:lvl w:ilvl="0">
      <w:lvlJc w:val="left"/>
      <w:lvlText w:val="(%1)"/>
      <w:numFmt w:val="lowerRoman"/>
      <w:start w:val="1"/>
    </w:lvl>
  </w:abstractNum>
  <w:abstractNum w:abstractNumId="62">
    <w:nsid w:val="67906F60"/>
    <w:multiLevelType w:val="hybridMultilevel"/>
    <w:lvl w:ilvl="0">
      <w:lvlJc w:val="left"/>
      <w:lvlText w:val="(%1)"/>
      <w:numFmt w:val="decimal"/>
      <w:start w:val="1"/>
    </w:lvl>
    <w:lvl w:ilvl="1">
      <w:lvlJc w:val="left"/>
      <w:lvlText w:val="(%2)"/>
      <w:numFmt w:val="lowerLetter"/>
      <w:start w:val="1"/>
    </w:lvl>
  </w:abstractNum>
  <w:abstractNum w:abstractNumId="63">
    <w:nsid w:val="10DB9DAA"/>
    <w:multiLevelType w:val="hybridMultilevel"/>
    <w:lvl w:ilvl="0">
      <w:lvlJc w:val="left"/>
      <w:lvlText w:val="(%1)"/>
      <w:numFmt w:val="lowerLetter"/>
      <w:start w:val="1"/>
    </w:lvl>
  </w:abstractNum>
  <w:abstractNum w:abstractNumId="64">
    <w:nsid w:val="697D2D2"/>
    <w:multiLevelType w:val="hybridMultilevel"/>
    <w:lvl w:ilvl="0">
      <w:lvlJc w:val="left"/>
      <w:lvlText w:val="(%1)"/>
      <w:numFmt w:val="lowerRoman"/>
      <w:start w:val="4"/>
    </w:lvl>
  </w:abstractNum>
  <w:abstractNum w:abstractNumId="65">
    <w:nsid w:val="6D68AB2"/>
    <w:multiLevelType w:val="hybridMultilevel"/>
    <w:lvl w:ilvl="0">
      <w:lvlJc w:val="left"/>
      <w:lvlText w:val="(%1)"/>
      <w:numFmt w:val="lowerRoman"/>
      <w:start w:val="2"/>
    </w:lvl>
  </w:abstractNum>
  <w:abstractNum w:abstractNumId="66">
    <w:nsid w:val="3A966CD0"/>
    <w:multiLevelType w:val="hybridMultilevel"/>
    <w:lvl w:ilvl="0">
      <w:lvlJc w:val="left"/>
      <w:lvlText w:val="(%1)"/>
      <w:numFmt w:val="lowerLetter"/>
      <w:start w:val="1"/>
    </w:lvl>
  </w:abstractNum>
  <w:abstractNum w:abstractNumId="67">
    <w:nsid w:val="63F37E85"/>
    <w:multiLevelType w:val="hybridMultilevel"/>
    <w:lvl w:ilvl="0">
      <w:lvlJc w:val="left"/>
      <w:lvlText w:val="(%1)"/>
      <w:numFmt w:val="decimal"/>
      <w:start w:val="1"/>
    </w:lvl>
    <w:lvl w:ilvl="1">
      <w:lvlJc w:val="left"/>
      <w:lvlText w:val="(%2)"/>
      <w:numFmt w:val="lowerRoman"/>
      <w:start w:val="1"/>
    </w:lvl>
  </w:abstractNum>
  <w:abstractNum w:abstractNumId="68">
    <w:nsid w:val="5895F5FA"/>
    <w:multiLevelType w:val="hybridMultilevel"/>
    <w:lvl w:ilvl="0">
      <w:lvlJc w:val="left"/>
      <w:lvlText w:val="(%1)"/>
      <w:numFmt w:val="decimal"/>
      <w:start w:val="4"/>
    </w:lvl>
  </w:abstractNum>
  <w:abstractNum w:abstractNumId="69">
    <w:nsid w:val="38A5D054"/>
    <w:multiLevelType w:val="hybridMultilevel"/>
    <w:lvl w:ilvl="0">
      <w:lvlJc w:val="left"/>
      <w:lvlText w:val="(%1)"/>
      <w:numFmt w:val="decimal"/>
      <w:start w:val="6"/>
    </w:lvl>
    <w:lvl w:ilvl="1">
      <w:lvlJc w:val="left"/>
      <w:lvlText w:val="(%2)"/>
      <w:numFmt w:val="lowerRoman"/>
      <w:start w:val="1"/>
    </w:lvl>
  </w:abstractNum>
  <w:abstractNum w:abstractNumId="70">
    <w:nsid w:val="F3F09D8"/>
    <w:multiLevelType w:val="hybridMultilevel"/>
    <w:lvl w:ilvl="0">
      <w:lvlJc w:val="left"/>
      <w:lvlText w:val="(%1)"/>
      <w:numFmt w:val="decimal"/>
      <w:start w:val="14"/>
    </w:lvl>
  </w:abstractNum>
  <w:abstractNum w:abstractNumId="71">
    <w:nsid w:val="4B793735"/>
    <w:multiLevelType w:val="hybridMultilevel"/>
    <w:lvl w:ilvl="0">
      <w:lvlJc w:val="left"/>
      <w:lvlText w:val="%1"/>
      <w:numFmt w:val="decimal"/>
      <w:start w:val="1"/>
    </w:lvl>
    <w:lvl w:ilvl="1">
      <w:lvlJc w:val="left"/>
      <w:lvlText w:val="(%2)"/>
      <w:numFmt w:val="decimal"/>
      <w:start w:val="25"/>
    </w:lvl>
  </w:abstractNum>
  <w:abstractNum w:abstractNumId="72">
    <w:nsid w:val="4A10B4E8"/>
    <w:multiLevelType w:val="hybridMultilevel"/>
    <w:lvl w:ilvl="0">
      <w:lvlJc w:val="left"/>
      <w:lvlText w:val="(%1)"/>
      <w:numFmt w:val="decimal"/>
      <w:start w:val="1"/>
    </w:lvl>
    <w:lvl w:ilvl="1">
      <w:lvlJc w:val="left"/>
      <w:lvlText w:val="(%2)"/>
      <w:numFmt w:val="decimal"/>
      <w:start w:val="27"/>
    </w:lvl>
  </w:abstractNum>
  <w:abstractNum w:abstractNumId="73">
    <w:nsid w:val="43D3BCD4"/>
    <w:multiLevelType w:val="hybridMultilevel"/>
    <w:lvl w:ilvl="0">
      <w:lvlJc w:val="left"/>
      <w:lvlText w:val="(%1)"/>
      <w:numFmt w:val="lowerLetter"/>
      <w:start w:val="1"/>
    </w:lvl>
  </w:abstractNum>
  <w:abstractNum w:abstractNumId="74">
    <w:nsid w:val="4C2A7166"/>
    <w:multiLevelType w:val="hybridMultilevel"/>
    <w:lvl w:ilvl="0">
      <w:lvlJc w:val="left"/>
      <w:lvlText w:val="(%1)"/>
      <w:numFmt w:val="lowerLetter"/>
      <w:start w:val="1"/>
    </w:lvl>
  </w:abstractNum>
  <w:abstractNum w:abstractNumId="75">
    <w:nsid w:val="2E534A82"/>
    <w:multiLevelType w:val="hybridMultilevel"/>
    <w:lvl w:ilvl="0">
      <w:lvlJc w:val="left"/>
      <w:lvlText w:val="(%1)"/>
      <w:numFmt w:val="lowerRoman"/>
      <w:start w:val="2"/>
    </w:lvl>
  </w:abstractNum>
  <w:abstractNum w:abstractNumId="76">
    <w:nsid w:val="26F2D364"/>
    <w:multiLevelType w:val="hybridMultilevel"/>
    <w:lvl w:ilvl="0">
      <w:lvlJc w:val="left"/>
      <w:lvlText w:val="(%1)"/>
      <w:numFmt w:val="lowerLetter"/>
      <w:start w:val="1"/>
    </w:lvl>
  </w:abstractNum>
  <w:abstractNum w:abstractNumId="77">
    <w:nsid w:val="71C1AF98"/>
    <w:multiLevelType w:val="hybridMultilevel"/>
    <w:lvl w:ilvl="0">
      <w:lvlJc w:val="left"/>
      <w:lvlText w:val="(%1)"/>
      <w:numFmt w:val="lowerLetter"/>
      <w:start w:val="1"/>
    </w:lvl>
  </w:abstractNum>
  <w:abstractNum w:abstractNumId="78">
    <w:nsid w:val="3D00B9D9"/>
    <w:multiLevelType w:val="hybridMultilevel"/>
    <w:lvl w:ilvl="0">
      <w:lvlJc w:val="left"/>
      <w:lvlText w:val="(%1)"/>
      <w:numFmt w:val="lowerLetter"/>
      <w:start w:val="9"/>
    </w:lvl>
  </w:abstractNum>
  <w:abstractNum w:abstractNumId="79">
    <w:nsid w:val="15BCABA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80">
    <w:nsid w:val="4E0B9A87"/>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
    </w:lvl>
  </w:abstractNum>
  <w:abstractNum w:abstractNumId="81">
    <w:nsid w:val="434BAE75"/>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3"/>
    </w:lvl>
  </w:abstractNum>
  <w:abstractNum w:abstractNumId="82">
    <w:nsid w:val="4F38F265"/>
    <w:multiLevelType w:val="hybridMultilevel"/>
    <w:lvl w:ilvl="0">
      <w:lvlJc w:val="left"/>
      <w:lvlText w:val="(%1)"/>
      <w:numFmt w:val="decimal"/>
      <w:start w:val="24"/>
    </w:lvl>
    <w:lvl w:ilvl="1">
      <w:lvlJc w:val="left"/>
      <w:lvlText w:val="(%2)"/>
      <w:numFmt w:val="lowerLetter"/>
      <w:start w:val="4"/>
    </w:lvl>
  </w:abstractNum>
  <w:abstractNum w:abstractNumId="83">
    <w:nsid w:val="4C502870"/>
    <w:multiLevelType w:val="hybridMultilevel"/>
    <w:lvl w:ilvl="0">
      <w:lvlJc w:val="left"/>
      <w:lvlText w:val="%1"/>
      <w:numFmt w:val="lowerLetter"/>
      <w:start w:val="1"/>
    </w:lvl>
    <w:lvl w:ilvl="1">
      <w:lvlJc w:val="left"/>
      <w:lvlText w:val="(%2)"/>
      <w:numFmt w:val="lowerLetter"/>
      <w:start w:val="7"/>
    </w:lvl>
  </w:abstractNum>
  <w:abstractNum w:abstractNumId="84">
    <w:nsid w:val="1DE8725A"/>
    <w:multiLevelType w:val="hybridMultilevel"/>
    <w:lvl w:ilvl="0">
      <w:lvlJc w:val="left"/>
      <w:lvlText w:val="(%1)"/>
      <w:numFmt w:val="lowerLetter"/>
      <w:start w:val="4"/>
    </w:lvl>
    <w:lvl w:ilvl="1">
      <w:lvlJc w:val="left"/>
      <w:lvlText w:val="%2"/>
      <w:numFmt w:val="lowerLetter"/>
      <w:start w:val="1"/>
    </w:lvl>
  </w:abstractNum>
  <w:abstractNum w:abstractNumId="85">
    <w:nsid w:val="6A37288A"/>
    <w:multiLevelType w:val="hybridMultilevel"/>
    <w:lvl w:ilvl="0">
      <w:lvlJc w:val="left"/>
      <w:lvlText w:val="(%1)"/>
      <w:numFmt w:val="lowerLetter"/>
      <w:start w:val="1"/>
    </w:lvl>
  </w:abstractNum>
  <w:abstractNum w:abstractNumId="86">
    <w:nsid w:val="8F8B73F"/>
    <w:multiLevelType w:val="hybridMultilevel"/>
    <w:lvl w:ilvl="0">
      <w:lvlJc w:val="left"/>
      <w:lvlText w:val="%1"/>
      <w:numFmt w:val="lowerLetter"/>
      <w:start w:val="1"/>
    </w:lvl>
    <w:lvl w:ilvl="1">
      <w:lvlJc w:val="left"/>
      <w:lvlText w:val="(%2)"/>
      <w:numFmt w:val="lowerLetter"/>
      <w:start w:val="1"/>
    </w:lvl>
  </w:abstractNum>
  <w:abstractNum w:abstractNumId="87">
    <w:nsid w:val="CA6B462"/>
    <w:multiLevelType w:val="hybridMultilevel"/>
    <w:lvl w:ilvl="0">
      <w:lvlJc w:val="left"/>
      <w:lvlText w:val="(%1)"/>
      <w:numFmt w:val="lowerLetter"/>
      <w:start w:val="35"/>
    </w:lvl>
    <w:lvl w:ilvl="1">
      <w:lvlJc w:val="left"/>
      <w:lvlText w:val="%2"/>
      <w:numFmt w:val="lowerLetter"/>
      <w:start w:val="1"/>
    </w:lvl>
  </w:abstractNum>
  <w:abstractNum w:abstractNumId="88">
    <w:nsid w:val="763CB680"/>
    <w:multiLevelType w:val="hybridMultilevel"/>
    <w:lvl w:ilvl="0">
      <w:lvlJc w:val="left"/>
      <w:lvlText w:val="(%1)"/>
      <w:numFmt w:val="lowerRoman"/>
      <w:start w:val="8"/>
    </w:lvl>
    <w:lvl w:ilvl="1">
      <w:lvlJc w:val="left"/>
      <w:lvlText w:val="(%2)"/>
      <w:numFmt w:val="lowerLetter"/>
      <w:start w:val="2"/>
    </w:lvl>
  </w:abstractNum>
  <w:abstractNum w:abstractNumId="89">
    <w:nsid w:val="15B71329"/>
    <w:multiLevelType w:val="hybridMultilevel"/>
    <w:lvl w:ilvl="0">
      <w:lvlJc w:val="left"/>
      <w:lvlText w:val="(%1)"/>
      <w:numFmt w:val="lowerLetter"/>
      <w:start w:val="8"/>
    </w:lvl>
  </w:abstractNum>
  <w:abstractNum w:abstractNumId="90">
    <w:nsid w:val="3DA97044"/>
    <w:multiLevelType w:val="hybridMultilevel"/>
    <w:lvl w:ilvl="0">
      <w:lvlJc w:val="left"/>
      <w:lvlText w:val="(%1)"/>
      <w:numFmt w:val="lowerLetter"/>
      <w:start w:val="1"/>
    </w:lvl>
  </w:abstractNum>
  <w:abstractNum w:abstractNumId="91">
    <w:nsid w:val="1CDCE2DE"/>
    <w:multiLevelType w:val="hybridMultilevel"/>
    <w:lvl w:ilvl="0">
      <w:lvlJc w:val="left"/>
      <w:lvlText w:val="(%1)"/>
      <w:numFmt w:val="lowerRoman"/>
      <w:start w:val="2"/>
    </w:lvl>
    <w:lvl w:ilvl="1">
      <w:lvlJc w:val="left"/>
      <w:lvlText w:val="(%2)"/>
      <w:numFmt w:val="upperLetter"/>
      <w:start w:val="1"/>
    </w:lvl>
  </w:abstractNum>
  <w:abstractNum w:abstractNumId="92">
    <w:nsid w:val="69D3947C"/>
    <w:multiLevelType w:val="hybridMultilevel"/>
    <w:lvl w:ilvl="0">
      <w:lvlJc w:val="left"/>
      <w:lvlText w:val="%1"/>
      <w:numFmt w:val="upperLetter"/>
      <w:start w:val="1"/>
    </w:lvl>
    <w:lvl w:ilvl="1">
      <w:lvlJc w:val="left"/>
      <w:lvlText w:val="(%2)"/>
      <w:numFmt w:val="decimal"/>
      <w:start w:val="2"/>
    </w:lvl>
  </w:abstractNum>
  <w:abstractNum w:abstractNumId="93">
    <w:nsid w:val="2539DFA5"/>
    <w:multiLevelType w:val="hybridMultilevel"/>
    <w:lvl w:ilvl="0">
      <w:lvlJc w:val="left"/>
      <w:lvlText w:val="(%1)"/>
      <w:numFmt w:val="upperLetter"/>
      <w:start w:val="3"/>
    </w:lvl>
    <w:lvl w:ilvl="1">
      <w:lvlJc w:val="left"/>
      <w:lvlText w:val="%2"/>
      <w:numFmt w:val="decimal"/>
      <w:start w:val="1"/>
    </w:lvl>
  </w:abstractNum>
  <w:abstractNum w:abstractNumId="94">
    <w:nsid w:val="2DB88089"/>
    <w:multiLevelType w:val="hybridMultilevel"/>
    <w:lvl w:ilvl="0">
      <w:lvlJc w:val="left"/>
      <w:lvlText w:val="(%1)"/>
      <w:numFmt w:val="decimal"/>
      <w:start w:val="2"/>
    </w:lvl>
  </w:abstractNum>
  <w:abstractNum w:abstractNumId="95">
    <w:nsid w:val="706B674E"/>
    <w:multiLevelType w:val="hybridMultilevel"/>
    <w:lvl w:ilvl="0">
      <w:lvlJc w:val="left"/>
      <w:lvlText w:val="%1"/>
      <w:numFmt w:val="lowerRoman"/>
      <w:start w:val="1"/>
    </w:lvl>
    <w:lvl w:ilvl="1">
      <w:lvlJc w:val="left"/>
      <w:lvlText w:val="(%2)"/>
      <w:numFmt w:val="upperLetter"/>
      <w:start w:val="4"/>
    </w:lvl>
  </w:abstractNum>
  <w:abstractNum w:abstractNumId="96">
    <w:nsid w:val="2C106A57"/>
    <w:multiLevelType w:val="hybridMultilevel"/>
    <w:lvl w:ilvl="0">
      <w:lvlJc w:val="left"/>
      <w:lvlText w:val="(%1)"/>
      <w:numFmt w:val="lowerRoman"/>
      <w:start w:val="10"/>
    </w:lvl>
    <w:lvl w:ilvl="1">
      <w:lvlJc w:val="left"/>
      <w:lvlText w:val="%2"/>
      <w:numFmt w:val="upperLetter"/>
      <w:start w:val="1"/>
    </w:lvl>
  </w:abstractNum>
  <w:abstractNum w:abstractNumId="97">
    <w:nsid w:val="684EED59"/>
    <w:multiLevelType w:val="hybridMultilevel"/>
    <w:lvl w:ilvl="0">
      <w:lvlJc w:val="left"/>
      <w:lvlText w:val="(%1)"/>
      <w:numFmt w:val="lowerRoman"/>
      <w:start w:val="10"/>
    </w:lvl>
    <w:lvl w:ilvl="1">
      <w:lvlJc w:val="left"/>
      <w:lvlText w:val="(%2)"/>
      <w:numFmt w:val="decimal"/>
      <w:start w:val="2"/>
    </w:lvl>
  </w:abstractNum>
  <w:abstractNum w:abstractNumId="98">
    <w:nsid w:val="545EE5D3"/>
    <w:multiLevelType w:val="hybridMultilevel"/>
    <w:lvl w:ilvl="0">
      <w:lvlJc w:val="left"/>
      <w:lvlText w:val="(%1)"/>
      <w:numFmt w:val="decimal"/>
      <w:start w:val="3"/>
    </w:lvl>
  </w:abstractNum>
  <w:abstractNum w:abstractNumId="99">
    <w:nsid w:val="4A66051"/>
    <w:multiLevelType w:val="hybridMultilevel"/>
    <w:lvl w:ilvl="0">
      <w:lvlJc w:val="left"/>
      <w:lvlText w:val="(%1)"/>
      <w:numFmt w:val="upperLetter"/>
      <w:start w:val="5"/>
    </w:lvl>
  </w:abstractNum>
  <w:abstractNum w:abstractNumId="100">
    <w:nsid w:val="20F4BDA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0"/>
    </w:lvl>
  </w:abstractNum>
  <w:abstractNum w:abstractNumId="101">
    <w:nsid w:val="639DEF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102">
    <w:nsid w:val="501F978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03">
    <w:nsid w:val="6B05729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4">
    <w:nsid w:val="2771AC80"/>
    <w:multiLevelType w:val="hybridMultilevel"/>
    <w:lvl w:ilvl="0">
      <w:lvlJc w:val="left"/>
      <w:lvlText w:val="%1"/>
      <w:numFmt w:val="lowerLetter"/>
      <w:start w:val="1"/>
    </w:lvl>
    <w:lvl w:ilvl="1">
      <w:lvlJc w:val="left"/>
      <w:lvlText w:val="(%2)"/>
      <w:numFmt w:val="lowerLetter"/>
      <w:start w:val="35"/>
    </w:lvl>
  </w:abstractNum>
  <w:abstractNum w:abstractNumId="105">
    <w:nsid w:val="1C4A08EC"/>
    <w:multiLevelType w:val="hybridMultilevel"/>
    <w:lvl w:ilvl="0">
      <w:lvlJc w:val="left"/>
      <w:lvlText w:val="(%1)"/>
      <w:numFmt w:val="lowerLetter"/>
      <w:start w:val="1"/>
    </w:lvl>
    <w:lvl w:ilvl="1">
      <w:lvlJc w:val="left"/>
      <w:lvlText w:val="%2"/>
      <w:numFmt w:val="lowerLetter"/>
      <w:start w:val="1"/>
    </w:lvl>
  </w:abstractNum>
  <w:abstractNum w:abstractNumId="106">
    <w:nsid w:val="1958BD17"/>
    <w:multiLevelType w:val="hybridMultilevel"/>
    <w:lvl w:ilvl="0">
      <w:lvlJc w:val="left"/>
      <w:lvlText w:val="(%1)"/>
      <w:numFmt w:val="lowerRoman"/>
      <w:start w:val="7"/>
    </w:lvl>
    <w:lvl w:ilvl="1">
      <w:lvlJc w:val="left"/>
      <w:lvlText w:val="(%2)"/>
      <w:numFmt w:val="lowerRoman"/>
      <w:start w:val="3"/>
    </w:lvl>
  </w:abstractNum>
  <w:abstractNum w:abstractNumId="107">
    <w:nsid w:val="4E647FE4"/>
    <w:multiLevelType w:val="hybridMultilevel"/>
    <w:lvl w:ilvl="0">
      <w:lvlJc w:val="left"/>
      <w:lvlText w:val="%1"/>
      <w:numFmt w:val="lowerRoman"/>
      <w:start w:val="1"/>
    </w:lvl>
    <w:lvl w:ilvl="1">
      <w:lvlJc w:val="left"/>
      <w:lvlText w:val="(%2)"/>
      <w:numFmt w:val="lowerRoman"/>
      <w:start w:val="7"/>
    </w:lvl>
  </w:abstractNum>
  <w:abstractNum w:abstractNumId="108">
    <w:nsid w:val="E0BB885"/>
    <w:multiLevelType w:val="hybridMultilevel"/>
    <w:lvl w:ilvl="0">
      <w:lvlJc w:val="left"/>
      <w:lvlText w:val="(%1)"/>
      <w:numFmt w:val="lowerRoman"/>
      <w:start w:val="2"/>
    </w:lvl>
    <w:lvl w:ilvl="1">
      <w:lvlJc w:val="left"/>
      <w:lvlText w:val="(%2)"/>
      <w:numFmt w:val="lowerRoman"/>
      <w:start w:val="8"/>
    </w:lvl>
  </w:abstractNum>
  <w:abstractNum w:abstractNumId="109">
    <w:nsid w:val="565976F1"/>
    <w:multiLevelType w:val="hybridMultilevel"/>
    <w:lvl w:ilvl="0">
      <w:lvlJc w:val="left"/>
      <w:lvlText w:val="(%1)"/>
      <w:numFmt w:val="lowerLetter"/>
      <w:start w:val="3"/>
    </w:lvl>
    <w:lvl w:ilvl="1">
      <w:lvlJc w:val="left"/>
      <w:lvlText w:val="(%2)"/>
      <w:numFmt w:val="lowerLetter"/>
      <w:start w:val="35"/>
    </w:lvl>
  </w:abstractNum>
  <w:abstractNum w:abstractNumId="110">
    <w:nsid w:val="64212B8C"/>
    <w:multiLevelType w:val="hybridMultilevel"/>
    <w:lvl w:ilvl="0">
      <w:lvlJc w:val="left"/>
      <w:lvlText w:val="(%1)"/>
      <w:numFmt w:val="lowerLetter"/>
      <w:start w:val="1"/>
    </w:lvl>
  </w:abstractNum>
  <w:abstractNum w:abstractNumId="111">
    <w:nsid w:val="5C17530C"/>
    <w:multiLevelType w:val="hybridMultilevel"/>
    <w:lvl w:ilvl="0">
      <w:lvlJc w:val="left"/>
      <w:lvlText w:val="(%1)"/>
      <w:numFmt w:val="lowerLetter"/>
      <w:start w:val="1"/>
    </w:lvl>
  </w:abstractNum>
  <w:abstractNum w:abstractNumId="112">
    <w:nsid w:val="19A52566"/>
    <w:multiLevelType w:val="hybridMultilevel"/>
    <w:lvl w:ilvl="0">
      <w:lvlJc w:val="left"/>
      <w:lvlText w:val="(%1)"/>
      <w:numFmt w:val="lowerLetter"/>
      <w:start w:val="1"/>
    </w:lvl>
  </w:abstractNum>
  <w:abstractNum w:abstractNumId="113">
    <w:nsid w:val="335A1DF1"/>
    <w:multiLevelType w:val="hybridMultilevel"/>
    <w:lvl w:ilvl="0">
      <w:lvlJc w:val="left"/>
      <w:lvlText w:val="(%1)"/>
      <w:numFmt w:val="lowerLetter"/>
      <w:start w:val="1"/>
    </w:lvl>
  </w:abstractNum>
  <w:abstractNum w:abstractNumId="114">
    <w:nsid w:val="28677B7C"/>
    <w:multiLevelType w:val="hybridMultilevel"/>
    <w:lvl w:ilvl="0">
      <w:lvlJc w:val="left"/>
      <w:lvlText w:val="(%1)"/>
      <w:numFmt w:val="lowerLetter"/>
      <w:start w:val="1"/>
    </w:lvl>
  </w:abstractNum>
  <w:abstractNum w:abstractNumId="115">
    <w:nsid w:val="378D97C0"/>
    <w:multiLevelType w:val="hybridMultilevel"/>
    <w:lvl w:ilvl="0">
      <w:lvlJc w:val="left"/>
      <w:lvlText w:val="(%1)"/>
      <w:numFmt w:val="lowerLetter"/>
      <w:start w:val="2"/>
    </w:lvl>
  </w:abstractNum>
  <w:abstractNum w:abstractNumId="116">
    <w:nsid w:val="1D91467C"/>
    <w:multiLevelType w:val="hybridMultilevel"/>
    <w:lvl w:ilvl="0">
      <w:lvlJc w:val="left"/>
      <w:lvlText w:val="(%1)"/>
      <w:numFmt w:val="lowerLetter"/>
      <w:start w:val="1"/>
    </w:lvl>
    <w:lvl w:ilvl="1">
      <w:lvlJc w:val="left"/>
      <w:lvlText w:val="(%2)"/>
      <w:numFmt w:val="lowerLetter"/>
      <w:start w:val="9"/>
    </w:lvl>
  </w:abstractNum>
  <w:abstractNum w:abstractNumId="117">
    <w:nsid w:val="316032BB"/>
    <w:multiLevelType w:val="hybridMultilevel"/>
    <w:lvl w:ilvl="0">
      <w:lvlJc w:val="left"/>
      <w:lvlText w:val="(%1)"/>
      <w:numFmt w:val="lowerRoman"/>
      <w:start w:val="2"/>
    </w:lvl>
  </w:abstractNum>
  <w:abstractNum w:abstractNumId="118">
    <w:nsid w:val="44344C22"/>
    <w:multiLevelType w:val="hybridMultilevel"/>
    <w:lvl w:ilvl="0">
      <w:lvlJc w:val="left"/>
      <w:lvlText w:val="(%1)"/>
      <w:numFmt w:val="lowerLetter"/>
      <w:start w:val="3"/>
    </w:lvl>
  </w:abstractNum>
  <w:abstractNum w:abstractNumId="119">
    <w:nsid w:val="13CDFCFC"/>
    <w:multiLevelType w:val="hybridMultilevel"/>
    <w:lvl w:ilvl="0">
      <w:lvlJc w:val="left"/>
      <w:lvlText w:val="(%1)"/>
      <w:numFmt w:val="upperLetter"/>
      <w:start w:val="1"/>
    </w:lvl>
  </w:abstractNum>
  <w:abstractNum w:abstractNumId="120">
    <w:nsid w:val="471745E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1">
    <w:nsid w:val="1DDBC66"/>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22">
    <w:nsid w:val="30AADFDA"/>
    <w:multiLevelType w:val="hybridMultilevel"/>
    <w:lvl w:ilvl="0">
      <w:lvlJc w:val="left"/>
      <w:lvlText w:val="%1"/>
      <w:numFmt w:val="upperLetter"/>
      <w:start w:val="1"/>
    </w:lvl>
    <w:lvl w:ilvl="1">
      <w:lvlJc w:val="left"/>
      <w:lvlText w:val="(%2)"/>
      <w:numFmt w:val="lowerRoman"/>
      <w:start w:val="4"/>
    </w:lvl>
  </w:abstractNum>
  <w:abstractNum w:abstractNumId="123">
    <w:nsid w:val="30EADA61"/>
    <w:multiLevelType w:val="hybridMultilevel"/>
    <w:lvl w:ilvl="0">
      <w:lvlJc w:val="left"/>
      <w:lvlText w:val="(%1)"/>
      <w:numFmt w:val="upperLetter"/>
      <w:start w:val="1"/>
    </w:lvl>
    <w:lvl w:ilvl="1">
      <w:lvlJc w:val="left"/>
      <w:lvlText w:val="%2"/>
      <w:numFmt w:val="lowerRoman"/>
      <w:start w:val="1"/>
    </w:lvl>
  </w:abstractNum>
  <w:abstractNum w:abstractNumId="124">
    <w:nsid w:val="27179C0B"/>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25">
    <w:nsid w:val="5E636063"/>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126">
    <w:nsid w:val="215641AF"/>
    <w:multiLevelType w:val="hybridMultilevel"/>
    <w:lvl w:ilvl="0">
      <w:lvlJc w:val="left"/>
      <w:lvlText w:val="%1"/>
      <w:numFmt w:val="lowerRoman"/>
      <w:start w:val="1"/>
    </w:lvl>
    <w:lvl w:ilvl="1">
      <w:lvlJc w:val="left"/>
      <w:lvlText w:val="(%2)"/>
      <w:numFmt w:val="upperLetter"/>
      <w:start w:val="2"/>
    </w:lvl>
  </w:abstractNum>
  <w:abstractNum w:abstractNumId="127">
    <w:nsid w:val="53280662"/>
    <w:multiLevelType w:val="hybridMultilevel"/>
    <w:lvl w:ilvl="0">
      <w:lvlJc w:val="left"/>
      <w:lvlText w:val="(%1)"/>
      <w:numFmt w:val="lowerRoman"/>
      <w:start w:val="2"/>
    </w:lvl>
    <w:lvl w:ilvl="1">
      <w:lvlJc w:val="left"/>
      <w:lvlText w:val="(%2)"/>
      <w:numFmt w:val="upperLetter"/>
      <w:start w:val="1"/>
    </w:lvl>
  </w:abstractNum>
  <w:abstractNum w:abstractNumId="128">
    <w:nsid w:val="46B24DBC"/>
    <w:multiLevelType w:val="hybridMultilevel"/>
    <w:lvl w:ilvl="0">
      <w:lvlJc w:val="left"/>
      <w:lvlText w:val="%1"/>
      <w:numFmt w:val="upperLetter"/>
      <w:start w:val="1"/>
    </w:lvl>
    <w:lvl w:ilvl="1">
      <w:lvlJc w:val="left"/>
      <w:lvlText w:val="(%2)"/>
      <w:numFmt w:val="lowerLetter"/>
      <w:start w:val="6"/>
    </w:lvl>
  </w:abstractNum>
  <w:abstractNum w:abstractNumId="129">
    <w:nsid w:val="75B52783"/>
    <w:multiLevelType w:val="hybridMultilevel"/>
    <w:lvl w:ilvl="0">
      <w:lvlJc w:val="left"/>
      <w:lvlText w:val="(%1)"/>
      <w:numFmt w:val="upperLetter"/>
      <w:start w:val="1"/>
    </w:lvl>
    <w:lvl w:ilvl="1">
      <w:lvlJc w:val="left"/>
      <w:lvlText w:val="%2"/>
      <w:numFmt w:val="lowerLetter"/>
      <w:start w:val="1"/>
    </w:lvl>
  </w:abstractNum>
  <w:abstractNum w:abstractNumId="130">
    <w:nsid w:val="57CE66B4"/>
    <w:multiLevelType w:val="hybridMultilevel"/>
    <w:lvl w:ilvl="0">
      <w:lvlJc w:val="left"/>
      <w:lvlText w:val="(%1)"/>
      <w:numFmt w:val="upperLetter"/>
      <w:start w:val="3"/>
    </w:lvl>
  </w:abstractNum>
  <w:abstractNum w:abstractNumId="131">
    <w:nsid w:val="67A70B69"/>
    <w:multiLevelType w:val="hybridMultilevel"/>
    <w:lvl w:ilvl="0">
      <w:lvlJc w:val="left"/>
      <w:lvlText w:val="(%1)"/>
      <w:numFmt w:val="lowerRoman"/>
      <w:start w:val="2"/>
    </w:lvl>
    <w:lvl w:ilvl="1">
      <w:lvlJc w:val="left"/>
      <w:lvlText w:val="%2"/>
      <w:numFmt w:val="lowerRoman"/>
      <w:start w:val="1"/>
    </w:lvl>
  </w:abstractNum>
  <w:abstractNum w:abstractNumId="132">
    <w:nsid w:val="5953172F"/>
    <w:multiLevelType w:val="hybridMultilevel"/>
    <w:lvl w:ilvl="0">
      <w:lvlJc w:val="left"/>
      <w:lvlText w:val="(%1)"/>
      <w:numFmt w:val="lowerRoman"/>
      <w:start w:val="10"/>
    </w:lvl>
    <w:lvl w:ilvl="1">
      <w:lvlJc w:val="left"/>
      <w:lvlText w:val="%2"/>
      <w:numFmt w:val="lowerRoman"/>
      <w:start w:val="1"/>
    </w:lvl>
  </w:abstractNum>
  <w:abstractNum w:abstractNumId="133">
    <w:nsid w:val="27EDFE3A"/>
    <w:multiLevelType w:val="hybridMultilevel"/>
    <w:lvl w:ilvl="0">
      <w:lvlJc w:val="left"/>
      <w:lvlText w:val="(%1)"/>
      <w:numFmt w:val="lowerRoman"/>
      <w:start w:val="4"/>
    </w:lvl>
    <w:lvl w:ilvl="1">
      <w:lvlJc w:val="left"/>
      <w:lvlText w:val="%2"/>
      <w:numFmt w:val="lowerRoman"/>
      <w:start w:val="1"/>
    </w:lvl>
  </w:abstractNum>
  <w:abstractNum w:abstractNumId="134">
    <w:nsid w:val="52AC7DFF"/>
    <w:multiLevelType w:val="hybridMultilevel"/>
    <w:lvl w:ilvl="0">
      <w:lvlJc w:val="left"/>
      <w:lvlText w:val="(%1)"/>
      <w:numFmt w:val="lowerRoman"/>
      <w:start w:val="4"/>
    </w:lvl>
    <w:lvl w:ilvl="1">
      <w:lvlJc w:val="left"/>
      <w:lvlText w:val="%2"/>
      <w:numFmt w:val="lowerRoman"/>
      <w:start w:val="1"/>
    </w:lvl>
  </w:abstractNum>
  <w:abstractNum w:abstractNumId="135">
    <w:nsid w:val="C4C3AF"/>
    <w:multiLevelType w:val="hybridMultilevel"/>
    <w:lvl w:ilvl="0">
      <w:lvlJc w:val="left"/>
      <w:lvlText w:val="(%1)"/>
      <w:numFmt w:val="lowerLetter"/>
      <w:start w:val="8"/>
    </w:lvl>
  </w:abstractNum>
  <w:abstractNum w:abstractNumId="136">
    <w:nsid w:val="44380727"/>
    <w:multiLevelType w:val="hybridMultilevel"/>
    <w:lvl w:ilvl="0">
      <w:lvlJc w:val="left"/>
      <w:lvlText w:val="(%1)"/>
      <w:numFmt w:val="lowerLetter"/>
      <w:start w:val="1"/>
    </w:lvl>
  </w:abstractNum>
  <w:abstractNum w:abstractNumId="137">
    <w:nsid w:val="6C053B16"/>
    <w:multiLevelType w:val="hybridMultilevel"/>
    <w:lvl w:ilvl="0">
      <w:lvlJc w:val="left"/>
      <w:lvlText w:val="(%1)"/>
      <w:numFmt w:val="lowerLetter"/>
      <w:start w:val="2"/>
    </w:lvl>
    <w:lvl w:ilvl="1">
      <w:lvlJc w:val="left"/>
      <w:lvlText w:val="(%2)"/>
      <w:numFmt w:val="lowerRoman"/>
      <w:start w:val="1"/>
    </w:lvl>
  </w:abstractNum>
  <w:abstractNum w:abstractNumId="138">
    <w:nsid w:val="4F29439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39">
    <w:nsid w:val="5243BFA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40">
    <w:nsid w:val="425EB20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41">
    <w:nsid w:val="334A6F1F"/>
    <w:multiLevelType w:val="hybridMultilevel"/>
    <w:lvl w:ilvl="0">
      <w:lvlJc w:val="left"/>
      <w:lvlText w:val="(%1)"/>
      <w:numFmt w:val="lowerLetter"/>
      <w:start w:val="25"/>
    </w:lvl>
    <w:lvl w:ilvl="1">
      <w:lvlJc w:val="left"/>
      <w:lvlText w:val="(%2)"/>
      <w:numFmt w:val="lowerLetter"/>
      <w:start w:val="35"/>
    </w:lvl>
    <w:lvl w:ilvl="2">
      <w:lvlJc w:val="left"/>
      <w:lvlText w:val="(%3)"/>
      <w:numFmt w:val="upperLetter"/>
      <w:start w:val="1"/>
    </w:lvl>
  </w:abstractNum>
  <w:abstractNum w:abstractNumId="142">
    <w:nsid w:val="2E5B12B8"/>
    <w:multiLevelType w:val="hybridMultilevel"/>
    <w:lvl w:ilvl="0">
      <w:lvlJc w:val="left"/>
      <w:lvlText w:val="(%1)"/>
      <w:numFmt w:val="upperLetter"/>
      <w:start w:val="4"/>
    </w:lvl>
  </w:abstractNum>
  <w:abstractNum w:abstractNumId="143">
    <w:nsid w:val="5C03D76D"/>
    <w:multiLevelType w:val="hybridMultilevel"/>
    <w:lvl w:ilvl="0">
      <w:lvlJc w:val="left"/>
      <w:lvlText w:val="%1"/>
      <w:numFmt w:val="lowerLetter"/>
      <w:start w:val="1"/>
    </w:lvl>
    <w:lvl w:ilvl="1">
      <w:lvlJc w:val="left"/>
      <w:lvlText w:val="(%2)"/>
      <w:numFmt w:val="upperLetter"/>
      <w:start w:val="10"/>
    </w:lvl>
  </w:abstractNum>
  <w:abstractNum w:abstractNumId="144">
    <w:nsid w:val="66A48D11"/>
    <w:multiLevelType w:val="hybridMultilevel"/>
    <w:lvl w:ilvl="0">
      <w:lvlJc w:val="left"/>
      <w:lvlText w:val="(%1)"/>
      <w:numFmt w:val="lowerLetter"/>
      <w:start w:val="6"/>
    </w:lvl>
    <w:lvl w:ilvl="1">
      <w:lvlJc w:val="left"/>
      <w:lvlText w:val="%2"/>
      <w:numFmt w:val="upperLetter"/>
      <w:start w:val="1"/>
    </w:lvl>
  </w:abstractNum>
  <w:abstractNum w:abstractNumId="145">
    <w:nsid w:val="56C28E34"/>
    <w:multiLevelType w:val="hybridMultilevel"/>
    <w:lvl w:ilvl="0">
      <w:lvlJc w:val="left"/>
      <w:lvlText w:val="(%1)"/>
      <w:numFmt w:val="lowerLetter"/>
      <w:start w:val="7"/>
    </w:lvl>
    <w:lvl w:ilvl="1">
      <w:lvlJc w:val="left"/>
      <w:lvlText w:val="(%2)"/>
      <w:numFmt w:val="lowerLetter"/>
      <w:start w:val="9"/>
    </w:lvl>
  </w:abstractNum>
  <w:abstractNum w:abstractNumId="146">
    <w:nsid w:val="13916F2D"/>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upperLetter"/>
      <w:start w:val="1"/>
    </w:lvl>
  </w:abstractNum>
  <w:abstractNum w:abstractNumId="147">
    <w:nsid w:val="435D38D"/>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8"/>
    </w:lvl>
    <w:lvl w:ilvl="3">
      <w:lvlJc w:val="left"/>
      <w:lvlText w:val="(%4)"/>
      <w:numFmt w:val="upperLetter"/>
      <w:start w:val="2"/>
    </w:lvl>
  </w:abstractNum>
  <w:abstractNum w:abstractNumId="148">
    <w:nsid w:val="822C0EF"/>
    <w:multiLevelType w:val="hybridMultilevel"/>
    <w:lvl w:ilvl="0">
      <w:lvlJc w:val="left"/>
      <w:lvlText w:val="(%1)"/>
      <w:numFmt w:val="lowerLetter"/>
      <w:start w:val="1"/>
    </w:lvl>
  </w:abstractNum>
  <w:abstractNum w:abstractNumId="149">
    <w:nsid w:val="57C5BB4F"/>
    <w:multiLevelType w:val="hybridMultilevel"/>
    <w:lvl w:ilvl="0">
      <w:lvlJc w:val="left"/>
      <w:lvlText w:val="(%1)"/>
      <w:numFmt w:val="lowerLetter"/>
      <w:start w:val="25"/>
    </w:lvl>
  </w:abstractNum>
  <w:abstractNum w:abstractNumId="150">
    <w:nsid w:val="1803D089"/>
    <w:multiLevelType w:val="hybridMultilevel"/>
    <w:lvl w:ilvl="0">
      <w:lvlJc w:val="left"/>
      <w:lvlText w:val="%1"/>
      <w:numFmt w:val="lowerLetter"/>
      <w:start w:val="1"/>
    </w:lvl>
    <w:lvl w:ilvl="1">
      <w:lvlJc w:val="left"/>
      <w:lvlText w:val="(%2)"/>
      <w:numFmt w:val="lowerLetter"/>
      <w:start w:val="2"/>
    </w:lvl>
  </w:abstractNum>
  <w:abstractNum w:abstractNumId="151">
    <w:nsid w:val="4F3A06D4"/>
    <w:multiLevelType w:val="hybridMultilevel"/>
    <w:lvl w:ilvl="0">
      <w:lvlJc w:val="left"/>
      <w:lvlText w:val="(%1)"/>
      <w:numFmt w:val="lowerLetter"/>
      <w:start w:val="9"/>
    </w:lvl>
    <w:lvl w:ilvl="1">
      <w:lvlJc w:val="left"/>
      <w:lvlText w:val="%2"/>
      <w:numFmt w:val="lowerLetter"/>
      <w:start w:val="1"/>
    </w:lvl>
  </w:abstractNum>
  <w:abstractNum w:abstractNumId="152">
    <w:nsid w:val="59A377B6"/>
    <w:multiLevelType w:val="hybridMultilevel"/>
    <w:lvl w:ilvl="0">
      <w:lvlJc w:val="left"/>
      <w:lvlText w:val="(%1)"/>
      <w:numFmt w:val="lowerLetter"/>
      <w:start w:val="3"/>
    </w:lvl>
  </w:abstractNum>
  <w:abstractNum w:abstractNumId="153">
    <w:nsid w:val="48AEB063"/>
    <w:multiLevelType w:val="hybridMultilevel"/>
    <w:lvl w:ilvl="0">
      <w:lvlJc w:val="left"/>
      <w:lvlText w:val="(%1)"/>
      <w:numFmt w:val="lowerLetter"/>
      <w:start w:val="5"/>
    </w:lvl>
  </w:abstractNum>
  <w:abstractNum w:abstractNumId="154">
    <w:nsid w:val="24E135"/>
    <w:multiLevelType w:val="hybridMultilevel"/>
    <w:lvl w:ilvl="0">
      <w:lvlJc w:val="left"/>
      <w:lvlText w:val="(%1)"/>
      <w:numFmt w:val="lowerLetter"/>
      <w:start w:val="1"/>
    </w:lvl>
    <w:lvl w:ilvl="1">
      <w:lvlJc w:val="left"/>
      <w:lvlText w:val="(%2)"/>
      <w:numFmt w:val="lowerRoman"/>
      <w:start w:val="1"/>
    </w:lvl>
  </w:abstractNum>
  <w:abstractNum w:abstractNumId="155">
    <w:nsid w:val="BB13C1"/>
    <w:multiLevelType w:val="hybridMultilevel"/>
    <w:lvl w:ilvl="0">
      <w:lvlJc w:val="left"/>
      <w:lvlText w:val="(%1)"/>
      <w:numFmt w:val="lowerLetter"/>
      <w:start w:val="1"/>
    </w:lvl>
  </w:abstractNum>
  <w:abstractNum w:abstractNumId="156">
    <w:nsid w:val="271210C7"/>
    <w:multiLevelType w:val="hybridMultilevel"/>
    <w:lvl w:ilvl="0">
      <w:lvlJc w:val="left"/>
      <w:lvlText w:val="(%1)"/>
      <w:numFmt w:val="lowerLetter"/>
      <w:start w:val="5"/>
    </w:lvl>
  </w:abstractNum>
  <w:abstractNum w:abstractNumId="157">
    <w:nsid w:val="217B22E4"/>
    <w:multiLevelType w:val="hybridMultilevel"/>
    <w:lvl w:ilvl="0">
      <w:lvlJc w:val="left"/>
      <w:lvlText w:val="(%1)"/>
      <w:numFmt w:val="lowerLetter"/>
      <w:start w:val="1"/>
    </w:lvl>
  </w:abstractNum>
  <w:abstractNum w:abstractNumId="158">
    <w:nsid w:val="53E31A24"/>
    <w:multiLevelType w:val="hybridMultilevel"/>
    <w:lvl w:ilvl="0">
      <w:lvlJc w:val="left"/>
      <w:lvlText w:val="%1"/>
      <w:numFmt w:val="lowerLetter"/>
      <w:start w:val="1"/>
    </w:lvl>
    <w:lvl w:ilvl="1">
      <w:lvlJc w:val="left"/>
      <w:lvlText w:val="(%2)"/>
      <w:numFmt w:val="lowerLetter"/>
      <w:start w:val="2"/>
    </w:lvl>
  </w:abstractNum>
  <w:abstractNum w:abstractNumId="159">
    <w:nsid w:val="6DC45E83"/>
    <w:multiLevelType w:val="hybridMultilevel"/>
    <w:lvl w:ilvl="0">
      <w:lvlJc w:val="left"/>
      <w:lvlText w:val="(%1)"/>
      <w:numFmt w:val="lowerLetter"/>
      <w:start w:val="9"/>
    </w:lvl>
    <w:lvl w:ilvl="1">
      <w:lvlJc w:val="left"/>
      <w:lvlText w:val="%2"/>
      <w:numFmt w:val="lowerLetter"/>
      <w:start w:val="1"/>
    </w:lvl>
  </w:abstractNum>
  <w:abstractNum w:abstractNumId="160">
    <w:nsid w:val="17304A6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1">
    <w:nsid w:val="2BB180D8"/>
    <w:multiLevelType w:val="hybridMultilevel"/>
    <w:lvl w:ilvl="0">
      <w:lvlJc w:val="left"/>
      <w:lvlText w:val="(%1)"/>
      <w:numFmt w:val="upperLetter"/>
      <w:start w:val="2"/>
    </w:lvl>
  </w:abstractNum>
  <w:abstractNum w:abstractNumId="162">
    <w:nsid w:val="556B69E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63">
    <w:nsid w:val="7083619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4">
    <w:nsid w:val="539F7F12"/>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165">
    <w:nsid w:val="2817E7EC"/>
    <w:multiLevelType w:val="hybridMultilevel"/>
    <w:lvl w:ilvl="0">
      <w:lvlJc w:val="left"/>
      <w:lvlText w:val="(%1)"/>
      <w:numFmt w:val="lowerLetter"/>
      <w:start w:val="8"/>
    </w:lvl>
  </w:abstractNum>
  <w:abstractNum w:abstractNumId="166">
    <w:nsid w:val="71482545"/>
    <w:multiLevelType w:val="hybridMultilevel"/>
    <w:lvl w:ilvl="0">
      <w:lvlJc w:val="left"/>
      <w:lvlText w:val="(%1)"/>
      <w:numFmt w:val="lowerLetter"/>
      <w:start w:val="25"/>
    </w:lvl>
  </w:abstractNum>
  <w:abstractNum w:abstractNumId="167">
    <w:nsid w:val="17D78639"/>
    <w:multiLevelType w:val="hybridMultilevel"/>
    <w:lvl w:ilvl="0">
      <w:lvlJc w:val="left"/>
      <w:lvlText w:val="(%1)"/>
      <w:numFmt w:val="lowerLetter"/>
      <w:start w:val="1"/>
    </w:lvl>
  </w:abstractNum>
  <w:abstractNum w:abstractNumId="168">
    <w:nsid w:val="141D2302"/>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1"/>
    </w:lvl>
  </w:abstractNum>
  <w:abstractNum w:abstractNumId="169">
    <w:nsid w:val="407168D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0">
    <w:nsid w:val="6A1B45E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71">
    <w:nsid w:val="567BD50A"/>
    <w:multiLevelType w:val="hybridMultilevel"/>
    <w:lvl w:ilvl="0">
      <w:lvlJc w:val="left"/>
      <w:lvlText w:val="(%1)"/>
      <w:numFmt w:val="lowerRoman"/>
      <w:start w:val="1"/>
    </w:lvl>
  </w:abstractNum>
  <w:abstractNum w:abstractNumId="172">
    <w:nsid w:val="73BBD7F8"/>
    <w:multiLevelType w:val="hybridMultilevel"/>
    <w:lvl w:ilvl="0">
      <w:lvlJc w:val="left"/>
      <w:lvlText w:val="%1"/>
      <w:numFmt w:val="lowerRoman"/>
      <w:start w:val="1"/>
    </w:lvl>
    <w:lvl w:ilvl="1">
      <w:lvlJc w:val="left"/>
      <w:lvlText w:val="(%2)"/>
      <w:numFmt w:val="lowerLetter"/>
      <w:start w:val="25"/>
    </w:lvl>
  </w:abstractNum>
  <w:abstractNum w:abstractNumId="173">
    <w:nsid w:val="1876589D"/>
    <w:multiLevelType w:val="hybridMultilevel"/>
    <w:lvl w:ilvl="0">
      <w:lvlJc w:val="left"/>
      <w:lvlText w:val="(%1)"/>
      <w:numFmt w:val="lowerRoman"/>
      <w:start w:val="3"/>
    </w:lvl>
    <w:lvl w:ilvl="1">
      <w:lvlJc w:val="left"/>
      <w:lvlText w:val="%2"/>
      <w:numFmt w:val="lowerLetter"/>
      <w:start w:val="1"/>
    </w:lvl>
  </w:abstractNum>
  <w:abstractNum w:abstractNumId="174">
    <w:nsid w:val="327FAC77"/>
    <w:multiLevelType w:val="hybridMultilevel"/>
    <w:lvl w:ilvl="0">
      <w:lvlJc w:val="left"/>
      <w:lvlText w:val="(%1)"/>
      <w:numFmt w:val="lowerLetter"/>
      <w:start w:val="1"/>
    </w:lvl>
  </w:abstractNum>
  <w:abstractNum w:abstractNumId="175">
    <w:nsid w:val="5A606509"/>
    <w:multiLevelType w:val="hybridMultilevel"/>
    <w:lvl w:ilvl="0">
      <w:lvlJc w:val="left"/>
      <w:lvlText w:val="(%1)"/>
      <w:numFmt w:val="lowerLetter"/>
      <w:start w:val="2"/>
    </w:lvl>
  </w:abstractNum>
  <w:abstractNum w:abstractNumId="176">
    <w:nsid w:val="6F38E6D1"/>
    <w:multiLevelType w:val="hybridMultilevel"/>
    <w:lvl w:ilvl="0">
      <w:lvlJc w:val="left"/>
      <w:lvlText w:val="(%1)"/>
      <w:numFmt w:val="lowerLetter"/>
      <w:start w:val="1"/>
    </w:lvl>
  </w:abstractNum>
  <w:abstractNum w:abstractNumId="177">
    <w:nsid w:val="46111BA5"/>
    <w:multiLevelType w:val="hybridMultilevel"/>
    <w:lvl w:ilvl="0">
      <w:lvlJc w:val="left"/>
      <w:lvlText w:val="(%1)"/>
      <w:numFmt w:val="lowerLetter"/>
      <w:start w:val="1"/>
    </w:lvl>
    <w:lvl w:ilvl="1">
      <w:lvlJc w:val="left"/>
      <w:lvlText w:val="(%2)"/>
      <w:numFmt w:val="lowerRoman"/>
      <w:start w:val="1"/>
    </w:lvl>
  </w:abstractNum>
  <w:abstractNum w:abstractNumId="178">
    <w:nsid w:val="5E963896"/>
    <w:multiLevelType w:val="hybridMultilevel"/>
    <w:lvl w:ilvl="0">
      <w:lvlJc w:val="left"/>
      <w:lvlText w:val="(%1)"/>
      <w:numFmt w:val="lowerLetter"/>
      <w:start w:val="6"/>
    </w:lvl>
  </w:abstractNum>
  <w:abstractNum w:abstractNumId="179">
    <w:nsid w:val="775BA7C1"/>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180">
    <w:nsid w:val="1DD6D6F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181">
    <w:nsid w:val="769A091F"/>
    <w:multiLevelType w:val="hybridMultilevel"/>
    <w:lvl w:ilvl="0">
      <w:lvlJc w:val="left"/>
      <w:lvlText w:val="(%1)"/>
      <w:numFmt w:val="lowerLetter"/>
      <w:start w:val="5"/>
    </w:lvl>
  </w:abstractNum>
  <w:abstractNum w:abstractNumId="182">
    <w:nsid w:val="4695AE95"/>
    <w:multiLevelType w:val="hybridMultilevel"/>
    <w:lvl w:ilvl="0">
      <w:lvlJc w:val="left"/>
      <w:lvlText w:val="%1"/>
      <w:numFmt w:val="lowerRoman"/>
      <w:start w:val="1"/>
    </w:lvl>
    <w:lvl w:ilvl="1">
      <w:lvlJc w:val="left"/>
      <w:lvlText w:val="(%2)"/>
      <w:numFmt w:val="lowerLetter"/>
      <w:start w:val="1"/>
    </w:lvl>
  </w:abstractNum>
  <w:abstractNum w:abstractNumId="183">
    <w:nsid w:val="777A4EAA"/>
    <w:multiLevelType w:val="hybridMultilevel"/>
    <w:lvl w:ilvl="0">
      <w:lvlJc w:val="left"/>
      <w:lvlText w:val="(%1)"/>
      <w:numFmt w:val="lowerRoman"/>
      <w:start w:val="1"/>
    </w:lvl>
    <w:lvl w:ilvl="1">
      <w:lvlJc w:val="left"/>
      <w:lvlText w:val="%2"/>
      <w:numFmt w:val="lowerLetter"/>
      <w:start w:val="1"/>
    </w:lvl>
  </w:abstractNum>
  <w:abstractNum w:abstractNumId="184">
    <w:nsid w:val="3F48B982"/>
    <w:multiLevelType w:val="hybridMultilevel"/>
    <w:lvl w:ilvl="0">
      <w:lvlJc w:val="left"/>
      <w:lvlText w:val="%1"/>
      <w:numFmt w:val="lowerLetter"/>
      <w:start w:val="1"/>
    </w:lvl>
    <w:lvl w:ilvl="1">
      <w:lvlJc w:val="left"/>
      <w:lvlText w:val="(%2)"/>
      <w:numFmt w:val="lowerRoman"/>
      <w:start w:val="7"/>
    </w:lvl>
  </w:abstractNum>
  <w:abstractNum w:abstractNumId="185">
    <w:nsid w:val="46BA8FCA"/>
    <w:multiLevelType w:val="hybridMultilevel"/>
    <w:lvl w:ilvl="0">
      <w:lvlJc w:val="left"/>
      <w:lvlText w:val="(%1)"/>
      <w:numFmt w:val="lowerLetter"/>
      <w:start w:val="2"/>
    </w:lvl>
    <w:lvl w:ilvl="1">
      <w:lvlJc w:val="left"/>
      <w:lvlText w:val="%2"/>
      <w:numFmt w:val="lowerRoman"/>
      <w:start w:val="1"/>
    </w:lvl>
  </w:abstractNum>
  <w:abstractNum w:abstractNumId="186">
    <w:nsid w:val="7835626C"/>
    <w:multiLevelType w:val="hybridMultilevel"/>
    <w:lvl w:ilvl="0">
      <w:lvlJc w:val="left"/>
      <w:lvlText w:val="(%1)"/>
      <w:numFmt w:val="lowerRoman"/>
      <w:start w:val="1"/>
    </w:lvl>
  </w:abstractNum>
  <w:abstractNum w:abstractNumId="187">
    <w:nsid w:val="665ACA49"/>
    <w:multiLevelType w:val="hybridMultilevel"/>
    <w:lvl w:ilvl="0">
      <w:lvlJc w:val="left"/>
      <w:lvlText w:val="(%1)"/>
      <w:numFmt w:val="lowerLetter"/>
      <w:start w:val="2"/>
    </w:lvl>
  </w:abstractNum>
  <w:abstractNum w:abstractNumId="188">
    <w:nsid w:val="6835B2AE"/>
    <w:multiLevelType w:val="hybridMultilevel"/>
    <w:lvl w:ilvl="0">
      <w:lvlJc w:val="left"/>
      <w:lvlText w:val="(%1)"/>
      <w:numFmt w:val="lowerLetter"/>
      <w:start w:val="1"/>
    </w:lvl>
  </w:abstractNum>
  <w:abstractNum w:abstractNumId="189">
    <w:nsid w:val="4C187C90"/>
    <w:multiLevelType w:val="hybridMultilevel"/>
    <w:lvl w:ilvl="0">
      <w:lvlJc w:val="left"/>
      <w:lvlText w:val="(%1)"/>
      <w:numFmt w:val="lowerLetter"/>
      <w:start w:val="1"/>
    </w:lvl>
  </w:abstractNum>
  <w:abstractNum w:abstractNumId="190">
    <w:nsid w:val="541F28CD"/>
    <w:multiLevelType w:val="hybridMultilevel"/>
    <w:lvl w:ilvl="0">
      <w:lvlJc w:val="left"/>
      <w:lvlText w:val="(%1)"/>
      <w:numFmt w:val="lowerLetter"/>
      <w:start w:val="1"/>
    </w:lvl>
  </w:abstractNum>
  <w:abstractNum w:abstractNumId="191">
    <w:nsid w:val="7F65FD16"/>
    <w:multiLevelType w:val="hybridMultilevel"/>
    <w:lvl w:ilvl="0">
      <w:lvlJc w:val="left"/>
      <w:lvlText w:val="(%1)"/>
      <w:numFmt w:val="lowerLetter"/>
      <w:start w:val="1"/>
    </w:lvl>
  </w:abstractNum>
  <w:abstractNum w:abstractNumId="192">
    <w:nsid w:val="77C9FD68"/>
    <w:multiLevelType w:val="hybridMultilevel"/>
    <w:lvl w:ilvl="0">
      <w:lvlJc w:val="left"/>
      <w:lvlText w:val="(%1)"/>
      <w:numFmt w:val="lowerLetter"/>
      <w:start w:val="1"/>
    </w:lvl>
  </w:abstractNum>
  <w:abstractNum w:abstractNumId="193">
    <w:nsid w:val="298A92BA"/>
    <w:multiLevelType w:val="hybridMultilevel"/>
    <w:lvl w:ilvl="0">
      <w:lvlJc w:val="left"/>
      <w:lvlText w:val="(%1)"/>
      <w:numFmt w:val="lowerLetter"/>
      <w:start w:val="2"/>
    </w:lvl>
  </w:abstractNum>
  <w:abstractNum w:abstractNumId="194">
    <w:nsid w:val="6FE95EAC"/>
    <w:multiLevelType w:val="hybridMultilevel"/>
    <w:lvl w:ilvl="0">
      <w:lvlJc w:val="left"/>
      <w:lvlText w:val="(%1)"/>
      <w:numFmt w:val="lowerLetter"/>
      <w:start w:val="2"/>
    </w:lvl>
  </w:abstractNum>
  <w:abstractNum w:abstractNumId="195">
    <w:nsid w:val="4B697C7A"/>
    <w:multiLevelType w:val="hybridMultilevel"/>
    <w:lvl w:ilvl="0">
      <w:lvlJc w:val="left"/>
      <w:lvlText w:val="(%1)"/>
      <w:numFmt w:val="lowerLetter"/>
      <w:start w:val="1"/>
    </w:lvl>
  </w:abstractNum>
  <w:abstractNum w:abstractNumId="196">
    <w:nsid w:val="51A27AA6"/>
    <w:multiLevelType w:val="hybridMultilevel"/>
    <w:lvl w:ilvl="0">
      <w:lvlJc w:val="left"/>
      <w:lvlText w:val="(%1)"/>
      <w:numFmt w:val="lowerLetter"/>
      <w:start w:val="2"/>
    </w:lvl>
  </w:abstractNum>
  <w:abstractNum w:abstractNumId="197">
    <w:nsid w:val="613183F2"/>
    <w:multiLevelType w:val="hybridMultilevel"/>
    <w:lvl w:ilvl="0">
      <w:lvlJc w:val="left"/>
      <w:lvlText w:val="(%1)"/>
      <w:numFmt w:val="lowerLetter"/>
      <w:start w:val="1"/>
    </w:lvl>
  </w:abstractNum>
  <w:abstractNum w:abstractNumId="198">
    <w:nsid w:val="634102B4"/>
    <w:multiLevelType w:val="hybridMultilevel"/>
    <w:lvl w:ilvl="0">
      <w:lvlJc w:val="left"/>
      <w:lvlText w:val="(%1)"/>
      <w:numFmt w:val="lowerLetter"/>
      <w:start w:val="5"/>
    </w:lvl>
  </w:abstractNum>
  <w:abstractNum w:abstractNumId="199">
    <w:nsid w:val="65BF9DA8"/>
    <w:multiLevelType w:val="hybridMultilevel"/>
    <w:lvl w:ilvl="0">
      <w:lvlJc w:val="left"/>
      <w:lvlText w:val="(%1)"/>
      <w:numFmt w:val="lowerLetter"/>
      <w:start w:val="1"/>
    </w:lvl>
  </w:abstractNum>
  <w:abstractNum w:abstractNumId="200">
    <w:nsid w:val="21A2ECCA"/>
    <w:multiLevelType w:val="hybridMultilevel"/>
    <w:lvl w:ilvl="0">
      <w:lvlJc w:val="left"/>
      <w:lvlText w:val="(%1)"/>
      <w:numFmt w:val="lowerLetter"/>
      <w:start w:val="5"/>
    </w:lvl>
  </w:abstractNum>
  <w:abstractNum w:abstractNumId="201">
    <w:nsid w:val="4D5C4899"/>
    <w:multiLevelType w:val="hybridMultilevel"/>
    <w:lvl w:ilvl="0">
      <w:lvlJc w:val="left"/>
      <w:lvlText w:val="(%1)"/>
      <w:numFmt w:val="lowerLetter"/>
      <w:start w:val="25"/>
    </w:lvl>
  </w:abstractNum>
  <w:abstractNum w:abstractNumId="202">
    <w:nsid w:val="3C3B72B2"/>
    <w:multiLevelType w:val="hybridMultilevel"/>
    <w:lvl w:ilvl="0">
      <w:lvlJc w:val="left"/>
      <w:lvlText w:val="(%1)"/>
      <w:numFmt w:val="lowerLetter"/>
      <w:start w:val="1"/>
    </w:lvl>
  </w:abstractNum>
  <w:abstractNum w:abstractNumId="203">
    <w:nsid w:val="155EC4C2"/>
    <w:multiLevelType w:val="hybridMultilevel"/>
    <w:lvl w:ilvl="0">
      <w:lvlJc w:val="left"/>
      <w:lvlText w:val="(%1)"/>
      <w:numFmt w:val="lowerLetter"/>
      <w:start w:val="5"/>
    </w:lvl>
  </w:abstractNum>
  <w:abstractNum w:abstractNumId="204">
    <w:nsid w:val="65D2A137"/>
    <w:multiLevelType w:val="hybridMultilevel"/>
    <w:lvl w:ilvl="0">
      <w:lvlJc w:val="left"/>
      <w:lvlText w:val="(%1)"/>
      <w:numFmt w:val="lowerLetter"/>
      <w:start w:val="1"/>
    </w:lvl>
  </w:abstractNum>
  <w:abstractNum w:abstractNumId="205">
    <w:nsid w:val="6EBB1F2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06">
    <w:nsid w:val="6FBF29CB"/>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07">
    <w:nsid w:val="550B8808"/>
    <w:multiLevelType w:val="hybridMultilevel"/>
    <w:lvl w:ilvl="0">
      <w:lvlJc w:val="left"/>
      <w:lvlText w:val="(%1)"/>
      <w:numFmt w:val="lowerLetter"/>
      <w:start w:val="1"/>
    </w:lvl>
  </w:abstractNum>
  <w:abstractNum w:abstractNumId="208">
    <w:nsid w:val="34CC3ACF"/>
    <w:multiLevelType w:val="hybridMultilevel"/>
    <w:lvl w:ilvl="0">
      <w:lvlJc w:val="left"/>
      <w:lvlText w:val="%1"/>
      <w:numFmt w:val="lowerLetter"/>
      <w:start w:val="1"/>
    </w:lvl>
    <w:lvl w:ilvl="1">
      <w:lvlJc w:val="left"/>
      <w:lvlText w:val="(%2)"/>
      <w:numFmt w:val="lowerLetter"/>
      <w:start w:val="1"/>
    </w:lvl>
  </w:abstractNum>
  <w:abstractNum w:abstractNumId="209">
    <w:nsid w:val="4E556261"/>
    <w:multiLevelType w:val="hybridMultilevel"/>
    <w:lvl w:ilvl="0">
      <w:lvlJc w:val="left"/>
      <w:lvlText w:val="(%1)"/>
      <w:numFmt w:val="lowerLetter"/>
      <w:start w:val="25"/>
    </w:lvl>
    <w:lvl w:ilvl="1">
      <w:lvlJc w:val="left"/>
      <w:lvlText w:val="%2"/>
      <w:numFmt w:val="lowerLetter"/>
      <w:start w:val="1"/>
    </w:lvl>
  </w:abstractNum>
  <w:abstractNum w:abstractNumId="210">
    <w:nsid w:val="4C672FC9"/>
    <w:multiLevelType w:val="hybridMultilevel"/>
    <w:lvl w:ilvl="0">
      <w:lvlJc w:val="left"/>
      <w:lvlText w:val="(%1)"/>
      <w:numFmt w:val="lowerLetter"/>
      <w:start w:val="3"/>
    </w:lvl>
  </w:abstractNum>
  <w:abstractNum w:abstractNumId="211">
    <w:nsid w:val="52A311C3"/>
    <w:multiLevelType w:val="hybridMultilevel"/>
    <w:lvl w:ilvl="0">
      <w:lvlJc w:val="left"/>
      <w:lvlText w:val="%1"/>
      <w:numFmt w:val="lowerLetter"/>
      <w:start w:val="1"/>
    </w:lvl>
    <w:lvl w:ilvl="1">
      <w:lvlJc w:val="left"/>
      <w:lvlText w:val="(%2)"/>
      <w:numFmt w:val="lowerLetter"/>
      <w:start w:val="8"/>
    </w:lvl>
  </w:abstractNum>
  <w:abstractNum w:abstractNumId="212">
    <w:nsid w:val="44EF6B80"/>
    <w:multiLevelType w:val="hybridMultilevel"/>
    <w:lvl w:ilvl="0">
      <w:lvlJc w:val="left"/>
      <w:lvlText w:val="(%1)"/>
      <w:numFmt w:val="lowerLetter"/>
      <w:start w:val="35"/>
    </w:lvl>
    <w:lvl w:ilvl="1">
      <w:lvlJc w:val="left"/>
      <w:lvlText w:val="%2"/>
      <w:numFmt w:val="lowerLetter"/>
      <w:start w:val="1"/>
    </w:lvl>
  </w:abstractNum>
  <w:abstractNum w:abstractNumId="213">
    <w:nsid w:val="12FCDE5E"/>
    <w:multiLevelType w:val="hybridMultilevel"/>
    <w:lvl w:ilvl="0">
      <w:lvlJc w:val="left"/>
      <w:lvlText w:val="%1"/>
      <w:numFmt w:val="lowerLetter"/>
      <w:start w:val="1"/>
    </w:lvl>
    <w:lvl w:ilvl="1">
      <w:lvlJc w:val="left"/>
      <w:lvlText w:val="(%2)"/>
      <w:numFmt w:val="lowerLetter"/>
      <w:start w:val="9"/>
    </w:lvl>
  </w:abstractNum>
  <w:abstractNum w:abstractNumId="214">
    <w:nsid w:val="4A1D606E"/>
    <w:multiLevelType w:val="hybridMultilevel"/>
    <w:lvl w:ilvl="0">
      <w:lvlJc w:val="left"/>
      <w:lvlText w:val="(%1)"/>
      <w:numFmt w:val="lowerLetter"/>
      <w:start w:val="61"/>
    </w:lvl>
    <w:lvl w:ilvl="1">
      <w:lvlJc w:val="left"/>
      <w:lvlText w:val="(%2)"/>
      <w:numFmt w:val="lowerLetter"/>
      <w:start w:val="12"/>
    </w:lvl>
  </w:abstractNum>
  <w:abstractNum w:abstractNumId="215">
    <w:nsid w:val="4382503"/>
    <w:multiLevelType w:val="hybridMultilevel"/>
    <w:lvl w:ilvl="0">
      <w:lvlJc w:val="left"/>
      <w:lvlText w:val="%1"/>
      <w:numFmt w:val="lowerLetter"/>
      <w:start w:val="1"/>
    </w:lvl>
    <w:lvl w:ilvl="1">
      <w:lvlJc w:val="left"/>
      <w:lvlText w:val="(%2)"/>
      <w:numFmt w:val="lowerLetter"/>
      <w:start w:val="15"/>
    </w:lvl>
  </w:abstractNum>
  <w:abstractNum w:abstractNumId="216">
    <w:nsid w:val="59B76E28"/>
    <w:multiLevelType w:val="hybridMultilevel"/>
    <w:lvl w:ilvl="0">
      <w:lvlJc w:val="left"/>
      <w:lvlText w:val="(%1)"/>
      <w:numFmt w:val="lowerLetter"/>
      <w:start w:val="35"/>
    </w:lvl>
    <w:lvl w:ilvl="1">
      <w:lvlJc w:val="left"/>
      <w:lvlText w:val="(%2)"/>
      <w:numFmt w:val="lowerLetter"/>
      <w:start w:val="22"/>
    </w:lvl>
  </w:abstractNum>
  <w:abstractNum w:abstractNumId="217">
    <w:nsid w:val="4252C2DA"/>
    <w:multiLevelType w:val="hybridMultilevel"/>
    <w:lvl w:ilvl="0">
      <w:lvlJc w:val="left"/>
      <w:lvlText w:val="(%1)"/>
      <w:numFmt w:val="lowerLetter"/>
      <w:start w:val="24"/>
    </w:lvl>
  </w:abstractNum>
  <w:abstractNum w:abstractNumId="218">
    <w:nsid w:val="6A92EF4C"/>
    <w:multiLevelType w:val="hybridMultilevel"/>
    <w:lvl w:ilvl="0">
      <w:lvlJc w:val="left"/>
      <w:lvlText w:val="%1"/>
      <w:numFmt w:val="upperLetter"/>
      <w:start w:val="1"/>
    </w:lvl>
    <w:lvl w:ilvl="1">
      <w:lvlJc w:val="left"/>
      <w:lvlText w:val="(%2)"/>
      <w:numFmt w:val="lowerLetter"/>
      <w:start w:val="27"/>
    </w:lvl>
  </w:abstractNum>
  <w:abstractNum w:abstractNumId="219">
    <w:nsid w:val="41ED20D7"/>
    <w:multiLevelType w:val="hybridMultilevel"/>
    <w:lvl w:ilvl="0">
      <w:lvlJc w:val="left"/>
      <w:lvlText w:val="(%1)"/>
      <w:numFmt w:val="upperLetter"/>
      <w:start w:val="1"/>
    </w:lvl>
    <w:lvl w:ilvl="1">
      <w:lvlJc w:val="left"/>
      <w:lvlText w:val="%2"/>
      <w:numFmt w:val="lowerLetter"/>
      <w:start w:val="1"/>
    </w:lvl>
  </w:abstractNum>
  <w:abstractNum w:abstractNumId="220">
    <w:nsid w:val="E6B3F6A"/>
    <w:multiLevelType w:val="hybridMultilevel"/>
    <w:lvl w:ilvl="0">
      <w:lvlJc w:val="left"/>
      <w:lvlText w:val="(%1)"/>
      <w:numFmt w:val="lowerLetter"/>
      <w:start w:val="28"/>
    </w:lvl>
    <w:lvl w:ilvl="1">
      <w:lvlJc w:val="left"/>
      <w:lvlText w:val="(%2)"/>
      <w:numFmt w:val="lowerLetter"/>
      <w:start w:val="9"/>
    </w:lvl>
  </w:abstractNum>
  <w:abstractNum w:abstractNumId="221">
    <w:nsid w:val="3EB21819"/>
    <w:multiLevelType w:val="hybridMultilevel"/>
    <w:lvl w:ilvl="0">
      <w:lvlJc w:val="left"/>
      <w:lvlText w:val="%1"/>
      <w:numFmt w:val="lowerLetter"/>
      <w:start w:val="1"/>
    </w:lvl>
    <w:lvl w:ilvl="1">
      <w:lvlJc w:val="left"/>
      <w:lvlText w:val="(%2)"/>
      <w:numFmt w:val="lowerRoman"/>
      <w:start w:val="2"/>
    </w:lvl>
  </w:abstractNum>
  <w:abstractNum w:abstractNumId="222">
    <w:nsid w:val="41531DED"/>
    <w:multiLevelType w:val="hybridMultilevel"/>
    <w:lvl w:ilvl="0">
      <w:lvlJc w:val="left"/>
      <w:lvlText w:val="(%1)"/>
      <w:numFmt w:val="lowerLetter"/>
      <w:start w:val="6"/>
    </w:lvl>
    <w:lvl w:ilvl="1">
      <w:lvlJc w:val="left"/>
      <w:lvlText w:val="%2"/>
      <w:numFmt w:val="lowerRoman"/>
      <w:start w:val="1"/>
    </w:lvl>
  </w:abstractNum>
  <w:abstractNum w:abstractNumId="223">
    <w:nsid w:val="6353CD2"/>
    <w:multiLevelType w:val="hybridMultilevel"/>
    <w:lvl w:ilvl="0">
      <w:lvlJc w:val="left"/>
      <w:lvlText w:val="(%1)"/>
      <w:numFmt w:val="upperLetter"/>
      <w:start w:val="22"/>
    </w:lvl>
  </w:abstractNum>
  <w:abstractNum w:abstractNumId="224">
    <w:nsid w:val="683CAAD3"/>
    <w:multiLevelType w:val="hybridMultilevel"/>
    <w:lvl w:ilvl="0">
      <w:lvlJc w:val="left"/>
      <w:lvlText w:val="(%1)"/>
      <w:numFmt w:val="lowerLetter"/>
      <w:start w:val="37"/>
    </w:lvl>
  </w:abstractNum>
  <w:abstractNum w:abstractNumId="225">
    <w:nsid w:val="313C7C99"/>
    <w:multiLevelType w:val="hybridMultilevel"/>
    <w:lvl w:ilvl="0">
      <w:lvlJc w:val="left"/>
      <w:lvlText w:val="(%1)"/>
      <w:numFmt w:val="lowerLetter"/>
      <w:start w:val="1"/>
    </w:lvl>
  </w:abstractNum>
  <w:abstractNum w:abstractNumId="226">
    <w:nsid w:val="519EB94C"/>
    <w:multiLevelType w:val="hybridMultilevel"/>
    <w:lvl w:ilvl="0">
      <w:lvlJc w:val="left"/>
      <w:lvlText w:val="(%1)"/>
      <w:numFmt w:val="lowerLetter"/>
      <w:start w:val="4"/>
    </w:lvl>
    <w:lvl w:ilvl="1">
      <w:lvlJc w:val="left"/>
      <w:lvlText w:val="(%2)"/>
      <w:numFmt w:val="upperLetter"/>
      <w:start w:val="1"/>
    </w:lvl>
  </w:abstractNum>
  <w:abstractNum w:abstractNumId="227">
    <w:nsid w:val="39DF2579"/>
    <w:multiLevelType w:val="hybridMultilevel"/>
    <w:lvl w:ilvl="0">
      <w:lvlJc w:val="left"/>
      <w:lvlText w:val="(%1)"/>
      <w:numFmt w:val="lowerLetter"/>
      <w:start w:val="8"/>
    </w:lvl>
  </w:abstractNum>
  <w:abstractNum w:abstractNumId="228">
    <w:nsid w:val="126E008B"/>
    <w:multiLevelType w:val="hybridMultilevel"/>
    <w:lvl w:ilvl="0">
      <w:lvlJc w:val="left"/>
      <w:lvlText w:val="(%1)"/>
      <w:numFmt w:val="upperLetter"/>
      <w:start w:val="35"/>
    </w:lvl>
    <w:lvl w:ilvl="1">
      <w:lvlJc w:val="left"/>
      <w:lvlText w:val="(%2)"/>
      <w:numFmt w:val="lowerLetter"/>
      <w:start w:val="14"/>
    </w:lvl>
  </w:abstractNum>
  <w:abstractNum w:abstractNumId="229">
    <w:nsid w:val="34DFBC00"/>
    <w:multiLevelType w:val="hybridMultilevel"/>
    <w:lvl w:ilvl="0">
      <w:lvlJc w:val="left"/>
      <w:lvlText w:val="(%1)"/>
      <w:numFmt w:val="lowerLetter"/>
      <w:start w:val="17"/>
    </w:lvl>
  </w:abstractNum>
  <w:abstractNum w:abstractNumId="230">
    <w:nsid w:val="1F9EC322"/>
    <w:multiLevelType w:val="hybridMultilevel"/>
    <w:lvl w:ilvl="0">
      <w:lvlJc w:val="left"/>
      <w:lvlText w:val="(%1)"/>
      <w:numFmt w:val="lowerLetter"/>
      <w:start w:val="21"/>
    </w:lvl>
  </w:abstractNum>
  <w:abstractNum w:abstractNumId="231">
    <w:nsid w:val="3410ED56"/>
    <w:multiLevelType w:val="hybridMultilevel"/>
    <w:lvl w:ilvl="0">
      <w:lvlJc w:val="left"/>
      <w:lvlText w:val="%1"/>
      <w:numFmt w:val="lowerLetter"/>
      <w:start w:val="1"/>
    </w:lvl>
    <w:lvl w:ilvl="1">
      <w:lvlJc w:val="left"/>
      <w:lvlText w:val="(%2)"/>
      <w:numFmt w:val="lowerLetter"/>
      <w:start w:val="22"/>
    </w:lvl>
  </w:abstractNum>
  <w:abstractNum w:abstractNumId="232">
    <w:nsid w:val="23C049A"/>
    <w:multiLevelType w:val="hybridMultilevel"/>
    <w:lvl w:ilvl="0">
      <w:lvlJc w:val="left"/>
      <w:lvlText w:val="(%1)"/>
      <w:numFmt w:val="lowerLetter"/>
      <w:start w:val="23"/>
    </w:lvl>
    <w:lvl w:ilvl="1">
      <w:lvlJc w:val="left"/>
      <w:lvlText w:val="(%2)"/>
      <w:numFmt w:val="lowerLetter"/>
      <w:start w:val="24"/>
    </w:lvl>
  </w:abstractNum>
  <w:abstractNum w:abstractNumId="233">
    <w:nsid w:val="5BDA35D4"/>
    <w:multiLevelType w:val="hybridMultilevel"/>
    <w:lvl w:ilvl="0">
      <w:lvlJc w:val="left"/>
      <w:lvlText w:val="(%1)"/>
      <w:numFmt w:val="lowerLetter"/>
      <w:start w:val="28"/>
    </w:lvl>
  </w:abstractNum>
  <w:abstractNum w:abstractNumId="234">
    <w:nsid w:val="496FB218"/>
    <w:multiLevelType w:val="hybridMultilevel"/>
    <w:lvl w:ilvl="0">
      <w:lvlJc w:val="left"/>
      <w:lvlText w:val="(%1)"/>
      <w:numFmt w:val="lowerLetter"/>
      <w:start w:val="29"/>
    </w:lvl>
  </w:abstractNum>
  <w:abstractNum w:abstractNumId="235">
    <w:nsid w:val="680EA5D1"/>
    <w:multiLevelType w:val="hybridMultilevel"/>
    <w:lvl w:ilvl="0">
      <w:lvlJc w:val="left"/>
      <w:lvlText w:val="(%1)"/>
      <w:numFmt w:val="lowerLetter"/>
      <w:start w:val="1"/>
    </w:lvl>
  </w:abstractNum>
  <w:abstractNum w:abstractNumId="236">
    <w:nsid w:val="4A9554FE"/>
    <w:multiLevelType w:val="hybridMultilevel"/>
    <w:lvl w:ilvl="0">
      <w:lvlJc w:val="left"/>
      <w:lvlText w:val="(%1)"/>
      <w:numFmt w:val="lowerLetter"/>
      <w:start w:val="5"/>
    </w:lvl>
  </w:abstractNum>
  <w:abstractNum w:abstractNumId="237">
    <w:nsid w:val="392EDBE4"/>
    <w:multiLevelType w:val="hybridMultilevel"/>
    <w:lvl w:ilvl="0">
      <w:lvlJc w:val="left"/>
      <w:lvlText w:val="(%1)"/>
      <w:numFmt w:val="lowerLetter"/>
      <w:start w:val="8"/>
    </w:lvl>
  </w:abstractNum>
  <w:abstractNum w:abstractNumId="238">
    <w:nsid w:val="3D1A2DD9"/>
    <w:multiLevelType w:val="hybridMultilevel"/>
    <w:lvl w:ilvl="0">
      <w:lvlJc w:val="left"/>
      <w:lvlText w:val="%1"/>
      <w:numFmt w:val="lowerLetter"/>
      <w:start w:val="1"/>
    </w:lvl>
    <w:lvl w:ilvl="1">
      <w:lvlJc w:val="left"/>
      <w:lvlText w:val="(%2)"/>
      <w:numFmt w:val="lowerLetter"/>
      <w:start w:val="1"/>
    </w:lvl>
  </w:abstractNum>
  <w:abstractNum w:abstractNumId="239">
    <w:nsid w:val="7F618FCD"/>
    <w:multiLevelType w:val="hybridMultilevel"/>
    <w:lvl w:ilvl="0">
      <w:lvlJc w:val="left"/>
      <w:lvlText w:val="(%1)"/>
      <w:numFmt w:val="lowerLetter"/>
      <w:start w:val="35"/>
    </w:lvl>
    <w:lvl w:ilvl="1">
      <w:lvlJc w:val="left"/>
      <w:lvlText w:val="%2"/>
      <w:numFmt w:val="lowerLetter"/>
      <w:start w:val="1"/>
    </w:lvl>
  </w:abstractNum>
  <w:abstractNum w:abstractNumId="240">
    <w:nsid w:val="7843E45"/>
    <w:multiLevelType w:val="hybridMultilevel"/>
    <w:lvl w:ilvl="0">
      <w:lvlJc w:val="left"/>
      <w:lvlText w:val="(%1)"/>
      <w:numFmt w:val="lowerLetter"/>
      <w:start w:val="3"/>
    </w:lvl>
  </w:abstractNum>
  <w:abstractNum w:abstractNumId="241">
    <w:nsid w:val="9815DA3"/>
    <w:multiLevelType w:val="hybridMultilevel"/>
    <w:lvl w:ilvl="0">
      <w:lvlJc w:val="left"/>
      <w:lvlText w:val="(%1)"/>
      <w:numFmt w:val="lowerLetter"/>
      <w:start w:val="4"/>
    </w:lvl>
  </w:abstractNum>
  <w:abstractNum w:abstractNumId="242">
    <w:nsid w:val="5204A191"/>
    <w:multiLevelType w:val="hybridMultilevel"/>
    <w:lvl w:ilvl="0">
      <w:lvlJc w:val="left"/>
      <w:lvlText w:val="%1"/>
      <w:numFmt w:val="lowerLetter"/>
      <w:start w:val="1"/>
    </w:lvl>
    <w:lvl w:ilvl="1">
      <w:lvlJc w:val="left"/>
      <w:lvlText w:val="(%2)"/>
      <w:numFmt w:val="lowerLetter"/>
      <w:start w:val="6"/>
    </w:lvl>
  </w:abstractNum>
  <w:abstractNum w:abstractNumId="243">
    <w:nsid w:val="4C73A9C6"/>
    <w:multiLevelType w:val="hybridMultilevel"/>
    <w:lvl w:ilvl="0">
      <w:lvlJc w:val="left"/>
      <w:lvlText w:val="(%1)"/>
      <w:numFmt w:val="lowerLetter"/>
      <w:start w:val="35"/>
    </w:lvl>
    <w:lvl w:ilvl="1">
      <w:lvlJc w:val="left"/>
      <w:lvlText w:val="%2"/>
      <w:numFmt w:val="lowerLetter"/>
      <w:start w:val="1"/>
    </w:lvl>
  </w:abstractNum>
  <w:abstractNum w:abstractNumId="244">
    <w:nsid w:val="1C7E3C01"/>
    <w:multiLevelType w:val="hybridMultilevel"/>
    <w:lvl w:ilvl="0">
      <w:lvlJc w:val="left"/>
      <w:lvlText w:val="(%1)"/>
      <w:numFmt w:val="lowerLetter"/>
      <w:start w:val="11"/>
    </w:lvl>
  </w:abstractNum>
  <w:abstractNum w:abstractNumId="245">
    <w:nsid w:val="1C2201FF"/>
    <w:multiLevelType w:val="hybridMultilevel"/>
    <w:lvl w:ilvl="0">
      <w:lvlJc w:val="left"/>
      <w:lvlText w:val="(%1)"/>
      <w:numFmt w:val="lowerLetter"/>
      <w:start w:val="22"/>
    </w:lvl>
  </w:abstractNum>
  <w:abstractNum w:abstractNumId="246">
    <w:nsid w:val="50ABCEC9"/>
    <w:multiLevelType w:val="hybridMultilevel"/>
    <w:lvl w:ilvl="0">
      <w:lvlJc w:val="left"/>
      <w:lvlText w:val="(%1)"/>
      <w:numFmt w:val="lowerLetter"/>
      <w:start w:val="27"/>
    </w:lvl>
  </w:abstractNum>
  <w:abstractNum w:abstractNumId="247">
    <w:nsid w:val="7635AA2A"/>
    <w:multiLevelType w:val="hybridMultilevel"/>
    <w:lvl w:ilvl="0">
      <w:lvlJc w:val="left"/>
      <w:lvlText w:val="(%1)"/>
      <w:numFmt w:val="lowerLetter"/>
      <w:start w:val="1"/>
    </w:lvl>
  </w:abstractNum>
  <w:abstractNum w:abstractNumId="248">
    <w:nsid w:val="5E74C4D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9"/>
    </w:lvl>
    <w:lvl w:ilvl="3">
      <w:lvlJc w:val="left"/>
      <w:lvlText w:val="(%4)"/>
      <w:numFmt w:val="lowerLetter"/>
      <w:start w:val="24"/>
    </w:lvl>
  </w:abstractNum>
  <w:abstractNum w:abstractNumId="249">
    <w:nsid w:val="3B3EBE15"/>
    <w:multiLevelType w:val="hybridMultilevel"/>
    <w:lvl w:ilvl="0">
      <w:lvlJc w:val="left"/>
      <w:lvlText w:val="(%1)"/>
      <w:numFmt w:val="lowerLetter"/>
      <w:start w:val="2"/>
    </w:lvl>
  </w:abstractNum>
  <w:abstractNum w:abstractNumId="250">
    <w:nsid w:val="3822CB01"/>
    <w:multiLevelType w:val="hybridMultilevel"/>
    <w:lvl w:ilvl="0">
      <w:lvlJc w:val="left"/>
      <w:lvlText w:val="(%1)"/>
      <w:numFmt w:val="upperLetter"/>
      <w:start w:val="35"/>
    </w:lvl>
  </w:abstractNum>
  <w:abstractNum w:abstractNumId="251">
    <w:nsid w:val="6CE00443"/>
    <w:multiLevelType w:val="hybridMultilevel"/>
    <w:lvl w:ilvl="0">
      <w:lvlJc w:val="left"/>
      <w:lvlText w:val="(%1)"/>
      <w:numFmt w:val="upperLetter"/>
      <w:start w:val="3"/>
    </w:lvl>
    <w:lvl w:ilvl="1">
      <w:lvlJc w:val="left"/>
      <w:lvlText w:val="(%2)"/>
      <w:numFmt w:val="decimal"/>
      <w:start w:val="1"/>
    </w:lvl>
  </w:abstractNum>
  <w:abstractNum w:abstractNumId="252">
    <w:nsid w:val="79F0D6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253">
    <w:nsid w:val="7975E8E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4">
    <w:nsid w:val="73154115"/>
    <w:multiLevelType w:val="hybridMultilevel"/>
    <w:lvl w:ilvl="0">
      <w:lvlJc w:val="left"/>
      <w:lvlText w:val="(%1)"/>
      <w:numFmt w:val="lowerRoman"/>
      <w:start w:val="4"/>
    </w:lvl>
    <w:lvl w:ilvl="1">
      <w:lvlJc w:val="left"/>
      <w:lvlText w:val="(%2)"/>
      <w:numFmt w:val="upperLetter"/>
      <w:start w:val="2"/>
    </w:lvl>
    <w:lvl w:ilvl="2">
      <w:lvlJc w:val="left"/>
      <w:lvlText w:val="(%3)"/>
      <w:numFmt w:val="lowerLetter"/>
      <w:start w:val="1"/>
    </w:lvl>
  </w:abstractNum>
  <w:abstractNum w:abstractNumId="255">
    <w:nsid w:val="622D8102"/>
    <w:multiLevelType w:val="hybridMultilevel"/>
    <w:lvl w:ilvl="0">
      <w:lvlJc w:val="left"/>
      <w:lvlText w:val="(%1)"/>
      <w:numFmt w:val="upperLetter"/>
      <w:start w:val="3"/>
    </w:lvl>
  </w:abstractNum>
  <w:abstractNum w:abstractNumId="256">
    <w:nsid w:val="2AB26587"/>
    <w:multiLevelType w:val="hybridMultilevel"/>
    <w:lvl w:ilvl="0">
      <w:lvlJc w:val="left"/>
      <w:lvlText w:val="%1"/>
      <w:numFmt w:val="lowerRoman"/>
      <w:start w:val="1"/>
    </w:lvl>
    <w:lvl w:ilvl="1">
      <w:lvlJc w:val="left"/>
      <w:lvlText w:val="(%2)"/>
      <w:numFmt w:val="lowerRoman"/>
      <w:start w:val="7"/>
    </w:lvl>
  </w:abstractNum>
  <w:abstractNum w:abstractNumId="257">
    <w:nsid w:val="44B3FA61"/>
    <w:multiLevelType w:val="hybridMultilevel"/>
    <w:lvl w:ilvl="0">
      <w:lvlJc w:val="left"/>
      <w:lvlText w:val="(%1)"/>
      <w:numFmt w:val="lowerRoman"/>
      <w:start w:val="10"/>
    </w:lvl>
    <w:lvl w:ilvl="1">
      <w:lvlJc w:val="left"/>
      <w:lvlText w:val="(%2)"/>
      <w:numFmt w:val="lowerRoman"/>
      <w:start w:val="11"/>
    </w:lvl>
  </w:abstractNum>
  <w:abstractNum w:abstractNumId="258">
    <w:nsid w:val="1C0CA67C"/>
    <w:multiLevelType w:val="hybridMultilevel"/>
    <w:lvl w:ilvl="0">
      <w:lvlJc w:val="left"/>
      <w:lvlText w:val="(%1)"/>
      <w:numFmt w:val="lowerRoman"/>
      <w:start w:val="3"/>
    </w:lvl>
    <w:lvl w:ilvl="1">
      <w:lvlJc w:val="left"/>
      <w:lvlText w:val="%2"/>
      <w:numFmt w:val="lowerRoman"/>
      <w:start w:val="1"/>
    </w:lvl>
  </w:abstractNum>
  <w:abstractNum w:abstractNumId="259">
    <w:nsid w:val="3D206613"/>
    <w:multiLevelType w:val="hybridMultilevel"/>
    <w:lvl w:ilvl="0">
      <w:lvlJc w:val="left"/>
      <w:lvlText w:val="(%1)"/>
      <w:numFmt w:val="lowerRoman"/>
      <w:start w:val="16"/>
    </w:lvl>
  </w:abstractNum>
  <w:abstractNum w:abstractNumId="260">
    <w:nsid w:val="7993B662"/>
    <w:multiLevelType w:val="hybridMultilevel"/>
    <w:lvl w:ilvl="0">
      <w:lvlJc w:val="left"/>
      <w:lvlText w:val="(%1)"/>
      <w:numFmt w:val="lowerRoman"/>
      <w:start w:val="23"/>
    </w:lvl>
  </w:abstractNum>
  <w:abstractNum w:abstractNumId="261">
    <w:nsid w:val="3BAB699E"/>
    <w:multiLevelType w:val="hybridMultilevel"/>
    <w:lvl w:ilvl="0">
      <w:lvlJc w:val="left"/>
      <w:lvlText w:val="(%1)"/>
      <w:numFmt w:val="lowerLetter"/>
      <w:start w:val="3"/>
    </w:lvl>
  </w:abstractNum>
  <w:abstractNum w:abstractNumId="262">
    <w:nsid w:val="71315369"/>
    <w:multiLevelType w:val="hybridMultilevel"/>
    <w:lvl w:ilvl="0">
      <w:lvlJc w:val="left"/>
      <w:lvlText w:val="(%1)"/>
      <w:numFmt w:val="lowerRoman"/>
      <w:start w:val="23"/>
    </w:lvl>
  </w:abstractNum>
  <w:abstractNum w:abstractNumId="263">
    <w:nsid w:val="7BCFBAFC"/>
    <w:multiLevelType w:val="hybridMultilevel"/>
    <w:lvl w:ilvl="0">
      <w:lvlJc w:val="left"/>
      <w:lvlText w:val="(%1)"/>
      <w:numFmt w:val="lowerLetter"/>
      <w:start w:val="1"/>
    </w:lvl>
  </w:abstractNum>
  <w:abstractNum w:abstractNumId="264">
    <w:nsid w:val="17859F72"/>
    <w:multiLevelType w:val="hybridMultilevel"/>
    <w:lvl w:ilvl="0">
      <w:lvlJc w:val="left"/>
      <w:lvlText w:val="(%1)"/>
      <w:numFmt w:val="lowerLetter"/>
      <w:start w:val="11"/>
    </w:lvl>
  </w:abstractNum>
  <w:abstractNum w:abstractNumId="265">
    <w:nsid w:val="3AA10581"/>
    <w:multiLevelType w:val="hybridMultilevel"/>
    <w:lvl w:ilvl="0">
      <w:lvlJc w:val="left"/>
      <w:lvlText w:val="%1"/>
      <w:numFmt w:val="lowerLetter"/>
      <w:start w:val="1"/>
    </w:lvl>
    <w:lvl w:ilvl="1">
      <w:lvlJc w:val="left"/>
      <w:lvlText w:val="(%2)"/>
      <w:numFmt w:val="lowerLetter"/>
      <w:start w:val="21"/>
    </w:lvl>
  </w:abstractNum>
  <w:abstractNum w:abstractNumId="266">
    <w:nsid w:val="63DE60CD"/>
    <w:multiLevelType w:val="hybridMultilevel"/>
    <w:lvl w:ilvl="0">
      <w:lvlJc w:val="left"/>
      <w:lvlText w:val="(%1)"/>
      <w:numFmt w:val="lowerLetter"/>
      <w:start w:val="25"/>
    </w:lvl>
    <w:lvl w:ilvl="1">
      <w:lvlJc w:val="left"/>
      <w:lvlText w:val="%2"/>
      <w:numFmt w:val="lowerLetter"/>
      <w:start w:val="1"/>
    </w:lvl>
  </w:abstractNum>
  <w:abstractNum w:abstractNumId="267">
    <w:nsid w:val="621AF471"/>
    <w:multiLevelType w:val="hybridMultilevel"/>
    <w:lvl w:ilvl="0">
      <w:lvlJc w:val="left"/>
      <w:lvlText w:val="(%1)"/>
      <w:numFmt w:val="lowerLetter"/>
      <w:start w:val="23"/>
    </w:lvl>
  </w:abstractNum>
  <w:abstractNum w:abstractNumId="268">
    <w:nsid w:val="73CFE165"/>
    <w:multiLevelType w:val="hybridMultilevel"/>
    <w:lvl w:ilvl="0">
      <w:lvlJc w:val="left"/>
      <w:lvlText w:val="(%1)"/>
      <w:numFmt w:val="lowerLetter"/>
      <w:start w:val="1"/>
    </w:lvl>
  </w:abstractNum>
  <w:abstractNum w:abstractNumId="269">
    <w:nsid w:val="20F88EA6"/>
    <w:multiLevelType w:val="hybridMultilevel"/>
    <w:lvl w:ilvl="0">
      <w:lvlJc w:val="left"/>
      <w:lvlText w:val="(%1)"/>
      <w:numFmt w:val="lowerLetter"/>
      <w:start w:val="2"/>
    </w:lvl>
    <w:lvl w:ilvl="1">
      <w:lvlJc w:val="left"/>
      <w:lvlText w:val="(%2)"/>
      <w:numFmt w:val="lowerRoman"/>
      <w:start w:val="1"/>
    </w:lvl>
  </w:abstractNum>
  <w:abstractNum w:abstractNumId="270">
    <w:nsid w:val="617C843E"/>
    <w:multiLevelType w:val="hybridMultilevel"/>
    <w:lvl w:ilvl="0">
      <w:lvlJc w:val="left"/>
      <w:lvlText w:val="(%1)"/>
      <w:numFmt w:val="lowerRoman"/>
      <w:start w:val="13"/>
    </w:lvl>
    <w:lvl w:ilvl="1">
      <w:lvlJc w:val="left"/>
      <w:lvlText w:val="(%2)"/>
      <w:numFmt w:val="lowerRoman"/>
      <w:start w:val="16"/>
    </w:lvl>
  </w:abstractNum>
  <w:abstractNum w:abstractNumId="271">
    <w:nsid w:val="7B541FAB"/>
    <w:multiLevelType w:val="hybridMultilevel"/>
    <w:lvl w:ilvl="0">
      <w:lvlJc w:val="left"/>
      <w:lvlText w:val="%1"/>
      <w:numFmt w:val="lowerLetter"/>
      <w:start w:val="1"/>
    </w:lvl>
    <w:lvl w:ilvl="1">
      <w:lvlJc w:val="left"/>
      <w:lvlText w:val="(%2)"/>
      <w:numFmt w:val="lowerLetter"/>
      <w:start w:val="1"/>
    </w:lvl>
  </w:abstractNum>
  <w:abstractNum w:abstractNumId="272">
    <w:nsid w:val="2A79EC49"/>
    <w:multiLevelType w:val="hybridMultilevel"/>
    <w:lvl w:ilvl="0">
      <w:lvlJc w:val="left"/>
      <w:lvlText w:val="(%1)"/>
      <w:numFmt w:val="lowerLetter"/>
      <w:start w:val="35"/>
    </w:lvl>
    <w:lvl w:ilvl="1">
      <w:lvlJc w:val="left"/>
      <w:lvlText w:val="(%2)"/>
      <w:numFmt w:val="lowerLetter"/>
      <w:start w:val="2"/>
    </w:lvl>
  </w:abstractNum>
  <w:abstractNum w:abstractNumId="273">
    <w:nsid w:val="338125C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74">
    <w:nsid w:val="47C7C971"/>
    <w:multiLevelType w:val="hybridMultilevel"/>
    <w:lvl w:ilvl="0">
      <w:lvlJc w:val="left"/>
      <w:lvlText w:val="(%1)"/>
      <w:numFmt w:val="upperLetter"/>
      <w:start w:val="1"/>
    </w:lvl>
    <w:lvl w:ilvl="1">
      <w:lvlJc w:val="left"/>
      <w:lvlText w:val="(%2)"/>
      <w:numFmt w:val="decimal"/>
      <w:start w:val="59"/>
    </w:lvl>
    <w:lvl w:ilvl="2">
      <w:lvlJc w:val="left"/>
      <w:lvlText w:val="(%3)"/>
      <w:numFmt w:val="lowerLetter"/>
      <w:start w:val="6"/>
    </w:lvl>
  </w:abstractNum>
  <w:abstractNum w:abstractNumId="275">
    <w:nsid w:val="46F8284B"/>
    <w:multiLevelType w:val="hybridMultilevel"/>
    <w:lvl w:ilvl="0">
      <w:lvlJc w:val="left"/>
      <w:lvlText w:val="%1"/>
      <w:numFmt w:val="lowerLetter"/>
      <w:start w:val="1"/>
    </w:lvl>
    <w:lvl w:ilvl="1">
      <w:lvlJc w:val="left"/>
      <w:lvlText w:val="(%2)"/>
      <w:numFmt w:val="lowerLetter"/>
      <w:start w:val="7"/>
    </w:lvl>
  </w:abstractNum>
  <w:abstractNum w:abstractNumId="276">
    <w:nsid w:val="4FA327CE"/>
    <w:multiLevelType w:val="hybridMultilevel"/>
    <w:lvl w:ilvl="0">
      <w:lvlJc w:val="left"/>
      <w:lvlText w:val="(%1)"/>
      <w:numFmt w:val="lowerLetter"/>
      <w:start w:val="24"/>
    </w:lvl>
    <w:lvl w:ilvl="1">
      <w:lvlJc w:val="left"/>
      <w:lvlText w:val="%2"/>
      <w:numFmt w:val="lowerLetter"/>
      <w:start w:val="1"/>
    </w:lvl>
  </w:abstractNum>
  <w:abstractNum w:abstractNumId="277">
    <w:nsid w:val="1873983A"/>
    <w:multiLevelType w:val="hybridMultilevel"/>
    <w:lvl w:ilvl="0">
      <w:lvlJc w:val="left"/>
      <w:lvlText w:val="(%1)"/>
      <w:numFmt w:val="lowerLetter"/>
      <w:start w:val="24"/>
    </w:lvl>
    <w:lvl w:ilvl="1">
      <w:lvlJc w:val="left"/>
      <w:lvlText w:val="(%2)"/>
      <w:numFmt w:val="lowerLetter"/>
      <w:start w:val="8"/>
    </w:lvl>
  </w:abstractNum>
  <w:abstractNum w:abstractNumId="278">
    <w:nsid w:val="3D2DD275"/>
    <w:multiLevelType w:val="hybridMultilevel"/>
    <w:lvl w:ilvl="0">
      <w:lvlJc w:val="left"/>
      <w:lvlText w:val="(%1)"/>
      <w:numFmt w:val="lowerRoman"/>
      <w:start w:val="1"/>
    </w:lvl>
  </w:abstractNum>
  <w:abstractNum w:abstractNumId="279">
    <w:nsid w:val="2E17ECA7"/>
    <w:multiLevelType w:val="hybridMultilevel"/>
    <w:lvl w:ilvl="0">
      <w:lvlJc w:val="left"/>
      <w:lvlText w:val="%1"/>
      <w:numFmt w:val="lowerLetter"/>
      <w:start w:val="1"/>
    </w:lvl>
    <w:lvl w:ilvl="1">
      <w:lvlJc w:val="left"/>
      <w:lvlText w:val="(%2)"/>
      <w:numFmt w:val="lowerLetter"/>
      <w:start w:val="1"/>
    </w:lvl>
  </w:abstractNum>
  <w:abstractNum w:abstractNumId="280">
    <w:nsid w:val="53B2564F"/>
    <w:multiLevelType w:val="hybridMultilevel"/>
    <w:lvl w:ilvl="0">
      <w:lvlJc w:val="left"/>
      <w:lvlText w:val="(%1)"/>
      <w:numFmt w:val="lowerLetter"/>
      <w:start w:val="9"/>
    </w:lvl>
    <w:lvl w:ilvl="1">
      <w:lvlJc w:val="left"/>
      <w:lvlText w:val="%2"/>
      <w:numFmt w:val="lowerLetter"/>
      <w:start w:val="1"/>
    </w:lvl>
  </w:abstractNum>
  <w:abstractNum w:abstractNumId="281">
    <w:nsid w:val="75509D76"/>
    <w:multiLevelType w:val="hybridMultilevel"/>
    <w:lvl w:ilvl="0">
      <w:lvlJc w:val="left"/>
      <w:lvlText w:val="(%1)"/>
      <w:numFmt w:val="lowerLetter"/>
      <w:start w:val="1"/>
    </w:lvl>
  </w:abstractNum>
  <w:abstractNum w:abstractNumId="282">
    <w:nsid w:val="1AF7F0EA"/>
    <w:multiLevelType w:val="hybridMultilevel"/>
    <w:lvl w:ilvl="0">
      <w:lvlJc w:val="left"/>
      <w:lvlText w:val="(%1)"/>
      <w:numFmt w:val="lowerLetter"/>
      <w:start w:val="1"/>
    </w:lvl>
  </w:abstractNum>
  <w:abstractNum w:abstractNumId="283">
    <w:nsid w:val="4DA32C7E"/>
    <w:multiLevelType w:val="hybridMultilevel"/>
    <w:lvl w:ilvl="0">
      <w:lvlJc w:val="left"/>
      <w:lvlText w:val="(%1)"/>
      <w:numFmt w:val="lowerLetter"/>
      <w:start w:val="2"/>
    </w:lvl>
  </w:abstractNum>
  <w:abstractNum w:abstractNumId="284">
    <w:nsid w:val="6EC68664"/>
    <w:multiLevelType w:val="hybridMultilevel"/>
    <w:lvl w:ilvl="0">
      <w:lvlJc w:val="left"/>
      <w:lvlText w:val="(%1)"/>
      <w:numFmt w:val="lowerLetter"/>
      <w:start w:val="1"/>
    </w:lvl>
  </w:abstractNum>
  <w:abstractNum w:abstractNumId="285">
    <w:nsid w:val="E0D31FF"/>
    <w:multiLevelType w:val="hybridMultilevel"/>
    <w:lvl w:ilvl="0">
      <w:lvlJc w:val="left"/>
      <w:lvlText w:val="%1"/>
      <w:numFmt w:val="lowerLetter"/>
      <w:start w:val="1"/>
    </w:lvl>
    <w:lvl w:ilvl="1">
      <w:lvlJc w:val="left"/>
      <w:lvlText w:val="(%2)"/>
      <w:numFmt w:val="lowerLetter"/>
      <w:start w:val="1"/>
    </w:lvl>
  </w:abstractNum>
  <w:abstractNum w:abstractNumId="286">
    <w:nsid w:val="2FD0AD81"/>
    <w:multiLevelType w:val="hybridMultilevel"/>
    <w:lvl w:ilvl="0">
      <w:lvlJc w:val="left"/>
      <w:lvlText w:val="(%1)"/>
      <w:numFmt w:val="lowerLetter"/>
      <w:start w:val="9"/>
    </w:lvl>
    <w:lvl w:ilvl="1">
      <w:lvlJc w:val="left"/>
      <w:lvlText w:val="(%2)"/>
      <w:numFmt w:val="lowerLetter"/>
      <w:start w:val="3"/>
    </w:lvl>
  </w:abstractNum>
  <w:abstractNum w:abstractNumId="287">
    <w:nsid w:val="1978EBEB"/>
    <w:multiLevelType w:val="hybridMultilevel"/>
    <w:lvl w:ilvl="0">
      <w:lvlJc w:val="left"/>
      <w:lvlText w:val="(%1)"/>
      <w:numFmt w:val="lowerLetter"/>
      <w:start w:val="1"/>
    </w:lvl>
    <w:lvl w:ilvl="1">
      <w:lvlJc w:val="left"/>
      <w:lvlText w:val="(%2)"/>
      <w:numFmt w:val="lowerRoman"/>
      <w:start w:val="1"/>
    </w:lvl>
  </w:abstractNum>
  <w:abstractNum w:abstractNumId="288">
    <w:nsid w:val="52C12C61"/>
    <w:multiLevelType w:val="hybridMultilevel"/>
    <w:lvl w:ilvl="0">
      <w:lvlJc w:val="left"/>
      <w:lvlText w:val="%1"/>
      <w:numFmt w:val="lowerLetter"/>
      <w:start w:val="1"/>
    </w:lvl>
    <w:lvl w:ilvl="1">
      <w:lvlJc w:val="left"/>
      <w:lvlText w:val="(%2)"/>
      <w:numFmt w:val="lowerRoman"/>
      <w:start w:val="3"/>
    </w:lvl>
  </w:abstractNum>
  <w:abstractNum w:abstractNumId="289">
    <w:nsid w:val="4BDD53FD"/>
    <w:multiLevelType w:val="hybridMultilevel"/>
    <w:lvl w:ilvl="0">
      <w:lvlJc w:val="left"/>
      <w:lvlText w:val="(%1)"/>
      <w:numFmt w:val="lowerLetter"/>
      <w:start w:val="3"/>
    </w:lvl>
    <w:lvl w:ilvl="1">
      <w:lvlJc w:val="left"/>
      <w:lvlText w:val="%2"/>
      <w:numFmt w:val="lowerRoman"/>
      <w:start w:val="1"/>
    </w:lvl>
  </w:abstractNum>
  <w:abstractNum w:abstractNumId="290">
    <w:nsid w:val="569951FE"/>
    <w:multiLevelType w:val="hybridMultilevel"/>
    <w:lvl w:ilvl="0">
      <w:lvlJc w:val="left"/>
      <w:lvlText w:val="(%1)"/>
      <w:numFmt w:val="lowerLetter"/>
      <w:start w:val="1"/>
    </w:lvl>
  </w:abstractNum>
  <w:abstractNum w:abstractNumId="291">
    <w:nsid w:val="4C54E2C3"/>
    <w:multiLevelType w:val="hybridMultilevel"/>
    <w:lvl w:ilvl="0">
      <w:lvlJc w:val="left"/>
      <w:lvlText w:val="%1"/>
      <w:numFmt w:val="lowerLetter"/>
      <w:start w:val="1"/>
    </w:lvl>
    <w:lvl w:ilvl="1">
      <w:lvlJc w:val="left"/>
      <w:lvlText w:val="(%2)"/>
      <w:numFmt w:val="lowerLetter"/>
      <w:start w:val="5"/>
    </w:lvl>
  </w:abstractNum>
  <w:abstractNum w:abstractNumId="292">
    <w:nsid w:val="788BD9B"/>
    <w:multiLevelType w:val="hybridMultilevel"/>
    <w:lvl w:ilvl="0">
      <w:lvlJc w:val="left"/>
      <w:lvlText w:val="(%1)"/>
      <w:numFmt w:val="lowerLetter"/>
      <w:start w:val="25"/>
    </w:lvl>
    <w:lvl w:ilvl="1">
      <w:lvlJc w:val="left"/>
      <w:lvlText w:val="(%2)"/>
      <w:numFmt w:val="lowerLetter"/>
      <w:start w:val="9"/>
    </w:lvl>
  </w:abstractNum>
  <w:abstractNum w:abstractNumId="293">
    <w:nsid w:val="47CAA567"/>
    <w:multiLevelType w:val="hybridMultilevel"/>
    <w:lvl w:ilvl="0">
      <w:lvlJc w:val="left"/>
      <w:lvlText w:val="(%1)"/>
      <w:numFmt w:val="lowerLetter"/>
      <w:start w:val="25"/>
    </w:lvl>
  </w:abstractNum>
  <w:abstractNum w:abstractNumId="294">
    <w:nsid w:val="48249DB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95">
    <w:nsid w:val="1F0E5D0D"/>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296">
    <w:nsid w:val="26BAAE9"/>
    <w:multiLevelType w:val="hybridMultilevel"/>
    <w:lvl w:ilvl="0">
      <w:lvlJc w:val="left"/>
      <w:lvlText w:val="(%1)"/>
      <w:numFmt w:val="upperLetter"/>
      <w:start w:val="3"/>
    </w:lvl>
  </w:abstractNum>
  <w:abstractNum w:abstractNumId="297">
    <w:nsid w:val="2C02FE8C"/>
    <w:multiLevelType w:val="hybridMultilevel"/>
    <w:lvl w:ilvl="0">
      <w:lvlJc w:val="left"/>
      <w:lvlText w:val="(%1)"/>
      <w:numFmt w:val="lowerLetter"/>
      <w:start w:val="9"/>
    </w:lvl>
    <w:lvl w:ilvl="1">
      <w:lvlJc w:val="left"/>
      <w:lvlText w:val="(%2)"/>
      <w:numFmt w:val="lowerLetter"/>
      <w:start w:val="2"/>
    </w:lvl>
  </w:abstractNum>
  <w:abstractNum w:abstractNumId="298">
    <w:nsid w:val="129517E"/>
    <w:multiLevelType w:val="hybridMultilevel"/>
    <w:lvl w:ilvl="0">
      <w:lvlJc w:val="left"/>
      <w:lvlText w:val="(%1)"/>
      <w:numFmt w:val="lowerLetter"/>
      <w:start w:val="3"/>
    </w:lvl>
  </w:abstractNum>
  <w:abstractNum w:abstractNumId="299">
    <w:nsid w:val="763B8C4E"/>
    <w:multiLevelType w:val="hybridMultilevel"/>
    <w:lvl w:ilvl="0">
      <w:lvlJc w:val="left"/>
      <w:lvlText w:val="(%1)"/>
      <w:numFmt w:val="lowerLetter"/>
      <w:start w:val="2"/>
    </w:lvl>
  </w:abstractNum>
  <w:abstractNum w:abstractNumId="300">
    <w:nsid w:val="4CFB8D32"/>
    <w:multiLevelType w:val="hybridMultilevel"/>
    <w:lvl w:ilvl="0">
      <w:lvlJc w:val="left"/>
      <w:lvlText w:val="(%1)"/>
      <w:numFmt w:val="decimal"/>
      <w:start w:val="30"/>
    </w:lvl>
  </w:abstractNum>
  <w:abstractNum w:abstractNumId="301">
    <w:nsid w:val="62A5D5BD"/>
    <w:multiLevelType w:val="hybridMultilevel"/>
    <w:lvl w:ilvl="0">
      <w:lvlJc w:val="left"/>
      <w:lvlText w:val="(%1)"/>
      <w:numFmt w:val="lowerLetter"/>
      <w:start w:val="25"/>
    </w:lvl>
  </w:abstractNum>
  <w:abstractNum w:abstractNumId="302">
    <w:nsid w:val="718FABF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03">
    <w:nsid w:val="7775797C"/>
    <w:multiLevelType w:val="hybridMultilevel"/>
    <w:lvl w:ilvl="0">
      <w:lvlJc w:val="left"/>
      <w:lvlText w:val="(%1)"/>
      <w:numFmt w:val="lowerLetter"/>
      <w:start w:val="35"/>
    </w:lvl>
    <w:lvl w:ilvl="1">
      <w:lvlJc w:val="left"/>
      <w:lvlText w:val="(%2)"/>
      <w:numFmt w:val="lowerLetter"/>
      <w:start w:val="2"/>
    </w:lvl>
    <w:lvl w:ilvl="2">
      <w:lvlJc w:val="left"/>
      <w:lvlText w:val="(%3)"/>
      <w:numFmt w:val="upperLetter"/>
      <w:start w:val="1"/>
    </w:lvl>
  </w:abstractNum>
  <w:abstractNum w:abstractNumId="304">
    <w:nsid w:val="1626FB8C"/>
    <w:multiLevelType w:val="hybridMultilevel"/>
    <w:lvl w:ilvl="0">
      <w:lvlJc w:val="left"/>
      <w:lvlText w:val="%1"/>
      <w:numFmt w:val="lowerRoman"/>
      <w:start w:val="1"/>
    </w:lvl>
    <w:lvl w:ilvl="1">
      <w:lvlJc w:val="left"/>
      <w:lvlText w:val="(%2)"/>
      <w:numFmt w:val="decimal"/>
      <w:start w:val="10"/>
    </w:lvl>
    <w:lvl w:ilvl="2">
      <w:lvlJc w:val="left"/>
      <w:lvlText w:val="(%3)"/>
      <w:numFmt w:val="upperLetter"/>
      <w:start w:val="2"/>
    </w:lvl>
  </w:abstractNum>
  <w:abstractNum w:abstractNumId="305">
    <w:nsid w:val="3957756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306">
    <w:nsid w:val="3E6DA1C7"/>
    <w:multiLevelType w:val="hybridMultilevel"/>
    <w:lvl w:ilvl="0">
      <w:lvlJc w:val="left"/>
      <w:lvlText w:val="(%1)"/>
      <w:numFmt w:val="lowerLetter"/>
      <w:start w:val="25"/>
    </w:lvl>
    <w:lvl w:ilvl="1">
      <w:lvlJc w:val="left"/>
      <w:lvlText w:val="(%2)"/>
      <w:numFmt w:val="lowerLetter"/>
      <w:start w:val="3"/>
    </w:lvl>
  </w:abstractNum>
  <w:abstractNum w:abstractNumId="307">
    <w:nsid w:val="65CA235B"/>
    <w:multiLevelType w:val="hybridMultilevel"/>
    <w:lvl w:ilvl="0">
      <w:lvlJc w:val="left"/>
      <w:lvlText w:val="(%1)"/>
      <w:numFmt w:val="lowerLetter"/>
      <w:start w:val="6"/>
    </w:lvl>
  </w:abstractNum>
  <w:abstractNum w:abstractNumId="308">
    <w:nsid w:val="51CB0DA4"/>
    <w:multiLevelType w:val="hybridMultilevel"/>
    <w:lvl w:ilvl="0">
      <w:lvlJc w:val="left"/>
      <w:lvlText w:val="(%1)"/>
      <w:numFmt w:val="lowerLetter"/>
      <w:start w:val="9"/>
    </w:lvl>
  </w:abstractNum>
  <w:abstractNum w:abstractNumId="309">
    <w:nsid w:val="7B9B743C"/>
    <w:multiLevelType w:val="hybridMultilevel"/>
    <w:lvl w:ilvl="0">
      <w:lvlJc w:val="left"/>
      <w:lvlText w:val="(%1)"/>
      <w:numFmt w:val="lowerLetter"/>
      <w:start w:val="25"/>
    </w:lvl>
    <w:lvl w:ilvl="1">
      <w:lvlJc w:val="left"/>
      <w:lvlText w:val="(%2)"/>
      <w:numFmt w:val="lowerLetter"/>
    </w:lvl>
    <w:lvl w:ilvl="2">
      <w:lvlJc w:val="left"/>
      <w:lvlText w:val="(%3)"/>
      <w:numFmt w:val="lowerRoman"/>
      <w:start w:val="1"/>
    </w:lvl>
  </w:abstractNum>
  <w:abstractNum w:abstractNumId="310">
    <w:nsid w:val="13E210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311">
    <w:nsid w:val="257D63F4"/>
    <w:multiLevelType w:val="hybridMultilevel"/>
    <w:lvl w:ilvl="0">
      <w:lvlJc w:val="left"/>
      <w:lvlText w:val="(%1)"/>
      <w:numFmt w:val="lowerLetter"/>
      <w:start w:val="13"/>
    </w:lvl>
  </w:abstractNum>
  <w:abstractNum w:abstractNumId="312">
    <w:nsid w:val="70EC11B2"/>
    <w:multiLevelType w:val="hybridMultilevel"/>
    <w:lvl w:ilvl="0">
      <w:lvlJc w:val="left"/>
      <w:lvlText w:val="(%1)"/>
      <w:numFmt w:val="lowerLetter"/>
      <w:start w:val="1"/>
    </w:lvl>
  </w:abstractNum>
  <w:abstractNum w:abstractNumId="313">
    <w:nsid w:val="2EDA00ED"/>
    <w:multiLevelType w:val="hybridMultilevel"/>
    <w:lvl w:ilvl="0">
      <w:lvlJc w:val="left"/>
      <w:lvlText w:val="(%1)"/>
      <w:numFmt w:val="lowerRoman"/>
      <w:start w:val="2"/>
    </w:lvl>
  </w:abstractNum>
  <w:abstractNum w:abstractNumId="314">
    <w:nsid w:val="73209072"/>
    <w:multiLevelType w:val="hybridMultilevel"/>
    <w:lvl w:ilvl="0">
      <w:lvlJc w:val="left"/>
      <w:lvlText w:val="(%1)"/>
      <w:numFmt w:val="lowerRoman"/>
      <w:start w:val="1"/>
    </w:lvl>
  </w:abstractNum>
  <w:abstractNum w:abstractNumId="315">
    <w:nsid w:val="5FB29816"/>
    <w:multiLevelType w:val="hybridMultilevel"/>
    <w:lvl w:ilvl="0">
      <w:lvlJc w:val="left"/>
      <w:lvlText w:val="(%1)"/>
      <w:numFmt w:val="lowerLetter"/>
      <w:start w:val="2"/>
    </w:lvl>
  </w:abstractNum>
  <w:abstractNum w:abstractNumId="316">
    <w:nsid w:val="3CE732EC"/>
    <w:multiLevelType w:val="hybridMultilevel"/>
    <w:lvl w:ilvl="0">
      <w:lvlJc w:val="left"/>
      <w:lvlText w:val="(%1)"/>
      <w:numFmt w:val="lowerLetter"/>
      <w:start w:val="1"/>
    </w:lvl>
  </w:abstractNum>
  <w:abstractNum w:abstractNumId="317">
    <w:nsid w:val="22F13DF3"/>
    <w:multiLevelType w:val="hybridMultilevel"/>
    <w:lvl w:ilvl="0">
      <w:lvlJc w:val="left"/>
      <w:lvlText w:val="(%1)"/>
      <w:numFmt w:val="lowerLetter"/>
      <w:start w:val="2"/>
    </w:lvl>
    <w:lvl w:ilvl="1">
      <w:lvlJc w:val="left"/>
      <w:lvlText w:val="(%2)"/>
      <w:numFmt w:val="lowerRoman"/>
      <w:start w:val="1"/>
    </w:lvl>
  </w:abstractNum>
  <w:abstractNum w:abstractNumId="318">
    <w:nsid w:val="792B8401"/>
    <w:multiLevelType w:val="hybridMultilevel"/>
    <w:lvl w:ilvl="0">
      <w:lvlJc w:val="left"/>
      <w:lvlText w:val="(%1)"/>
      <w:numFmt w:val="lowerLetter"/>
      <w:start w:val="1"/>
    </w:lvl>
  </w:abstractNum>
  <w:abstractNum w:abstractNumId="319">
    <w:nsid w:val="FA85F4D"/>
    <w:multiLevelType w:val="hybridMultilevel"/>
    <w:lvl w:ilvl="0">
      <w:lvlJc w:val="left"/>
      <w:lvlText w:val="§"/>
      <w:numFmt w:val="bullet"/>
      <w:start w:val="1"/>
    </w:lvl>
  </w:abstractNum>
  <w:abstractNum w:abstractNumId="320">
    <w:nsid w:val="6ECE91F0"/>
    <w:multiLevelType w:val="hybridMultilevel"/>
    <w:lvl w:ilvl="0">
      <w:lvlJc w:val="left"/>
      <w:lvlText w:val="(%1)"/>
      <w:numFmt w:val="lowerRoman"/>
      <w:start w:val="2"/>
    </w:lvl>
  </w:abstractNum>
  <w:abstractNum w:abstractNumId="321">
    <w:nsid w:val="4FC4D600"/>
    <w:multiLevelType w:val="hybridMultilevel"/>
    <w:lvl w:ilvl="0">
      <w:lvlJc w:val="left"/>
      <w:lvlText w:val="(%1)"/>
      <w:numFmt w:val="lowerRoman"/>
      <w:start w:val="1"/>
    </w:lvl>
  </w:abstractNum>
  <w:abstractNum w:abstractNumId="322">
    <w:nsid w:val="5BFD4210"/>
    <w:multiLevelType w:val="hybridMultilevel"/>
    <w:lvl w:ilvl="0">
      <w:lvlJc w:val="left"/>
      <w:lvlText w:val="(%1)"/>
      <w:numFmt w:val="lowerRoman"/>
      <w:start w:val="3"/>
    </w:lvl>
  </w:abstractNum>
  <w:abstractNum w:abstractNumId="323">
    <w:nsid w:val="76574F8B"/>
    <w:multiLevelType w:val="hybridMultilevel"/>
    <w:lvl w:ilvl="0">
      <w:lvlJc w:val="left"/>
      <w:lvlText w:val="(%1)"/>
      <w:numFmt w:val="upperLetter"/>
      <w:start w:val="1"/>
    </w:lvl>
    <w:lvl w:ilvl="1">
      <w:lvlJc w:val="left"/>
      <w:lvlText w:val="%2"/>
      <w:numFmt w:val="decimal"/>
      <w:start w:val="1"/>
    </w:lvl>
  </w:abstractNum>
  <w:abstractNum w:abstractNumId="324">
    <w:nsid w:val="178F7B67"/>
    <w:multiLevelType w:val="hybridMultilevel"/>
    <w:lvl w:ilvl="0">
      <w:lvlJc w:val="left"/>
      <w:lvlText w:val="(%1)"/>
      <w:numFmt w:val="upperLetter"/>
      <w:start w:val="3"/>
    </w:lvl>
  </w:abstractNum>
  <w:abstractNum w:abstractNumId="325">
    <w:nsid w:val="2421DFCF"/>
    <w:multiLevelType w:val="hybridMultilevel"/>
    <w:lvl w:ilvl="0">
      <w:lvlJc w:val="left"/>
      <w:lvlText w:val="2"/>
      <w:numFmt w:val="bullet"/>
      <w:start w:val="1"/>
    </w:lvl>
  </w:abstractNum>
  <w:abstractNum w:abstractNumId="326">
    <w:nsid w:val="1565AC99"/>
    <w:multiLevelType w:val="hybridMultilevel"/>
    <w:lvl w:ilvl="0">
      <w:lvlJc w:val="left"/>
      <w:lvlText w:val="%1."/>
      <w:numFmt w:val="decimal"/>
      <w:start w:val="1"/>
    </w:lvl>
    <w:lvl w:ilvl="1">
      <w:lvlJc w:val="left"/>
      <w:lvlText w:val="(%2)"/>
      <w:numFmt w:val="lowerLetter"/>
      <w:start w:val="1"/>
    </w:lvl>
  </w:abstractNum>
  <w:abstractNum w:abstractNumId="327">
    <w:nsid w:val="19FB2650"/>
    <w:multiLevelType w:val="hybridMultilevel"/>
    <w:lvl w:ilvl="0">
      <w:lvlJc w:val="left"/>
      <w:lvlText w:val="%1."/>
      <w:numFmt w:val="decimal"/>
      <w:start w:val="1"/>
    </w:lvl>
    <w:lvl w:ilvl="1">
      <w:lvlJc w:val="left"/>
      <w:lvlText w:val="(%2)"/>
      <w:numFmt w:val="lowerLetter"/>
      <w:start w:val="1"/>
    </w:lvl>
  </w:abstractNum>
  <w:abstractNum w:abstractNumId="328">
    <w:nsid w:val="5024DE5B"/>
    <w:multiLevelType w:val="hybridMultilevel"/>
    <w:lvl w:ilvl="0">
      <w:lvlJc w:val="left"/>
      <w:lvlText w:val="(%1)"/>
      <w:numFmt w:val="decimal"/>
      <w:start w:val="1"/>
    </w:lvl>
  </w:abstractNum>
  <w:abstractNum w:abstractNumId="329">
    <w:nsid w:val="168EFE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44" Type="http://schemas.openxmlformats.org/officeDocument/2006/relationships/hyperlink" Target="https://www.sec.gov/Archives/edgar/data/1014739/000110465923074575/tm2319646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2023-07-27T15:24:47Z</dcterms:created>
  <dcterms:modified xsi:type="dcterms:W3CDTF">2023-07-27T15:24:47Z</dcterms:modified>
</cp:coreProperties>
</file>