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345440</wp:posOffset>
            </wp:positionH>
            <wp:positionV relativeFrom="page">
              <wp:posOffset>431800</wp:posOffset>
            </wp:positionV>
            <wp:extent cx="6866255"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66255" cy="43180"/>
                    </a:xfrm>
                    <a:prstGeom prst="rect">
                      <a:avLst/>
                    </a:prstGeom>
                    <a:noFill/>
                  </pic:spPr>
                </pic:pic>
              </a:graphicData>
            </a:graphic>
          </wp:anchor>
        </w:drawing>
        <w:t>UNITED STATES</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76"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32" w:lineRule="exact"/>
        <w:rPr>
          <w:sz w:val="24"/>
          <w:szCs w:val="24"/>
          <w:color w:val="auto"/>
        </w:rPr>
      </w:pPr>
    </w:p>
    <w:p>
      <w:pPr>
        <w:ind w:left="1100" w:right="1900" w:hanging="626"/>
        <w:spacing w:after="0" w:line="281" w:lineRule="auto"/>
        <w:tabs>
          <w:tab w:leader="none" w:pos="11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September 30, 2024</w:t>
      </w:r>
    </w:p>
    <w:p>
      <w:pPr>
        <w:spacing w:after="0" w:line="1" w:lineRule="exact"/>
        <w:rPr>
          <w:sz w:val="24"/>
          <w:szCs w:val="24"/>
          <w:color w:val="auto"/>
        </w:rPr>
      </w:pPr>
    </w:p>
    <w:p>
      <w:pPr>
        <w:jc w:val="center"/>
        <w:ind w:left="52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32" w:lineRule="exact"/>
        <w:rPr>
          <w:sz w:val="24"/>
          <w:szCs w:val="24"/>
          <w:color w:val="auto"/>
        </w:rPr>
      </w:pPr>
    </w:p>
    <w:p>
      <w:pPr>
        <w:ind w:left="1100" w:hanging="626"/>
        <w:spacing w:after="0"/>
        <w:tabs>
          <w:tab w:leader="none" w:pos="110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52" w:lineRule="exact"/>
        <w:rPr>
          <w:sz w:val="24"/>
          <w:szCs w:val="24"/>
          <w:color w:val="auto"/>
        </w:rPr>
      </w:pPr>
    </w:p>
    <w:p>
      <w:pPr>
        <w:ind w:left="1100"/>
        <w:spacing w:after="0"/>
        <w:tabs>
          <w:tab w:leader="none" w:pos="3380" w:val="left"/>
        </w:tabs>
        <w:rPr>
          <w:sz w:val="20"/>
          <w:szCs w:val="20"/>
          <w:color w:val="auto"/>
        </w:rPr>
      </w:pPr>
      <w:r>
        <w:rPr>
          <w:rFonts w:ascii="Times New Roman" w:cs="Times New Roman" w:eastAsia="Times New Roman" w:hAnsi="Times New Roman"/>
          <w:sz w:val="16"/>
          <w:szCs w:val="16"/>
          <w:b w:val="1"/>
          <w:bCs w:val="1"/>
          <w:color w:val="auto"/>
        </w:rPr>
        <w:t>For the transition period from</w:t>
        <w:tab/>
        <w:t>to</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001-11993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21590</wp:posOffset>
            </wp:positionV>
            <wp:extent cx="1714500" cy="69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14500" cy="6940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OPTION CARE HEALTH, INC.</w:t>
      </w:r>
    </w:p>
    <w:p>
      <w:pPr>
        <w:spacing w:after="0" w:line="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(Exact name of registrant as specified in its charter)</w:t>
      </w:r>
    </w:p>
    <w:p>
      <w:pPr>
        <w:spacing w:after="0" w:line="126" w:lineRule="exact"/>
        <w:rPr>
          <w:sz w:val="24"/>
          <w:szCs w:val="24"/>
          <w:color w:val="auto"/>
        </w:rPr>
      </w:pPr>
    </w:p>
    <w:tbl>
      <w:tblPr>
        <w:tblLayout w:type="fixed"/>
        <w:tblInd w:w="30" w:type="dxa"/>
        <w:tblCellMar>
          <w:top w:w="0" w:type="dxa"/>
          <w:left w:w="0" w:type="dxa"/>
          <w:bottom w:w="0" w:type="dxa"/>
          <w:right w:w="0" w:type="dxa"/>
        </w:tblCellMar>
      </w:tblPr>
      <w:tr>
        <w:trPr>
          <w:trHeight w:val="212"/>
        </w:trPr>
        <w:tc>
          <w:tcPr>
            <w:tcW w:w="27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25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380" w:type="dxa"/>
            <w:vAlign w:val="bottom"/>
          </w:tcPr>
          <w:p>
            <w:pPr>
              <w:jc w:val="right"/>
              <w:ind w:right="2099"/>
              <w:spacing w:after="0"/>
              <w:rPr>
                <w:sz w:val="20"/>
                <w:szCs w:val="20"/>
                <w:color w:val="auto"/>
              </w:rPr>
            </w:pPr>
            <w:r>
              <w:rPr>
                <w:rFonts w:ascii="Times New Roman" w:cs="Times New Roman" w:eastAsia="Times New Roman" w:hAnsi="Times New Roman"/>
                <w:sz w:val="16"/>
                <w:szCs w:val="16"/>
                <w:b w:val="1"/>
                <w:bCs w:val="1"/>
                <w:color w:val="auto"/>
              </w:rPr>
              <w:t>05-0489664</w:t>
            </w:r>
          </w:p>
        </w:tc>
      </w:tr>
      <w:tr>
        <w:trPr>
          <w:trHeight w:val="216"/>
        </w:trPr>
        <w:tc>
          <w:tcPr>
            <w:tcW w:w="6320" w:type="dxa"/>
            <w:vAlign w:val="bottom"/>
            <w:gridSpan w:val="3"/>
          </w:tcPr>
          <w:p>
            <w:pPr>
              <w:jc w:val="center"/>
              <w:ind w:left="179"/>
              <w:spacing w:after="0"/>
              <w:rPr>
                <w:sz w:val="20"/>
                <w:szCs w:val="20"/>
                <w:color w:val="auto"/>
              </w:rPr>
            </w:pPr>
            <w:r>
              <w:rPr>
                <w:rFonts w:ascii="Times New Roman" w:cs="Times New Roman" w:eastAsia="Times New Roman" w:hAnsi="Times New Roman"/>
                <w:sz w:val="16"/>
                <w:szCs w:val="16"/>
                <w:i w:val="1"/>
                <w:iCs w:val="1"/>
                <w:color w:val="auto"/>
              </w:rPr>
              <w:t>(State of incorporation)</w:t>
            </w:r>
          </w:p>
        </w:tc>
        <w:tc>
          <w:tcPr>
            <w:tcW w:w="4900" w:type="dxa"/>
            <w:vAlign w:val="bottom"/>
            <w:gridSpan w:val="2"/>
          </w:tcPr>
          <w:p>
            <w:pPr>
              <w:jc w:val="center"/>
              <w:ind w:right="179"/>
              <w:spacing w:after="0"/>
              <w:rPr>
                <w:sz w:val="20"/>
                <w:szCs w:val="20"/>
                <w:color w:val="auto"/>
              </w:rPr>
            </w:pPr>
            <w:r>
              <w:rPr>
                <w:rFonts w:ascii="Times New Roman" w:cs="Times New Roman" w:eastAsia="Times New Roman" w:hAnsi="Times New Roman"/>
                <w:sz w:val="16"/>
                <w:szCs w:val="16"/>
                <w:i w:val="1"/>
                <w:iCs w:val="1"/>
                <w:color w:val="auto"/>
              </w:rPr>
              <w:t>(I.R.S. Employer Identification No.)</w:t>
            </w:r>
          </w:p>
        </w:tc>
      </w:tr>
      <w:tr>
        <w:trPr>
          <w:trHeight w:val="216"/>
        </w:trPr>
        <w:tc>
          <w:tcPr>
            <w:tcW w:w="2700" w:type="dxa"/>
            <w:vAlign w:val="bottom"/>
          </w:tcPr>
          <w:p>
            <w:pPr>
              <w:ind w:left="1320"/>
              <w:spacing w:after="0"/>
              <w:rPr>
                <w:sz w:val="20"/>
                <w:szCs w:val="20"/>
                <w:color w:val="auto"/>
              </w:rPr>
            </w:pPr>
            <w:r>
              <w:rPr>
                <w:rFonts w:ascii="Times New Roman" w:cs="Times New Roman" w:eastAsia="Times New Roman" w:hAnsi="Times New Roman"/>
                <w:sz w:val="16"/>
                <w:szCs w:val="16"/>
                <w:b w:val="1"/>
                <w:bCs w:val="1"/>
                <w:color w:val="auto"/>
              </w:rPr>
              <w:t>3000 Lakeside Dr.</w:t>
            </w:r>
          </w:p>
        </w:tc>
        <w:tc>
          <w:tcPr>
            <w:tcW w:w="108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Suite 300N,</w:t>
            </w:r>
          </w:p>
        </w:tc>
        <w:tc>
          <w:tcPr>
            <w:tcW w:w="254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Bannockburn,   IL</w:t>
            </w:r>
          </w:p>
        </w:tc>
        <w:tc>
          <w:tcPr>
            <w:tcW w:w="1520" w:type="dxa"/>
            <w:vAlign w:val="bottom"/>
          </w:tcPr>
          <w:p>
            <w:pPr>
              <w:spacing w:after="0"/>
              <w:rPr>
                <w:sz w:val="18"/>
                <w:szCs w:val="18"/>
                <w:color w:val="auto"/>
              </w:rPr>
            </w:pPr>
          </w:p>
        </w:tc>
        <w:tc>
          <w:tcPr>
            <w:tcW w:w="3380" w:type="dxa"/>
            <w:vAlign w:val="bottom"/>
          </w:tcPr>
          <w:p>
            <w:pPr>
              <w:jc w:val="right"/>
              <w:ind w:right="2299"/>
              <w:spacing w:after="0"/>
              <w:rPr>
                <w:sz w:val="20"/>
                <w:szCs w:val="20"/>
                <w:color w:val="auto"/>
              </w:rPr>
            </w:pPr>
            <w:r>
              <w:rPr>
                <w:rFonts w:ascii="Times New Roman" w:cs="Times New Roman" w:eastAsia="Times New Roman" w:hAnsi="Times New Roman"/>
                <w:sz w:val="16"/>
                <w:szCs w:val="16"/>
                <w:b w:val="1"/>
                <w:bCs w:val="1"/>
                <w:color w:val="auto"/>
              </w:rPr>
              <w:t>60015</w:t>
            </w:r>
          </w:p>
        </w:tc>
      </w:tr>
      <w:tr>
        <w:trPr>
          <w:trHeight w:val="216"/>
        </w:trPr>
        <w:tc>
          <w:tcPr>
            <w:tcW w:w="6320" w:type="dxa"/>
            <w:vAlign w:val="bottom"/>
            <w:gridSpan w:val="3"/>
          </w:tcPr>
          <w:p>
            <w:pPr>
              <w:jc w:val="center"/>
              <w:ind w:left="159"/>
              <w:spacing w:after="0"/>
              <w:rPr>
                <w:sz w:val="20"/>
                <w:szCs w:val="20"/>
                <w:color w:val="auto"/>
              </w:rPr>
            </w:pPr>
            <w:r>
              <w:rPr>
                <w:rFonts w:ascii="Times New Roman" w:cs="Times New Roman" w:eastAsia="Times New Roman" w:hAnsi="Times New Roman"/>
                <w:sz w:val="16"/>
                <w:szCs w:val="16"/>
                <w:i w:val="1"/>
                <w:iCs w:val="1"/>
                <w:color w:val="auto"/>
              </w:rPr>
              <w:t>(Address of principal executive offices)</w:t>
            </w:r>
          </w:p>
        </w:tc>
        <w:tc>
          <w:tcPr>
            <w:tcW w:w="1520" w:type="dxa"/>
            <w:vAlign w:val="bottom"/>
          </w:tcPr>
          <w:p>
            <w:pPr>
              <w:spacing w:after="0"/>
              <w:rPr>
                <w:sz w:val="18"/>
                <w:szCs w:val="18"/>
                <w:color w:val="auto"/>
              </w:rPr>
            </w:pPr>
          </w:p>
        </w:tc>
        <w:tc>
          <w:tcPr>
            <w:tcW w:w="3380" w:type="dxa"/>
            <w:vAlign w:val="bottom"/>
          </w:tcPr>
          <w:p>
            <w:pPr>
              <w:jc w:val="center"/>
              <w:ind w:right="1699"/>
              <w:spacing w:after="0"/>
              <w:rPr>
                <w:sz w:val="20"/>
                <w:szCs w:val="20"/>
                <w:color w:val="auto"/>
              </w:rPr>
            </w:pPr>
            <w:r>
              <w:rPr>
                <w:rFonts w:ascii="Times New Roman" w:cs="Times New Roman" w:eastAsia="Times New Roman" w:hAnsi="Times New Roman"/>
                <w:sz w:val="16"/>
                <w:szCs w:val="16"/>
                <w:i w:val="1"/>
                <w:iCs w:val="1"/>
                <w:color w:val="auto"/>
              </w:rPr>
              <w:t>(Zip Code)</w:t>
            </w:r>
          </w:p>
        </w:tc>
      </w:tr>
      <w:tr>
        <w:trPr>
          <w:trHeight w:val="274"/>
        </w:trPr>
        <w:tc>
          <w:tcPr>
            <w:tcW w:w="27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0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tc>
        <w:tc>
          <w:tcPr>
            <w:tcW w:w="3380" w:type="dxa"/>
            <w:vAlign w:val="bottom"/>
          </w:tcPr>
          <w:p>
            <w:pPr>
              <w:spacing w:after="0"/>
              <w:rPr>
                <w:sz w:val="23"/>
                <w:szCs w:val="23"/>
                <w:color w:val="auto"/>
              </w:rPr>
            </w:pPr>
          </w:p>
        </w:tc>
      </w:tr>
      <w:tr>
        <w:trPr>
          <w:trHeight w:val="212"/>
        </w:trPr>
        <w:tc>
          <w:tcPr>
            <w:tcW w:w="2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54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312-940-2443</w:t>
            </w:r>
          </w:p>
        </w:tc>
        <w:tc>
          <w:tcPr>
            <w:tcW w:w="1520" w:type="dxa"/>
            <w:vAlign w:val="bottom"/>
          </w:tcPr>
          <w:p>
            <w:pPr>
              <w:spacing w:after="0"/>
              <w:rPr>
                <w:sz w:val="18"/>
                <w:szCs w:val="18"/>
                <w:color w:val="auto"/>
              </w:rPr>
            </w:pPr>
          </w:p>
        </w:tc>
        <w:tc>
          <w:tcPr>
            <w:tcW w:w="3380" w:type="dxa"/>
            <w:vAlign w:val="bottom"/>
          </w:tcPr>
          <w:p>
            <w:pPr>
              <w:spacing w:after="0"/>
              <w:rPr>
                <w:sz w:val="18"/>
                <w:szCs w:val="18"/>
                <w:color w:val="auto"/>
              </w:rPr>
            </w:pPr>
          </w:p>
        </w:tc>
      </w:tr>
      <w:tr>
        <w:trPr>
          <w:trHeight w:val="229"/>
        </w:trPr>
        <w:tc>
          <w:tcPr>
            <w:tcW w:w="27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380" w:type="dxa"/>
            <w:vAlign w:val="bottom"/>
          </w:tcPr>
          <w:p>
            <w:pPr>
              <w:spacing w:after="0"/>
              <w:rPr>
                <w:sz w:val="19"/>
                <w:szCs w:val="19"/>
                <w:color w:val="auto"/>
              </w:rPr>
            </w:pPr>
          </w:p>
        </w:tc>
      </w:tr>
      <w:tr>
        <w:trPr>
          <w:trHeight w:val="168"/>
        </w:trPr>
        <w:tc>
          <w:tcPr>
            <w:tcW w:w="3780" w:type="dxa"/>
            <w:vAlign w:val="bottom"/>
            <w:tcBorders>
              <w:bottom w:val="single" w:sz="8" w:color="auto"/>
            </w:tcBorders>
            <w:gridSpan w:val="2"/>
          </w:tcPr>
          <w:p>
            <w:pPr>
              <w:spacing w:after="0"/>
              <w:rPr>
                <w:sz w:val="14"/>
                <w:szCs w:val="14"/>
                <w:color w:val="auto"/>
              </w:rPr>
            </w:pPr>
          </w:p>
        </w:tc>
        <w:tc>
          <w:tcPr>
            <w:tcW w:w="25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3380" w:type="dxa"/>
            <w:vAlign w:val="bottom"/>
            <w:tcBorders>
              <w:bottom w:val="single" w:sz="8" w:color="auto"/>
            </w:tcBorders>
          </w:tcPr>
          <w:p>
            <w:pPr>
              <w:spacing w:after="0"/>
              <w:rPr>
                <w:sz w:val="14"/>
                <w:szCs w:val="14"/>
                <w:color w:val="auto"/>
              </w:rPr>
            </w:pPr>
          </w:p>
        </w:tc>
      </w:tr>
      <w:tr>
        <w:trPr>
          <w:trHeight w:val="207"/>
        </w:trPr>
        <w:tc>
          <w:tcPr>
            <w:tcW w:w="3780" w:type="dxa"/>
            <w:vAlign w:val="bottom"/>
            <w:tcBorders>
              <w:left w:val="single" w:sz="8" w:color="auto"/>
              <w:bottom w:val="single" w:sz="8" w:color="auto"/>
            </w:tcBorders>
            <w:gridSpan w:val="2"/>
          </w:tcPr>
          <w:p>
            <w:pPr>
              <w:jc w:val="center"/>
              <w:ind w:left="2459"/>
              <w:spacing w:after="0"/>
              <w:rPr>
                <w:sz w:val="20"/>
                <w:szCs w:val="20"/>
                <w:color w:val="auto"/>
              </w:rPr>
            </w:pPr>
            <w:r>
              <w:rPr>
                <w:rFonts w:ascii="Times New Roman" w:cs="Times New Roman" w:eastAsia="Times New Roman" w:hAnsi="Times New Roman"/>
                <w:sz w:val="16"/>
                <w:szCs w:val="16"/>
                <w:color w:val="auto"/>
              </w:rPr>
              <w:t>Title of each Class</w:t>
            </w:r>
          </w:p>
        </w:tc>
        <w:tc>
          <w:tcPr>
            <w:tcW w:w="2540" w:type="dxa"/>
            <w:vAlign w:val="bottom"/>
            <w:tcBorders>
              <w:bottom w:val="single" w:sz="8" w:color="auto"/>
              <w:right w:val="single" w:sz="8" w:color="auto"/>
            </w:tcBorders>
          </w:tcPr>
          <w:p>
            <w:pPr>
              <w:spacing w:after="0"/>
              <w:rPr>
                <w:sz w:val="17"/>
                <w:szCs w:val="17"/>
                <w:color w:val="auto"/>
              </w:rPr>
            </w:pP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3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10"/>
        </w:trPr>
        <w:tc>
          <w:tcPr>
            <w:tcW w:w="632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rPr>
              <w:t>Common Stock, $0.0001 par value per share</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OPCH</w:t>
            </w:r>
          </w:p>
        </w:tc>
        <w:tc>
          <w:tcPr>
            <w:tcW w:w="3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67" w:lineRule="exact"/>
        <w:rPr>
          <w:sz w:val="24"/>
          <w:szCs w:val="24"/>
          <w:color w:val="auto"/>
        </w:rPr>
      </w:pPr>
    </w:p>
    <w:p>
      <w:pPr>
        <w:jc w:val="both"/>
        <w:ind w:firstLine="162"/>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98" w:lineRule="exact"/>
        <w:rPr>
          <w:sz w:val="24"/>
          <w:szCs w:val="24"/>
          <w:color w:val="auto"/>
        </w:rPr>
      </w:pPr>
    </w:p>
    <w:p>
      <w:pPr>
        <w:jc w:val="both"/>
        <w:ind w:firstLine="162"/>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96" w:lineRule="exact"/>
        <w:rPr>
          <w:sz w:val="24"/>
          <w:szCs w:val="24"/>
          <w:color w:val="auto"/>
        </w:rPr>
      </w:pPr>
    </w:p>
    <w:p>
      <w:pPr>
        <w:jc w:val="both"/>
        <w:ind w:firstLine="162"/>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42" w:lineRule="exact"/>
        <w:rPr>
          <w:sz w:val="24"/>
          <w:szCs w:val="24"/>
          <w:color w:val="auto"/>
        </w:rPr>
      </w:pPr>
    </w:p>
    <w:p>
      <w:pPr>
        <w:jc w:val="center"/>
        <w:ind w:right="-159"/>
        <w:spacing w:after="0" w:line="184" w:lineRule="exact"/>
        <w:tabs>
          <w:tab w:leader="none" w:pos="180" w:val="left"/>
          <w:tab w:leader="none" w:pos="180" w:val="left"/>
          <w:tab w:leader="none" w:pos="220" w:val="left"/>
          <w:tab w:leader="none" w:pos="140" w:val="left"/>
        </w:tabs>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Accelerated filer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Non-accelerated filer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Smaller reporting company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Emerging growth company </w:t>
      </w:r>
      <w:r>
        <w:rPr>
          <w:rFonts w:ascii="MS PGothic" w:cs="MS PGothic" w:eastAsia="MS PGothic" w:hAnsi="MS PGothic"/>
          <w:sz w:val="16"/>
          <w:szCs w:val="16"/>
          <w:color w:val="auto"/>
        </w:rPr>
        <w:t>☐</w:t>
      </w:r>
    </w:p>
    <w:p>
      <w:pPr>
        <w:spacing w:after="0" w:line="284" w:lineRule="exact"/>
        <w:rPr>
          <w:sz w:val="24"/>
          <w:szCs w:val="24"/>
          <w:color w:val="auto"/>
        </w:rPr>
      </w:pPr>
    </w:p>
    <w:p>
      <w:pPr>
        <w:jc w:val="both"/>
        <w:ind w:firstLine="162"/>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0" w:lineRule="exact"/>
        <w:rPr>
          <w:sz w:val="24"/>
          <w:szCs w:val="24"/>
          <w:color w:val="auto"/>
        </w:rPr>
      </w:pPr>
    </w:p>
    <w:p>
      <w:pPr>
        <w:ind w:left="180"/>
        <w:spacing w:after="0" w:line="184" w:lineRule="exact"/>
        <w:tabs>
          <w:tab w:leader="none" w:pos="8220" w:val="left"/>
        </w:tabs>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p>
      <w:pPr>
        <w:spacing w:after="0" w:line="298"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6"/>
          <w:szCs w:val="16"/>
          <w:color w:val="auto"/>
        </w:rPr>
        <w:t>On October 28, 2024, there were 170,181,238 shares of the registrant’s Common Stock outstanding.</w:t>
      </w:r>
    </w:p>
    <w:p>
      <w:pPr>
        <w:sectPr>
          <w:pgSz w:w="11900" w:h="16838" w:orient="portrait"/>
          <w:cols w:equalWidth="0" w:num="1">
            <w:col w:w="11240"/>
          </w:cols>
          <w:pgMar w:left="320" w:top="828"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8"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680" w:type="dxa"/>
            <w:vAlign w:val="bottom"/>
            <w:gridSpan w:val="8"/>
          </w:tcPr>
          <w:p>
            <w:pPr>
              <w:jc w:val="center"/>
              <w:ind w:right="19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365"/>
        </w:trPr>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100" w:type="dxa"/>
            <w:vAlign w:val="bottom"/>
            <w:gridSpan w:val="3"/>
          </w:tcPr>
          <w:p>
            <w:pPr>
              <w:jc w:val="center"/>
              <w:ind w:left="1439"/>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212"/>
        </w:trPr>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100" w:type="dxa"/>
            <w:vAlign w:val="bottom"/>
            <w:gridSpan w:val="3"/>
          </w:tcPr>
          <w:p>
            <w:pPr>
              <w:jc w:val="center"/>
              <w:ind w:left="1439"/>
              <w:spacing w:after="0"/>
              <w:rPr>
                <w:sz w:val="20"/>
                <w:szCs w:val="20"/>
                <w:color w:val="auto"/>
              </w:rPr>
            </w:pPr>
            <w:r>
              <w:rPr>
                <w:rFonts w:ascii="Times New Roman" w:cs="Times New Roman" w:eastAsia="Times New Roman" w:hAnsi="Times New Roman"/>
                <w:sz w:val="16"/>
                <w:szCs w:val="16"/>
                <w:b w:val="1"/>
                <w:bCs w:val="1"/>
                <w:color w:val="auto"/>
              </w:rPr>
              <w:t>Number</w:t>
            </w:r>
          </w:p>
        </w:tc>
      </w:tr>
      <w:tr>
        <w:trPr>
          <w:trHeight w:val="214"/>
        </w:trPr>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80" w:type="dxa"/>
            <w:vAlign w:val="bottom"/>
            <w:gridSpan w:val="8"/>
          </w:tcPr>
          <w:p>
            <w:pPr>
              <w:jc w:val="center"/>
              <w:ind w:right="1920"/>
              <w:spacing w:after="0"/>
              <w:rPr>
                <w:sz w:val="20"/>
                <w:szCs w:val="20"/>
                <w:color w:val="auto"/>
              </w:rPr>
            </w:pPr>
            <w:r>
              <w:rPr>
                <w:rFonts w:ascii="Times New Roman" w:cs="Times New Roman" w:eastAsia="Times New Roman" w:hAnsi="Times New Roman"/>
                <w:sz w:val="16"/>
                <w:szCs w:val="16"/>
                <w:b w:val="1"/>
                <w:bCs w:val="1"/>
                <w:color w:val="auto"/>
                <w:w w:val="96"/>
              </w:rPr>
              <w:t>PART I</w:t>
            </w: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343"/>
        </w:trPr>
        <w:tc>
          <w:tcPr>
            <w:tcW w:w="158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Item 1.</w:t>
            </w:r>
          </w:p>
        </w:tc>
        <w:tc>
          <w:tcPr>
            <w:tcW w:w="7320" w:type="dxa"/>
            <w:vAlign w:val="bottom"/>
            <w:gridSpan w:val="14"/>
          </w:tcPr>
          <w:p>
            <w:pPr>
              <w:spacing w:after="0"/>
              <w:rPr>
                <w:sz w:val="20"/>
                <w:szCs w:val="20"/>
                <w:color w:val="auto"/>
              </w:rPr>
            </w:pPr>
            <w:r>
              <w:rPr>
                <w:rFonts w:ascii="Times New Roman" w:cs="Times New Roman" w:eastAsia="Times New Roman" w:hAnsi="Times New Roman"/>
                <w:sz w:val="16"/>
                <w:szCs w:val="16"/>
                <w:color w:val="0000FF"/>
              </w:rPr>
              <w:t>Financial Statements</w:t>
            </w:r>
          </w:p>
        </w:tc>
        <w:tc>
          <w:tcPr>
            <w:tcW w:w="1860" w:type="dxa"/>
            <w:vAlign w:val="bottom"/>
            <w:gridSpan w:val="2"/>
          </w:tcPr>
          <w:p>
            <w:pPr>
              <w:jc w:val="center"/>
              <w:ind w:left="1699"/>
              <w:spacing w:after="0"/>
              <w:rPr>
                <w:sz w:val="20"/>
                <w:szCs w:val="20"/>
                <w:color w:val="auto"/>
              </w:rPr>
            </w:pPr>
            <w:r>
              <w:rPr>
                <w:rFonts w:ascii="Times New Roman" w:cs="Times New Roman" w:eastAsia="Times New Roman" w:hAnsi="Times New Roman"/>
                <w:sz w:val="16"/>
                <w:szCs w:val="16"/>
                <w:color w:val="0000FF"/>
                <w:w w:val="99"/>
              </w:rPr>
              <w:t>4</w:t>
            </w:r>
          </w:p>
        </w:tc>
        <w:tc>
          <w:tcPr>
            <w:tcW w:w="240" w:type="dxa"/>
            <w:vAlign w:val="bottom"/>
          </w:tcPr>
          <w:p>
            <w:pPr>
              <w:spacing w:after="0"/>
              <w:rPr>
                <w:sz w:val="24"/>
                <w:szCs w:val="24"/>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4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Condensed Consolidated Balance Sheets</w:t>
            </w:r>
          </w:p>
        </w:tc>
        <w:tc>
          <w:tcPr>
            <w:tcW w:w="4680" w:type="dxa"/>
            <w:vAlign w:val="bottom"/>
            <w:gridSpan w:val="8"/>
          </w:tcPr>
          <w:p>
            <w:pPr>
              <w:spacing w:after="0"/>
              <w:rPr>
                <w:sz w:val="17"/>
                <w:szCs w:val="17"/>
                <w:color w:val="auto"/>
              </w:rPr>
            </w:pPr>
          </w:p>
        </w:tc>
        <w:tc>
          <w:tcPr>
            <w:tcW w:w="1860" w:type="dxa"/>
            <w:vAlign w:val="bottom"/>
            <w:gridSpan w:val="2"/>
          </w:tcPr>
          <w:p>
            <w:pPr>
              <w:jc w:val="center"/>
              <w:ind w:left="1699"/>
              <w:spacing w:after="0"/>
              <w:rPr>
                <w:sz w:val="20"/>
                <w:szCs w:val="20"/>
                <w:color w:val="auto"/>
              </w:rPr>
            </w:pPr>
            <w:r>
              <w:rPr>
                <w:rFonts w:ascii="Times New Roman" w:cs="Times New Roman" w:eastAsia="Times New Roman" w:hAnsi="Times New Roman"/>
                <w:sz w:val="16"/>
                <w:szCs w:val="16"/>
                <w:color w:val="0000FF"/>
                <w:w w:val="99"/>
              </w:rPr>
              <w:t>5</w:t>
            </w:r>
          </w:p>
        </w:tc>
        <w:tc>
          <w:tcPr>
            <w:tcW w:w="240" w:type="dxa"/>
            <w:vAlign w:val="bottom"/>
          </w:tcPr>
          <w:p>
            <w:pPr>
              <w:spacing w:after="0"/>
              <w:rPr>
                <w:sz w:val="17"/>
                <w:szCs w:val="17"/>
                <w:color w:val="auto"/>
              </w:rPr>
            </w:pPr>
          </w:p>
        </w:tc>
      </w:tr>
      <w:tr>
        <w:trPr>
          <w:trHeight w:val="20"/>
        </w:trPr>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4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Unaudited Condensed Consolidated Statements of Comprehensive Income</w:t>
            </w:r>
          </w:p>
        </w:tc>
        <w:tc>
          <w:tcPr>
            <w:tcW w:w="2480" w:type="dxa"/>
            <w:vAlign w:val="bottom"/>
            <w:gridSpan w:val="2"/>
          </w:tcPr>
          <w:p>
            <w:pPr>
              <w:spacing w:after="0"/>
              <w:rPr>
                <w:sz w:val="17"/>
                <w:szCs w:val="17"/>
                <w:color w:val="auto"/>
              </w:rPr>
            </w:pPr>
          </w:p>
        </w:tc>
        <w:tc>
          <w:tcPr>
            <w:tcW w:w="1860" w:type="dxa"/>
            <w:vAlign w:val="bottom"/>
            <w:gridSpan w:val="2"/>
          </w:tcPr>
          <w:p>
            <w:pPr>
              <w:jc w:val="center"/>
              <w:ind w:left="1699"/>
              <w:spacing w:after="0"/>
              <w:rPr>
                <w:sz w:val="20"/>
                <w:szCs w:val="20"/>
                <w:color w:val="auto"/>
              </w:rPr>
            </w:pPr>
            <w:r>
              <w:rPr>
                <w:rFonts w:ascii="Times New Roman" w:cs="Times New Roman" w:eastAsia="Times New Roman" w:hAnsi="Times New Roman"/>
                <w:sz w:val="16"/>
                <w:szCs w:val="16"/>
                <w:color w:val="0000FF"/>
                <w:w w:val="99"/>
              </w:rPr>
              <w:t>6</w:t>
            </w:r>
          </w:p>
        </w:tc>
        <w:tc>
          <w:tcPr>
            <w:tcW w:w="240" w:type="dxa"/>
            <w:vAlign w:val="bottom"/>
          </w:tcPr>
          <w:p>
            <w:pPr>
              <w:spacing w:after="0"/>
              <w:rPr>
                <w:sz w:val="17"/>
                <w:szCs w:val="17"/>
                <w:color w:val="auto"/>
              </w:rPr>
            </w:pPr>
          </w:p>
        </w:tc>
      </w:tr>
      <w:tr>
        <w:trPr>
          <w:trHeight w:val="20"/>
        </w:trPr>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3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60" w:type="dxa"/>
            <w:vAlign w:val="bottom"/>
            <w:gridSpan w:val="9"/>
          </w:tcPr>
          <w:p>
            <w:pPr>
              <w:spacing w:after="0"/>
              <w:rPr>
                <w:sz w:val="20"/>
                <w:szCs w:val="20"/>
                <w:color w:val="auto"/>
              </w:rPr>
            </w:pPr>
            <w:r>
              <w:rPr>
                <w:rFonts w:ascii="Times New Roman" w:cs="Times New Roman" w:eastAsia="Times New Roman" w:hAnsi="Times New Roman"/>
                <w:sz w:val="16"/>
                <w:szCs w:val="16"/>
                <w:color w:val="0000FF"/>
              </w:rPr>
              <w:t>Unaudited Condensed Consolidated Statements of Cash Flows</w:t>
            </w:r>
          </w:p>
        </w:tc>
        <w:tc>
          <w:tcPr>
            <w:tcW w:w="780" w:type="dxa"/>
            <w:vAlign w:val="bottom"/>
            <w:gridSpan w:val="3"/>
          </w:tcPr>
          <w:p>
            <w:pPr>
              <w:spacing w:after="0"/>
              <w:rPr>
                <w:sz w:val="17"/>
                <w:szCs w:val="17"/>
                <w:color w:val="auto"/>
              </w:rPr>
            </w:pPr>
          </w:p>
        </w:tc>
        <w:tc>
          <w:tcPr>
            <w:tcW w:w="2480" w:type="dxa"/>
            <w:vAlign w:val="bottom"/>
            <w:gridSpan w:val="2"/>
          </w:tcPr>
          <w:p>
            <w:pPr>
              <w:spacing w:after="0"/>
              <w:rPr>
                <w:sz w:val="17"/>
                <w:szCs w:val="17"/>
                <w:color w:val="auto"/>
              </w:rPr>
            </w:pPr>
          </w:p>
        </w:tc>
        <w:tc>
          <w:tcPr>
            <w:tcW w:w="1860" w:type="dxa"/>
            <w:vAlign w:val="bottom"/>
            <w:gridSpan w:val="2"/>
          </w:tcPr>
          <w:p>
            <w:pPr>
              <w:jc w:val="center"/>
              <w:ind w:left="1699"/>
              <w:spacing w:after="0"/>
              <w:rPr>
                <w:sz w:val="20"/>
                <w:szCs w:val="20"/>
                <w:color w:val="auto"/>
              </w:rPr>
            </w:pPr>
            <w:r>
              <w:rPr>
                <w:rFonts w:ascii="Times New Roman" w:cs="Times New Roman" w:eastAsia="Times New Roman" w:hAnsi="Times New Roman"/>
                <w:sz w:val="16"/>
                <w:szCs w:val="16"/>
                <w:color w:val="0000FF"/>
                <w:w w:val="99"/>
              </w:rPr>
              <w:t>7</w:t>
            </w:r>
          </w:p>
        </w:tc>
        <w:tc>
          <w:tcPr>
            <w:tcW w:w="240" w:type="dxa"/>
            <w:vAlign w:val="bottom"/>
          </w:tcPr>
          <w:p>
            <w:pPr>
              <w:spacing w:after="0"/>
              <w:rPr>
                <w:sz w:val="17"/>
                <w:szCs w:val="17"/>
                <w:color w:val="auto"/>
              </w:rPr>
            </w:pPr>
          </w:p>
        </w:tc>
      </w:tr>
      <w:tr>
        <w:trPr>
          <w:trHeight w:val="20"/>
        </w:trPr>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3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320" w:type="dxa"/>
            <w:vAlign w:val="bottom"/>
            <w:gridSpan w:val="14"/>
          </w:tcPr>
          <w:p>
            <w:pPr>
              <w:spacing w:after="0"/>
              <w:rPr>
                <w:sz w:val="20"/>
                <w:szCs w:val="20"/>
                <w:color w:val="auto"/>
              </w:rPr>
            </w:pPr>
            <w:r>
              <w:rPr>
                <w:rFonts w:ascii="Times New Roman" w:cs="Times New Roman" w:eastAsia="Times New Roman" w:hAnsi="Times New Roman"/>
                <w:sz w:val="16"/>
                <w:szCs w:val="16"/>
                <w:color w:val="0000FF"/>
              </w:rPr>
              <w:t>Unaudited Condensed Consolidated Statements of Stockholders’ Equity</w:t>
            </w:r>
          </w:p>
        </w:tc>
        <w:tc>
          <w:tcPr>
            <w:tcW w:w="1860" w:type="dxa"/>
            <w:vAlign w:val="bottom"/>
            <w:gridSpan w:val="2"/>
          </w:tcPr>
          <w:p>
            <w:pPr>
              <w:jc w:val="center"/>
              <w:ind w:left="1699"/>
              <w:spacing w:after="0"/>
              <w:rPr>
                <w:sz w:val="20"/>
                <w:szCs w:val="20"/>
                <w:color w:val="auto"/>
              </w:rPr>
            </w:pPr>
            <w:r>
              <w:rPr>
                <w:rFonts w:ascii="Times New Roman" w:cs="Times New Roman" w:eastAsia="Times New Roman" w:hAnsi="Times New Roman"/>
                <w:sz w:val="16"/>
                <w:szCs w:val="16"/>
                <w:color w:val="0000FF"/>
                <w:w w:val="99"/>
              </w:rPr>
              <w:t>8</w:t>
            </w:r>
          </w:p>
        </w:tc>
        <w:tc>
          <w:tcPr>
            <w:tcW w:w="240" w:type="dxa"/>
            <w:vAlign w:val="bottom"/>
          </w:tcPr>
          <w:p>
            <w:pPr>
              <w:spacing w:after="0"/>
              <w:rPr>
                <w:sz w:val="17"/>
                <w:szCs w:val="17"/>
                <w:color w:val="auto"/>
              </w:rPr>
            </w:pPr>
          </w:p>
        </w:tc>
      </w:tr>
      <w:tr>
        <w:trPr>
          <w:trHeight w:val="20"/>
        </w:trPr>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60" w:type="dxa"/>
            <w:vAlign w:val="bottom"/>
            <w:gridSpan w:val="11"/>
          </w:tcPr>
          <w:p>
            <w:pPr>
              <w:spacing w:after="0"/>
              <w:rPr>
                <w:sz w:val="20"/>
                <w:szCs w:val="20"/>
                <w:color w:val="auto"/>
              </w:rPr>
            </w:pPr>
            <w:r>
              <w:rPr>
                <w:rFonts w:ascii="Times New Roman" w:cs="Times New Roman" w:eastAsia="Times New Roman" w:hAnsi="Times New Roman"/>
                <w:sz w:val="16"/>
                <w:szCs w:val="16"/>
                <w:color w:val="0000FF"/>
              </w:rPr>
              <w:t>Notes to Unaudited Condensed Consolidated Financial Statements</w:t>
            </w:r>
          </w:p>
        </w:tc>
        <w:tc>
          <w:tcPr>
            <w:tcW w:w="2660" w:type="dxa"/>
            <w:vAlign w:val="bottom"/>
            <w:gridSpan w:val="3"/>
          </w:tcPr>
          <w:p>
            <w:pPr>
              <w:spacing w:after="0"/>
              <w:rPr>
                <w:sz w:val="17"/>
                <w:szCs w:val="17"/>
                <w:color w:val="auto"/>
              </w:rPr>
            </w:pPr>
          </w:p>
        </w:tc>
        <w:tc>
          <w:tcPr>
            <w:tcW w:w="1860" w:type="dxa"/>
            <w:vAlign w:val="bottom"/>
            <w:gridSpan w:val="2"/>
          </w:tcPr>
          <w:p>
            <w:pPr>
              <w:jc w:val="center"/>
              <w:ind w:left="1699"/>
              <w:spacing w:after="0"/>
              <w:rPr>
                <w:sz w:val="20"/>
                <w:szCs w:val="20"/>
                <w:color w:val="auto"/>
              </w:rPr>
            </w:pPr>
            <w:r>
              <w:rPr>
                <w:rFonts w:ascii="Times New Roman" w:cs="Times New Roman" w:eastAsia="Times New Roman" w:hAnsi="Times New Roman"/>
                <w:sz w:val="16"/>
                <w:szCs w:val="16"/>
                <w:color w:val="0000FF"/>
                <w:w w:val="99"/>
              </w:rPr>
              <w:t>9</w:t>
            </w:r>
          </w:p>
        </w:tc>
        <w:tc>
          <w:tcPr>
            <w:tcW w:w="240" w:type="dxa"/>
            <w:vAlign w:val="bottom"/>
          </w:tcPr>
          <w:p>
            <w:pPr>
              <w:spacing w:after="0"/>
              <w:rPr>
                <w:sz w:val="17"/>
                <w:szCs w:val="17"/>
                <w:color w:val="auto"/>
              </w:rPr>
            </w:pPr>
          </w:p>
        </w:tc>
      </w:tr>
      <w:tr>
        <w:trPr>
          <w:trHeight w:val="20"/>
        </w:trPr>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3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158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Item 2.</w:t>
            </w:r>
          </w:p>
        </w:tc>
        <w:tc>
          <w:tcPr>
            <w:tcW w:w="7320" w:type="dxa"/>
            <w:vAlign w:val="bottom"/>
            <w:gridSpan w:val="14"/>
          </w:tcPr>
          <w:p>
            <w:pPr>
              <w:spacing w:after="0"/>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2100" w:type="dxa"/>
            <w:vAlign w:val="bottom"/>
            <w:gridSpan w:val="3"/>
          </w:tcPr>
          <w:p>
            <w:pPr>
              <w:jc w:val="center"/>
              <w:ind w:left="1459"/>
              <w:spacing w:after="0"/>
              <w:rPr>
                <w:sz w:val="20"/>
                <w:szCs w:val="20"/>
                <w:color w:val="auto"/>
              </w:rPr>
            </w:pPr>
            <w:r>
              <w:rPr>
                <w:rFonts w:ascii="Times New Roman" w:cs="Times New Roman" w:eastAsia="Times New Roman" w:hAnsi="Times New Roman"/>
                <w:sz w:val="16"/>
                <w:szCs w:val="16"/>
                <w:color w:val="0000FF"/>
                <w:w w:val="99"/>
              </w:rPr>
              <w:t>20</w:t>
            </w:r>
          </w:p>
        </w:tc>
      </w:tr>
      <w:tr>
        <w:trPr>
          <w:trHeight w:val="20"/>
        </w:trPr>
        <w:tc>
          <w:tcPr>
            <w:tcW w:w="4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3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80" w:type="dxa"/>
            <w:vAlign w:val="bottom"/>
            <w:gridSpan w:val="5"/>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7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r>
      <w:tr>
        <w:trPr>
          <w:trHeight w:val="196"/>
        </w:trPr>
        <w:tc>
          <w:tcPr>
            <w:tcW w:w="5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0000FF"/>
              </w:rPr>
              <w:t>Item 3.</w:t>
            </w:r>
          </w:p>
        </w:tc>
        <w:tc>
          <w:tcPr>
            <w:tcW w:w="1000" w:type="dxa"/>
            <w:vAlign w:val="bottom"/>
            <w:gridSpan w:val="2"/>
          </w:tcPr>
          <w:p>
            <w:pPr>
              <w:spacing w:after="0"/>
              <w:rPr>
                <w:sz w:val="17"/>
                <w:szCs w:val="17"/>
                <w:color w:val="auto"/>
              </w:rPr>
            </w:pPr>
          </w:p>
        </w:tc>
        <w:tc>
          <w:tcPr>
            <w:tcW w:w="39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6"/>
                <w:szCs w:val="16"/>
                <w:color w:val="0000FF"/>
              </w:rPr>
              <w:t>Quantitative and Qualitative Disclosures About Market Risk</w:t>
            </w:r>
          </w:p>
        </w:tc>
        <w:tc>
          <w:tcPr>
            <w:tcW w:w="3400" w:type="dxa"/>
            <w:vAlign w:val="bottom"/>
            <w:gridSpan w:val="6"/>
          </w:tcPr>
          <w:p>
            <w:pPr>
              <w:spacing w:after="0"/>
              <w:rPr>
                <w:sz w:val="17"/>
                <w:szCs w:val="17"/>
                <w:color w:val="auto"/>
              </w:rPr>
            </w:pPr>
          </w:p>
        </w:tc>
        <w:tc>
          <w:tcPr>
            <w:tcW w:w="2100" w:type="dxa"/>
            <w:vAlign w:val="bottom"/>
            <w:gridSpan w:val="3"/>
          </w:tcPr>
          <w:p>
            <w:pPr>
              <w:jc w:val="center"/>
              <w:ind w:left="1459"/>
              <w:spacing w:after="0"/>
              <w:rPr>
                <w:sz w:val="20"/>
                <w:szCs w:val="20"/>
                <w:color w:val="auto"/>
              </w:rPr>
            </w:pPr>
            <w:r>
              <w:rPr>
                <w:rFonts w:ascii="Times New Roman" w:cs="Times New Roman" w:eastAsia="Times New Roman" w:hAnsi="Times New Roman"/>
                <w:sz w:val="16"/>
                <w:szCs w:val="16"/>
                <w:color w:val="0000FF"/>
                <w:w w:val="99"/>
              </w:rPr>
              <w:t>32</w:t>
            </w:r>
          </w:p>
        </w:tc>
      </w:tr>
      <w:tr>
        <w:trPr>
          <w:trHeight w:val="196"/>
        </w:trPr>
        <w:tc>
          <w:tcPr>
            <w:tcW w:w="158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Item 4.</w:t>
            </w:r>
          </w:p>
        </w:tc>
        <w:tc>
          <w:tcPr>
            <w:tcW w:w="7320" w:type="dxa"/>
            <w:vAlign w:val="bottom"/>
            <w:gridSpan w:val="14"/>
          </w:tcPr>
          <w:p>
            <w:pPr>
              <w:spacing w:after="0"/>
              <w:rPr>
                <w:sz w:val="20"/>
                <w:szCs w:val="20"/>
                <w:color w:val="auto"/>
              </w:rPr>
            </w:pPr>
            <w:r>
              <w:rPr>
                <w:rFonts w:ascii="Times New Roman" w:cs="Times New Roman" w:eastAsia="Times New Roman" w:hAnsi="Times New Roman"/>
                <w:sz w:val="16"/>
                <w:szCs w:val="16"/>
                <w:color w:val="0000FF"/>
              </w:rPr>
              <w:t>Controls and Procedures</w:t>
            </w:r>
          </w:p>
        </w:tc>
        <w:tc>
          <w:tcPr>
            <w:tcW w:w="2100" w:type="dxa"/>
            <w:vAlign w:val="bottom"/>
            <w:gridSpan w:val="3"/>
          </w:tcPr>
          <w:p>
            <w:pPr>
              <w:jc w:val="center"/>
              <w:ind w:left="1459"/>
              <w:spacing w:after="0"/>
              <w:rPr>
                <w:sz w:val="20"/>
                <w:szCs w:val="20"/>
                <w:color w:val="auto"/>
              </w:rPr>
            </w:pPr>
            <w:r>
              <w:rPr>
                <w:rFonts w:ascii="Times New Roman" w:cs="Times New Roman" w:eastAsia="Times New Roman" w:hAnsi="Times New Roman"/>
                <w:sz w:val="16"/>
                <w:szCs w:val="16"/>
                <w:color w:val="0000FF"/>
                <w:w w:val="99"/>
              </w:rPr>
              <w:t>32</w:t>
            </w:r>
          </w:p>
        </w:tc>
      </w:tr>
      <w:tr>
        <w:trPr>
          <w:trHeight w:val="393"/>
        </w:trPr>
        <w:tc>
          <w:tcPr>
            <w:tcW w:w="46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060" w:type="dxa"/>
            <w:vAlign w:val="bottom"/>
          </w:tcPr>
          <w:p>
            <w:pPr>
              <w:spacing w:after="0"/>
              <w:rPr>
                <w:sz w:val="24"/>
                <w:szCs w:val="24"/>
                <w:color w:val="auto"/>
              </w:rPr>
            </w:pPr>
          </w:p>
        </w:tc>
        <w:tc>
          <w:tcPr>
            <w:tcW w:w="4680" w:type="dxa"/>
            <w:vAlign w:val="bottom"/>
            <w:gridSpan w:val="8"/>
          </w:tcPr>
          <w:p>
            <w:pPr>
              <w:ind w:left="1060"/>
              <w:spacing w:after="0"/>
              <w:rPr>
                <w:sz w:val="20"/>
                <w:szCs w:val="20"/>
                <w:color w:val="auto"/>
              </w:rPr>
            </w:pPr>
            <w:r>
              <w:rPr>
                <w:rFonts w:ascii="Times New Roman" w:cs="Times New Roman" w:eastAsia="Times New Roman" w:hAnsi="Times New Roman"/>
                <w:sz w:val="16"/>
                <w:szCs w:val="16"/>
                <w:b w:val="1"/>
                <w:bCs w:val="1"/>
                <w:color w:val="auto"/>
              </w:rPr>
              <w:t>PART II</w:t>
            </w:r>
          </w:p>
        </w:tc>
        <w:tc>
          <w:tcPr>
            <w:tcW w:w="17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r>
      <w:tr>
        <w:trPr>
          <w:trHeight w:val="343"/>
        </w:trPr>
        <w:tc>
          <w:tcPr>
            <w:tcW w:w="158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Item 1.</w:t>
            </w:r>
          </w:p>
        </w:tc>
        <w:tc>
          <w:tcPr>
            <w:tcW w:w="7320" w:type="dxa"/>
            <w:vAlign w:val="bottom"/>
            <w:gridSpan w:val="14"/>
          </w:tcPr>
          <w:p>
            <w:pPr>
              <w:spacing w:after="0"/>
              <w:rPr>
                <w:sz w:val="20"/>
                <w:szCs w:val="20"/>
                <w:color w:val="auto"/>
              </w:rPr>
            </w:pPr>
            <w:r>
              <w:rPr>
                <w:rFonts w:ascii="Times New Roman" w:cs="Times New Roman" w:eastAsia="Times New Roman" w:hAnsi="Times New Roman"/>
                <w:sz w:val="16"/>
                <w:szCs w:val="16"/>
                <w:color w:val="0000FF"/>
              </w:rPr>
              <w:t>Legal Proceedings</w:t>
            </w:r>
          </w:p>
        </w:tc>
        <w:tc>
          <w:tcPr>
            <w:tcW w:w="2100" w:type="dxa"/>
            <w:vAlign w:val="bottom"/>
            <w:gridSpan w:val="3"/>
          </w:tcPr>
          <w:p>
            <w:pPr>
              <w:jc w:val="center"/>
              <w:ind w:left="1459"/>
              <w:spacing w:after="0"/>
              <w:rPr>
                <w:sz w:val="20"/>
                <w:szCs w:val="20"/>
                <w:color w:val="auto"/>
              </w:rPr>
            </w:pPr>
            <w:r>
              <w:rPr>
                <w:rFonts w:ascii="Times New Roman" w:cs="Times New Roman" w:eastAsia="Times New Roman" w:hAnsi="Times New Roman"/>
                <w:sz w:val="16"/>
                <w:szCs w:val="16"/>
                <w:color w:val="0000FF"/>
                <w:w w:val="99"/>
              </w:rPr>
              <w:t>33</w:t>
            </w:r>
          </w:p>
        </w:tc>
      </w:tr>
      <w:tr>
        <w:trPr>
          <w:trHeight w:val="20"/>
        </w:trPr>
        <w:tc>
          <w:tcPr>
            <w:tcW w:w="4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720" w:type="dxa"/>
            <w:vAlign w:val="bottom"/>
            <w:tcBorders>
              <w:left w:val="single" w:sz="8" w:color="0000FF"/>
            </w:tcBorders>
            <w:gridSpan w:val="4"/>
          </w:tcPr>
          <w:p>
            <w:pPr>
              <w:spacing w:after="0" w:line="20" w:lineRule="exact"/>
              <w:rPr>
                <w:sz w:val="1"/>
                <w:szCs w:val="1"/>
                <w:color w:val="auto"/>
              </w:rPr>
            </w:pPr>
          </w:p>
        </w:tc>
        <w:tc>
          <w:tcPr>
            <w:tcW w:w="3420" w:type="dxa"/>
            <w:vAlign w:val="bottom"/>
            <w:gridSpan w:val="7"/>
          </w:tcPr>
          <w:p>
            <w:pPr>
              <w:spacing w:after="0" w:line="20" w:lineRule="exact"/>
              <w:rPr>
                <w:sz w:val="1"/>
                <w:szCs w:val="1"/>
                <w:color w:val="auto"/>
              </w:rPr>
            </w:pPr>
          </w:p>
        </w:tc>
        <w:tc>
          <w:tcPr>
            <w:tcW w:w="17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r>
      <w:tr>
        <w:trPr>
          <w:trHeight w:val="196"/>
        </w:trPr>
        <w:tc>
          <w:tcPr>
            <w:tcW w:w="158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Item 1A.</w:t>
            </w:r>
          </w:p>
        </w:tc>
        <w:tc>
          <w:tcPr>
            <w:tcW w:w="7320" w:type="dxa"/>
            <w:vAlign w:val="bottom"/>
            <w:gridSpan w:val="14"/>
          </w:tcPr>
          <w:p>
            <w:pPr>
              <w:spacing w:after="0"/>
              <w:rPr>
                <w:sz w:val="20"/>
                <w:szCs w:val="20"/>
                <w:color w:val="auto"/>
              </w:rPr>
            </w:pPr>
            <w:r>
              <w:rPr>
                <w:rFonts w:ascii="Times New Roman" w:cs="Times New Roman" w:eastAsia="Times New Roman" w:hAnsi="Times New Roman"/>
                <w:sz w:val="16"/>
                <w:szCs w:val="16"/>
                <w:color w:val="0000FF"/>
              </w:rPr>
              <w:t>Risk Factors</w:t>
            </w:r>
          </w:p>
        </w:tc>
        <w:tc>
          <w:tcPr>
            <w:tcW w:w="2100" w:type="dxa"/>
            <w:vAlign w:val="bottom"/>
            <w:gridSpan w:val="3"/>
          </w:tcPr>
          <w:p>
            <w:pPr>
              <w:jc w:val="center"/>
              <w:ind w:left="1459"/>
              <w:spacing w:after="0"/>
              <w:rPr>
                <w:sz w:val="20"/>
                <w:szCs w:val="20"/>
                <w:color w:val="auto"/>
              </w:rPr>
            </w:pPr>
            <w:r>
              <w:rPr>
                <w:rFonts w:ascii="Times New Roman" w:cs="Times New Roman" w:eastAsia="Times New Roman" w:hAnsi="Times New Roman"/>
                <w:sz w:val="16"/>
                <w:szCs w:val="16"/>
                <w:color w:val="0000FF"/>
                <w:w w:val="99"/>
              </w:rPr>
              <w:t>33</w:t>
            </w: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720" w:type="dxa"/>
            <w:vAlign w:val="bottom"/>
            <w:gridSpan w:val="4"/>
          </w:tcPr>
          <w:p>
            <w:pPr>
              <w:spacing w:after="0" w:line="20" w:lineRule="exact"/>
              <w:rPr>
                <w:sz w:val="1"/>
                <w:szCs w:val="1"/>
                <w:color w:val="auto"/>
              </w:rPr>
            </w:pPr>
          </w:p>
        </w:tc>
        <w:tc>
          <w:tcPr>
            <w:tcW w:w="3420" w:type="dxa"/>
            <w:vAlign w:val="bottom"/>
            <w:gridSpan w:val="7"/>
          </w:tcPr>
          <w:p>
            <w:pPr>
              <w:spacing w:after="0" w:line="20" w:lineRule="exact"/>
              <w:rPr>
                <w:sz w:val="1"/>
                <w:szCs w:val="1"/>
                <w:color w:val="auto"/>
              </w:rPr>
            </w:pPr>
          </w:p>
        </w:tc>
        <w:tc>
          <w:tcPr>
            <w:tcW w:w="17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r>
      <w:tr>
        <w:trPr>
          <w:trHeight w:val="196"/>
        </w:trPr>
        <w:tc>
          <w:tcPr>
            <w:tcW w:w="5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Item 2.</w:t>
            </w:r>
          </w:p>
        </w:tc>
        <w:tc>
          <w:tcPr>
            <w:tcW w:w="1000" w:type="dxa"/>
            <w:vAlign w:val="bottom"/>
            <w:gridSpan w:val="2"/>
          </w:tcPr>
          <w:p>
            <w:pPr>
              <w:spacing w:after="0"/>
              <w:rPr>
                <w:sz w:val="17"/>
                <w:szCs w:val="17"/>
                <w:color w:val="auto"/>
              </w:rPr>
            </w:pPr>
          </w:p>
        </w:tc>
        <w:tc>
          <w:tcPr>
            <w:tcW w:w="7320" w:type="dxa"/>
            <w:vAlign w:val="bottom"/>
            <w:gridSpan w:val="14"/>
          </w:tcPr>
          <w:p>
            <w:pPr>
              <w:spacing w:after="0"/>
              <w:rPr>
                <w:sz w:val="20"/>
                <w:szCs w:val="20"/>
                <w:color w:val="auto"/>
              </w:rPr>
            </w:pPr>
            <w:r>
              <w:rPr>
                <w:rFonts w:ascii="Times New Roman" w:cs="Times New Roman" w:eastAsia="Times New Roman" w:hAnsi="Times New Roman"/>
                <w:sz w:val="16"/>
                <w:szCs w:val="16"/>
                <w:color w:val="0000FF"/>
              </w:rPr>
              <w:t>Unregistered Sales of Equity Securities and Use of Proceeds</w:t>
            </w:r>
          </w:p>
        </w:tc>
        <w:tc>
          <w:tcPr>
            <w:tcW w:w="2100" w:type="dxa"/>
            <w:vAlign w:val="bottom"/>
            <w:gridSpan w:val="3"/>
          </w:tcPr>
          <w:p>
            <w:pPr>
              <w:jc w:val="center"/>
              <w:ind w:left="1459"/>
              <w:spacing w:after="0"/>
              <w:rPr>
                <w:sz w:val="20"/>
                <w:szCs w:val="20"/>
                <w:color w:val="auto"/>
              </w:rPr>
            </w:pPr>
            <w:r>
              <w:rPr>
                <w:rFonts w:ascii="Times New Roman" w:cs="Times New Roman" w:eastAsia="Times New Roman" w:hAnsi="Times New Roman"/>
                <w:sz w:val="16"/>
                <w:szCs w:val="16"/>
                <w:color w:val="0000FF"/>
                <w:w w:val="99"/>
              </w:rPr>
              <w:t>34</w:t>
            </w:r>
          </w:p>
        </w:tc>
      </w:tr>
      <w:tr>
        <w:trPr>
          <w:trHeight w:val="20"/>
        </w:trPr>
        <w:tc>
          <w:tcPr>
            <w:tcW w:w="460" w:type="dxa"/>
            <w:vAlign w:val="bottom"/>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720" w:type="dxa"/>
            <w:vAlign w:val="bottom"/>
            <w:tcBorders>
              <w:left w:val="single" w:sz="8" w:color="0000FF"/>
            </w:tcBorders>
            <w:gridSpan w:val="4"/>
            <w:shd w:val="clear" w:color="auto" w:fill="0000FF"/>
          </w:tcPr>
          <w:p>
            <w:pPr>
              <w:spacing w:after="0" w:line="20" w:lineRule="exact"/>
              <w:rPr>
                <w:sz w:val="1"/>
                <w:szCs w:val="1"/>
                <w:color w:val="auto"/>
              </w:rPr>
            </w:pPr>
          </w:p>
        </w:tc>
        <w:tc>
          <w:tcPr>
            <w:tcW w:w="3420" w:type="dxa"/>
            <w:vAlign w:val="bottom"/>
            <w:gridSpan w:val="7"/>
          </w:tcPr>
          <w:p>
            <w:pPr>
              <w:spacing w:after="0" w:line="20" w:lineRule="exact"/>
              <w:rPr>
                <w:sz w:val="1"/>
                <w:szCs w:val="1"/>
                <w:color w:val="auto"/>
              </w:rPr>
            </w:pPr>
          </w:p>
        </w:tc>
        <w:tc>
          <w:tcPr>
            <w:tcW w:w="17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r>
      <w:tr>
        <w:trPr>
          <w:trHeight w:val="196"/>
        </w:trPr>
        <w:tc>
          <w:tcPr>
            <w:tcW w:w="158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Item 5.</w:t>
            </w:r>
          </w:p>
        </w:tc>
        <w:tc>
          <w:tcPr>
            <w:tcW w:w="7320" w:type="dxa"/>
            <w:vAlign w:val="bottom"/>
            <w:gridSpan w:val="14"/>
          </w:tcPr>
          <w:p>
            <w:pPr>
              <w:spacing w:after="0"/>
              <w:rPr>
                <w:sz w:val="20"/>
                <w:szCs w:val="20"/>
                <w:color w:val="auto"/>
              </w:rPr>
            </w:pPr>
            <w:r>
              <w:rPr>
                <w:rFonts w:ascii="Times New Roman" w:cs="Times New Roman" w:eastAsia="Times New Roman" w:hAnsi="Times New Roman"/>
                <w:sz w:val="16"/>
                <w:szCs w:val="16"/>
                <w:color w:val="0000FF"/>
              </w:rPr>
              <w:t>Other Information</w:t>
            </w:r>
          </w:p>
        </w:tc>
        <w:tc>
          <w:tcPr>
            <w:tcW w:w="2100" w:type="dxa"/>
            <w:vAlign w:val="bottom"/>
            <w:gridSpan w:val="3"/>
          </w:tcPr>
          <w:p>
            <w:pPr>
              <w:jc w:val="center"/>
              <w:ind w:left="1459"/>
              <w:spacing w:after="0"/>
              <w:rPr>
                <w:sz w:val="20"/>
                <w:szCs w:val="20"/>
                <w:color w:val="auto"/>
              </w:rPr>
            </w:pPr>
            <w:r>
              <w:rPr>
                <w:rFonts w:ascii="Times New Roman" w:cs="Times New Roman" w:eastAsia="Times New Roman" w:hAnsi="Times New Roman"/>
                <w:sz w:val="16"/>
                <w:szCs w:val="16"/>
                <w:color w:val="0000FF"/>
                <w:w w:val="99"/>
              </w:rPr>
              <w:t>34</w:t>
            </w:r>
          </w:p>
        </w:tc>
      </w:tr>
      <w:tr>
        <w:trPr>
          <w:trHeight w:val="20"/>
        </w:trPr>
        <w:tc>
          <w:tcPr>
            <w:tcW w:w="460" w:type="dxa"/>
            <w:vAlign w:val="bottom"/>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6140" w:type="dxa"/>
            <w:vAlign w:val="bottom"/>
            <w:gridSpan w:val="11"/>
          </w:tcPr>
          <w:p>
            <w:pPr>
              <w:spacing w:after="0" w:line="20" w:lineRule="exact"/>
              <w:rPr>
                <w:sz w:val="1"/>
                <w:szCs w:val="1"/>
                <w:color w:val="auto"/>
              </w:rPr>
            </w:pPr>
          </w:p>
        </w:tc>
        <w:tc>
          <w:tcPr>
            <w:tcW w:w="17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r>
      <w:tr>
        <w:trPr>
          <w:trHeight w:val="196"/>
        </w:trPr>
        <w:tc>
          <w:tcPr>
            <w:tcW w:w="158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Item 6.</w:t>
            </w:r>
          </w:p>
        </w:tc>
        <w:tc>
          <w:tcPr>
            <w:tcW w:w="7320" w:type="dxa"/>
            <w:vAlign w:val="bottom"/>
            <w:gridSpan w:val="14"/>
          </w:tcPr>
          <w:p>
            <w:pPr>
              <w:spacing w:after="0"/>
              <w:rPr>
                <w:sz w:val="20"/>
                <w:szCs w:val="20"/>
                <w:color w:val="auto"/>
              </w:rPr>
            </w:pPr>
            <w:r>
              <w:rPr>
                <w:rFonts w:ascii="Times New Roman" w:cs="Times New Roman" w:eastAsia="Times New Roman" w:hAnsi="Times New Roman"/>
                <w:sz w:val="16"/>
                <w:szCs w:val="16"/>
                <w:color w:val="0000FF"/>
              </w:rPr>
              <w:t>Exhibits</w:t>
            </w:r>
          </w:p>
        </w:tc>
        <w:tc>
          <w:tcPr>
            <w:tcW w:w="2100" w:type="dxa"/>
            <w:vAlign w:val="bottom"/>
            <w:gridSpan w:val="3"/>
          </w:tcPr>
          <w:p>
            <w:pPr>
              <w:jc w:val="center"/>
              <w:ind w:left="1459"/>
              <w:spacing w:after="0"/>
              <w:rPr>
                <w:sz w:val="20"/>
                <w:szCs w:val="20"/>
                <w:color w:val="auto"/>
              </w:rPr>
            </w:pPr>
            <w:r>
              <w:rPr>
                <w:rFonts w:ascii="Times New Roman" w:cs="Times New Roman" w:eastAsia="Times New Roman" w:hAnsi="Times New Roman"/>
                <w:sz w:val="16"/>
                <w:szCs w:val="16"/>
                <w:color w:val="0000FF"/>
                <w:w w:val="99"/>
              </w:rPr>
              <w:t>35</w:t>
            </w:r>
          </w:p>
        </w:tc>
      </w:tr>
      <w:tr>
        <w:trPr>
          <w:trHeight w:val="20"/>
        </w:trPr>
        <w:tc>
          <w:tcPr>
            <w:tcW w:w="460" w:type="dxa"/>
            <w:vAlign w:val="bottom"/>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7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r>
      <w:tr>
        <w:trPr>
          <w:trHeight w:val="358"/>
        </w:trPr>
        <w:tc>
          <w:tcPr>
            <w:tcW w:w="10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w w:val="98"/>
              </w:rPr>
              <w:t>SIGNATURES</w:t>
            </w: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100" w:type="dxa"/>
            <w:vAlign w:val="bottom"/>
            <w:gridSpan w:val="3"/>
          </w:tcPr>
          <w:p>
            <w:pPr>
              <w:jc w:val="center"/>
              <w:ind w:left="1459"/>
              <w:spacing w:after="0"/>
              <w:rPr>
                <w:sz w:val="20"/>
                <w:szCs w:val="20"/>
                <w:color w:val="auto"/>
              </w:rPr>
            </w:pPr>
            <w:r>
              <w:rPr>
                <w:rFonts w:ascii="Times New Roman" w:cs="Times New Roman" w:eastAsia="Times New Roman" w:hAnsi="Times New Roman"/>
                <w:sz w:val="16"/>
                <w:szCs w:val="16"/>
                <w:color w:val="0000FF"/>
                <w:w w:val="99"/>
              </w:rPr>
              <w:t>35</w:t>
            </w:r>
          </w:p>
        </w:tc>
      </w:tr>
      <w:tr>
        <w:trPr>
          <w:trHeight w:val="20"/>
        </w:trPr>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7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40" w:top="1184" w:right="559" w:bottom="1440" w:gutter="0" w:footer="0" w:header="0"/>
        </w:sectPr>
      </w:pPr>
    </w:p>
    <w:bookmarkStart w:id="2" w:name="page3"/>
    <w:bookmarkEnd w:id="2"/>
    <w:p>
      <w:pPr>
        <w:ind w:right="360"/>
        <w:spacing w:after="0" w:line="282" w:lineRule="auto"/>
        <w:rPr>
          <w:sz w:val="20"/>
          <w:szCs w:val="20"/>
          <w:color w:val="auto"/>
        </w:rPr>
      </w:pPr>
      <w:r>
        <w:rPr>
          <w:rFonts w:ascii="Times New Roman" w:cs="Times New Roman" w:eastAsia="Times New Roman" w:hAnsi="Times New Roman"/>
          <w:sz w:val="18"/>
          <w:szCs w:val="18"/>
          <w:color w:val="auto"/>
        </w:rPr>
        <w:t>Unless the context requires otherwise, references in this Quarterly Report on Form 10-Q (this “Form 10-Q”) to "Option Care Health," the “Company,” “we,” “us” and “our” refer to Option Care Health, Inc. and its consolidated subsidiaries.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0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This Form 10-Q includes forward-looking statements within the meaning of the safe harbor provisions of the U.S. Private Securities Litigation Reform Act of 1995, including, without limitation, statements concerning our expectations regarding industry and macroeconomic trends and our operating performance. Forward-looking statements can be identified by words such as: “anticipate,” “intend,” “plan,” “believe,” “project,” “estimate,” “expect,” “may,” “should,” “will” and similar references to future periods.</w:t>
      </w:r>
    </w:p>
    <w:p>
      <w:pPr>
        <w:spacing w:after="0" w:line="13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Forward-looking statements are neither historical facts nor assurances of future performance. Instead, they are based only on our current beliefs, expectations and assumptions regarding the future of our business, future plans and strategies, projections, anticipated events and trends, the economy and other future conditions. Because forward-looking statements relate to the future, they are subject to inherent uncertainties, risks and changes in circumstances that are difficult to predict and many of which are outside of our control. If any of these risks materialize, or if any of our assumptions underlying forward-looking statements prove incorrect, actual results and developments may differ materially from those made in or suggested by the forward-looking statements contained in this Form 10-Q. Important factors that could cause our actual results and financial condition to differ materially from those indicated in the forward-looking statements include, among others, those set forth in Item 1A, “Risk Factors,” of Part I of our Annual Report on Form 10-K for the year ended December 31, 2023 (our “Form 10-K”) filed with the U.S. Securities and Exchange Commission (the “SEC”). Although we have attempted to identify important risk factors, there may be other risk factors not presently known to us or that we presently believe are not material that could cause actual results and developments to differ materially from those made in or suggested by the forward-looking statements contained in this Form 10-Q. We caution you against relying on any forward-looking statements, which should also be read in conjunction with the other cautionary statements that are included elsewhere in this Form 10-Q. Any forward-looking statement made by us in this Form 10-Q speaks only as of the date hereof. We undertake no obligation to publicly update or to revise any forward-looking statement, whether as a result of new information, future developments or otherwise, except as may be required by law.</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FINANCIAL INFORMATION</w:t>
      </w:r>
    </w:p>
    <w:p>
      <w:pPr>
        <w:spacing w:after="0" w:line="174"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i w:val="1"/>
          <w:iCs w:val="1"/>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CARE HEALTH,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 EXCEPT SHARES AND PER SHARE AMOUNTS)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60" w:type="dxa"/>
            <w:vAlign w:val="bottom"/>
          </w:tcPr>
          <w:p>
            <w:pPr>
              <w:spacing w:after="0"/>
              <w:rPr>
                <w:sz w:val="18"/>
                <w:szCs w:val="18"/>
                <w:color w:val="auto"/>
              </w:rPr>
            </w:pPr>
          </w:p>
        </w:tc>
        <w:tc>
          <w:tcPr>
            <w:tcW w:w="16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10"/>
        </w:trPr>
        <w:tc>
          <w:tcPr>
            <w:tcW w:w="76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(unaudited)</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483,026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343,849</w:t>
            </w: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 net</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428,951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377,658</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Inventories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310,599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274,004</w:t>
            </w:r>
          </w:p>
        </w:tc>
        <w:tc>
          <w:tcPr>
            <w:tcW w:w="0" w:type="dxa"/>
            <w:vAlign w:val="bottom"/>
          </w:tcPr>
          <w:p>
            <w:pPr>
              <w:spacing w:after="0"/>
              <w:rPr>
                <w:sz w:val="1"/>
                <w:szCs w:val="1"/>
                <w:color w:val="auto"/>
              </w:rPr>
            </w:pPr>
          </w:p>
        </w:tc>
      </w:tr>
      <w:tr>
        <w:trPr>
          <w:trHeight w:val="213"/>
        </w:trPr>
        <w:tc>
          <w:tcPr>
            <w:tcW w:w="7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98,798</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98,744</w:t>
            </w: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current assets</w:t>
            </w: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1,321,374</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1,094,255</w:t>
            </w:r>
          </w:p>
        </w:tc>
        <w:tc>
          <w:tcPr>
            <w:tcW w:w="0" w:type="dxa"/>
            <w:vAlign w:val="bottom"/>
          </w:tcPr>
          <w:p>
            <w:pPr>
              <w:spacing w:after="0"/>
              <w:rPr>
                <w:sz w:val="1"/>
                <w:szCs w:val="1"/>
                <w:color w:val="auto"/>
              </w:rPr>
            </w:pPr>
          </w:p>
        </w:tc>
      </w:tr>
      <w:tr>
        <w:trPr>
          <w:trHeight w:val="199"/>
        </w:trPr>
        <w:tc>
          <w:tcPr>
            <w:tcW w:w="7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NONCURRENT ASSETS:</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125,911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120,630</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lease right-of-use asset</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89,210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84,159</w:t>
            </w: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Intangible assets, net</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17,768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20,092</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Referral sources, net</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291,839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315,304</w:t>
            </w: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Goodwill</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1,540,246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1,540,246</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noncurrent assets</w:t>
            </w: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41,379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42,349</w:t>
            </w:r>
          </w:p>
        </w:tc>
        <w:tc>
          <w:tcPr>
            <w:tcW w:w="0" w:type="dxa"/>
            <w:vAlign w:val="bottom"/>
          </w:tcPr>
          <w:p>
            <w:pPr>
              <w:spacing w:after="0"/>
              <w:rPr>
                <w:sz w:val="1"/>
                <w:szCs w:val="1"/>
                <w:color w:val="auto"/>
              </w:rPr>
            </w:pPr>
          </w:p>
        </w:tc>
      </w:tr>
      <w:tr>
        <w:trPr>
          <w:trHeight w:val="207"/>
        </w:trPr>
        <w:tc>
          <w:tcPr>
            <w:tcW w:w="76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noncurrent assets</w:t>
            </w: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2,106,353</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2,122,780</w:t>
            </w:r>
          </w:p>
        </w:tc>
        <w:tc>
          <w:tcPr>
            <w:tcW w:w="0" w:type="dxa"/>
            <w:vAlign w:val="bottom"/>
          </w:tcPr>
          <w:p>
            <w:pPr>
              <w:spacing w:after="0"/>
              <w:rPr>
                <w:sz w:val="1"/>
                <w:szCs w:val="1"/>
                <w:color w:val="auto"/>
              </w:rPr>
            </w:pPr>
          </w:p>
        </w:tc>
      </w:tr>
      <w:tr>
        <w:trPr>
          <w:trHeight w:val="237"/>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3,427,727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3,217,035</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 AND STOCKHOLDERS’ EQUITY</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591,971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426,513</w:t>
            </w: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compensation and employee benefits</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60,835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92,508</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81,893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75,010</w:t>
            </w: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portion of operating lease liability</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22,013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18,278</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w:t>
            </w:r>
          </w:p>
        </w:tc>
        <w:tc>
          <w:tcPr>
            <w:tcW w:w="0" w:type="dxa"/>
            <w:vAlign w:val="bottom"/>
          </w:tcPr>
          <w:p>
            <w:pPr>
              <w:spacing w:after="0"/>
              <w:rPr>
                <w:sz w:val="1"/>
                <w:szCs w:val="1"/>
                <w:color w:val="auto"/>
              </w:rPr>
            </w:pPr>
          </w:p>
        </w:tc>
      </w:tr>
      <w:tr>
        <w:trPr>
          <w:trHeight w:val="207"/>
        </w:trPr>
        <w:tc>
          <w:tcPr>
            <w:tcW w:w="76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763,224</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618,309</w:t>
            </w:r>
          </w:p>
        </w:tc>
        <w:tc>
          <w:tcPr>
            <w:tcW w:w="0" w:type="dxa"/>
            <w:vAlign w:val="bottom"/>
          </w:tcPr>
          <w:p>
            <w:pPr>
              <w:spacing w:after="0"/>
              <w:rPr>
                <w:sz w:val="1"/>
                <w:szCs w:val="1"/>
                <w:color w:val="auto"/>
              </w:rPr>
            </w:pPr>
          </w:p>
        </w:tc>
      </w:tr>
      <w:tr>
        <w:trPr>
          <w:trHeight w:val="199"/>
        </w:trPr>
        <w:tc>
          <w:tcPr>
            <w:tcW w:w="7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NONCURRENT LIABILITIES:</w:t>
            </w: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Long-term debt, net of discount, deferred financing costs and current portion</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1,105,106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1,056,650</w:t>
            </w: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lease liability, net of current portion</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87,879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85,484</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income taxes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45,008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34,920</w:t>
            </w:r>
          </w:p>
        </w:tc>
        <w:tc>
          <w:tcPr>
            <w:tcW w:w="0" w:type="dxa"/>
            <w:vAlign w:val="bottom"/>
          </w:tcPr>
          <w:p>
            <w:pPr>
              <w:spacing w:after="0"/>
              <w:rPr>
                <w:sz w:val="1"/>
                <w:szCs w:val="1"/>
                <w:color w:val="auto"/>
              </w:rPr>
            </w:pPr>
          </w:p>
        </w:tc>
      </w:tr>
      <w:tr>
        <w:trPr>
          <w:trHeight w:val="213"/>
        </w:trPr>
        <w:tc>
          <w:tcPr>
            <w:tcW w:w="7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noncurrent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1,238,272</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1,177,054</w:t>
            </w:r>
          </w:p>
        </w:tc>
        <w:tc>
          <w:tcPr>
            <w:tcW w:w="0" w:type="dxa"/>
            <w:vAlign w:val="bottom"/>
          </w:tcPr>
          <w:p>
            <w:pPr>
              <w:spacing w:after="0"/>
              <w:rPr>
                <w:sz w:val="1"/>
                <w:szCs w:val="1"/>
                <w:color w:val="auto"/>
              </w:rPr>
            </w:pPr>
          </w:p>
        </w:tc>
      </w:tr>
      <w:tr>
        <w:trPr>
          <w:trHeight w:val="207"/>
        </w:trPr>
        <w:tc>
          <w:tcPr>
            <w:tcW w:w="76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liabilities</w:t>
            </w: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2,001,496</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1,795,363</w:t>
            </w:r>
          </w:p>
        </w:tc>
        <w:tc>
          <w:tcPr>
            <w:tcW w:w="0" w:type="dxa"/>
            <w:vAlign w:val="bottom"/>
          </w:tcPr>
          <w:p>
            <w:pPr>
              <w:spacing w:after="0"/>
              <w:rPr>
                <w:sz w:val="1"/>
                <w:szCs w:val="1"/>
                <w:color w:val="auto"/>
              </w:rPr>
            </w:pPr>
          </w:p>
        </w:tc>
      </w:tr>
      <w:tr>
        <w:trPr>
          <w:trHeight w:val="199"/>
        </w:trPr>
        <w:tc>
          <w:tcPr>
            <w:tcW w:w="7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760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Preferred stock; $0.0001 par value; 12,500,000 shares authorized, no shares outstanding as of September 30, 2024</w:t>
            </w:r>
          </w:p>
        </w:tc>
        <w:tc>
          <w:tcPr>
            <w:tcW w:w="160" w:type="dxa"/>
            <w:vAlign w:val="bottom"/>
            <w:shd w:val="clear" w:color="auto" w:fill="CCEEFF"/>
          </w:tcPr>
          <w:p>
            <w:pPr>
              <w:spacing w:after="0"/>
              <w:rPr>
                <w:sz w:val="14"/>
                <w:szCs w:val="14"/>
                <w:color w:val="auto"/>
              </w:rPr>
            </w:pPr>
          </w:p>
        </w:tc>
        <w:tc>
          <w:tcPr>
            <w:tcW w:w="17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and December 31, 2023</w:t>
            </w:r>
          </w:p>
        </w:tc>
        <w:tc>
          <w:tcPr>
            <w:tcW w:w="160" w:type="dxa"/>
            <w:vAlign w:val="bottom"/>
            <w:shd w:val="clear" w:color="auto" w:fill="CCEEFF"/>
          </w:tcPr>
          <w:p>
            <w:pPr>
              <w:spacing w:after="0"/>
              <w:rPr>
                <w:sz w:val="18"/>
                <w:szCs w:val="18"/>
                <w:color w:val="auto"/>
              </w:rPr>
            </w:pPr>
          </w:p>
        </w:tc>
        <w:tc>
          <w:tcPr>
            <w:tcW w:w="17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60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Common stock; $0.0001 par value: 250,000,000 shares authorized, 183,793,536 shares issued and 170,146,331</w:t>
            </w: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0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shares outstanding as of September 30, 2024; 182,905,559 shares issued and 174,575,537 shares outstanding as of</w:t>
            </w:r>
          </w:p>
        </w:tc>
        <w:tc>
          <w:tcPr>
            <w:tcW w:w="160" w:type="dxa"/>
            <w:vAlign w:val="bottom"/>
          </w:tcPr>
          <w:p>
            <w:pPr>
              <w:spacing w:after="0"/>
              <w:rPr>
                <w:sz w:val="14"/>
                <w:szCs w:val="14"/>
                <w:color w:val="auto"/>
              </w:rPr>
            </w:pP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December 31, 2023</w:t>
            </w:r>
          </w:p>
        </w:tc>
        <w:tc>
          <w:tcPr>
            <w:tcW w:w="160" w:type="dxa"/>
            <w:vAlign w:val="bottom"/>
          </w:tcPr>
          <w:p>
            <w:pPr>
              <w:spacing w:after="0"/>
              <w:rPr>
                <w:sz w:val="18"/>
                <w:szCs w:val="18"/>
                <w:color w:val="auto"/>
              </w:rPr>
            </w:pPr>
          </w:p>
        </w:tc>
        <w:tc>
          <w:tcPr>
            <w:tcW w:w="16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760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Treasury stock; 13,647,205 and 8,330,022 shares outstanding, at cost, as of September 30, 2024 and December 31,</w:t>
            </w:r>
          </w:p>
        </w:tc>
        <w:tc>
          <w:tcPr>
            <w:tcW w:w="160" w:type="dxa"/>
            <w:vAlign w:val="bottom"/>
            <w:shd w:val="clear" w:color="auto" w:fill="CCEEFF"/>
          </w:tcPr>
          <w:p>
            <w:pPr>
              <w:spacing w:after="0"/>
              <w:rPr>
                <w:sz w:val="14"/>
                <w:szCs w:val="14"/>
                <w:color w:val="auto"/>
              </w:rPr>
            </w:pPr>
          </w:p>
        </w:tc>
        <w:tc>
          <w:tcPr>
            <w:tcW w:w="1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(416,552)</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(255,107)</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2023, respectively</w:t>
            </w:r>
          </w:p>
        </w:tc>
        <w:tc>
          <w:tcPr>
            <w:tcW w:w="160" w:type="dxa"/>
            <w:vAlign w:val="bottom"/>
            <w:shd w:val="clear" w:color="auto" w:fill="CCEEFF"/>
          </w:tcPr>
          <w:p>
            <w:pPr>
              <w:spacing w:after="0"/>
              <w:rPr>
                <w:sz w:val="18"/>
                <w:szCs w:val="18"/>
                <w:color w:val="auto"/>
              </w:rPr>
            </w:pPr>
          </w:p>
        </w:tc>
        <w:tc>
          <w:tcPr>
            <w:tcW w:w="16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Paid-in capital</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1,224,059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1,204,270</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609,203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457,513</w:t>
            </w:r>
          </w:p>
        </w:tc>
        <w:tc>
          <w:tcPr>
            <w:tcW w:w="0" w:type="dxa"/>
            <w:vAlign w:val="bottom"/>
          </w:tcPr>
          <w:p>
            <w:pPr>
              <w:spacing w:after="0"/>
              <w:rPr>
                <w:sz w:val="1"/>
                <w:szCs w:val="1"/>
                <w:color w:val="auto"/>
              </w:rPr>
            </w:pPr>
          </w:p>
        </w:tc>
      </w:tr>
      <w:tr>
        <w:trPr>
          <w:trHeight w:val="213"/>
        </w:trPr>
        <w:tc>
          <w:tcPr>
            <w:tcW w:w="7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9,503</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14,978</w:t>
            </w:r>
          </w:p>
        </w:tc>
        <w:tc>
          <w:tcPr>
            <w:tcW w:w="0" w:type="dxa"/>
            <w:vAlign w:val="bottom"/>
          </w:tcPr>
          <w:p>
            <w:pPr>
              <w:spacing w:after="0"/>
              <w:rPr>
                <w:sz w:val="1"/>
                <w:szCs w:val="1"/>
                <w:color w:val="auto"/>
              </w:rPr>
            </w:pPr>
          </w:p>
        </w:tc>
      </w:tr>
      <w:tr>
        <w:trPr>
          <w:trHeight w:val="209"/>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1,426,231</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1,421,672</w:t>
            </w:r>
          </w:p>
        </w:tc>
        <w:tc>
          <w:tcPr>
            <w:tcW w:w="0" w:type="dxa"/>
            <w:vAlign w:val="bottom"/>
          </w:tcPr>
          <w:p>
            <w:pPr>
              <w:spacing w:after="0"/>
              <w:rPr>
                <w:sz w:val="1"/>
                <w:szCs w:val="1"/>
                <w:color w:val="auto"/>
              </w:rPr>
            </w:pPr>
          </w:p>
        </w:tc>
      </w:tr>
      <w:tr>
        <w:trPr>
          <w:trHeight w:val="212"/>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3,427,727</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3,217,035</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notes to unaudited condensed consolidated financial statements are an integral part of these statements.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CARE HEALTH, INC.</w:t>
      </w:r>
    </w:p>
    <w:p>
      <w:pPr>
        <w:spacing w:after="0" w:line="31" w:lineRule="exact"/>
        <w:rPr>
          <w:sz w:val="20"/>
          <w:szCs w:val="20"/>
          <w:color w:val="auto"/>
        </w:rPr>
      </w:pPr>
    </w:p>
    <w:p>
      <w:pPr>
        <w:ind w:right="3480"/>
        <w:spacing w:after="0" w:line="260" w:lineRule="auto"/>
        <w:rPr>
          <w:sz w:val="20"/>
          <w:szCs w:val="20"/>
          <w:color w:val="auto"/>
        </w:rPr>
      </w:pPr>
      <w:r>
        <w:rPr>
          <w:rFonts w:ascii="Times New Roman" w:cs="Times New Roman" w:eastAsia="Times New Roman" w:hAnsi="Times New Roman"/>
          <w:sz w:val="18"/>
          <w:szCs w:val="18"/>
          <w:b w:val="1"/>
          <w:bCs w:val="1"/>
          <w:color w:val="auto"/>
        </w:rPr>
        <w:t>UNAUDITED CONDENSED CONSOLIDATED STATEMENTS OF COMPREHENSIVE INCOME (IN THOUSANDS, EXCEPT PER SHARE AMOUNTS)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60" w:type="dxa"/>
            <w:vAlign w:val="bottom"/>
          </w:tcPr>
          <w:p>
            <w:pPr>
              <w:spacing w:after="0"/>
              <w:rPr>
                <w:sz w:val="18"/>
                <w:szCs w:val="18"/>
                <w:color w:val="auto"/>
              </w:rPr>
            </w:pPr>
          </w:p>
        </w:tc>
        <w:tc>
          <w:tcPr>
            <w:tcW w:w="2680" w:type="dxa"/>
            <w:vAlign w:val="bottom"/>
            <w:gridSpan w:val="4"/>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11"/>
        </w:trPr>
        <w:tc>
          <w:tcPr>
            <w:tcW w:w="54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1"/>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1,278,546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1,093,014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3,651,784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3,177,934</w:t>
            </w:r>
          </w:p>
        </w:tc>
        <w:tc>
          <w:tcPr>
            <w:tcW w:w="0" w:type="dxa"/>
            <w:vAlign w:val="bottom"/>
          </w:tcPr>
          <w:p>
            <w:pPr>
              <w:spacing w:after="0"/>
              <w:rPr>
                <w:sz w:val="1"/>
                <w:szCs w:val="1"/>
                <w:color w:val="auto"/>
              </w:rPr>
            </w:pPr>
          </w:p>
        </w:tc>
      </w:tr>
      <w:tr>
        <w:trPr>
          <w:trHeight w:val="213"/>
        </w:trPr>
        <w:tc>
          <w:tcPr>
            <w:tcW w:w="5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1,021,797</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838,748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2,907,170</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2,443,834</w:t>
            </w:r>
          </w:p>
        </w:tc>
        <w:tc>
          <w:tcPr>
            <w:tcW w:w="0" w:type="dxa"/>
            <w:vAlign w:val="bottom"/>
          </w:tcPr>
          <w:p>
            <w:pPr>
              <w:spacing w:after="0"/>
              <w:rPr>
                <w:sz w:val="1"/>
                <w:szCs w:val="1"/>
                <w:color w:val="auto"/>
              </w:rPr>
            </w:pPr>
          </w:p>
        </w:tc>
      </w:tr>
      <w:tr>
        <w:trPr>
          <w:trHeight w:val="212"/>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256,749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254,266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744,614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734,100</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COSTS AND EXPENSES:</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156,999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158,214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465,524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459,644</w:t>
            </w:r>
          </w:p>
        </w:tc>
        <w:tc>
          <w:tcPr>
            <w:tcW w:w="0" w:type="dxa"/>
            <w:vAlign w:val="bottom"/>
          </w:tcPr>
          <w:p>
            <w:pPr>
              <w:spacing w:after="0"/>
              <w:rPr>
                <w:sz w:val="1"/>
                <w:szCs w:val="1"/>
                <w:color w:val="auto"/>
              </w:rPr>
            </w:pPr>
          </w:p>
        </w:tc>
      </w:tr>
      <w:tr>
        <w:trPr>
          <w:trHeight w:val="219"/>
        </w:trPr>
        <w:tc>
          <w:tcPr>
            <w:tcW w:w="5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14,659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44,294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44,417</w:t>
            </w:r>
          </w:p>
        </w:tc>
        <w:tc>
          <w:tcPr>
            <w:tcW w:w="0" w:type="dxa"/>
            <w:vAlign w:val="bottom"/>
          </w:tcPr>
          <w:p>
            <w:pPr>
              <w:spacing w:after="0"/>
              <w:rPr>
                <w:sz w:val="1"/>
                <w:szCs w:val="1"/>
                <w:color w:val="auto"/>
              </w:rPr>
            </w:pPr>
          </w:p>
        </w:tc>
      </w:tr>
      <w:tr>
        <w:trPr>
          <w:trHeight w:val="207"/>
        </w:trPr>
        <w:tc>
          <w:tcPr>
            <w:tcW w:w="54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171,658</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173,219</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509,818</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504,061</w:t>
            </w:r>
          </w:p>
        </w:tc>
        <w:tc>
          <w:tcPr>
            <w:tcW w:w="0" w:type="dxa"/>
            <w:vAlign w:val="bottom"/>
          </w:tcPr>
          <w:p>
            <w:pPr>
              <w:spacing w:after="0"/>
              <w:rPr>
                <w:sz w:val="1"/>
                <w:szCs w:val="1"/>
                <w:color w:val="auto"/>
              </w:rPr>
            </w:pPr>
          </w:p>
        </w:tc>
      </w:tr>
      <w:tr>
        <w:trPr>
          <w:trHeight w:val="210"/>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85,091</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81,047</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234,796</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230,039</w:t>
            </w:r>
          </w:p>
        </w:tc>
        <w:tc>
          <w:tcPr>
            <w:tcW w:w="0" w:type="dxa"/>
            <w:vAlign w:val="bottom"/>
          </w:tcPr>
          <w:p>
            <w:pPr>
              <w:spacing w:after="0"/>
              <w:rPr>
                <w:sz w:val="1"/>
                <w:szCs w:val="1"/>
                <w:color w:val="auto"/>
              </w:rPr>
            </w:pPr>
          </w:p>
        </w:tc>
      </w:tr>
      <w:tr>
        <w:trPr>
          <w:trHeight w:val="199"/>
        </w:trPr>
        <w:tc>
          <w:tcPr>
            <w:tcW w:w="5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 net</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(12,345)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(11,786)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(38,150)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(38,816)</w:t>
            </w:r>
          </w:p>
        </w:tc>
        <w:tc>
          <w:tcPr>
            <w:tcW w:w="0" w:type="dxa"/>
            <w:vAlign w:val="bottom"/>
          </w:tcPr>
          <w:p>
            <w:pPr>
              <w:spacing w:after="0"/>
              <w:rPr>
                <w:sz w:val="1"/>
                <w:szCs w:val="1"/>
                <w:color w:val="auto"/>
              </w:rPr>
            </w:pPr>
          </w:p>
        </w:tc>
      </w:tr>
      <w:tr>
        <w:trPr>
          <w:trHeight w:val="219"/>
        </w:trPr>
        <w:tc>
          <w:tcPr>
            <w:tcW w:w="5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Equity in earnings of joint ventures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4,107</w:t>
            </w:r>
          </w:p>
        </w:tc>
        <w:tc>
          <w:tcPr>
            <w:tcW w:w="0" w:type="dxa"/>
            <w:vAlign w:val="bottom"/>
          </w:tcPr>
          <w:p>
            <w:pPr>
              <w:spacing w:after="0"/>
              <w:rPr>
                <w:sz w:val="1"/>
                <w:szCs w:val="1"/>
                <w:color w:val="auto"/>
              </w:rPr>
            </w:pPr>
          </w:p>
        </w:tc>
      </w:tr>
      <w:tr>
        <w:trPr>
          <w:trHeight w:val="213"/>
        </w:trPr>
        <w:tc>
          <w:tcPr>
            <w:tcW w:w="54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net</w:t>
            </w: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(583)</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1,983</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84,487</w:t>
            </w:r>
          </w:p>
        </w:tc>
        <w:tc>
          <w:tcPr>
            <w:tcW w:w="0" w:type="dxa"/>
            <w:vAlign w:val="bottom"/>
          </w:tcPr>
          <w:p>
            <w:pPr>
              <w:spacing w:after="0"/>
              <w:rPr>
                <w:sz w:val="1"/>
                <w:szCs w:val="1"/>
                <w:color w:val="auto"/>
              </w:rPr>
            </w:pPr>
          </w:p>
        </w:tc>
      </w:tr>
      <w:tr>
        <w:trPr>
          <w:trHeight w:val="209"/>
        </w:trPr>
        <w:tc>
          <w:tcPr>
            <w:tcW w:w="5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other (expense) income</w:t>
            </w: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(11,537)</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(10,962)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(32,246)</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49,778</w:t>
            </w:r>
          </w:p>
        </w:tc>
        <w:tc>
          <w:tcPr>
            <w:tcW w:w="0" w:type="dxa"/>
            <w:vAlign w:val="bottom"/>
          </w:tcPr>
          <w:p>
            <w:pPr>
              <w:spacing w:after="0"/>
              <w:rPr>
                <w:sz w:val="1"/>
                <w:szCs w:val="1"/>
                <w:color w:val="auto"/>
              </w:rPr>
            </w:pPr>
          </w:p>
        </w:tc>
      </w:tr>
      <w:tr>
        <w:trPr>
          <w:trHeight w:val="199"/>
        </w:trPr>
        <w:tc>
          <w:tcPr>
            <w:tcW w:w="5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73,554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70,085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202,550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279,817</w:t>
            </w:r>
          </w:p>
        </w:tc>
        <w:tc>
          <w:tcPr>
            <w:tcW w:w="0" w:type="dxa"/>
            <w:vAlign w:val="bottom"/>
          </w:tcPr>
          <w:p>
            <w:pPr>
              <w:spacing w:after="0"/>
              <w:rPr>
                <w:sz w:val="1"/>
                <w:szCs w:val="1"/>
                <w:color w:val="auto"/>
              </w:rPr>
            </w:pPr>
          </w:p>
        </w:tc>
      </w:tr>
      <w:tr>
        <w:trPr>
          <w:trHeight w:val="213"/>
        </w:trPr>
        <w:tc>
          <w:tcPr>
            <w:tcW w:w="5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19,698</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13,783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50,860</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69,904</w:t>
            </w:r>
          </w:p>
        </w:tc>
        <w:tc>
          <w:tcPr>
            <w:tcW w:w="0" w:type="dxa"/>
            <w:vAlign w:val="bottom"/>
          </w:tcPr>
          <w:p>
            <w:pPr>
              <w:spacing w:after="0"/>
              <w:rPr>
                <w:sz w:val="1"/>
                <w:szCs w:val="1"/>
                <w:color w:val="auto"/>
              </w:rPr>
            </w:pPr>
          </w:p>
        </w:tc>
      </w:tr>
      <w:tr>
        <w:trPr>
          <w:trHeight w:val="237"/>
        </w:trPr>
        <w:tc>
          <w:tcPr>
            <w:tcW w:w="5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53,856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56,302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151,690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209,913</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 INCOME, NET OF TAX:</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46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Change in unrealized (loss) gain on cash flow hedges, net of income tax benefit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(6,127)</w:t>
            </w:r>
          </w:p>
        </w:tc>
        <w:tc>
          <w:tcPr>
            <w:tcW w:w="120" w:type="dxa"/>
            <w:vAlign w:val="bottom"/>
          </w:tcPr>
          <w:p>
            <w:pPr>
              <w:spacing w:after="0"/>
              <w:rPr>
                <w:sz w:val="14"/>
                <w:szCs w:val="14"/>
                <w:color w:val="auto"/>
              </w:rPr>
            </w:pPr>
          </w:p>
        </w:tc>
        <w:tc>
          <w:tcPr>
            <w:tcW w:w="30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(5,475)</w:t>
            </w:r>
          </w:p>
        </w:tc>
        <w:tc>
          <w:tcPr>
            <w:tcW w:w="120" w:type="dxa"/>
            <w:vAlign w:val="bottom"/>
          </w:tcPr>
          <w:p>
            <w:pPr>
              <w:spacing w:after="0"/>
              <w:rPr>
                <w:sz w:val="14"/>
                <w:szCs w:val="14"/>
                <w:color w:val="auto"/>
              </w:rPr>
            </w:pPr>
          </w:p>
        </w:tc>
        <w:tc>
          <w:tcPr>
            <w:tcW w:w="30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0" w:type="dxa"/>
            <w:vAlign w:val="bottom"/>
          </w:tcPr>
          <w:p>
            <w:pPr>
              <w:spacing w:after="0"/>
              <w:rPr>
                <w:sz w:val="1"/>
                <w:szCs w:val="1"/>
                <w:color w:val="auto"/>
              </w:rPr>
            </w:pPr>
          </w:p>
        </w:tc>
      </w:tr>
      <w:tr>
        <w:trPr>
          <w:trHeight w:val="213"/>
        </w:trPr>
        <w:tc>
          <w:tcPr>
            <w:tcW w:w="54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of $1,998, $8, $1,785 and $57, respectively</w:t>
            </w:r>
          </w:p>
        </w:tc>
        <w:tc>
          <w:tcPr>
            <w:tcW w:w="140" w:type="dxa"/>
            <w:vAlign w:val="bottom"/>
            <w:tcBorders>
              <w:bottom w:val="single" w:sz="8" w:color="auto"/>
            </w:tcBorders>
            <w:vMerge w:val="continue"/>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 INCOME</w:t>
            </w: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(6,127)</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(5,475)</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0" w:type="dxa"/>
            <w:vAlign w:val="bottom"/>
          </w:tcPr>
          <w:p>
            <w:pPr>
              <w:spacing w:after="0"/>
              <w:rPr>
                <w:sz w:val="1"/>
                <w:szCs w:val="1"/>
                <w:color w:val="auto"/>
              </w:rPr>
            </w:pPr>
          </w:p>
        </w:tc>
      </w:tr>
      <w:tr>
        <w:trPr>
          <w:trHeight w:val="212"/>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COMPREHENSIVE INCOME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47,729</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56,355</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146,215</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209,814</w:t>
            </w:r>
          </w:p>
        </w:tc>
        <w:tc>
          <w:tcPr>
            <w:tcW w:w="0" w:type="dxa"/>
            <w:vAlign w:val="bottom"/>
          </w:tcPr>
          <w:p>
            <w:pPr>
              <w:spacing w:after="0"/>
              <w:rPr>
                <w:sz w:val="1"/>
                <w:szCs w:val="1"/>
                <w:color w:val="auto"/>
              </w:rPr>
            </w:pPr>
          </w:p>
        </w:tc>
      </w:tr>
      <w:tr>
        <w:trPr>
          <w:trHeight w:val="20"/>
        </w:trPr>
        <w:tc>
          <w:tcPr>
            <w:tcW w:w="54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EARNINGS PER COMMON SHARE:</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54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Earnings per share, basic</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0.32</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0.88</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Earnings per share, diluted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0.31</w:t>
            </w:r>
          </w:p>
        </w:tc>
        <w:tc>
          <w:tcPr>
            <w:tcW w:w="120" w:type="dxa"/>
            <w:vAlign w:val="bottom"/>
          </w:tcPr>
          <w:p>
            <w:pPr>
              <w:spacing w:after="0"/>
              <w:rPr>
                <w:sz w:val="16"/>
                <w:szCs w:val="16"/>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0.31</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0.87</w:t>
            </w:r>
          </w:p>
        </w:tc>
        <w:tc>
          <w:tcPr>
            <w:tcW w:w="120" w:type="dxa"/>
            <w:vAlign w:val="bottom"/>
          </w:tcPr>
          <w:p>
            <w:pPr>
              <w:spacing w:after="0"/>
              <w:rPr>
                <w:sz w:val="16"/>
                <w:szCs w:val="16"/>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0" w:type="dxa"/>
            <w:vAlign w:val="bottom"/>
          </w:tcPr>
          <w:p>
            <w:pPr>
              <w:spacing w:after="0"/>
              <w:rPr>
                <w:sz w:val="1"/>
                <w:szCs w:val="1"/>
                <w:color w:val="auto"/>
              </w:rPr>
            </w:pPr>
          </w:p>
        </w:tc>
      </w:tr>
      <w:tr>
        <w:trPr>
          <w:trHeight w:val="20"/>
        </w:trPr>
        <w:tc>
          <w:tcPr>
            <w:tcW w:w="54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 basic</w:t>
            </w: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170,636</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178,826</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172,490</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179,956</w:t>
            </w:r>
          </w:p>
        </w:tc>
        <w:tc>
          <w:tcPr>
            <w:tcW w:w="0" w:type="dxa"/>
            <w:vAlign w:val="bottom"/>
          </w:tcPr>
          <w:p>
            <w:pPr>
              <w:spacing w:after="0"/>
              <w:rPr>
                <w:sz w:val="1"/>
                <w:szCs w:val="1"/>
                <w:color w:val="auto"/>
              </w:rPr>
            </w:pPr>
          </w:p>
        </w:tc>
      </w:tr>
      <w:tr>
        <w:trPr>
          <w:trHeight w:val="20"/>
        </w:trPr>
        <w:tc>
          <w:tcPr>
            <w:tcW w:w="54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 diluted</w:t>
            </w:r>
          </w:p>
        </w:tc>
        <w:tc>
          <w:tcPr>
            <w:tcW w:w="1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171,941</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180,528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173,848</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181,286</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notes to unaudited condensed consolidated financial statements are an integral part of these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CARE HEALTH, INC.</w:t>
      </w:r>
    </w:p>
    <w:p>
      <w:pPr>
        <w:spacing w:after="0" w:line="31" w:lineRule="exact"/>
        <w:rPr>
          <w:sz w:val="20"/>
          <w:szCs w:val="20"/>
          <w:color w:val="auto"/>
        </w:rPr>
      </w:pPr>
    </w:p>
    <w:p>
      <w:pPr>
        <w:ind w:right="4700"/>
        <w:spacing w:after="0" w:line="260" w:lineRule="auto"/>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 (IN THOUSANDS)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00" w:type="dxa"/>
            <w:vAlign w:val="bottom"/>
          </w:tcPr>
          <w:p>
            <w:pPr>
              <w:spacing w:after="0"/>
              <w:rPr>
                <w:sz w:val="18"/>
                <w:szCs w:val="18"/>
                <w:color w:val="auto"/>
              </w:rPr>
            </w:pPr>
          </w:p>
        </w:tc>
        <w:tc>
          <w:tcPr>
            <w:tcW w:w="3640" w:type="dxa"/>
            <w:vAlign w:val="bottom"/>
            <w:tcBorders>
              <w:bottom w:val="single" w:sz="8" w:color="auto"/>
            </w:tcBorders>
            <w:gridSpan w:val="5"/>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76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8"/>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10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1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080" w:type="dxa"/>
            <w:vAlign w:val="bottom"/>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151,690</w:t>
            </w:r>
          </w:p>
        </w:tc>
        <w:tc>
          <w:tcPr>
            <w:tcW w:w="12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209,913</w:t>
            </w: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operations: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3"/>
        </w:trPr>
        <w:tc>
          <w:tcPr>
            <w:tcW w:w="7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46,029</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46,423</w:t>
            </w:r>
          </w:p>
        </w:tc>
      </w:tr>
      <w:tr>
        <w:trPr>
          <w:trHeight w:val="219"/>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Non-cash operating lease costs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17,892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14,610</w:t>
            </w:r>
          </w:p>
        </w:tc>
      </w:tr>
      <w:tr>
        <w:trPr>
          <w:trHeight w:val="213"/>
        </w:trPr>
        <w:tc>
          <w:tcPr>
            <w:tcW w:w="7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income taxes - net</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10,088</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11,767</w:t>
            </w:r>
          </w:p>
        </w:tc>
      </w:tr>
      <w:tr>
        <w:trPr>
          <w:trHeight w:val="219"/>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3,312</w:t>
            </w:r>
          </w:p>
        </w:tc>
      </w:tr>
      <w:tr>
        <w:trPr>
          <w:trHeight w:val="219"/>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Equity in earnings of joint ventures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(4,107)</w:t>
            </w:r>
          </w:p>
        </w:tc>
      </w:tr>
      <w:tr>
        <w:trPr>
          <w:trHeight w:val="213"/>
        </w:trPr>
        <w:tc>
          <w:tcPr>
            <w:tcW w:w="7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Stock-based incentive compensation expense</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27,620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22,908</w:t>
            </w:r>
          </w:p>
        </w:tc>
      </w:tr>
      <w:tr>
        <w:trPr>
          <w:trHeight w:val="219"/>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Capital distribution from equity method investments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w:t>
            </w:r>
          </w:p>
        </w:tc>
      </w:tr>
      <w:tr>
        <w:trPr>
          <w:trHeight w:val="213"/>
        </w:trPr>
        <w:tc>
          <w:tcPr>
            <w:tcW w:w="7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adjustments</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1,769</w:t>
            </w:r>
          </w:p>
        </w:tc>
      </w:tr>
      <w:tr>
        <w:trPr>
          <w:trHeight w:val="219"/>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3"/>
        </w:trPr>
        <w:tc>
          <w:tcPr>
            <w:tcW w:w="7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Accounts receivable, net</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(51,293)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(5,075)</w:t>
            </w:r>
          </w:p>
        </w:tc>
      </w:tr>
      <w:tr>
        <w:trPr>
          <w:trHeight w:val="21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Inventories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(36,595)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(28,362)</w:t>
            </w:r>
          </w:p>
        </w:tc>
      </w:tr>
      <w:tr>
        <w:trPr>
          <w:trHeight w:val="213"/>
        </w:trPr>
        <w:tc>
          <w:tcPr>
            <w:tcW w:w="7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3,197</w:t>
            </w:r>
          </w:p>
        </w:tc>
      </w:tr>
      <w:tr>
        <w:trPr>
          <w:trHeight w:val="21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payable</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164,754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50,726</w:t>
            </w:r>
          </w:p>
        </w:tc>
      </w:tr>
      <w:tr>
        <w:trPr>
          <w:trHeight w:val="213"/>
        </w:trPr>
        <w:tc>
          <w:tcPr>
            <w:tcW w:w="7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Accrued compensation and employee benefits</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(31,673)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4,197</w:t>
            </w:r>
          </w:p>
        </w:tc>
      </w:tr>
      <w:tr>
        <w:trPr>
          <w:trHeight w:val="21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9,829</w:t>
            </w:r>
          </w:p>
        </w:tc>
      </w:tr>
      <w:tr>
        <w:trPr>
          <w:trHeight w:val="213"/>
        </w:trPr>
        <w:tc>
          <w:tcPr>
            <w:tcW w:w="7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(16,833)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(13,019)</w:t>
            </w:r>
          </w:p>
        </w:tc>
      </w:tr>
      <w:tr>
        <w:trPr>
          <w:trHeight w:val="21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noncurrent assets and liabilities</w:t>
            </w:r>
          </w:p>
        </w:tc>
        <w:tc>
          <w:tcPr>
            <w:tcW w:w="10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3,880</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(11,762)</w:t>
            </w:r>
          </w:p>
        </w:tc>
      </w:tr>
      <w:tr>
        <w:trPr>
          <w:trHeight w:val="207"/>
        </w:trPr>
        <w:tc>
          <w:tcPr>
            <w:tcW w:w="76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0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287,270</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320,326</w:t>
            </w:r>
          </w:p>
        </w:tc>
      </w:tr>
      <w:tr>
        <w:trPr>
          <w:trHeight w:val="199"/>
        </w:trPr>
        <w:tc>
          <w:tcPr>
            <w:tcW w:w="76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1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Acquisition of property and equipment</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(25,266)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(21,981)</w:t>
            </w:r>
          </w:p>
        </w:tc>
      </w:tr>
      <w:tr>
        <w:trPr>
          <w:trHeight w:val="21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Business acquisitions, net of cash acquired</w:t>
            </w:r>
          </w:p>
        </w:tc>
        <w:tc>
          <w:tcPr>
            <w:tcW w:w="10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(12,855)</w:t>
            </w: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10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(5,889)</w:t>
            </w:r>
          </w:p>
        </w:tc>
      </w:tr>
      <w:tr>
        <w:trPr>
          <w:trHeight w:val="207"/>
        </w:trPr>
        <w:tc>
          <w:tcPr>
            <w:tcW w:w="76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0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(25,266)</w:t>
            </w:r>
          </w:p>
        </w:tc>
        <w:tc>
          <w:tcPr>
            <w:tcW w:w="120" w:type="dxa"/>
            <w:vAlign w:val="bottom"/>
            <w:tcBorders>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(40,725)</w:t>
            </w:r>
          </w:p>
        </w:tc>
      </w:tr>
      <w:tr>
        <w:trPr>
          <w:trHeight w:val="199"/>
        </w:trPr>
        <w:tc>
          <w:tcPr>
            <w:tcW w:w="76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1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Stock-based compensation tax withholdings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(11,235)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(1,940)</w:t>
            </w:r>
          </w:p>
        </w:tc>
      </w:tr>
      <w:tr>
        <w:trPr>
          <w:trHeight w:val="21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Repayments of debt principal</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(4,500)</w:t>
            </w: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issuance of debt</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49,959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financing costs</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 of company stock</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(160,122)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(175,108)</w:t>
            </w:r>
          </w:p>
        </w:tc>
      </w:tr>
      <w:tr>
        <w:trPr>
          <w:trHeight w:val="213"/>
        </w:trPr>
        <w:tc>
          <w:tcPr>
            <w:tcW w:w="7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10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3,404</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(5,750)</w:t>
            </w:r>
          </w:p>
        </w:tc>
      </w:tr>
      <w:tr>
        <w:trPr>
          <w:trHeight w:val="210"/>
        </w:trPr>
        <w:tc>
          <w:tcPr>
            <w:tcW w:w="76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0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(122,827)</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(187,298)</w:t>
            </w:r>
          </w:p>
        </w:tc>
      </w:tr>
      <w:tr>
        <w:trPr>
          <w:trHeight w:val="239"/>
        </w:trPr>
        <w:tc>
          <w:tcPr>
            <w:tcW w:w="76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INCREASE IN CASH AND CASH EQUIVALENTS</w:t>
            </w: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139,177</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92,303</w:t>
            </w:r>
          </w:p>
        </w:tc>
      </w:tr>
      <w:tr>
        <w:trPr>
          <w:trHeight w:val="213"/>
        </w:trPr>
        <w:tc>
          <w:tcPr>
            <w:tcW w:w="7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Cash and cash equivalents - beginning of the period</w:t>
            </w:r>
          </w:p>
        </w:tc>
        <w:tc>
          <w:tcPr>
            <w:tcW w:w="10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343,849</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294,186</w:t>
            </w:r>
          </w:p>
        </w:tc>
      </w:tr>
      <w:tr>
        <w:trPr>
          <w:trHeight w:val="237"/>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 END OF PERIOD</w:t>
            </w: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483,026</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386,489</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Supplemental disclosure of cash flow information:</w:t>
            </w: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paid for interest</w:t>
            </w:r>
          </w:p>
        </w:tc>
        <w:tc>
          <w:tcPr>
            <w:tcW w:w="1080" w:type="dxa"/>
            <w:vAlign w:val="bottom"/>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48,666</w:t>
            </w:r>
          </w:p>
        </w:tc>
        <w:tc>
          <w:tcPr>
            <w:tcW w:w="12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46,377</w:t>
            </w: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45,258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53,699</w:t>
            </w:r>
          </w:p>
        </w:tc>
      </w:tr>
      <w:tr>
        <w:trPr>
          <w:trHeight w:val="210"/>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paid for operating leases</w:t>
            </w:r>
          </w:p>
        </w:tc>
        <w:tc>
          <w:tcPr>
            <w:tcW w:w="1080" w:type="dxa"/>
            <w:vAlign w:val="bottom"/>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21,861</w:t>
            </w:r>
          </w:p>
        </w:tc>
        <w:tc>
          <w:tcPr>
            <w:tcW w:w="12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20,272</w:t>
            </w:r>
          </w:p>
        </w:tc>
      </w:tr>
    </w:tbl>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notes to unaudited condensed consolidated financial statements are an integral part of these statements.</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CARE HEALTH, INC.</w:t>
      </w:r>
    </w:p>
    <w:p>
      <w:pPr>
        <w:spacing w:after="0" w:line="31" w:lineRule="exact"/>
        <w:rPr>
          <w:sz w:val="20"/>
          <w:szCs w:val="20"/>
          <w:color w:val="auto"/>
        </w:rPr>
      </w:pPr>
    </w:p>
    <w:p>
      <w:pPr>
        <w:ind w:right="3540"/>
        <w:spacing w:after="0" w:line="260" w:lineRule="auto"/>
        <w:rPr>
          <w:sz w:val="20"/>
          <w:szCs w:val="20"/>
          <w:color w:val="auto"/>
        </w:rPr>
      </w:pPr>
      <w:r>
        <w:rPr>
          <w:rFonts w:ascii="Times New Roman" w:cs="Times New Roman" w:eastAsia="Times New Roman" w:hAnsi="Times New Roman"/>
          <w:sz w:val="18"/>
          <w:szCs w:val="18"/>
          <w:b w:val="1"/>
          <w:bCs w:val="1"/>
          <w:color w:val="auto"/>
        </w:rPr>
        <w:t>UNAUDITED CONDENSED CONSOLIDATED STATEMENTS OF STOCKHOLDERS’ EQUITY (IN THOUSANDS)</w:t>
      </w:r>
    </w:p>
    <w:tbl>
      <w:tblPr>
        <w:tblLayout w:type="fixed"/>
        <w:tblInd w:w="40" w:type="dxa"/>
        <w:tblCellMar>
          <w:top w:w="0" w:type="dxa"/>
          <w:left w:w="0" w:type="dxa"/>
          <w:bottom w:w="0" w:type="dxa"/>
          <w:right w:w="0" w:type="dxa"/>
        </w:tblCellMar>
      </w:tblPr>
      <w:tr>
        <w:trPr>
          <w:trHeight w:val="173"/>
        </w:trPr>
        <w:tc>
          <w:tcPr>
            <w:tcW w:w="2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right="220"/>
              <w:spacing w:after="0" w:line="173" w:lineRule="exact"/>
              <w:rPr>
                <w:sz w:val="20"/>
                <w:szCs w:val="20"/>
                <w:color w:val="auto"/>
              </w:rPr>
            </w:pPr>
            <w:r>
              <w:rPr>
                <w:rFonts w:ascii="Times New Roman" w:cs="Times New Roman" w:eastAsia="Times New Roman" w:hAnsi="Times New Roman"/>
                <w:sz w:val="16"/>
                <w:szCs w:val="16"/>
                <w:b w:val="1"/>
                <w:bCs w:val="1"/>
                <w:color w:val="auto"/>
                <w:w w:val="99"/>
              </w:rPr>
              <w:t>Accumulated</w:t>
            </w:r>
          </w:p>
        </w:tc>
        <w:tc>
          <w:tcPr>
            <w:tcW w:w="220" w:type="dxa"/>
            <w:vAlign w:val="bottom"/>
          </w:tcPr>
          <w:p>
            <w:pPr>
              <w:spacing w:after="0"/>
              <w:rPr>
                <w:sz w:val="15"/>
                <w:szCs w:val="15"/>
                <w:color w:val="auto"/>
              </w:rPr>
            </w:pPr>
          </w:p>
        </w:tc>
        <w:tc>
          <w:tcPr>
            <w:tcW w:w="900" w:type="dxa"/>
            <w:vAlign w:val="bottom"/>
            <w:vMerge w:val="restart"/>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62"/>
        </w:trPr>
        <w:tc>
          <w:tcPr>
            <w:tcW w:w="2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Preferred</w:t>
            </w: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00" w:type="dxa"/>
            <w:vAlign w:val="bottom"/>
          </w:tcPr>
          <w:p>
            <w:pPr>
              <w:spacing w:after="0"/>
              <w:rPr>
                <w:sz w:val="14"/>
                <w:szCs w:val="14"/>
                <w:color w:val="auto"/>
              </w:rPr>
            </w:pPr>
          </w:p>
        </w:tc>
        <w:tc>
          <w:tcPr>
            <w:tcW w:w="112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Other</w:t>
            </w:r>
          </w:p>
        </w:tc>
        <w:tc>
          <w:tcPr>
            <w:tcW w:w="2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22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20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122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Paid-in Capital</w:t>
            </w:r>
          </w:p>
        </w:tc>
        <w:tc>
          <w:tcPr>
            <w:tcW w:w="1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220" w:type="dxa"/>
            <w:vAlign w:val="bottom"/>
            <w:gridSpan w:val="3"/>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12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14"/>
        </w:trPr>
        <w:tc>
          <w:tcPr>
            <w:tcW w:w="2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220" w:type="dxa"/>
            <w:vAlign w:val="bottom"/>
            <w:gridSpan w:val="3"/>
            <w:vMerge w:val="continue"/>
          </w:tcPr>
          <w:p>
            <w:pPr>
              <w:spacing w:after="0"/>
              <w:rPr>
                <w:sz w:val="18"/>
                <w:szCs w:val="18"/>
                <w:color w:val="auto"/>
              </w:rPr>
            </w:pPr>
          </w:p>
        </w:tc>
        <w:tc>
          <w:tcPr>
            <w:tcW w:w="1200" w:type="dxa"/>
            <w:vAlign w:val="bottom"/>
            <w:gridSpan w:val="3"/>
            <w:vMerge w:val="continue"/>
          </w:tcPr>
          <w:p>
            <w:pPr>
              <w:spacing w:after="0"/>
              <w:rPr>
                <w:sz w:val="18"/>
                <w:szCs w:val="18"/>
                <w:color w:val="auto"/>
              </w:rPr>
            </w:pPr>
          </w:p>
        </w:tc>
        <w:tc>
          <w:tcPr>
            <w:tcW w:w="122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220" w:type="dxa"/>
            <w:vAlign w:val="bottom"/>
          </w:tcPr>
          <w:p>
            <w:pPr>
              <w:spacing w:after="0"/>
              <w:rPr>
                <w:sz w:val="18"/>
                <w:szCs w:val="18"/>
                <w:color w:val="auto"/>
              </w:rPr>
            </w:pPr>
          </w:p>
        </w:tc>
        <w:tc>
          <w:tcPr>
            <w:tcW w:w="90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11"/>
        </w:trPr>
        <w:tc>
          <w:tcPr>
            <w:tcW w:w="2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 December 31, 2022</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(2,403)</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1,176,906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190,423</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21,159</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1,386,103</w:t>
            </w:r>
          </w:p>
        </w:tc>
        <w:tc>
          <w:tcPr>
            <w:tcW w:w="0" w:type="dxa"/>
            <w:vAlign w:val="bottom"/>
          </w:tcPr>
          <w:p>
            <w:pPr>
              <w:spacing w:after="0"/>
              <w:rPr>
                <w:sz w:val="1"/>
                <w:szCs w:val="1"/>
                <w:color w:val="auto"/>
              </w:rPr>
            </w:pPr>
          </w:p>
        </w:tc>
      </w:tr>
      <w:tr>
        <w:trPr>
          <w:trHeight w:val="162"/>
        </w:trPr>
        <w:tc>
          <w:tcPr>
            <w:tcW w:w="276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Exercise of stock options, vesting of</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6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restricted stock, and related tax</w:t>
            </w:r>
          </w:p>
        </w:tc>
        <w:tc>
          <w:tcPr>
            <w:tcW w:w="160" w:type="dxa"/>
            <w:vAlign w:val="bottom"/>
          </w:tcPr>
          <w:p>
            <w:pPr>
              <w:spacing w:after="0"/>
              <w:rPr>
                <w:sz w:val="14"/>
                <w:szCs w:val="14"/>
                <w:color w:val="auto"/>
              </w:rPr>
            </w:pPr>
          </w:p>
        </w:tc>
        <w:tc>
          <w:tcPr>
            <w:tcW w:w="1060" w:type="dxa"/>
            <w:vAlign w:val="bottom"/>
            <w:gridSpan w:val="2"/>
            <w:vMerge w:val="restart"/>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4"/>
                <w:szCs w:val="14"/>
                <w:color w:val="auto"/>
              </w:rPr>
            </w:pP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4"/>
                <w:szCs w:val="14"/>
                <w:color w:val="auto"/>
              </w:rPr>
            </w:pPr>
          </w:p>
        </w:tc>
        <w:tc>
          <w:tcPr>
            <w:tcW w:w="940" w:type="dxa"/>
            <w:vAlign w:val="bottom"/>
            <w:gridSpan w:val="2"/>
            <w:vMerge w:val="restart"/>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(1,902)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1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(1,902)</w:t>
            </w:r>
          </w:p>
        </w:tc>
        <w:tc>
          <w:tcPr>
            <w:tcW w:w="0" w:type="dxa"/>
            <w:vAlign w:val="bottom"/>
          </w:tcPr>
          <w:p>
            <w:pPr>
              <w:spacing w:after="0"/>
              <w:rPr>
                <w:sz w:val="1"/>
                <w:szCs w:val="1"/>
                <w:color w:val="auto"/>
              </w:rPr>
            </w:pPr>
          </w:p>
        </w:tc>
      </w:tr>
      <w:tr>
        <w:trPr>
          <w:trHeight w:val="213"/>
        </w:trPr>
        <w:tc>
          <w:tcPr>
            <w:tcW w:w="2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withholdings</w:t>
            </w:r>
          </w:p>
        </w:tc>
        <w:tc>
          <w:tcPr>
            <w:tcW w:w="16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Stock-based incentive compensation</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5,988</w:t>
            </w:r>
          </w:p>
        </w:tc>
        <w:tc>
          <w:tcPr>
            <w:tcW w:w="0" w:type="dxa"/>
            <w:vAlign w:val="bottom"/>
          </w:tcPr>
          <w:p>
            <w:pPr>
              <w:spacing w:after="0"/>
              <w:rPr>
                <w:sz w:val="1"/>
                <w:szCs w:val="1"/>
                <w:color w:val="auto"/>
              </w:rPr>
            </w:pPr>
          </w:p>
        </w:tc>
      </w:tr>
      <w:tr>
        <w:trPr>
          <w:trHeight w:val="213"/>
        </w:trPr>
        <w:tc>
          <w:tcPr>
            <w:tcW w:w="2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Purchase of company stock</w:t>
            </w:r>
          </w:p>
        </w:tc>
        <w:tc>
          <w:tcPr>
            <w:tcW w:w="16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(75,735)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(75,735)</w:t>
            </w:r>
          </w:p>
        </w:tc>
        <w:tc>
          <w:tcPr>
            <w:tcW w:w="0" w:type="dxa"/>
            <w:vAlign w:val="bottom"/>
          </w:tcPr>
          <w:p>
            <w:pPr>
              <w:spacing w:after="0"/>
              <w:rPr>
                <w:sz w:val="1"/>
                <w:szCs w:val="1"/>
                <w:color w:val="auto"/>
              </w:rPr>
            </w:pPr>
          </w:p>
        </w:tc>
      </w:tr>
      <w:tr>
        <w:trPr>
          <w:trHeight w:val="219"/>
        </w:trPr>
        <w:tc>
          <w:tcPr>
            <w:tcW w:w="2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39,208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39,208</w:t>
            </w:r>
          </w:p>
        </w:tc>
        <w:tc>
          <w:tcPr>
            <w:tcW w:w="0" w:type="dxa"/>
            <w:vAlign w:val="bottom"/>
          </w:tcPr>
          <w:p>
            <w:pPr>
              <w:spacing w:after="0"/>
              <w:rPr>
                <w:sz w:val="1"/>
                <w:szCs w:val="1"/>
                <w:color w:val="auto"/>
              </w:rPr>
            </w:pPr>
          </w:p>
        </w:tc>
      </w:tr>
      <w:tr>
        <w:trPr>
          <w:trHeight w:val="213"/>
        </w:trPr>
        <w:tc>
          <w:tcPr>
            <w:tcW w:w="2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6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(3,443)</w:t>
            </w:r>
          </w:p>
        </w:tc>
        <w:tc>
          <w:tcPr>
            <w:tcW w:w="0" w:type="dxa"/>
            <w:vAlign w:val="bottom"/>
          </w:tcPr>
          <w:p>
            <w:pPr>
              <w:spacing w:after="0"/>
              <w:rPr>
                <w:sz w:val="1"/>
                <w:szCs w:val="1"/>
                <w:color w:val="auto"/>
              </w:rPr>
            </w:pPr>
          </w:p>
        </w:tc>
      </w:tr>
      <w:tr>
        <w:trPr>
          <w:trHeight w:val="212"/>
        </w:trPr>
        <w:tc>
          <w:tcPr>
            <w:tcW w:w="2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 March 31, 2023</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(78,138)</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1,180,992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229,631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17,716</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1,350,219</w:t>
            </w:r>
          </w:p>
        </w:tc>
        <w:tc>
          <w:tcPr>
            <w:tcW w:w="0" w:type="dxa"/>
            <w:vAlign w:val="bottom"/>
          </w:tcPr>
          <w:p>
            <w:pPr>
              <w:spacing w:after="0"/>
              <w:rPr>
                <w:sz w:val="1"/>
                <w:szCs w:val="1"/>
                <w:color w:val="auto"/>
              </w:rPr>
            </w:pPr>
          </w:p>
        </w:tc>
      </w:tr>
      <w:tr>
        <w:trPr>
          <w:trHeight w:val="162"/>
        </w:trPr>
        <w:tc>
          <w:tcPr>
            <w:tcW w:w="276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Exercise of stock options, vesting of</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6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restricted stock, and related tax</w:t>
            </w:r>
          </w:p>
        </w:tc>
        <w:tc>
          <w:tcPr>
            <w:tcW w:w="160" w:type="dxa"/>
            <w:vAlign w:val="bottom"/>
          </w:tcPr>
          <w:p>
            <w:pPr>
              <w:spacing w:after="0"/>
              <w:rPr>
                <w:sz w:val="14"/>
                <w:szCs w:val="14"/>
                <w:color w:val="auto"/>
              </w:rPr>
            </w:pPr>
          </w:p>
        </w:tc>
        <w:tc>
          <w:tcPr>
            <w:tcW w:w="1060" w:type="dxa"/>
            <w:vAlign w:val="bottom"/>
            <w:gridSpan w:val="2"/>
            <w:vMerge w:val="restart"/>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4"/>
                <w:szCs w:val="14"/>
                <w:color w:val="auto"/>
              </w:rPr>
            </w:pP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4"/>
                <w:szCs w:val="14"/>
                <w:color w:val="auto"/>
              </w:rPr>
            </w:pPr>
          </w:p>
        </w:tc>
        <w:tc>
          <w:tcPr>
            <w:tcW w:w="940" w:type="dxa"/>
            <w:vAlign w:val="bottom"/>
            <w:gridSpan w:val="2"/>
            <w:vMerge w:val="restart"/>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1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0" w:type="dxa"/>
            <w:vAlign w:val="bottom"/>
          </w:tcPr>
          <w:p>
            <w:pPr>
              <w:spacing w:after="0"/>
              <w:rPr>
                <w:sz w:val="1"/>
                <w:szCs w:val="1"/>
                <w:color w:val="auto"/>
              </w:rPr>
            </w:pPr>
          </w:p>
        </w:tc>
      </w:tr>
      <w:tr>
        <w:trPr>
          <w:trHeight w:val="213"/>
        </w:trPr>
        <w:tc>
          <w:tcPr>
            <w:tcW w:w="2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withholdings</w:t>
            </w:r>
          </w:p>
        </w:tc>
        <w:tc>
          <w:tcPr>
            <w:tcW w:w="16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Stock-based incentive compensation</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7,685</w:t>
            </w:r>
          </w:p>
        </w:tc>
        <w:tc>
          <w:tcPr>
            <w:tcW w:w="0" w:type="dxa"/>
            <w:vAlign w:val="bottom"/>
          </w:tcPr>
          <w:p>
            <w:pPr>
              <w:spacing w:after="0"/>
              <w:rPr>
                <w:sz w:val="1"/>
                <w:szCs w:val="1"/>
                <w:color w:val="auto"/>
              </w:rPr>
            </w:pPr>
          </w:p>
        </w:tc>
      </w:tr>
      <w:tr>
        <w:trPr>
          <w:trHeight w:val="162"/>
        </w:trPr>
        <w:tc>
          <w:tcPr>
            <w:tcW w:w="276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Purchase of company stock, and related</w:t>
            </w:r>
          </w:p>
        </w:tc>
        <w:tc>
          <w:tcPr>
            <w:tcW w:w="160" w:type="dxa"/>
            <w:vAlign w:val="bottom"/>
          </w:tcPr>
          <w:p>
            <w:pPr>
              <w:spacing w:after="0"/>
              <w:rPr>
                <w:sz w:val="14"/>
                <w:szCs w:val="14"/>
                <w:color w:val="auto"/>
              </w:rPr>
            </w:pPr>
          </w:p>
        </w:tc>
        <w:tc>
          <w:tcPr>
            <w:tcW w:w="1060" w:type="dxa"/>
            <w:vAlign w:val="bottom"/>
            <w:gridSpan w:val="2"/>
            <w:vMerge w:val="restart"/>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4"/>
                <w:szCs w:val="14"/>
                <w:color w:val="auto"/>
              </w:rPr>
            </w:pP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4"/>
                <w:szCs w:val="14"/>
                <w:color w:val="auto"/>
              </w:rPr>
            </w:pPr>
          </w:p>
        </w:tc>
        <w:tc>
          <w:tcPr>
            <w:tcW w:w="840" w:type="dxa"/>
            <w:vAlign w:val="bottom"/>
            <w:vMerge w:val="restart"/>
          </w:tcPr>
          <w:p>
            <w:pPr>
              <w:ind w:left="600"/>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1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13"/>
        </w:trPr>
        <w:tc>
          <w:tcPr>
            <w:tcW w:w="2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tax effects</w:t>
            </w:r>
          </w:p>
        </w:tc>
        <w:tc>
          <w:tcPr>
            <w:tcW w:w="16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114,403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114,403</w:t>
            </w:r>
          </w:p>
        </w:tc>
        <w:tc>
          <w:tcPr>
            <w:tcW w:w="0" w:type="dxa"/>
            <w:vAlign w:val="bottom"/>
          </w:tcPr>
          <w:p>
            <w:pPr>
              <w:spacing w:after="0"/>
              <w:rPr>
                <w:sz w:val="1"/>
                <w:szCs w:val="1"/>
                <w:color w:val="auto"/>
              </w:rPr>
            </w:pPr>
          </w:p>
        </w:tc>
      </w:tr>
      <w:tr>
        <w:trPr>
          <w:trHeight w:val="213"/>
        </w:trPr>
        <w:tc>
          <w:tcPr>
            <w:tcW w:w="2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6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3,291</w:t>
            </w:r>
          </w:p>
        </w:tc>
        <w:tc>
          <w:tcPr>
            <w:tcW w:w="0" w:type="dxa"/>
            <w:vAlign w:val="bottom"/>
          </w:tcPr>
          <w:p>
            <w:pPr>
              <w:spacing w:after="0"/>
              <w:rPr>
                <w:sz w:val="1"/>
                <w:szCs w:val="1"/>
                <w:color w:val="auto"/>
              </w:rPr>
            </w:pPr>
          </w:p>
        </w:tc>
      </w:tr>
      <w:tr>
        <w:trPr>
          <w:trHeight w:val="212"/>
        </w:trPr>
        <w:tc>
          <w:tcPr>
            <w:tcW w:w="2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 June 30, 2023</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(78,106)</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1,188,430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344,034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21,007</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1,475,383</w:t>
            </w:r>
          </w:p>
        </w:tc>
        <w:tc>
          <w:tcPr>
            <w:tcW w:w="0" w:type="dxa"/>
            <w:vAlign w:val="bottom"/>
          </w:tcPr>
          <w:p>
            <w:pPr>
              <w:spacing w:after="0"/>
              <w:rPr>
                <w:sz w:val="1"/>
                <w:szCs w:val="1"/>
                <w:color w:val="auto"/>
              </w:rPr>
            </w:pPr>
          </w:p>
        </w:tc>
      </w:tr>
      <w:tr>
        <w:trPr>
          <w:trHeight w:val="162"/>
        </w:trPr>
        <w:tc>
          <w:tcPr>
            <w:tcW w:w="276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Exercise of stock options, vesting of</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6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restricted stock, and related tax</w:t>
            </w:r>
          </w:p>
        </w:tc>
        <w:tc>
          <w:tcPr>
            <w:tcW w:w="160" w:type="dxa"/>
            <w:vAlign w:val="bottom"/>
          </w:tcPr>
          <w:p>
            <w:pPr>
              <w:spacing w:after="0"/>
              <w:rPr>
                <w:sz w:val="14"/>
                <w:szCs w:val="14"/>
                <w:color w:val="auto"/>
              </w:rPr>
            </w:pPr>
          </w:p>
        </w:tc>
        <w:tc>
          <w:tcPr>
            <w:tcW w:w="1060" w:type="dxa"/>
            <w:vAlign w:val="bottom"/>
            <w:gridSpan w:val="2"/>
            <w:vMerge w:val="restart"/>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4"/>
                <w:szCs w:val="14"/>
                <w:color w:val="auto"/>
              </w:rPr>
            </w:pP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4"/>
                <w:szCs w:val="14"/>
                <w:color w:val="auto"/>
              </w:rPr>
            </w:pPr>
          </w:p>
        </w:tc>
        <w:tc>
          <w:tcPr>
            <w:tcW w:w="940" w:type="dxa"/>
            <w:vAlign w:val="bottom"/>
            <w:gridSpan w:val="2"/>
            <w:vMerge w:val="restart"/>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1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0" w:type="dxa"/>
            <w:vAlign w:val="bottom"/>
          </w:tcPr>
          <w:p>
            <w:pPr>
              <w:spacing w:after="0"/>
              <w:rPr>
                <w:sz w:val="1"/>
                <w:szCs w:val="1"/>
                <w:color w:val="auto"/>
              </w:rPr>
            </w:pPr>
          </w:p>
        </w:tc>
      </w:tr>
      <w:tr>
        <w:trPr>
          <w:trHeight w:val="213"/>
        </w:trPr>
        <w:tc>
          <w:tcPr>
            <w:tcW w:w="2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withholdings</w:t>
            </w:r>
          </w:p>
        </w:tc>
        <w:tc>
          <w:tcPr>
            <w:tcW w:w="16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Stock-based incentive compensation</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9,235</w:t>
            </w:r>
          </w:p>
        </w:tc>
        <w:tc>
          <w:tcPr>
            <w:tcW w:w="0" w:type="dxa"/>
            <w:vAlign w:val="bottom"/>
          </w:tcPr>
          <w:p>
            <w:pPr>
              <w:spacing w:after="0"/>
              <w:rPr>
                <w:sz w:val="1"/>
                <w:szCs w:val="1"/>
                <w:color w:val="auto"/>
              </w:rPr>
            </w:pPr>
          </w:p>
        </w:tc>
      </w:tr>
      <w:tr>
        <w:trPr>
          <w:trHeight w:val="162"/>
        </w:trPr>
        <w:tc>
          <w:tcPr>
            <w:tcW w:w="276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Purchase of company stock, and related</w:t>
            </w:r>
          </w:p>
        </w:tc>
        <w:tc>
          <w:tcPr>
            <w:tcW w:w="160" w:type="dxa"/>
            <w:vAlign w:val="bottom"/>
          </w:tcPr>
          <w:p>
            <w:pPr>
              <w:spacing w:after="0"/>
              <w:rPr>
                <w:sz w:val="14"/>
                <w:szCs w:val="14"/>
                <w:color w:val="auto"/>
              </w:rPr>
            </w:pPr>
          </w:p>
        </w:tc>
        <w:tc>
          <w:tcPr>
            <w:tcW w:w="1060" w:type="dxa"/>
            <w:vAlign w:val="bottom"/>
            <w:gridSpan w:val="2"/>
            <w:vMerge w:val="restart"/>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4"/>
                <w:szCs w:val="14"/>
                <w:color w:val="auto"/>
              </w:rPr>
            </w:pP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(101,099)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1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(101,099)</w:t>
            </w:r>
          </w:p>
        </w:tc>
        <w:tc>
          <w:tcPr>
            <w:tcW w:w="0" w:type="dxa"/>
            <w:vAlign w:val="bottom"/>
          </w:tcPr>
          <w:p>
            <w:pPr>
              <w:spacing w:after="0"/>
              <w:rPr>
                <w:sz w:val="1"/>
                <w:szCs w:val="1"/>
                <w:color w:val="auto"/>
              </w:rPr>
            </w:pPr>
          </w:p>
        </w:tc>
      </w:tr>
      <w:tr>
        <w:trPr>
          <w:trHeight w:val="213"/>
        </w:trPr>
        <w:tc>
          <w:tcPr>
            <w:tcW w:w="2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tax effects</w:t>
            </w:r>
          </w:p>
        </w:tc>
        <w:tc>
          <w:tcPr>
            <w:tcW w:w="16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56,302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56,302</w:t>
            </w:r>
          </w:p>
        </w:tc>
        <w:tc>
          <w:tcPr>
            <w:tcW w:w="0" w:type="dxa"/>
            <w:vAlign w:val="bottom"/>
          </w:tcPr>
          <w:p>
            <w:pPr>
              <w:spacing w:after="0"/>
              <w:rPr>
                <w:sz w:val="1"/>
                <w:szCs w:val="1"/>
                <w:color w:val="auto"/>
              </w:rPr>
            </w:pPr>
          </w:p>
        </w:tc>
      </w:tr>
      <w:tr>
        <w:trPr>
          <w:trHeight w:val="213"/>
        </w:trPr>
        <w:tc>
          <w:tcPr>
            <w:tcW w:w="2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6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237"/>
        </w:trPr>
        <w:tc>
          <w:tcPr>
            <w:tcW w:w="27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 September 30, 2023</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(179,205)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1,197,874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400,336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21,060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1,440,083</w:t>
            </w: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 December 31, 2023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(255,107)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1,204,270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457,513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14,978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1,421,672</w:t>
            </w:r>
          </w:p>
        </w:tc>
        <w:tc>
          <w:tcPr>
            <w:tcW w:w="0" w:type="dxa"/>
            <w:vAlign w:val="bottom"/>
          </w:tcPr>
          <w:p>
            <w:pPr>
              <w:spacing w:after="0"/>
              <w:rPr>
                <w:sz w:val="1"/>
                <w:szCs w:val="1"/>
                <w:color w:val="auto"/>
              </w:rPr>
            </w:pPr>
          </w:p>
        </w:tc>
      </w:tr>
      <w:tr>
        <w:trPr>
          <w:trHeight w:val="162"/>
        </w:trPr>
        <w:tc>
          <w:tcPr>
            <w:tcW w:w="276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Exercise of stock options, vesting of</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6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restricted stock, and related tax</w:t>
            </w:r>
          </w:p>
        </w:tc>
        <w:tc>
          <w:tcPr>
            <w:tcW w:w="160" w:type="dxa"/>
            <w:vAlign w:val="bottom"/>
          </w:tcPr>
          <w:p>
            <w:pPr>
              <w:spacing w:after="0"/>
              <w:rPr>
                <w:sz w:val="14"/>
                <w:szCs w:val="14"/>
                <w:color w:val="auto"/>
              </w:rPr>
            </w:pPr>
          </w:p>
        </w:tc>
        <w:tc>
          <w:tcPr>
            <w:tcW w:w="1060" w:type="dxa"/>
            <w:vAlign w:val="bottom"/>
            <w:gridSpan w:val="2"/>
            <w:vMerge w:val="restart"/>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4"/>
                <w:szCs w:val="14"/>
                <w:color w:val="auto"/>
              </w:rPr>
            </w:pP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4"/>
                <w:szCs w:val="14"/>
                <w:color w:val="auto"/>
              </w:rPr>
            </w:pPr>
          </w:p>
        </w:tc>
        <w:tc>
          <w:tcPr>
            <w:tcW w:w="940" w:type="dxa"/>
            <w:vAlign w:val="bottom"/>
            <w:gridSpan w:val="2"/>
            <w:vMerge w:val="restart"/>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(8,182)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1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(8,182)</w:t>
            </w:r>
          </w:p>
        </w:tc>
        <w:tc>
          <w:tcPr>
            <w:tcW w:w="0" w:type="dxa"/>
            <w:vAlign w:val="bottom"/>
          </w:tcPr>
          <w:p>
            <w:pPr>
              <w:spacing w:after="0"/>
              <w:rPr>
                <w:sz w:val="1"/>
                <w:szCs w:val="1"/>
                <w:color w:val="auto"/>
              </w:rPr>
            </w:pPr>
          </w:p>
        </w:tc>
      </w:tr>
      <w:tr>
        <w:trPr>
          <w:trHeight w:val="213"/>
        </w:trPr>
        <w:tc>
          <w:tcPr>
            <w:tcW w:w="2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withholdings</w:t>
            </w:r>
          </w:p>
        </w:tc>
        <w:tc>
          <w:tcPr>
            <w:tcW w:w="16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Stock-based incentive compensation</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9,605</w:t>
            </w:r>
          </w:p>
        </w:tc>
        <w:tc>
          <w:tcPr>
            <w:tcW w:w="0" w:type="dxa"/>
            <w:vAlign w:val="bottom"/>
          </w:tcPr>
          <w:p>
            <w:pPr>
              <w:spacing w:after="0"/>
              <w:rPr>
                <w:sz w:val="1"/>
                <w:szCs w:val="1"/>
                <w:color w:val="auto"/>
              </w:rPr>
            </w:pPr>
          </w:p>
        </w:tc>
      </w:tr>
      <w:tr>
        <w:trPr>
          <w:trHeight w:val="162"/>
        </w:trPr>
        <w:tc>
          <w:tcPr>
            <w:tcW w:w="276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Purchase of company stock, and related</w:t>
            </w:r>
          </w:p>
        </w:tc>
        <w:tc>
          <w:tcPr>
            <w:tcW w:w="160" w:type="dxa"/>
            <w:vAlign w:val="bottom"/>
          </w:tcPr>
          <w:p>
            <w:pPr>
              <w:spacing w:after="0"/>
              <w:rPr>
                <w:sz w:val="14"/>
                <w:szCs w:val="14"/>
                <w:color w:val="auto"/>
              </w:rPr>
            </w:pPr>
          </w:p>
        </w:tc>
        <w:tc>
          <w:tcPr>
            <w:tcW w:w="1060" w:type="dxa"/>
            <w:vAlign w:val="bottom"/>
            <w:gridSpan w:val="2"/>
            <w:vMerge w:val="restart"/>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4"/>
                <w:szCs w:val="14"/>
                <w:color w:val="auto"/>
              </w:rPr>
            </w:pP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(40,289)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1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(40,289)</w:t>
            </w:r>
          </w:p>
        </w:tc>
        <w:tc>
          <w:tcPr>
            <w:tcW w:w="0" w:type="dxa"/>
            <w:vAlign w:val="bottom"/>
          </w:tcPr>
          <w:p>
            <w:pPr>
              <w:spacing w:after="0"/>
              <w:rPr>
                <w:sz w:val="1"/>
                <w:szCs w:val="1"/>
                <w:color w:val="auto"/>
              </w:rPr>
            </w:pPr>
          </w:p>
        </w:tc>
      </w:tr>
      <w:tr>
        <w:trPr>
          <w:trHeight w:val="213"/>
        </w:trPr>
        <w:tc>
          <w:tcPr>
            <w:tcW w:w="2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tax effects</w:t>
            </w:r>
          </w:p>
        </w:tc>
        <w:tc>
          <w:tcPr>
            <w:tcW w:w="16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44,791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44,791</w:t>
            </w:r>
          </w:p>
        </w:tc>
        <w:tc>
          <w:tcPr>
            <w:tcW w:w="0" w:type="dxa"/>
            <w:vAlign w:val="bottom"/>
          </w:tcPr>
          <w:p>
            <w:pPr>
              <w:spacing w:after="0"/>
              <w:rPr>
                <w:sz w:val="1"/>
                <w:szCs w:val="1"/>
                <w:color w:val="auto"/>
              </w:rPr>
            </w:pPr>
          </w:p>
        </w:tc>
      </w:tr>
      <w:tr>
        <w:trPr>
          <w:trHeight w:val="213"/>
        </w:trPr>
        <w:tc>
          <w:tcPr>
            <w:tcW w:w="2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6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1,551</w:t>
            </w:r>
          </w:p>
        </w:tc>
        <w:tc>
          <w:tcPr>
            <w:tcW w:w="0" w:type="dxa"/>
            <w:vAlign w:val="bottom"/>
          </w:tcPr>
          <w:p>
            <w:pPr>
              <w:spacing w:after="0"/>
              <w:rPr>
                <w:sz w:val="1"/>
                <w:szCs w:val="1"/>
                <w:color w:val="auto"/>
              </w:rPr>
            </w:pPr>
          </w:p>
        </w:tc>
      </w:tr>
      <w:tr>
        <w:trPr>
          <w:trHeight w:val="212"/>
        </w:trPr>
        <w:tc>
          <w:tcPr>
            <w:tcW w:w="2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 March 31, 2024</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(295,396)</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1,205,693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502,304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16,529</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1,429,148</w:t>
            </w:r>
          </w:p>
        </w:tc>
        <w:tc>
          <w:tcPr>
            <w:tcW w:w="0" w:type="dxa"/>
            <w:vAlign w:val="bottom"/>
          </w:tcPr>
          <w:p>
            <w:pPr>
              <w:spacing w:after="0"/>
              <w:rPr>
                <w:sz w:val="1"/>
                <w:szCs w:val="1"/>
                <w:color w:val="auto"/>
              </w:rPr>
            </w:pPr>
          </w:p>
        </w:tc>
      </w:tr>
      <w:tr>
        <w:trPr>
          <w:trHeight w:val="162"/>
        </w:trPr>
        <w:tc>
          <w:tcPr>
            <w:tcW w:w="276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Exercise of stock options, vesting of</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6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restricted stock, and related tax</w:t>
            </w:r>
          </w:p>
        </w:tc>
        <w:tc>
          <w:tcPr>
            <w:tcW w:w="160" w:type="dxa"/>
            <w:vAlign w:val="bottom"/>
          </w:tcPr>
          <w:p>
            <w:pPr>
              <w:spacing w:after="0"/>
              <w:rPr>
                <w:sz w:val="14"/>
                <w:szCs w:val="14"/>
                <w:color w:val="auto"/>
              </w:rPr>
            </w:pPr>
          </w:p>
        </w:tc>
        <w:tc>
          <w:tcPr>
            <w:tcW w:w="1060" w:type="dxa"/>
            <w:vAlign w:val="bottom"/>
            <w:gridSpan w:val="2"/>
            <w:vMerge w:val="restart"/>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4"/>
                <w:szCs w:val="14"/>
                <w:color w:val="auto"/>
              </w:rPr>
            </w:pP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4"/>
                <w:szCs w:val="14"/>
                <w:color w:val="auto"/>
              </w:rPr>
            </w:pPr>
          </w:p>
        </w:tc>
        <w:tc>
          <w:tcPr>
            <w:tcW w:w="940" w:type="dxa"/>
            <w:vAlign w:val="bottom"/>
            <w:gridSpan w:val="2"/>
            <w:vMerge w:val="restart"/>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1,299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1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1,299</w:t>
            </w:r>
          </w:p>
        </w:tc>
        <w:tc>
          <w:tcPr>
            <w:tcW w:w="0" w:type="dxa"/>
            <w:vAlign w:val="bottom"/>
          </w:tcPr>
          <w:p>
            <w:pPr>
              <w:spacing w:after="0"/>
              <w:rPr>
                <w:sz w:val="1"/>
                <w:szCs w:val="1"/>
                <w:color w:val="auto"/>
              </w:rPr>
            </w:pPr>
          </w:p>
        </w:tc>
      </w:tr>
      <w:tr>
        <w:trPr>
          <w:trHeight w:val="213"/>
        </w:trPr>
        <w:tc>
          <w:tcPr>
            <w:tcW w:w="2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withholdings</w:t>
            </w:r>
          </w:p>
        </w:tc>
        <w:tc>
          <w:tcPr>
            <w:tcW w:w="16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Stock-based incentive compensation</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7,608</w:t>
            </w:r>
          </w:p>
        </w:tc>
        <w:tc>
          <w:tcPr>
            <w:tcW w:w="0" w:type="dxa"/>
            <w:vAlign w:val="bottom"/>
          </w:tcPr>
          <w:p>
            <w:pPr>
              <w:spacing w:after="0"/>
              <w:rPr>
                <w:sz w:val="1"/>
                <w:szCs w:val="1"/>
                <w:color w:val="auto"/>
              </w:rPr>
            </w:pPr>
          </w:p>
        </w:tc>
      </w:tr>
      <w:tr>
        <w:trPr>
          <w:trHeight w:val="162"/>
        </w:trPr>
        <w:tc>
          <w:tcPr>
            <w:tcW w:w="276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Purchase of company stock, and related</w:t>
            </w:r>
          </w:p>
        </w:tc>
        <w:tc>
          <w:tcPr>
            <w:tcW w:w="160" w:type="dxa"/>
            <w:vAlign w:val="bottom"/>
          </w:tcPr>
          <w:p>
            <w:pPr>
              <w:spacing w:after="0"/>
              <w:rPr>
                <w:sz w:val="14"/>
                <w:szCs w:val="14"/>
                <w:color w:val="auto"/>
              </w:rPr>
            </w:pPr>
          </w:p>
        </w:tc>
        <w:tc>
          <w:tcPr>
            <w:tcW w:w="1060" w:type="dxa"/>
            <w:vAlign w:val="bottom"/>
            <w:gridSpan w:val="2"/>
            <w:vMerge w:val="restart"/>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4"/>
                <w:szCs w:val="14"/>
                <w:color w:val="auto"/>
              </w:rPr>
            </w:pP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(78,768)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1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(78,768)</w:t>
            </w:r>
          </w:p>
        </w:tc>
        <w:tc>
          <w:tcPr>
            <w:tcW w:w="0" w:type="dxa"/>
            <w:vAlign w:val="bottom"/>
          </w:tcPr>
          <w:p>
            <w:pPr>
              <w:spacing w:after="0"/>
              <w:rPr>
                <w:sz w:val="1"/>
                <w:szCs w:val="1"/>
                <w:color w:val="auto"/>
              </w:rPr>
            </w:pPr>
          </w:p>
        </w:tc>
      </w:tr>
      <w:tr>
        <w:trPr>
          <w:trHeight w:val="213"/>
        </w:trPr>
        <w:tc>
          <w:tcPr>
            <w:tcW w:w="2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tax effects</w:t>
            </w:r>
          </w:p>
        </w:tc>
        <w:tc>
          <w:tcPr>
            <w:tcW w:w="16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53,043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53,043</w:t>
            </w:r>
          </w:p>
        </w:tc>
        <w:tc>
          <w:tcPr>
            <w:tcW w:w="0" w:type="dxa"/>
            <w:vAlign w:val="bottom"/>
          </w:tcPr>
          <w:p>
            <w:pPr>
              <w:spacing w:after="0"/>
              <w:rPr>
                <w:sz w:val="1"/>
                <w:szCs w:val="1"/>
                <w:color w:val="auto"/>
              </w:rPr>
            </w:pPr>
          </w:p>
        </w:tc>
      </w:tr>
      <w:tr>
        <w:trPr>
          <w:trHeight w:val="213"/>
        </w:trPr>
        <w:tc>
          <w:tcPr>
            <w:tcW w:w="2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6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(899)</w:t>
            </w:r>
          </w:p>
        </w:tc>
        <w:tc>
          <w:tcPr>
            <w:tcW w:w="0" w:type="dxa"/>
            <w:vAlign w:val="bottom"/>
          </w:tcPr>
          <w:p>
            <w:pPr>
              <w:spacing w:after="0"/>
              <w:rPr>
                <w:sz w:val="1"/>
                <w:szCs w:val="1"/>
                <w:color w:val="auto"/>
              </w:rPr>
            </w:pPr>
          </w:p>
        </w:tc>
      </w:tr>
      <w:tr>
        <w:trPr>
          <w:trHeight w:val="212"/>
        </w:trPr>
        <w:tc>
          <w:tcPr>
            <w:tcW w:w="2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 June 30, 2024</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(374,164)</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1,214,600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555,347</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15,630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1,411,431</w:t>
            </w:r>
          </w:p>
        </w:tc>
        <w:tc>
          <w:tcPr>
            <w:tcW w:w="0" w:type="dxa"/>
            <w:vAlign w:val="bottom"/>
          </w:tcPr>
          <w:p>
            <w:pPr>
              <w:spacing w:after="0"/>
              <w:rPr>
                <w:sz w:val="1"/>
                <w:szCs w:val="1"/>
                <w:color w:val="auto"/>
              </w:rPr>
            </w:pPr>
          </w:p>
        </w:tc>
      </w:tr>
      <w:tr>
        <w:trPr>
          <w:trHeight w:val="162"/>
        </w:trPr>
        <w:tc>
          <w:tcPr>
            <w:tcW w:w="276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Exercise of stock options, vesting of</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6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restricted stock, and related tax</w:t>
            </w:r>
          </w:p>
        </w:tc>
        <w:tc>
          <w:tcPr>
            <w:tcW w:w="160" w:type="dxa"/>
            <w:vAlign w:val="bottom"/>
          </w:tcPr>
          <w:p>
            <w:pPr>
              <w:spacing w:after="0"/>
              <w:rPr>
                <w:sz w:val="14"/>
                <w:szCs w:val="14"/>
                <w:color w:val="auto"/>
              </w:rPr>
            </w:pPr>
          </w:p>
        </w:tc>
        <w:tc>
          <w:tcPr>
            <w:tcW w:w="1060" w:type="dxa"/>
            <w:vAlign w:val="bottom"/>
            <w:gridSpan w:val="2"/>
            <w:vMerge w:val="restart"/>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4"/>
                <w:szCs w:val="14"/>
                <w:color w:val="auto"/>
              </w:rPr>
            </w:pP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4"/>
                <w:szCs w:val="14"/>
                <w:color w:val="auto"/>
              </w:rPr>
            </w:pPr>
          </w:p>
        </w:tc>
        <w:tc>
          <w:tcPr>
            <w:tcW w:w="940" w:type="dxa"/>
            <w:vAlign w:val="bottom"/>
            <w:gridSpan w:val="2"/>
            <w:vMerge w:val="restart"/>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(948)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1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(948)</w:t>
            </w:r>
          </w:p>
        </w:tc>
        <w:tc>
          <w:tcPr>
            <w:tcW w:w="0" w:type="dxa"/>
            <w:vAlign w:val="bottom"/>
          </w:tcPr>
          <w:p>
            <w:pPr>
              <w:spacing w:after="0"/>
              <w:rPr>
                <w:sz w:val="1"/>
                <w:szCs w:val="1"/>
                <w:color w:val="auto"/>
              </w:rPr>
            </w:pPr>
          </w:p>
        </w:tc>
      </w:tr>
      <w:tr>
        <w:trPr>
          <w:trHeight w:val="213"/>
        </w:trPr>
        <w:tc>
          <w:tcPr>
            <w:tcW w:w="2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withholdings</w:t>
            </w:r>
          </w:p>
        </w:tc>
        <w:tc>
          <w:tcPr>
            <w:tcW w:w="16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Stock-based incentive compensation</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10,407</w:t>
            </w:r>
          </w:p>
        </w:tc>
        <w:tc>
          <w:tcPr>
            <w:tcW w:w="0" w:type="dxa"/>
            <w:vAlign w:val="bottom"/>
          </w:tcPr>
          <w:p>
            <w:pPr>
              <w:spacing w:after="0"/>
              <w:rPr>
                <w:sz w:val="1"/>
                <w:szCs w:val="1"/>
                <w:color w:val="auto"/>
              </w:rPr>
            </w:pPr>
          </w:p>
        </w:tc>
      </w:tr>
      <w:tr>
        <w:trPr>
          <w:trHeight w:val="162"/>
        </w:trPr>
        <w:tc>
          <w:tcPr>
            <w:tcW w:w="276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Purchase of company stock, and related</w:t>
            </w:r>
          </w:p>
        </w:tc>
        <w:tc>
          <w:tcPr>
            <w:tcW w:w="160" w:type="dxa"/>
            <w:vAlign w:val="bottom"/>
          </w:tcPr>
          <w:p>
            <w:pPr>
              <w:spacing w:after="0"/>
              <w:rPr>
                <w:sz w:val="14"/>
                <w:szCs w:val="14"/>
                <w:color w:val="auto"/>
              </w:rPr>
            </w:pPr>
          </w:p>
        </w:tc>
        <w:tc>
          <w:tcPr>
            <w:tcW w:w="1060" w:type="dxa"/>
            <w:vAlign w:val="bottom"/>
            <w:gridSpan w:val="2"/>
            <w:vMerge w:val="restart"/>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4"/>
                <w:szCs w:val="14"/>
                <w:color w:val="auto"/>
              </w:rPr>
            </w:pP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(42,388)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1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(42,388)</w:t>
            </w:r>
          </w:p>
        </w:tc>
        <w:tc>
          <w:tcPr>
            <w:tcW w:w="0" w:type="dxa"/>
            <w:vAlign w:val="bottom"/>
          </w:tcPr>
          <w:p>
            <w:pPr>
              <w:spacing w:after="0"/>
              <w:rPr>
                <w:sz w:val="1"/>
                <w:szCs w:val="1"/>
                <w:color w:val="auto"/>
              </w:rPr>
            </w:pPr>
          </w:p>
        </w:tc>
      </w:tr>
      <w:tr>
        <w:trPr>
          <w:trHeight w:val="213"/>
        </w:trPr>
        <w:tc>
          <w:tcPr>
            <w:tcW w:w="2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tax effects</w:t>
            </w:r>
          </w:p>
        </w:tc>
        <w:tc>
          <w:tcPr>
            <w:tcW w:w="16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53,856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53,856</w:t>
            </w:r>
          </w:p>
        </w:tc>
        <w:tc>
          <w:tcPr>
            <w:tcW w:w="0" w:type="dxa"/>
            <w:vAlign w:val="bottom"/>
          </w:tcPr>
          <w:p>
            <w:pPr>
              <w:spacing w:after="0"/>
              <w:rPr>
                <w:sz w:val="1"/>
                <w:szCs w:val="1"/>
                <w:color w:val="auto"/>
              </w:rPr>
            </w:pPr>
          </w:p>
        </w:tc>
      </w:tr>
      <w:tr>
        <w:trPr>
          <w:trHeight w:val="213"/>
        </w:trPr>
        <w:tc>
          <w:tcPr>
            <w:tcW w:w="2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6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(6,127)</w:t>
            </w:r>
          </w:p>
        </w:tc>
        <w:tc>
          <w:tcPr>
            <w:tcW w:w="0" w:type="dxa"/>
            <w:vAlign w:val="bottom"/>
          </w:tcPr>
          <w:p>
            <w:pPr>
              <w:spacing w:after="0"/>
              <w:rPr>
                <w:sz w:val="1"/>
                <w:szCs w:val="1"/>
                <w:color w:val="auto"/>
              </w:rPr>
            </w:pPr>
          </w:p>
        </w:tc>
      </w:tr>
      <w:tr>
        <w:trPr>
          <w:trHeight w:val="237"/>
        </w:trPr>
        <w:tc>
          <w:tcPr>
            <w:tcW w:w="27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 September 30, 2024</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(416,552)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1,224,059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609,203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1,426,231</w:t>
            </w: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notes to unaudited condensed consolidated financial statements are an integral part of these statements.</w:t>
      </w: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CARE HEALTH,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OPERATIONS AND PRESENTATION OF FINANCIAL STATEMENTS</w:t>
      </w:r>
    </w:p>
    <w:p>
      <w:pPr>
        <w:spacing w:after="0" w:line="185" w:lineRule="exact"/>
        <w:rPr>
          <w:sz w:val="20"/>
          <w:szCs w:val="20"/>
          <w:color w:val="auto"/>
        </w:rPr>
      </w:pPr>
    </w:p>
    <w:p>
      <w:pPr>
        <w:ind w:right="40"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Corporate Organization and Business </w:t>
      </w:r>
      <w:r>
        <w:rPr>
          <w:rFonts w:ascii="Times New Roman" w:cs="Times New Roman" w:eastAsia="Times New Roman" w:hAnsi="Times New Roman"/>
          <w:sz w:val="18"/>
          <w:szCs w:val="18"/>
          <w:color w:val="auto"/>
        </w:rPr>
        <w:t>— Option Care Health, and its wholly-owned subsidiaries, provides infusion therapy and other ancillary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health care services through a national network of 92 full service pharmacies and 93 stand-alone ambulatory infusion suites. The Company contracts with managed care organizations, third-party payers, hospitals, physicians, and other referral sources to provide pharmaceuticals and complex compounded solutions to patients for intravenous delivery in the patients’ homes or other nonhospital settings. The Company operates in one segment, infusion services. The Company’s stock is listed on the Nasdaq Global Select Market as of September 30, 2024.</w:t>
      </w:r>
    </w:p>
    <w:p>
      <w:pPr>
        <w:spacing w:after="0" w:line="139" w:lineRule="exact"/>
        <w:rPr>
          <w:sz w:val="20"/>
          <w:szCs w:val="20"/>
          <w:color w:val="auto"/>
        </w:rPr>
      </w:pPr>
    </w:p>
    <w:p>
      <w:pPr>
        <w:ind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Basis of Presentation </w:t>
      </w:r>
      <w:r>
        <w:rPr>
          <w:rFonts w:ascii="Times New Roman" w:cs="Times New Roman" w:eastAsia="Times New Roman" w:hAnsi="Times New Roman"/>
          <w:sz w:val="18"/>
          <w:szCs w:val="18"/>
          <w:color w:val="auto"/>
        </w:rPr>
        <w:t>— The accompanying unaudited condensed consolidated financial statements have been prepared in conformity with generally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accepted accounting principles (“GAAP”) in the United States and contain all adjustments, including normal recurring adjustments, necessary to present fairly the Company’s financial position, results of operations and cash flows for interim financial reporting. The results of operations for the interim periods presented are not necessarily indicative of the results of operations for the entire year. These unaudited condensed consolidated financial statements do not include all of the information and notes to the financial statements required by GAAP for complete financial statements and should be read in conjunction with the 2023 audited consolidated financial statements, including the notes thereto, as presented in our Form 10-K.</w:t>
      </w:r>
    </w:p>
    <w:p>
      <w:pPr>
        <w:spacing w:after="0" w:line="155" w:lineRule="exact"/>
        <w:rPr>
          <w:sz w:val="20"/>
          <w:szCs w:val="20"/>
          <w:color w:val="auto"/>
        </w:rPr>
      </w:pPr>
    </w:p>
    <w:p>
      <w:pPr>
        <w:ind w:right="20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Principles of Consolidation </w:t>
      </w:r>
      <w:r>
        <w:rPr>
          <w:rFonts w:ascii="Times New Roman" w:cs="Times New Roman" w:eastAsia="Times New Roman" w:hAnsi="Times New Roman"/>
          <w:sz w:val="18"/>
          <w:szCs w:val="18"/>
          <w:color w:val="auto"/>
        </w:rPr>
        <w:t>— The Company’s unaudited condensed consolidated financial statements include the accounts of Option Care Health,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 and its subsidiaries. All intercompany transactions and balances are eliminated in consolidation.</w:t>
      </w:r>
    </w:p>
    <w:p>
      <w:pPr>
        <w:spacing w:after="0" w:line="118"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Company has investments in companies that are 50% owned and are accounted for as equity-method investments. The Company’s share of earnings from equity-method investments is included in the line entitled “Equity in earnings of joint ventures” in the unaudited condensed consolidated statements of comprehensive income. See Equity-Method Investments within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for further discussion of the Company’s equity-method investments.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98" w:lineRule="exact"/>
        <w:rPr>
          <w:sz w:val="20"/>
          <w:szCs w:val="20"/>
          <w:color w:val="auto"/>
        </w:rPr>
      </w:pPr>
    </w:p>
    <w:p>
      <w:pPr>
        <w:ind w:right="48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Cash and Cash Equivalents </w:t>
      </w:r>
      <w:r>
        <w:rPr>
          <w:rFonts w:ascii="Times New Roman" w:cs="Times New Roman" w:eastAsia="Times New Roman" w:hAnsi="Times New Roman"/>
          <w:sz w:val="18"/>
          <w:szCs w:val="18"/>
          <w:color w:val="auto"/>
        </w:rPr>
        <w:t>— The Company considers all highly liquid investments with original maturities of three months or less to be cash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equivalents. As of September 30, 2024, cash equivalents consisted of money market funds.</w:t>
      </w:r>
    </w:p>
    <w:p>
      <w:pPr>
        <w:spacing w:after="0" w:line="114" w:lineRule="exact"/>
        <w:rPr>
          <w:sz w:val="20"/>
          <w:szCs w:val="20"/>
          <w:color w:val="auto"/>
        </w:rPr>
      </w:pPr>
    </w:p>
    <w:p>
      <w:pPr>
        <w:ind w:right="24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Prepaid Expenses and Other Current Assets </w:t>
      </w:r>
      <w:r>
        <w:rPr>
          <w:rFonts w:ascii="Times New Roman" w:cs="Times New Roman" w:eastAsia="Times New Roman" w:hAnsi="Times New Roman"/>
          <w:sz w:val="18"/>
          <w:szCs w:val="18"/>
          <w:color w:val="auto"/>
        </w:rPr>
        <w:t>— Included in prepaid expenses and other current assets are rebates receivable from pharmaceutical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medical supply manufacturers of $45.9 million and $52.0 million as of September 30, 2024 and December 31, 2023, respectively.</w:t>
      </w:r>
    </w:p>
    <w:p>
      <w:pPr>
        <w:spacing w:after="0" w:line="114"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Equity-Method Investments </w:t>
      </w:r>
      <w:r>
        <w:rPr>
          <w:rFonts w:ascii="Times New Roman" w:cs="Times New Roman" w:eastAsia="Times New Roman" w:hAnsi="Times New Roman"/>
          <w:sz w:val="18"/>
          <w:szCs w:val="18"/>
          <w:color w:val="auto"/>
        </w:rPr>
        <w:t>— The Company’s investments in certain unconsolidated entities are accounted for under the equity method.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balance of these investments is included in other noncurrent assets in the accompanying condensed consolidated balance sheets. As of September 30, 2024 and December 31, 2023, the balance of the investments was $23.6 million and $20.9 million, respectively. The balance of these investments is increased to reflect the Company’s capital contributions and equity in earnings of the investees. The balance of these investments is decreased to reflect the Company’s equity in losses of the investees and for distributions received that are not in excess of the carrying amount of the investments. The Company’s proportionate share of earnings or losses of the investees is recorded in equity in earnings of joint ventures in the accompanying unaudited condensed consolidated statements of comprehensive income. The Company’s proportionate share of earnings was $1.4 million and $3.9 million for the three and nine months ended September 30, 2024, respectively. The Company’s proportionate share of earnings was $1.3 million and $4.1 million for the three and nine months ended September 30, 2023, respectively. Distributions from the investees are treated as cash inflows from operating activities in the unaudited condensed consolidated statements of cash flows. During the three and nine months ended September 30, 2024, the Company received distributions from the investees of $0.5 million and $1.3 million, respectively. During the three and nine months ended September 30, 2023, the Company received distributions from the investees of $1.5 million and $4.0 million, respectively. See Note 15, </w:t>
      </w:r>
      <w:r>
        <w:rPr>
          <w:rFonts w:ascii="Times New Roman" w:cs="Times New Roman" w:eastAsia="Times New Roman" w:hAnsi="Times New Roman"/>
          <w:sz w:val="18"/>
          <w:szCs w:val="18"/>
          <w:i w:val="1"/>
          <w:iCs w:val="1"/>
          <w:color w:val="auto"/>
        </w:rPr>
        <w:t>Related-Party Transactions</w:t>
      </w:r>
      <w:r>
        <w:rPr>
          <w:rFonts w:ascii="Times New Roman" w:cs="Times New Roman" w:eastAsia="Times New Roman" w:hAnsi="Times New Roman"/>
          <w:sz w:val="18"/>
          <w:szCs w:val="18"/>
          <w:color w:val="auto"/>
        </w:rPr>
        <w:t>, for discussion of related-party transactions with these investees.</w:t>
      </w:r>
    </w:p>
    <w:p>
      <w:pPr>
        <w:spacing w:after="0" w:line="160" w:lineRule="exact"/>
        <w:rPr>
          <w:sz w:val="20"/>
          <w:szCs w:val="20"/>
          <w:color w:val="auto"/>
        </w:rPr>
      </w:pPr>
    </w:p>
    <w:p>
      <w:pPr>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Concentrations of Business Risk </w:t>
      </w:r>
      <w:r>
        <w:rPr>
          <w:rFonts w:ascii="Times New Roman" w:cs="Times New Roman" w:eastAsia="Times New Roman" w:hAnsi="Times New Roman"/>
          <w:sz w:val="18"/>
          <w:szCs w:val="18"/>
          <w:color w:val="auto"/>
        </w:rPr>
        <w:t>— The Company generates revenue from managed care contracts and other agreements with commercial third-party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payers. Revenue related to the Company’s largest payer was approximately 15% for the three and nine months ended September 30, 2024. Revenue related to the Company’s largest payer was approximately 14% for the three and nine months ended September 30, 2023. There were no other managed care contracts that represent greater than 10% of revenue for the periods presented.</w:t>
      </w:r>
    </w:p>
    <w:p>
      <w:pPr>
        <w:spacing w:after="0" w:line="140"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For the three and nine months ended September 30, 2024, approximately 11% and 12%, respectively, of the Company’s revenue was reimbursable through direct government healthcare programs, such as Medicare and Medicaid. For the three and nine months ended September 30, 2023, approximately 11% and 12%, respectively, of the Company’s revenue was reimbursable through direct government healthcare programs, such as Medicare and Medicaid. As of September 30, 2024 and December 31, 2023, approximately 10% and 12%, respectively, of the Company’s accounts receivable was related to these programs. Governmental programs pay for services based on fee schedules and rates that are determined by the related governmental agency. Laws and regulations pertaining to government programs are complex and subject to interpretation. As a result, there is at least a reasonable possibility that recorded estimates will change in the near term.</w:t>
      </w:r>
    </w:p>
    <w:p>
      <w:pPr>
        <w:spacing w:after="0" w:line="148"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Company does not require its patients or other payers to carry collateral for any amounts owed for goods or services provided. Other than as discussed above, concentration of credit risk relating to trade accounts receivable is limited due to the Company’s diversity of patients and payers. Further, the Company generally does not provide charity care; however, Option Care Health offers a financial assistance program for patients that meet certain defined hardship criteria.</w:t>
      </w:r>
    </w:p>
    <w:p>
      <w:pPr>
        <w:spacing w:after="0" w:line="153"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For the three and nine months ended September 30, 2024, approximately 68% and 67%, respectively, of the Company’s pharmaceutical and medical supply purchases were from four vendors. For the three and nine months ended September 30, 2023, approximately 73% of the Company’s pharmaceutical and medical supply purchases were from four vendors. Although there are a limited number of suppliers, the Company believes that other vendors could provide similar products on comparable terms. However, a change in suppliers could cause delays in service delivery, losses in revenue or decreased gross profit dollars, which could adversely affect the Company’s financial condition or operating results.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w:t>
      </w:r>
    </w:p>
    <w:p>
      <w:pPr>
        <w:spacing w:after="0" w:line="202"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net revenue earned by category of payer for the three and nine months ended September 30, 2024 and 2023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60" w:type="dxa"/>
            <w:vAlign w:val="bottom"/>
          </w:tcPr>
          <w:p>
            <w:pPr>
              <w:spacing w:after="0"/>
              <w:rPr>
                <w:sz w:val="18"/>
                <w:szCs w:val="18"/>
                <w:color w:val="auto"/>
              </w:rPr>
            </w:pPr>
          </w:p>
        </w:tc>
        <w:tc>
          <w:tcPr>
            <w:tcW w:w="2680" w:type="dxa"/>
            <w:vAlign w:val="bottom"/>
            <w:gridSpan w:val="4"/>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54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payers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1,109,971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957,601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3,160,490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2,765,513</w:t>
            </w:r>
          </w:p>
        </w:tc>
      </w:tr>
      <w:tr>
        <w:trPr>
          <w:trHeight w:val="213"/>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Government payers</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147,005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124,122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424,033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370,648</w:t>
            </w:r>
          </w:p>
        </w:tc>
      </w:tr>
      <w:tr>
        <w:trPr>
          <w:trHeight w:val="216"/>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Patients</w:t>
            </w: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21,570</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11,291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67,261</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41,773</w:t>
            </w:r>
          </w:p>
        </w:tc>
      </w:tr>
      <w:tr>
        <w:trPr>
          <w:trHeight w:val="212"/>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revenue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1,278,546</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1,093,014</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3,651,784</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3,177,934</w:t>
            </w:r>
          </w:p>
        </w:tc>
      </w:tr>
      <w:tr>
        <w:trPr>
          <w:trHeight w:val="21"/>
        </w:trPr>
        <w:tc>
          <w:tcPr>
            <w:tcW w:w="5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INCOME TAXES</w:t>
      </w:r>
    </w:p>
    <w:p>
      <w:pPr>
        <w:spacing w:after="0" w:line="189" w:lineRule="exact"/>
        <w:rPr>
          <w:sz w:val="20"/>
          <w:szCs w:val="20"/>
          <w:color w:val="auto"/>
        </w:rPr>
      </w:pPr>
    </w:p>
    <w:p>
      <w:pPr>
        <w:ind w:right="60" w:firstLine="324"/>
        <w:spacing w:after="0" w:line="252" w:lineRule="auto"/>
        <w:rPr>
          <w:sz w:val="20"/>
          <w:szCs w:val="20"/>
          <w:color w:val="auto"/>
        </w:rPr>
      </w:pPr>
      <w:r>
        <w:rPr>
          <w:rFonts w:ascii="Times New Roman" w:cs="Times New Roman" w:eastAsia="Times New Roman" w:hAnsi="Times New Roman"/>
          <w:sz w:val="18"/>
          <w:szCs w:val="18"/>
          <w:color w:val="auto"/>
        </w:rPr>
        <w:t>During the three and nine months ended September 30, 2024, the Company recorded tax expense of $19.7 million and $50.9 million, respectively, which represents an effective tax rate of 26.8% and 25.1%, respectively. The variance in the Company’s effective tax rate of 26.8% and 25.1% for the three and nine months ended September 30, 2024, compared to the federal statutory rate of 21%, is primarily attributable to the difference between federal and state tax rates, various non-deductible expenses, and a change in state valuation allowance. During the nine months ended September 30, 2024, the Company released $2.2 million of state valuation allowance. On June 26, 2023, the Company entered into an agreement to terminate the merger agreement (the “Mutual Termination Agreement”) with Amedisys, Inc. (“Amedisys”). Under the terms of the Mutual Termination Agreement, the Company received a payment of $106.0 million in cash on behalf of Amedisys (“Termination Fee”). During the three months ended September 30, 2023, the Company recorded tax expense of $13.8 million. During the nine months ended September 30, 2023, the Company recorded tax expense of $69.9 million, which includes $22.1 million of tax expense related to the Termination Fee payment received on behalf of Amedisys, under the terms of the Mutual Termination Agreement, net of merger-related expenses. The tax expense for the three and nine months ended September 30, 2023 represents an effective tax rate of</w:t>
      </w:r>
    </w:p>
    <w:p>
      <w:pPr>
        <w:spacing w:after="0" w:line="5"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19.7% and 25.0%, respectively. The variance in the Company’s effective tax rate of 19.7% and 25.0% for the three and nine months ended September 30, 2023, respectively, compared to the federal statutory rate of 21%, is primarily attributable to the difference between federal and state tax rates, various non-deductible expenses, and a change in state valuation allowance. The variance in the Company’s effective tax rate of 26.8% for the three months ended September 30, 2024, compared to 19.7% for the three months ended September 30, 2023 was primarily due to change in state valuation allowance. In September 2023, the Company released $5.8 million of state valuation allowance.</w:t>
      </w:r>
    </w:p>
    <w:p>
      <w:pPr>
        <w:spacing w:after="0" w:line="160" w:lineRule="exact"/>
        <w:rPr>
          <w:sz w:val="20"/>
          <w:szCs w:val="20"/>
          <w:color w:val="auto"/>
        </w:rPr>
      </w:pPr>
    </w:p>
    <w:p>
      <w:pPr>
        <w:ind w:right="180" w:firstLine="324"/>
        <w:spacing w:after="0" w:line="256" w:lineRule="auto"/>
        <w:rPr>
          <w:sz w:val="20"/>
          <w:szCs w:val="20"/>
          <w:color w:val="auto"/>
        </w:rPr>
      </w:pPr>
      <w:r>
        <w:rPr>
          <w:rFonts w:ascii="Times New Roman" w:cs="Times New Roman" w:eastAsia="Times New Roman" w:hAnsi="Times New Roman"/>
          <w:sz w:val="18"/>
          <w:szCs w:val="18"/>
          <w:color w:val="auto"/>
        </w:rPr>
        <w:t>The Company maintains a valuation allowance of $4.2 million against certain state net operating losses. In assessing the realizability of deferred tax assets, the Company considers whether it is more likely than not that some or all of the deferred tax assets will not be realized. The ultimate realization of deferred tax assets depends on the generation of future taxable income during the periods in which those temporary differences are deductible. In making this assessment, the Company considers the scheduled reversal of deferred tax liabilities, including the effect in available carryback and carryforward periods, projected taxable income, and tax-planning strategies. On a quarterly basis, the Company evaluates all positive and negative evidence in determining if the valuation allowance is fairly stated.</w:t>
      </w:r>
    </w:p>
    <w:p>
      <w:pPr>
        <w:spacing w:after="0" w:line="147" w:lineRule="exact"/>
        <w:rPr>
          <w:sz w:val="20"/>
          <w:szCs w:val="20"/>
          <w:color w:val="auto"/>
        </w:rPr>
      </w:pPr>
    </w:p>
    <w:p>
      <w:pPr>
        <w:ind w:right="400" w:firstLine="324"/>
        <w:spacing w:after="0" w:line="261" w:lineRule="auto"/>
        <w:rPr>
          <w:sz w:val="20"/>
          <w:szCs w:val="20"/>
          <w:color w:val="auto"/>
        </w:rPr>
      </w:pPr>
      <w:r>
        <w:rPr>
          <w:rFonts w:ascii="Times New Roman" w:cs="Times New Roman" w:eastAsia="Times New Roman" w:hAnsi="Times New Roman"/>
          <w:sz w:val="18"/>
          <w:szCs w:val="18"/>
          <w:color w:val="auto"/>
        </w:rPr>
        <w:t>The Company’s tax expense of $19.7 million and $50.9 million for the three and nine months ended September 30, 2024, respectively, consists of quarterly federal and state tax liabilities as well as recognized deferred federal and state tax expense. The Company’s tax expense of $13.8 million and $69.9 million for the three and nine months ended September 30, 2023, respectively, consists of quarterly federal and state tax liabilities as well as recognized deferred federal and state tax expense.</w:t>
      </w:r>
    </w:p>
    <w:p>
      <w:pPr>
        <w:spacing w:after="0" w:line="139"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The Company has accumulated federal net operating loss carryovers that are subject to one or more Internal Revenue Code (“Code”) Section 382 limitations. This may limit the Company’s ability to utilize its federal net operating losses.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EARNINGS PER SHARE</w:t>
      </w:r>
    </w:p>
    <w:p>
      <w:pPr>
        <w:spacing w:after="0" w:line="202"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The Company presents basic and diluted earnings per share for its common stock. Basic earnings per share is calculated by dividing the net income of the Company by the weighted average number of shares of common stock outstanding during the period. Diluted earnings per share is determined by adjusting the profit or loss and the weighted average number of shares of common stock outstanding for the effects of all potentially dilutive securities.</w:t>
      </w:r>
    </w:p>
    <w:p>
      <w:pPr>
        <w:spacing w:after="0" w:line="135" w:lineRule="exact"/>
        <w:rPr>
          <w:sz w:val="20"/>
          <w:szCs w:val="20"/>
          <w:color w:val="auto"/>
        </w:rPr>
      </w:pPr>
    </w:p>
    <w:p>
      <w:pPr>
        <w:jc w:val="both"/>
        <w:ind w:right="400" w:firstLine="324"/>
        <w:spacing w:after="0" w:line="261" w:lineRule="auto"/>
        <w:rPr>
          <w:sz w:val="20"/>
          <w:szCs w:val="20"/>
          <w:color w:val="auto"/>
        </w:rPr>
      </w:pPr>
      <w:r>
        <w:rPr>
          <w:rFonts w:ascii="Times New Roman" w:cs="Times New Roman" w:eastAsia="Times New Roman" w:hAnsi="Times New Roman"/>
          <w:sz w:val="18"/>
          <w:szCs w:val="18"/>
          <w:color w:val="auto"/>
        </w:rPr>
        <w:t>The earnings are used as the basis of determining whether the inclusion of common stock equivalents would be anti-dilutive. The computation of diluted shares for the three and nine months ended September 30, 2024 and 2023 includes the effect of shares that would be issued in connection with warrants, stock options, restricted stock awards and performance stock unit awards, as these common stock equivalents are dilutive to the earnings per share recorded in those periods.</w:t>
      </w:r>
    </w:p>
    <w:p>
      <w:pPr>
        <w:spacing w:after="0" w:line="13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Company’s common stock equivalents that were excluded from the calculation of earnings per share as they would be anti-dilutive: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60" w:type="dxa"/>
            <w:vAlign w:val="bottom"/>
          </w:tcPr>
          <w:p>
            <w:pPr>
              <w:spacing w:after="0"/>
              <w:rPr>
                <w:sz w:val="18"/>
                <w:szCs w:val="18"/>
                <w:color w:val="auto"/>
              </w:rPr>
            </w:pPr>
          </w:p>
        </w:tc>
        <w:tc>
          <w:tcPr>
            <w:tcW w:w="2940" w:type="dxa"/>
            <w:vAlign w:val="bottom"/>
            <w:gridSpan w:val="4"/>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840" w:type="dxa"/>
            <w:vAlign w:val="bottom"/>
            <w:gridSpan w:val="3"/>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546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option awards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779,876</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984,567</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855,323</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1,180,376</w:t>
            </w:r>
          </w:p>
        </w:tc>
      </w:tr>
      <w:tr>
        <w:trPr>
          <w:trHeight w:val="213"/>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stock awards</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324,877</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16,564</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365,835</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569,831</w:t>
            </w:r>
          </w:p>
        </w:tc>
      </w:tr>
      <w:tr>
        <w:trPr>
          <w:trHeight w:val="21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Performance stock unit awards</w:t>
            </w: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257,735</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288,680</w:t>
            </w:r>
          </w:p>
        </w:tc>
      </w:tr>
    </w:tbl>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Company’s basic earnings per share and shares outstanding (in thousands, except per share data):</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60" w:type="dxa"/>
            <w:vAlign w:val="bottom"/>
          </w:tcPr>
          <w:p>
            <w:pPr>
              <w:spacing w:after="0"/>
              <w:rPr>
                <w:sz w:val="18"/>
                <w:szCs w:val="18"/>
                <w:color w:val="auto"/>
              </w:rPr>
            </w:pPr>
          </w:p>
        </w:tc>
        <w:tc>
          <w:tcPr>
            <w:tcW w:w="2680" w:type="dxa"/>
            <w:vAlign w:val="bottom"/>
            <w:gridSpan w:val="4"/>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54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8"/>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16"/>
        </w:trPr>
        <w:tc>
          <w:tcPr>
            <w:tcW w:w="5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 (1)</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53,856</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56,302</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151,690</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209,913</w:t>
            </w:r>
          </w:p>
        </w:tc>
      </w:tr>
      <w:tr>
        <w:trPr>
          <w:trHeight w:val="20"/>
        </w:trPr>
        <w:tc>
          <w:tcPr>
            <w:tcW w:w="54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3"/>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16"/>
        </w:trPr>
        <w:tc>
          <w:tcPr>
            <w:tcW w:w="5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Weighted average number of common shares outstanding</w:t>
            </w: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170,636</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178,826</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172,490</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179,956</w:t>
            </w:r>
          </w:p>
        </w:tc>
      </w:tr>
      <w:tr>
        <w:trPr>
          <w:trHeight w:val="20"/>
        </w:trPr>
        <w:tc>
          <w:tcPr>
            <w:tcW w:w="54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1"/>
        </w:trPr>
        <w:tc>
          <w:tcPr>
            <w:tcW w:w="546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6"/>
                <w:szCs w:val="16"/>
                <w:b w:val="1"/>
                <w:bCs w:val="1"/>
                <w:color w:val="auto"/>
              </w:rPr>
              <w:t>Earnings per common share:</w:t>
            </w:r>
          </w:p>
        </w:tc>
        <w:tc>
          <w:tcPr>
            <w:tcW w:w="14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spacing w:after="0"/>
              <w:rPr>
                <w:sz w:val="15"/>
                <w:szCs w:val="15"/>
                <w:color w:val="auto"/>
              </w:rPr>
            </w:pPr>
          </w:p>
        </w:tc>
      </w:tr>
      <w:tr>
        <w:trPr>
          <w:trHeight w:val="211"/>
        </w:trPr>
        <w:tc>
          <w:tcPr>
            <w:tcW w:w="5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Earnings per common share, basic</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0.32</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0.31</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0.88</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w:t>
            </w:r>
          </w:p>
        </w:tc>
      </w:tr>
      <w:tr>
        <w:trPr>
          <w:trHeight w:val="20"/>
        </w:trPr>
        <w:tc>
          <w:tcPr>
            <w:tcW w:w="5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660" w:firstLine="332"/>
        <w:spacing w:after="0" w:line="282" w:lineRule="auto"/>
        <w:tabs>
          <w:tab w:leader="none" w:pos="57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for the nine months ended September 30, 2023 includes $62.8 million related to the termination payment received on behalf of Amedisys, under the terms of the Mutual Termination Agreement, net of merger-related expenses and taxes.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Company’s diluted earnings per share and shares outstanding (in thousands, except per share data):</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60" w:type="dxa"/>
            <w:vAlign w:val="bottom"/>
          </w:tcPr>
          <w:p>
            <w:pPr>
              <w:spacing w:after="0"/>
              <w:rPr>
                <w:sz w:val="18"/>
                <w:szCs w:val="18"/>
                <w:color w:val="auto"/>
              </w:rPr>
            </w:pPr>
          </w:p>
        </w:tc>
        <w:tc>
          <w:tcPr>
            <w:tcW w:w="2680" w:type="dxa"/>
            <w:vAlign w:val="bottom"/>
            <w:gridSpan w:val="4"/>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54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8"/>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16"/>
        </w:trPr>
        <w:tc>
          <w:tcPr>
            <w:tcW w:w="5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 (1)</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53,856</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56,302</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151,690</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209,913</w:t>
            </w:r>
          </w:p>
        </w:tc>
      </w:tr>
      <w:tr>
        <w:trPr>
          <w:trHeight w:val="20"/>
        </w:trPr>
        <w:tc>
          <w:tcPr>
            <w:tcW w:w="54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3"/>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13"/>
        </w:trPr>
        <w:tc>
          <w:tcPr>
            <w:tcW w:w="5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Weighted average number of common shares outstanding</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170,636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178,826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172,490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179,956</w:t>
            </w:r>
          </w:p>
        </w:tc>
      </w:tr>
      <w:tr>
        <w:trPr>
          <w:trHeight w:val="216"/>
        </w:trPr>
        <w:tc>
          <w:tcPr>
            <w:tcW w:w="5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Effect of dilutive securities</w:t>
            </w: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1,305</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1,358</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1,330</w:t>
            </w:r>
          </w:p>
        </w:tc>
      </w:tr>
      <w:tr>
        <w:trPr>
          <w:trHeight w:val="212"/>
        </w:trPr>
        <w:tc>
          <w:tcPr>
            <w:tcW w:w="5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Weighted average number of common shares outstanding, diluted</w:t>
            </w: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171,941</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180,528</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173,848</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181,286</w:t>
            </w:r>
          </w:p>
        </w:tc>
      </w:tr>
      <w:tr>
        <w:trPr>
          <w:trHeight w:val="20"/>
        </w:trPr>
        <w:tc>
          <w:tcPr>
            <w:tcW w:w="54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1"/>
        </w:trPr>
        <w:tc>
          <w:tcPr>
            <w:tcW w:w="546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6"/>
                <w:szCs w:val="16"/>
                <w:b w:val="1"/>
                <w:bCs w:val="1"/>
                <w:color w:val="auto"/>
              </w:rPr>
              <w:t>Earnings per common share:</w:t>
            </w:r>
          </w:p>
        </w:tc>
        <w:tc>
          <w:tcPr>
            <w:tcW w:w="14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spacing w:after="0"/>
              <w:rPr>
                <w:sz w:val="15"/>
                <w:szCs w:val="15"/>
                <w:color w:val="auto"/>
              </w:rPr>
            </w:pPr>
          </w:p>
        </w:tc>
      </w:tr>
      <w:tr>
        <w:trPr>
          <w:trHeight w:val="211"/>
        </w:trPr>
        <w:tc>
          <w:tcPr>
            <w:tcW w:w="5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Earnings per common share, diluted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0.31</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0.31</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0.87</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w:t>
            </w:r>
          </w:p>
        </w:tc>
      </w:tr>
      <w:tr>
        <w:trPr>
          <w:trHeight w:val="20"/>
        </w:trPr>
        <w:tc>
          <w:tcPr>
            <w:tcW w:w="5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660" w:firstLine="332"/>
        <w:spacing w:after="0" w:line="282" w:lineRule="auto"/>
        <w:tabs>
          <w:tab w:leader="none" w:pos="57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for the nine months ended September 30, 2023 includes $62.8 million related to the termination payment received on behalf of Amedisys, under the terms of the Mutual Termination Agreement, net of merger-related expenses and taxes.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LEASES</w:t>
      </w:r>
    </w:p>
    <w:p>
      <w:pPr>
        <w:spacing w:after="0" w:line="202"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During the three and nine months ended September 30, 2024, the Company incurred operating lease expenses of $8.6 million and $25.3 million, respectively, including short-term lease expenses, which were included as a component of selling, general and administrative expenses in the unaudited condensed consolidated statements of comprehensive income. During the three and nine months ended September 30, 2023, the Company incurred operating lease expenses of $7.8 million and $22.3 million, respectively, including short-term lease expenses, which were included as a component of selling, general and administrative expenses in the unaudited condensed consolidated statements of comprehensive income. As of September 30, 2024, the weighted-average remaining lease term was 6.5 years and the weighted-average discount rate was 6.49%.</w:t>
      </w:r>
    </w:p>
    <w:p>
      <w:pPr>
        <w:spacing w:after="0" w:line="1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Operating leases mature as follows (in thousands):</w:t>
      </w:r>
    </w:p>
    <w:p>
      <w:pPr>
        <w:spacing w:after="0" w:line="228"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90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Fiscal Year Ended December 31,</w:t>
            </w:r>
          </w:p>
        </w:tc>
        <w:tc>
          <w:tcPr>
            <w:tcW w:w="240" w:type="dxa"/>
            <w:vAlign w:val="bottom"/>
          </w:tcPr>
          <w:p>
            <w:pPr>
              <w:spacing w:after="0"/>
              <w:rPr>
                <w:sz w:val="18"/>
                <w:szCs w:val="18"/>
                <w:color w:val="auto"/>
              </w:rPr>
            </w:pPr>
          </w:p>
        </w:tc>
        <w:tc>
          <w:tcPr>
            <w:tcW w:w="19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Minimum Payments</w:t>
            </w:r>
          </w:p>
        </w:tc>
      </w:tr>
      <w:tr>
        <w:trPr>
          <w:trHeight w:val="213"/>
        </w:trPr>
        <w:tc>
          <w:tcPr>
            <w:tcW w:w="8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7,464</w:t>
            </w:r>
          </w:p>
        </w:tc>
      </w:tr>
      <w:tr>
        <w:trPr>
          <w:trHeight w:val="213"/>
        </w:trPr>
        <w:tc>
          <w:tcPr>
            <w:tcW w:w="8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28,646</w:t>
            </w:r>
          </w:p>
        </w:tc>
      </w:tr>
      <w:tr>
        <w:trPr>
          <w:trHeight w:val="219"/>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25,880</w:t>
            </w:r>
          </w:p>
        </w:tc>
      </w:tr>
      <w:tr>
        <w:trPr>
          <w:trHeight w:val="213"/>
        </w:trPr>
        <w:tc>
          <w:tcPr>
            <w:tcW w:w="8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20,554</w:t>
            </w:r>
          </w:p>
        </w:tc>
      </w:tr>
      <w:tr>
        <w:trPr>
          <w:trHeight w:val="219"/>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13,517</w:t>
            </w:r>
          </w:p>
        </w:tc>
      </w:tr>
      <w:tr>
        <w:trPr>
          <w:trHeight w:val="213"/>
        </w:trPr>
        <w:tc>
          <w:tcPr>
            <w:tcW w:w="9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2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43,813</w:t>
            </w:r>
          </w:p>
        </w:tc>
      </w:tr>
      <w:tr>
        <w:trPr>
          <w:trHeight w:val="212"/>
        </w:trPr>
        <w:tc>
          <w:tcPr>
            <w:tcW w:w="9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lease payments</w:t>
            </w:r>
          </w:p>
        </w:tc>
        <w:tc>
          <w:tcPr>
            <w:tcW w:w="24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139,874</w:t>
            </w:r>
          </w:p>
        </w:tc>
      </w:tr>
      <w:tr>
        <w:trPr>
          <w:trHeight w:val="213"/>
        </w:trPr>
        <w:tc>
          <w:tcPr>
            <w:tcW w:w="9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Less: interest</w:t>
            </w:r>
          </w:p>
        </w:tc>
        <w:tc>
          <w:tcPr>
            <w:tcW w:w="2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(29,982)</w:t>
            </w:r>
          </w:p>
        </w:tc>
      </w:tr>
      <w:tr>
        <w:trPr>
          <w:trHeight w:val="237"/>
        </w:trPr>
        <w:tc>
          <w:tcPr>
            <w:tcW w:w="9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Present value of lease liabilities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109,892</w:t>
            </w:r>
          </w:p>
        </w:tc>
      </w:tr>
      <w:tr>
        <w:trPr>
          <w:trHeight w:val="20"/>
        </w:trPr>
        <w:tc>
          <w:tcPr>
            <w:tcW w:w="8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During the nine months ended September 30, 2024, the Company commenced new leases, extensions and amendments, resulting in non-cash operating activities in the unaudited condensed consolidated statements of cash flow of $23.0 million related to increases in the operating lease right-of-use assets and operating lease liabilities. During the nine months ended September 30, 2023, the Company commenced new leases, extensions and amendments, resulting in non-cash operating activities in the unaudited condensed consolidated statements of cash flow of $26.1 million related to increases in the operating lease right-of-use assets and operating lease liabilities. As of September 30, 2024, the Company did not have any significant operating or financing leases that had not yet commenced.</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PROPERTY AND EQUIPMENT</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Property and equipment was as follows as of September 30, 2024 and December 31, 2023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60" w:type="dxa"/>
            <w:vAlign w:val="bottom"/>
          </w:tcPr>
          <w:p>
            <w:pPr>
              <w:spacing w:after="0"/>
              <w:rPr>
                <w:sz w:val="18"/>
                <w:szCs w:val="18"/>
                <w:color w:val="auto"/>
              </w:rPr>
            </w:pPr>
          </w:p>
        </w:tc>
        <w:tc>
          <w:tcPr>
            <w:tcW w:w="16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3"/>
        </w:trPr>
        <w:tc>
          <w:tcPr>
            <w:tcW w:w="7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Infusion pumps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36,476</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36,943</w:t>
            </w:r>
          </w:p>
        </w:tc>
      </w:tr>
      <w:tr>
        <w:trPr>
          <w:trHeight w:val="21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Equipment, furniture and other</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30,124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23,593</w:t>
            </w:r>
          </w:p>
        </w:tc>
      </w:tr>
      <w:tr>
        <w:trPr>
          <w:trHeight w:val="21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Leasehold improvements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117,827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99,725</w:t>
            </w:r>
          </w:p>
        </w:tc>
      </w:tr>
      <w:tr>
        <w:trPr>
          <w:trHeight w:val="21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Computer software, purchased and internally developed</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52,513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50,572</w:t>
            </w:r>
          </w:p>
        </w:tc>
      </w:tr>
      <w:tr>
        <w:trPr>
          <w:trHeight w:val="21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 under development</w:t>
            </w: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26,007</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33,668</w:t>
            </w:r>
          </w:p>
        </w:tc>
      </w:tr>
      <w:tr>
        <w:trPr>
          <w:trHeight w:val="209"/>
        </w:trPr>
        <w:tc>
          <w:tcPr>
            <w:tcW w:w="7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262,947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244,501</w:t>
            </w:r>
          </w:p>
        </w:tc>
      </w:tr>
      <w:tr>
        <w:trPr>
          <w:trHeight w:val="21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(137,036)</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(123,871)</w:t>
            </w:r>
          </w:p>
        </w:tc>
      </w:tr>
      <w:tr>
        <w:trPr>
          <w:trHeight w:val="212"/>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125,911</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120,630</w:t>
            </w:r>
          </w:p>
        </w:tc>
      </w:tr>
      <w:tr>
        <w:trPr>
          <w:trHeight w:val="20"/>
        </w:trPr>
        <w:tc>
          <w:tcPr>
            <w:tcW w:w="7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Depreciation expense is recorded within cost of revenue and operating expenses within the unaudited condensed consolidated statements of comprehensive income, depending on the nature of the underlying fixed assets. The depreciation expense included in cost of revenue relates to revenue-generating assets, such as infusion pumps. The depreciation expense included in operating expenses is related to infrastructure items, such as furniture, computer and office equipment, and leasehold improvements. The following table presents the amount of depreciation expense recorded in cost of revenue and operating expenses for the three and nine months ended September 30, 2024 and 2023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60" w:type="dxa"/>
            <w:vAlign w:val="bottom"/>
          </w:tcPr>
          <w:p>
            <w:pPr>
              <w:spacing w:after="0"/>
              <w:rPr>
                <w:sz w:val="18"/>
                <w:szCs w:val="18"/>
                <w:color w:val="auto"/>
              </w:rPr>
            </w:pPr>
          </w:p>
        </w:tc>
        <w:tc>
          <w:tcPr>
            <w:tcW w:w="2940" w:type="dxa"/>
            <w:vAlign w:val="bottom"/>
            <w:gridSpan w:val="6"/>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60" w:type="dxa"/>
            <w:vAlign w:val="bottom"/>
          </w:tcPr>
          <w:p>
            <w:pPr>
              <w:spacing w:after="0"/>
              <w:rPr>
                <w:sz w:val="18"/>
                <w:szCs w:val="18"/>
                <w:color w:val="auto"/>
              </w:rPr>
            </w:pPr>
          </w:p>
        </w:tc>
        <w:tc>
          <w:tcPr>
            <w:tcW w:w="2680" w:type="dxa"/>
            <w:vAlign w:val="bottom"/>
            <w:gridSpan w:val="4"/>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546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expense in cost of revenue</w:t>
            </w: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2,006</w:t>
            </w:r>
          </w:p>
        </w:tc>
      </w:tr>
      <w:tr>
        <w:trPr>
          <w:trHeight w:val="213"/>
        </w:trPr>
        <w:tc>
          <w:tcPr>
            <w:tcW w:w="5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Depreciation expense in operating expenses</w:t>
            </w:r>
          </w:p>
        </w:tc>
        <w:tc>
          <w:tcPr>
            <w:tcW w:w="8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6,063</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6,365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18,485</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18,665</w:t>
            </w:r>
          </w:p>
        </w:tc>
      </w:tr>
      <w:tr>
        <w:trPr>
          <w:trHeight w:val="237"/>
        </w:trPr>
        <w:tc>
          <w:tcPr>
            <w:tcW w:w="5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depreciation expense</w:t>
            </w: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6,631</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20,220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20,671</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GOODWILL AND OTHER INTANGIBLE ASSETS</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was no change in the carrying amount of goodwill for the three and nine months ended September 30, 2024.</w:t>
      </w:r>
    </w:p>
    <w:p>
      <w:pPr>
        <w:spacing w:after="0" w:line="185"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The carrying amount and accumulated amortization of intangible assets consist of the following as of September 30, 2024 and December 31, 2023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60" w:type="dxa"/>
            <w:vAlign w:val="bottom"/>
          </w:tcPr>
          <w:p>
            <w:pPr>
              <w:spacing w:after="0"/>
              <w:rPr>
                <w:sz w:val="18"/>
                <w:szCs w:val="18"/>
                <w:color w:val="auto"/>
              </w:rPr>
            </w:pPr>
          </w:p>
        </w:tc>
        <w:tc>
          <w:tcPr>
            <w:tcW w:w="16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199"/>
        </w:trPr>
        <w:tc>
          <w:tcPr>
            <w:tcW w:w="7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intangible assets:</w:t>
            </w:r>
          </w:p>
        </w:tc>
        <w:tc>
          <w:tcPr>
            <w:tcW w:w="16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r>
      <w:tr>
        <w:trPr>
          <w:trHeight w:val="21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Referral sources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514,388</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514,388</w:t>
            </w: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Trademarks/names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39,136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39,136</w:t>
            </w:r>
          </w:p>
        </w:tc>
      </w:tr>
      <w:tr>
        <w:trPr>
          <w:trHeight w:val="213"/>
        </w:trPr>
        <w:tc>
          <w:tcPr>
            <w:tcW w:w="7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amortizable intangible assets</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985</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995</w:t>
            </w:r>
          </w:p>
        </w:tc>
      </w:tr>
      <w:tr>
        <w:trPr>
          <w:trHeight w:val="210"/>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gross intangible assets</w:t>
            </w: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554,509</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554,519</w:t>
            </w:r>
          </w:p>
        </w:tc>
      </w:tr>
      <w:tr>
        <w:trPr>
          <w:trHeight w:val="239"/>
        </w:trPr>
        <w:tc>
          <w:tcPr>
            <w:tcW w:w="7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amortization:</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1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Referral sources</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(222,549)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(199,084)</w:t>
            </w: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Trademarks/names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(21,874)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(19,698)</w:t>
            </w:r>
          </w:p>
        </w:tc>
      </w:tr>
      <w:tr>
        <w:trPr>
          <w:trHeight w:val="213"/>
        </w:trPr>
        <w:tc>
          <w:tcPr>
            <w:tcW w:w="7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amortizable intangible assets</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(479)</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(341)</w:t>
            </w:r>
          </w:p>
        </w:tc>
      </w:tr>
      <w:tr>
        <w:trPr>
          <w:trHeight w:val="209"/>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accumulated amortization</w:t>
            </w: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(244,902)</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(219,123)</w:t>
            </w:r>
          </w:p>
        </w:tc>
      </w:tr>
      <w:tr>
        <w:trPr>
          <w:trHeight w:val="212"/>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intangible assets, net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309,607</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335,396</w:t>
            </w:r>
          </w:p>
        </w:tc>
      </w:tr>
      <w:tr>
        <w:trPr>
          <w:trHeight w:val="21"/>
        </w:trPr>
        <w:tc>
          <w:tcPr>
            <w:tcW w:w="7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Amortization expense for intangible assets was $8.6 million and $25.8 million for the three and nine months ended September 30, 2024,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for intangible assets was $8.6 million and $25.6 million for the three and nine months ended September 30, 2023, respectively.</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INDEBTEDNESS</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Long-term debt consisted of the following as of September 30, 2024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Principal Amount</w:t>
            </w:r>
          </w:p>
        </w:tc>
        <w:tc>
          <w:tcPr>
            <w:tcW w:w="340" w:type="dxa"/>
            <w:vAlign w:val="bottom"/>
          </w:tcPr>
          <w:p>
            <w:pPr>
              <w:spacing w:after="0"/>
              <w:rPr>
                <w:sz w:val="18"/>
                <w:szCs w:val="18"/>
                <w:color w:val="auto"/>
              </w:rPr>
            </w:pPr>
          </w:p>
        </w:tc>
        <w:tc>
          <w:tcPr>
            <w:tcW w:w="152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Discount</w:t>
            </w:r>
          </w:p>
        </w:tc>
        <w:tc>
          <w:tcPr>
            <w:tcW w:w="140" w:type="dxa"/>
            <w:vAlign w:val="bottom"/>
          </w:tcPr>
          <w:p>
            <w:pPr>
              <w:spacing w:after="0"/>
              <w:rPr>
                <w:sz w:val="18"/>
                <w:szCs w:val="18"/>
                <w:color w:val="auto"/>
              </w:rPr>
            </w:pPr>
          </w:p>
        </w:tc>
        <w:tc>
          <w:tcPr>
            <w:tcW w:w="2000" w:type="dxa"/>
            <w:vAlign w:val="bottom"/>
            <w:gridSpan w:val="3"/>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Debt Issuance Costs</w:t>
            </w:r>
          </w:p>
        </w:tc>
        <w:tc>
          <w:tcPr>
            <w:tcW w:w="148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Net Balance</w:t>
            </w:r>
          </w:p>
        </w:tc>
      </w:tr>
      <w:tr>
        <w:trPr>
          <w:trHeight w:val="212"/>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Revolver Facility</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First Lien Term Loan</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633,244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(8,030)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619,329</w:t>
            </w:r>
          </w:p>
        </w:tc>
      </w:tr>
      <w:tr>
        <w:trPr>
          <w:trHeight w:val="216"/>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Notes</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(7,711)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492,289</w:t>
            </w:r>
          </w:p>
        </w:tc>
      </w:tr>
      <w:tr>
        <w:trPr>
          <w:trHeight w:val="212"/>
        </w:trPr>
        <w:tc>
          <w:tcPr>
            <w:tcW w:w="39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1,133,244</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(5,885)</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(15,741)</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1,111,618</w:t>
            </w:r>
          </w:p>
        </w:tc>
      </w:tr>
      <w:tr>
        <w:trPr>
          <w:trHeight w:val="20"/>
        </w:trPr>
        <w:tc>
          <w:tcPr>
            <w:tcW w:w="39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r>
      <w:tr>
        <w:trPr>
          <w:trHeight w:val="183"/>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current portion</w:t>
            </w:r>
          </w:p>
        </w:tc>
        <w:tc>
          <w:tcPr>
            <w:tcW w:w="1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(6,512)</w:t>
            </w:r>
          </w:p>
        </w:tc>
      </w:tr>
      <w:tr>
        <w:trPr>
          <w:trHeight w:val="210"/>
        </w:trPr>
        <w:tc>
          <w:tcPr>
            <w:tcW w:w="3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long-term debt</w:t>
            </w: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1,105,106</w:t>
            </w:r>
          </w:p>
        </w:tc>
      </w:tr>
      <w:tr>
        <w:trPr>
          <w:trHeight w:val="20"/>
        </w:trPr>
        <w:tc>
          <w:tcPr>
            <w:tcW w:w="3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Long-term debt consisted of the following as of December 31, 2023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Principal Amount</w:t>
            </w:r>
          </w:p>
        </w:tc>
        <w:tc>
          <w:tcPr>
            <w:tcW w:w="340" w:type="dxa"/>
            <w:vAlign w:val="bottom"/>
          </w:tcPr>
          <w:p>
            <w:pPr>
              <w:spacing w:after="0"/>
              <w:rPr>
                <w:sz w:val="18"/>
                <w:szCs w:val="18"/>
                <w:color w:val="auto"/>
              </w:rPr>
            </w:pPr>
          </w:p>
        </w:tc>
        <w:tc>
          <w:tcPr>
            <w:tcW w:w="152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Discount</w:t>
            </w:r>
          </w:p>
        </w:tc>
        <w:tc>
          <w:tcPr>
            <w:tcW w:w="140" w:type="dxa"/>
            <w:vAlign w:val="bottom"/>
          </w:tcPr>
          <w:p>
            <w:pPr>
              <w:spacing w:after="0"/>
              <w:rPr>
                <w:sz w:val="18"/>
                <w:szCs w:val="18"/>
                <w:color w:val="auto"/>
              </w:rPr>
            </w:pPr>
          </w:p>
        </w:tc>
        <w:tc>
          <w:tcPr>
            <w:tcW w:w="2000" w:type="dxa"/>
            <w:vAlign w:val="bottom"/>
            <w:gridSpan w:val="3"/>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Debt Issuance Costs</w:t>
            </w:r>
          </w:p>
        </w:tc>
        <w:tc>
          <w:tcPr>
            <w:tcW w:w="148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Net Balance</w:t>
            </w:r>
          </w:p>
        </w:tc>
      </w:tr>
      <w:tr>
        <w:trPr>
          <w:trHeight w:val="212"/>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Revolver Facility</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First Lien Term Loan</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588,000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(9,678)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571,348</w:t>
            </w:r>
          </w:p>
        </w:tc>
      </w:tr>
      <w:tr>
        <w:trPr>
          <w:trHeight w:val="216"/>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Notes</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491,302</w:t>
            </w:r>
          </w:p>
        </w:tc>
      </w:tr>
      <w:tr>
        <w:trPr>
          <w:trHeight w:val="212"/>
        </w:trPr>
        <w:tc>
          <w:tcPr>
            <w:tcW w:w="39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1,088,000</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(6,974)</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(18,376)</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1,062,650</w:t>
            </w:r>
          </w:p>
        </w:tc>
      </w:tr>
      <w:tr>
        <w:trPr>
          <w:trHeight w:val="20"/>
        </w:trPr>
        <w:tc>
          <w:tcPr>
            <w:tcW w:w="39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r>
      <w:tr>
        <w:trPr>
          <w:trHeight w:val="183"/>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current portion</w:t>
            </w:r>
          </w:p>
        </w:tc>
        <w:tc>
          <w:tcPr>
            <w:tcW w:w="1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w:t>
            </w:r>
          </w:p>
        </w:tc>
      </w:tr>
      <w:tr>
        <w:trPr>
          <w:trHeight w:val="209"/>
        </w:trPr>
        <w:tc>
          <w:tcPr>
            <w:tcW w:w="3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long-term debt</w:t>
            </w: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1,056,650</w:t>
            </w:r>
          </w:p>
        </w:tc>
      </w:tr>
      <w:tr>
        <w:trPr>
          <w:trHeight w:val="21"/>
        </w:trPr>
        <w:tc>
          <w:tcPr>
            <w:tcW w:w="3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On May 8, 2024, the Company entered into the third amendment to the amended and restated First Lien Credit Agreement (the “Third Amendment”). The Third Amendment, among other things, reduces the interest rate on the First Lien Term Loan from Term Secured Overnight Financing Rate (“SOFR”) (including a credit spread adjustment) plus 2.75% to Term SOFR plus 2.25%, increases borrowings by $50.0 million, and removes the credit spread adjustment with respect to such First Lien Term Loan.</w:t>
      </w:r>
    </w:p>
    <w:p>
      <w:pPr>
        <w:spacing w:after="0" w:line="153" w:lineRule="exact"/>
        <w:rPr>
          <w:sz w:val="20"/>
          <w:szCs w:val="20"/>
          <w:color w:val="auto"/>
        </w:rPr>
      </w:pPr>
    </w:p>
    <w:p>
      <w:pPr>
        <w:ind w:right="220" w:firstLine="324"/>
        <w:spacing w:after="0" w:line="256" w:lineRule="auto"/>
        <w:rPr>
          <w:sz w:val="20"/>
          <w:szCs w:val="20"/>
          <w:color w:val="auto"/>
        </w:rPr>
      </w:pPr>
      <w:r>
        <w:rPr>
          <w:rFonts w:ascii="Times New Roman" w:cs="Times New Roman" w:eastAsia="Times New Roman" w:hAnsi="Times New Roman"/>
          <w:sz w:val="18"/>
          <w:szCs w:val="18"/>
          <w:color w:val="auto"/>
        </w:rPr>
        <w:t>The interest rate on the First Lien Term Loan was 7.50% and 8.21% as of September 30, 2024 and December 31, 2023, respectively. The weighted average interest rate incurred on the First Lien Term Loan was 7.56% and 7.84% for the three and nine months ended September 30, 2024, respectively. The weighted average interest rate incurred on the First Lien Term Loan was 8.11% and 7.71% for the three and nine months ended September 30, 2023, respectively. The interest rate on the Senior Notes was 4.375% as of September 30, 2024 and December 31, 2023. The weighted average interest rate incurred on the Senior Notes was 4.375% for the three and nine months ended September 30, 2024. The weighted average interest rate incurred on the Senior Notes was 4.375% for the three and nine months ended September 30, 2023.</w:t>
      </w:r>
    </w:p>
    <w:p>
      <w:pPr>
        <w:spacing w:after="0" w:line="147"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The Company assessed whether the repayment of the First Lien Term Loan indebtedness resulted in an insubstantial modification or an extinguishment of the existing debt for each loan in the syndication by grouping lenders as follows: (i) Lenders participating in both the First Lien Term Loan and Senior Notes; (ii) previous lenders that exited; and (iii) new lenders. The Company determined that $0.4 million of the First Lien Term Loan was extinguished. The First Lien Term Loan had insubstantial modifications for lenders that participated in both debt instruments, which resulted in a cash inflow from financing activities of $50.0 million in the unaudited condensed consolidated statements of cash flows. The Company incurred $1.6 million in fees, of which $0.1 million was capitalized, relative to the First Lien Term Loan and an immaterial amount of the total fees incurred was netted against the $50.0 million of debt proceeds as financing activities within the unaudited condensed consolidated statements of cash flows.</w:t>
      </w:r>
    </w:p>
    <w:p>
      <w:pPr>
        <w:spacing w:after="0" w:line="148" w:lineRule="exact"/>
        <w:rPr>
          <w:sz w:val="20"/>
          <w:szCs w:val="20"/>
          <w:color w:val="auto"/>
        </w:rPr>
      </w:pPr>
    </w:p>
    <w:p>
      <w:pPr>
        <w:ind w:right="620" w:firstLine="324"/>
        <w:spacing w:after="0" w:line="282" w:lineRule="auto"/>
        <w:rPr>
          <w:sz w:val="20"/>
          <w:szCs w:val="20"/>
          <w:color w:val="auto"/>
        </w:rPr>
      </w:pPr>
      <w:r>
        <w:rPr>
          <w:rFonts w:ascii="Times New Roman" w:cs="Times New Roman" w:eastAsia="Times New Roman" w:hAnsi="Times New Roman"/>
          <w:sz w:val="18"/>
          <w:szCs w:val="18"/>
          <w:color w:val="auto"/>
        </w:rPr>
        <w:t>The Company recognized a loss on extinguishment of debt of $0.4 million included in the line entitled “Other, net” in the unaudited condensed consolidated statements of comprehensive income.</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Long-term debt matures as follows (in thousands):</w:t>
      </w:r>
    </w:p>
    <w:p>
      <w:pPr>
        <w:spacing w:after="0" w:line="228"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90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Fiscal Year Ended December 31,</w:t>
            </w:r>
          </w:p>
        </w:tc>
        <w:tc>
          <w:tcPr>
            <w:tcW w:w="240" w:type="dxa"/>
            <w:vAlign w:val="bottom"/>
          </w:tcPr>
          <w:p>
            <w:pPr>
              <w:spacing w:after="0"/>
              <w:rPr>
                <w:sz w:val="18"/>
                <w:szCs w:val="18"/>
                <w:color w:val="auto"/>
              </w:rPr>
            </w:pPr>
          </w:p>
        </w:tc>
        <w:tc>
          <w:tcPr>
            <w:tcW w:w="19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Minimum Payments</w:t>
            </w:r>
          </w:p>
        </w:tc>
      </w:tr>
      <w:tr>
        <w:trPr>
          <w:trHeight w:val="213"/>
        </w:trPr>
        <w:tc>
          <w:tcPr>
            <w:tcW w:w="8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1,628</w:t>
            </w:r>
          </w:p>
        </w:tc>
      </w:tr>
      <w:tr>
        <w:trPr>
          <w:trHeight w:val="213"/>
        </w:trPr>
        <w:tc>
          <w:tcPr>
            <w:tcW w:w="8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6,512</w:t>
            </w:r>
          </w:p>
        </w:tc>
      </w:tr>
      <w:tr>
        <w:trPr>
          <w:trHeight w:val="219"/>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6,512</w:t>
            </w:r>
          </w:p>
        </w:tc>
      </w:tr>
      <w:tr>
        <w:trPr>
          <w:trHeight w:val="213"/>
        </w:trPr>
        <w:tc>
          <w:tcPr>
            <w:tcW w:w="8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6,512</w:t>
            </w:r>
          </w:p>
        </w:tc>
      </w:tr>
      <w:tr>
        <w:trPr>
          <w:trHeight w:val="219"/>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612,080</w:t>
            </w:r>
          </w:p>
        </w:tc>
      </w:tr>
      <w:tr>
        <w:trPr>
          <w:trHeight w:val="213"/>
        </w:trPr>
        <w:tc>
          <w:tcPr>
            <w:tcW w:w="9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2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500,000</w:t>
            </w:r>
          </w:p>
        </w:tc>
      </w:tr>
      <w:tr>
        <w:trPr>
          <w:trHeight w:val="237"/>
        </w:trPr>
        <w:tc>
          <w:tcPr>
            <w:tcW w:w="9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1,133,244</w:t>
            </w:r>
          </w:p>
        </w:tc>
      </w:tr>
      <w:tr>
        <w:trPr>
          <w:trHeight w:val="20"/>
        </w:trPr>
        <w:tc>
          <w:tcPr>
            <w:tcW w:w="8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 xml:space="preserve">During the three and nine months ended September 30, 2024 and 2023, the Company engaged in hedging activities to limit its exposure to changes in interest rates. See Note 10,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 for further discussion.</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estimated fair values of the Company’s debt obligations as of September 30, 2024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Carrying Value as of</w:t>
            </w:r>
          </w:p>
        </w:tc>
        <w:tc>
          <w:tcPr>
            <w:tcW w:w="100" w:type="dxa"/>
            <w:vAlign w:val="bottom"/>
          </w:tcPr>
          <w:p>
            <w:pPr>
              <w:spacing w:after="0"/>
              <w:rPr>
                <w:sz w:val="15"/>
                <w:szCs w:val="15"/>
                <w:color w:val="auto"/>
              </w:rPr>
            </w:pPr>
          </w:p>
        </w:tc>
        <w:tc>
          <w:tcPr>
            <w:tcW w:w="17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Markets for Identical</w:t>
            </w:r>
          </w:p>
        </w:tc>
        <w:tc>
          <w:tcPr>
            <w:tcW w:w="160" w:type="dxa"/>
            <w:vAlign w:val="bottom"/>
          </w:tcPr>
          <w:p>
            <w:pPr>
              <w:spacing w:after="0"/>
              <w:rPr>
                <w:sz w:val="15"/>
                <w:szCs w:val="15"/>
                <w:color w:val="auto"/>
              </w:rPr>
            </w:pPr>
          </w:p>
        </w:tc>
        <w:tc>
          <w:tcPr>
            <w:tcW w:w="17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Significant Other</w:t>
            </w:r>
          </w:p>
        </w:tc>
        <w:tc>
          <w:tcPr>
            <w:tcW w:w="120" w:type="dxa"/>
            <w:vAlign w:val="bottom"/>
          </w:tcPr>
          <w:p>
            <w:pPr>
              <w:spacing w:after="0"/>
              <w:rPr>
                <w:sz w:val="15"/>
                <w:szCs w:val="15"/>
                <w:color w:val="auto"/>
              </w:rPr>
            </w:pPr>
          </w:p>
        </w:tc>
        <w:tc>
          <w:tcPr>
            <w:tcW w:w="16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0" w:type="dxa"/>
            <w:vAlign w:val="bottom"/>
          </w:tcPr>
          <w:p>
            <w:pPr>
              <w:spacing w:after="0"/>
              <w:rPr>
                <w:sz w:val="1"/>
                <w:szCs w:val="1"/>
                <w:color w:val="auto"/>
              </w:rPr>
            </w:pPr>
          </w:p>
        </w:tc>
      </w:tr>
      <w:tr>
        <w:trPr>
          <w:trHeight w:val="162"/>
        </w:trPr>
        <w:tc>
          <w:tcPr>
            <w:tcW w:w="3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Instrument</w:t>
            </w:r>
          </w:p>
        </w:tc>
        <w:tc>
          <w:tcPr>
            <w:tcW w:w="140" w:type="dxa"/>
            <w:vAlign w:val="bottom"/>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Observable Inputs</w:t>
            </w:r>
          </w:p>
        </w:tc>
        <w:tc>
          <w:tcPr>
            <w:tcW w:w="120" w:type="dxa"/>
            <w:vAlign w:val="bottom"/>
          </w:tcPr>
          <w:p>
            <w:pPr>
              <w:spacing w:after="0"/>
              <w:rPr>
                <w:sz w:val="14"/>
                <w:szCs w:val="14"/>
                <w:color w:val="auto"/>
              </w:rPr>
            </w:pPr>
          </w:p>
        </w:tc>
        <w:tc>
          <w:tcPr>
            <w:tcW w:w="1640" w:type="dxa"/>
            <w:vAlign w:val="bottom"/>
          </w:tcPr>
          <w:p>
            <w:pPr>
              <w:jc w:val="center"/>
              <w:ind w:right="39"/>
              <w:spacing w:after="0" w:line="162" w:lineRule="exact"/>
              <w:rPr>
                <w:sz w:val="20"/>
                <w:szCs w:val="20"/>
                <w:color w:val="auto"/>
              </w:rPr>
            </w:pPr>
            <w:r>
              <w:rPr>
                <w:rFonts w:ascii="Times New Roman" w:cs="Times New Roman" w:eastAsia="Times New Roman" w:hAnsi="Times New Roman"/>
                <w:sz w:val="16"/>
                <w:szCs w:val="16"/>
                <w:b w:val="1"/>
                <w:bCs w:val="1"/>
                <w:color w:val="auto"/>
              </w:rPr>
              <w:t>Unobservable Inputs</w:t>
            </w:r>
          </w:p>
        </w:tc>
        <w:tc>
          <w:tcPr>
            <w:tcW w:w="0" w:type="dxa"/>
            <w:vAlign w:val="bottom"/>
          </w:tcPr>
          <w:p>
            <w:pPr>
              <w:spacing w:after="0"/>
              <w:rPr>
                <w:sz w:val="1"/>
                <w:szCs w:val="1"/>
                <w:color w:val="auto"/>
              </w:rPr>
            </w:pPr>
          </w:p>
        </w:tc>
      </w:tr>
      <w:tr>
        <w:trPr>
          <w:trHeight w:val="214"/>
        </w:trPr>
        <w:tc>
          <w:tcPr>
            <w:tcW w:w="39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00" w:type="dxa"/>
            <w:vAlign w:val="bottom"/>
          </w:tcPr>
          <w:p>
            <w:pPr>
              <w:spacing w:after="0"/>
              <w:rPr>
                <w:sz w:val="18"/>
                <w:szCs w:val="18"/>
                <w:color w:val="auto"/>
              </w:rPr>
            </w:pPr>
          </w:p>
        </w:tc>
        <w:tc>
          <w:tcPr>
            <w:tcW w:w="17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Item (Level 1)</w:t>
            </w:r>
          </w:p>
        </w:tc>
        <w:tc>
          <w:tcPr>
            <w:tcW w:w="160" w:type="dxa"/>
            <w:vAlign w:val="bottom"/>
          </w:tcPr>
          <w:p>
            <w:pPr>
              <w:spacing w:after="0"/>
              <w:rPr>
                <w:sz w:val="18"/>
                <w:szCs w:val="18"/>
                <w:color w:val="auto"/>
              </w:rPr>
            </w:pPr>
          </w:p>
        </w:tc>
        <w:tc>
          <w:tcPr>
            <w:tcW w:w="17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20" w:type="dxa"/>
            <w:vAlign w:val="bottom"/>
          </w:tcPr>
          <w:p>
            <w:pPr>
              <w:spacing w:after="0"/>
              <w:rPr>
                <w:sz w:val="18"/>
                <w:szCs w:val="18"/>
                <w:color w:val="auto"/>
              </w:rPr>
            </w:pPr>
          </w:p>
        </w:tc>
        <w:tc>
          <w:tcPr>
            <w:tcW w:w="16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(Level 3)</w:t>
            </w:r>
          </w:p>
        </w:tc>
        <w:tc>
          <w:tcPr>
            <w:tcW w:w="0" w:type="dxa"/>
            <w:vAlign w:val="bottom"/>
          </w:tcPr>
          <w:p>
            <w:pPr>
              <w:spacing w:after="0"/>
              <w:rPr>
                <w:sz w:val="1"/>
                <w:szCs w:val="1"/>
                <w:color w:val="auto"/>
              </w:rPr>
            </w:pPr>
          </w:p>
        </w:tc>
      </w:tr>
      <w:tr>
        <w:trPr>
          <w:trHeight w:val="211"/>
        </w:trPr>
        <w:tc>
          <w:tcPr>
            <w:tcW w:w="3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First Lien Term Loan</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619,329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CCEEFF"/>
          </w:tcPr>
          <w:p>
            <w:pPr>
              <w:ind w:left="14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634,827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CCEEFF"/>
          </w:tcPr>
          <w:p>
            <w:pPr>
              <w:ind w:left="14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Senior Notes</w:t>
            </w:r>
          </w:p>
        </w:tc>
        <w:tc>
          <w:tcPr>
            <w:tcW w:w="1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492,289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ind w:left="14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ind w:left="14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392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debt instruments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1,111,618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bottom w:val="single" w:sz="8" w:color="auto"/>
            </w:tcBorders>
            <w:shd w:val="clear" w:color="auto" w:fill="CCEEFF"/>
          </w:tcPr>
          <w:p>
            <w:pPr>
              <w:ind w:left="14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1,109,827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bottom w:val="single" w:sz="8" w:color="auto"/>
            </w:tcBorders>
            <w:shd w:val="clear" w:color="auto" w:fill="CCEEFF"/>
          </w:tcPr>
          <w:p>
            <w:pPr>
              <w:ind w:left="14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56" w:gutter="0" w:footer="0" w:header="0"/>
        </w:sectPr>
      </w:pPr>
    </w:p>
    <w:p>
      <w:pPr>
        <w:spacing w:after="0" w:line="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 xml:space="preserve">See Note 11, </w:t>
      </w:r>
      <w:r>
        <w:rPr>
          <w:rFonts w:ascii="Times New Roman" w:cs="Times New Roman" w:eastAsia="Times New Roman" w:hAnsi="Times New Roman"/>
          <w:sz w:val="17"/>
          <w:szCs w:val="17"/>
          <w:i w:val="1"/>
          <w:iCs w:val="1"/>
          <w:color w:val="auto"/>
        </w:rPr>
        <w:t>Fair Value Measurements</w:t>
      </w:r>
      <w:r>
        <w:rPr>
          <w:rFonts w:ascii="Times New Roman" w:cs="Times New Roman" w:eastAsia="Times New Roman" w:hAnsi="Times New Roman"/>
          <w:sz w:val="17"/>
          <w:szCs w:val="17"/>
          <w:color w:val="auto"/>
        </w:rPr>
        <w:t>, for further discussion.</w:t>
      </w:r>
    </w:p>
    <w:p>
      <w:pPr>
        <w:sectPr>
          <w:pgSz w:w="11900" w:h="16838" w:orient="portrait"/>
          <w:cols w:equalWidth="0" w:num="1">
            <w:col w:w="11240"/>
          </w:cols>
          <w:pgMar w:left="320" w:top="118" w:right="339" w:bottom="56" w:gutter="0" w:footer="0" w:header="0"/>
          <w:type w:val="continuous"/>
        </w:sectPr>
      </w:pPr>
    </w:p>
    <w:bookmarkStart w:id="15" w:name="page16"/>
    <w:bookmarkEnd w:id="15"/>
    <w:p>
      <w:pPr>
        <w:ind w:firstLine="324"/>
        <w:spacing w:after="0" w:line="258" w:lineRule="auto"/>
        <w:rPr>
          <w:sz w:val="20"/>
          <w:szCs w:val="20"/>
          <w:color w:val="auto"/>
        </w:rPr>
      </w:pPr>
      <w:r>
        <w:rPr>
          <w:rFonts w:ascii="Times New Roman" w:cs="Times New Roman" w:eastAsia="Times New Roman" w:hAnsi="Times New Roman"/>
          <w:sz w:val="18"/>
          <w:szCs w:val="18"/>
          <w:color w:val="auto"/>
        </w:rPr>
        <w:t>On December 7, 2023, the Company entered into the second amendment to the amended and restated First Lien Credit Agreement dated as of October 27, 2021 (the “Second Amendment”). The Second Amendment, among other things, provides for revolving credit commitments by the applicable Revolving Credit Lenders in an aggregate amount of $400.0 million (the “Revolver Facility”), pursuant to which such lenders have agreed to make Revolving Credit Loans to the Company. As of September 30, 2024, the Company had $4.1 million of undrawn letters of credit issued and outstanding, resulting in net borrowing availability under the Revolver Facility of $395.9 million.</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DERIVATIVE INSTRUMENTS</w:t>
      </w:r>
    </w:p>
    <w:p>
      <w:pPr>
        <w:spacing w:after="0" w:line="202" w:lineRule="exact"/>
        <w:rPr>
          <w:sz w:val="20"/>
          <w:szCs w:val="20"/>
          <w:color w:val="auto"/>
        </w:rPr>
      </w:pPr>
    </w:p>
    <w:p>
      <w:pPr>
        <w:ind w:right="20" w:firstLine="324"/>
        <w:spacing w:after="0" w:line="273" w:lineRule="auto"/>
        <w:rPr>
          <w:sz w:val="20"/>
          <w:szCs w:val="20"/>
          <w:color w:val="auto"/>
        </w:rPr>
      </w:pPr>
      <w:r>
        <w:rPr>
          <w:rFonts w:ascii="Times New Roman" w:cs="Times New Roman" w:eastAsia="Times New Roman" w:hAnsi="Times New Roman"/>
          <w:sz w:val="17"/>
          <w:szCs w:val="17"/>
          <w:color w:val="auto"/>
        </w:rPr>
        <w:t>The Company uses derivative financial instruments for hedging and non-trading purposes to limit the Company’s exposure to increases in interest rates related to its variable interest rate debt. Use of derivative financial instruments in hedging programs subjects the Company to certain risks, such as market and credit risks. Market risk represents the possibility that the value of the derivative financial instrument will change. In a hedging relationship, the change in the value of the derivative financial instrument is offset to a great extent by the change in the value of the underlying hedged item. Credit risk related to a derivative financial instrument represents the possibility that the counterparty will not fulfill the terms of the contract. The notional, or contractual, amount of the Company’s derivative financial instruments is used to measure interest to be paid or received and does not represent the Company’s exposure due to credit risk. Credit risk is monitored through established approval procedures, including reviewing credit ratings when appropriate.</w:t>
      </w:r>
    </w:p>
    <w:p>
      <w:pPr>
        <w:spacing w:after="0" w:line="131"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In October 2021, the Company entered into an interest rate cap hedge with a notional amount of $300 million for a 5-year term beginning November 30, 2021. The hedge partially offsets risk associated with the First Lien Term Loan’s variable interest rate. The interest rate cap instrument perfectly offsets the terms of the interest rates associated with the variable interest rate of the First Lien Term Loan.</w:t>
      </w:r>
    </w:p>
    <w:p>
      <w:pPr>
        <w:spacing w:after="0" w:line="135"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amount and location of the Company’s derivative instruments in the condensed consolidated balance sheets (in thousands):</w:t>
      </w:r>
    </w:p>
    <w:p>
      <w:pPr>
        <w:spacing w:after="0" w:line="178"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3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520" w:type="dxa"/>
            <w:vAlign w:val="bottom"/>
            <w:tcBorders>
              <w:bottom w:val="single" w:sz="8" w:color="auto"/>
            </w:tcBorders>
            <w:gridSpan w:val="5"/>
          </w:tcPr>
          <w:p>
            <w:pPr>
              <w:ind w:left="2220"/>
              <w:spacing w:after="0"/>
              <w:rPr>
                <w:sz w:val="20"/>
                <w:szCs w:val="20"/>
                <w:color w:val="auto"/>
              </w:rPr>
            </w:pPr>
            <w:r>
              <w:rPr>
                <w:rFonts w:ascii="Times New Roman" w:cs="Times New Roman" w:eastAsia="Times New Roman" w:hAnsi="Times New Roman"/>
                <w:sz w:val="16"/>
                <w:szCs w:val="16"/>
                <w:b w:val="1"/>
                <w:bCs w:val="1"/>
                <w:color w:val="auto"/>
              </w:rPr>
              <w:t>Fair Value - Derivatives in Asset Position</w:t>
            </w: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r>
      <w:tr>
        <w:trPr>
          <w:trHeight w:val="214"/>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36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Balance Sheet Caption</w:t>
            </w:r>
          </w:p>
        </w:tc>
        <w:tc>
          <w:tcPr>
            <w:tcW w:w="160" w:type="dxa"/>
            <w:vAlign w:val="bottom"/>
          </w:tcPr>
          <w:p>
            <w:pPr>
              <w:spacing w:after="0"/>
              <w:rPr>
                <w:sz w:val="18"/>
                <w:szCs w:val="18"/>
                <w:color w:val="auto"/>
              </w:rPr>
            </w:pPr>
          </w:p>
        </w:tc>
        <w:tc>
          <w:tcPr>
            <w:tcW w:w="17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60" w:type="dxa"/>
            <w:vAlign w:val="bottom"/>
          </w:tcPr>
          <w:p>
            <w:pPr>
              <w:spacing w:after="0"/>
              <w:rPr>
                <w:sz w:val="18"/>
                <w:szCs w:val="18"/>
                <w:color w:val="auto"/>
              </w:rPr>
            </w:pPr>
          </w:p>
        </w:tc>
        <w:tc>
          <w:tcPr>
            <w:tcW w:w="15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1"/>
        </w:trPr>
        <w:tc>
          <w:tcPr>
            <w:tcW w:w="3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cap designated as cash flow hedge</w:t>
            </w:r>
          </w:p>
        </w:tc>
        <w:tc>
          <w:tcPr>
            <w:tcW w:w="100" w:type="dxa"/>
            <w:vAlign w:val="bottom"/>
            <w:tcBorders>
              <w:top w:val="single" w:sz="8" w:color="CCEEFF"/>
            </w:tcBorders>
            <w:shd w:val="clear" w:color="auto" w:fill="CCEEFF"/>
          </w:tcPr>
          <w:p>
            <w:pPr>
              <w:spacing w:after="0"/>
              <w:rPr>
                <w:sz w:val="18"/>
                <w:szCs w:val="18"/>
                <w:color w:val="auto"/>
              </w:rPr>
            </w:pPr>
          </w:p>
        </w:tc>
        <w:tc>
          <w:tcPr>
            <w:tcW w:w="3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7,223</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9,746</w:t>
            </w:r>
          </w:p>
        </w:tc>
      </w:tr>
      <w:tr>
        <w:trPr>
          <w:trHeight w:val="213"/>
        </w:trPr>
        <w:tc>
          <w:tcPr>
            <w:tcW w:w="39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Interest rate cap designated as cash flow hedge</w:t>
            </w:r>
          </w:p>
        </w:tc>
        <w:tc>
          <w:tcPr>
            <w:tcW w:w="36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 noncurrent assets</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5,446</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10,183</w:t>
            </w:r>
          </w:p>
        </w:tc>
      </w:tr>
      <w:tr>
        <w:trPr>
          <w:trHeight w:val="237"/>
        </w:trPr>
        <w:tc>
          <w:tcPr>
            <w:tcW w:w="3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derivative assets</w:t>
            </w:r>
          </w:p>
        </w:tc>
        <w:tc>
          <w:tcPr>
            <w:tcW w:w="3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12,669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19,929</w:t>
            </w: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The (loss) gain associated with the change in the fair value of the effective portion of the hedging instrument is recorded in other comprehensive (loss) income. The following table presents the pre-tax (loss) gain from derivative instruments recognized in other comprehensive (loss) income in the Company’s unaudited condensed consolidated statements of comprehensive income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60" w:type="dxa"/>
            <w:vAlign w:val="bottom"/>
          </w:tcPr>
          <w:p>
            <w:pPr>
              <w:spacing w:after="0"/>
              <w:rPr>
                <w:sz w:val="18"/>
                <w:szCs w:val="18"/>
                <w:color w:val="auto"/>
              </w:rPr>
            </w:pPr>
          </w:p>
        </w:tc>
        <w:tc>
          <w:tcPr>
            <w:tcW w:w="2680" w:type="dxa"/>
            <w:vAlign w:val="bottom"/>
            <w:gridSpan w:val="4"/>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4"/>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5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cap designated as cash flow hedge</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(8,125)</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(7,260)</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r>
    </w:tbl>
    <w:p>
      <w:pPr>
        <w:spacing w:after="0" w:line="252"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amount and location of pre-tax income recognized in the Company’s unaudited condensed consolidated statements of comprehensive income related to the Company’s derivative instruments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20" w:type="dxa"/>
            <w:vAlign w:val="bottom"/>
            <w:gridSpan w:val="6"/>
          </w:tcPr>
          <w:p>
            <w:pPr>
              <w:ind w:left="1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40" w:type="dxa"/>
            <w:vAlign w:val="bottom"/>
          </w:tcPr>
          <w:p>
            <w:pPr>
              <w:spacing w:after="0"/>
              <w:rPr>
                <w:sz w:val="18"/>
                <w:szCs w:val="18"/>
                <w:color w:val="auto"/>
              </w:rPr>
            </w:pPr>
          </w:p>
        </w:tc>
        <w:tc>
          <w:tcPr>
            <w:tcW w:w="2660" w:type="dxa"/>
            <w:vAlign w:val="bottom"/>
            <w:gridSpan w:val="4"/>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14"/>
        </w:trPr>
        <w:tc>
          <w:tcPr>
            <w:tcW w:w="2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100" w:type="dxa"/>
            <w:vAlign w:val="bottom"/>
            <w:tcBorders>
              <w:bottom w:val="single" w:sz="8" w:color="CCEEFF"/>
            </w:tcBorders>
          </w:tcPr>
          <w:p>
            <w:pPr>
              <w:spacing w:after="0"/>
              <w:rPr>
                <w:sz w:val="18"/>
                <w:szCs w:val="18"/>
                <w:color w:val="auto"/>
              </w:rPr>
            </w:pPr>
          </w:p>
        </w:tc>
        <w:tc>
          <w:tcPr>
            <w:tcW w:w="2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Income Statement Caption</w:t>
            </w:r>
          </w:p>
        </w:tc>
        <w:tc>
          <w:tcPr>
            <w:tcW w:w="12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57"/>
        </w:trPr>
        <w:tc>
          <w:tcPr>
            <w:tcW w:w="266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Interest rate cap designated as cash flow</w:t>
            </w:r>
          </w:p>
        </w:tc>
        <w:tc>
          <w:tcPr>
            <w:tcW w:w="100" w:type="dxa"/>
            <w:vAlign w:val="bottom"/>
            <w:shd w:val="clear" w:color="auto" w:fill="CCEEFF"/>
          </w:tcPr>
          <w:p>
            <w:pPr>
              <w:spacing w:after="0"/>
              <w:rPr>
                <w:sz w:val="13"/>
                <w:szCs w:val="13"/>
                <w:color w:val="auto"/>
              </w:rPr>
            </w:pPr>
          </w:p>
        </w:tc>
        <w:tc>
          <w:tcPr>
            <w:tcW w:w="27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880" w:type="dxa"/>
            <w:vAlign w:val="bottom"/>
            <w:vMerge w:val="restart"/>
            <w:shd w:val="clear" w:color="auto" w:fill="CCEEFF"/>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3,056</w:t>
            </w:r>
          </w:p>
        </w:tc>
        <w:tc>
          <w:tcPr>
            <w:tcW w:w="12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2,931</w:t>
            </w:r>
          </w:p>
        </w:tc>
        <w:tc>
          <w:tcPr>
            <w:tcW w:w="12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9,005</w:t>
            </w:r>
          </w:p>
        </w:tc>
        <w:tc>
          <w:tcPr>
            <w:tcW w:w="10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8,002</w:t>
            </w:r>
          </w:p>
        </w:tc>
        <w:tc>
          <w:tcPr>
            <w:tcW w:w="0" w:type="dxa"/>
            <w:vAlign w:val="bottom"/>
          </w:tcPr>
          <w:p>
            <w:pPr>
              <w:spacing w:after="0"/>
              <w:rPr>
                <w:sz w:val="1"/>
                <w:szCs w:val="1"/>
                <w:color w:val="auto"/>
              </w:rPr>
            </w:pPr>
          </w:p>
        </w:tc>
      </w:tr>
      <w:tr>
        <w:trPr>
          <w:trHeight w:val="216"/>
        </w:trPr>
        <w:tc>
          <w:tcPr>
            <w:tcW w:w="2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hedge</w:t>
            </w:r>
          </w:p>
        </w:tc>
        <w:tc>
          <w:tcPr>
            <w:tcW w:w="2760" w:type="dxa"/>
            <w:vAlign w:val="bottom"/>
            <w:gridSpan w:val="2"/>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4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FAIR VALUE MEASUREMENTS</w:t>
      </w:r>
    </w:p>
    <w:p>
      <w:pPr>
        <w:spacing w:after="0" w:line="202"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Fair value measurements are determined by maximizing the use of observable inputs and minimizing the use of unobservable inputs. The hierarchy places the highest priority on unadjusted quoted market prices in active markets for identical assets or liabilities (Level 1 measurements) and gives the lowest priority to unobservable inputs (Level 3 measurements). The categories within the valuation hierarchy are described as follows:</w:t>
      </w:r>
    </w:p>
    <w:p>
      <w:pPr>
        <w:spacing w:after="0" w:line="135"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Inputs to the fair value measurement are quoted prices in active markets for identical assets or liabilities.</w:t>
      </w:r>
    </w:p>
    <w:p>
      <w:pPr>
        <w:spacing w:after="0" w:line="27" w:lineRule="exact"/>
        <w:rPr>
          <w:rFonts w:ascii="Times New Roman" w:cs="Times New Roman" w:eastAsia="Times New Roman" w:hAnsi="Times New Roman"/>
          <w:sz w:val="18"/>
          <w:szCs w:val="18"/>
          <w:color w:val="auto"/>
        </w:rPr>
      </w:pPr>
    </w:p>
    <w:p>
      <w:pPr>
        <w:jc w:val="both"/>
        <w:ind w:left="660" w:right="12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to the fair value measurement include quoted prices in active markets for similar assets or liabilities, quoted prices for identical or similar assets or liabilities in markets that are not active, and inputs other than quoted prices that are observable for the asset or liability, either directly or indirectly.</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to the fair value measurement are unobservable inputs or valuation techniques.</w:t>
      </w:r>
    </w:p>
    <w:p>
      <w:pPr>
        <w:spacing w:after="0" w:line="166"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While the Company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133" w:lineRule="exact"/>
        <w:rPr>
          <w:sz w:val="20"/>
          <w:szCs w:val="20"/>
          <w:color w:val="auto"/>
        </w:rPr>
      </w:pPr>
    </w:p>
    <w:p>
      <w:pPr>
        <w:ind w:right="18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First Lien Term Loan</w:t>
      </w:r>
      <w:r>
        <w:rPr>
          <w:rFonts w:ascii="Times New Roman" w:cs="Times New Roman" w:eastAsia="Times New Roman" w:hAnsi="Times New Roman"/>
          <w:sz w:val="18"/>
          <w:szCs w:val="18"/>
          <w:color w:val="auto"/>
        </w:rPr>
        <w:t>: The fair value of the First Lien Term Loan is derived from a broker quote on the loans in the syndication (Level 2 inputs). See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Note 9, </w:t>
      </w:r>
      <w:r>
        <w:rPr>
          <w:rFonts w:ascii="Times New Roman" w:cs="Times New Roman" w:eastAsia="Times New Roman" w:hAnsi="Times New Roman"/>
          <w:sz w:val="18"/>
          <w:szCs w:val="18"/>
          <w:i w:val="1"/>
          <w:iCs w:val="1"/>
          <w:color w:val="auto"/>
        </w:rPr>
        <w:t>Indebtedness</w:t>
      </w:r>
      <w:r>
        <w:rPr>
          <w:rFonts w:ascii="Times New Roman" w:cs="Times New Roman" w:eastAsia="Times New Roman" w:hAnsi="Times New Roman"/>
          <w:sz w:val="18"/>
          <w:szCs w:val="18"/>
          <w:color w:val="auto"/>
        </w:rPr>
        <w:t>, for further discussion of the carrying amount and fair value of the First Lien Term Loan.</w:t>
      </w:r>
    </w:p>
    <w:p>
      <w:pPr>
        <w:spacing w:after="0" w:line="118" w:lineRule="exact"/>
        <w:rPr>
          <w:sz w:val="20"/>
          <w:szCs w:val="20"/>
          <w:color w:val="auto"/>
        </w:rPr>
      </w:pPr>
    </w:p>
    <w:p>
      <w:pPr>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Senior Notes: </w:t>
      </w:r>
      <w:r>
        <w:rPr>
          <w:rFonts w:ascii="Times New Roman" w:cs="Times New Roman" w:eastAsia="Times New Roman" w:hAnsi="Times New Roman"/>
          <w:sz w:val="18"/>
          <w:szCs w:val="18"/>
          <w:color w:val="auto"/>
        </w:rPr>
        <w:t>The fair value of the Senior Notes is derived from a broker quote (Level 2 inputs). See Note 9,</w:t>
      </w:r>
      <w:r>
        <w:rPr>
          <w:rFonts w:ascii="Times New Roman" w:cs="Times New Roman" w:eastAsia="Times New Roman" w:hAnsi="Times New Roman"/>
          <w:sz w:val="18"/>
          <w:szCs w:val="18"/>
          <w:i w:val="1"/>
          <w:iCs w:val="1"/>
          <w:color w:val="auto"/>
        </w:rPr>
        <w:t xml:space="preserve"> Indebtedness</w:t>
      </w:r>
      <w:r>
        <w:rPr>
          <w:rFonts w:ascii="Times New Roman" w:cs="Times New Roman" w:eastAsia="Times New Roman" w:hAnsi="Times New Roman"/>
          <w:sz w:val="18"/>
          <w:szCs w:val="18"/>
          <w:color w:val="auto"/>
        </w:rPr>
        <w:t>, for further discussion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carrying amount and fair value of the Senior Notes.</w:t>
      </w:r>
    </w:p>
    <w:p>
      <w:pPr>
        <w:spacing w:after="0" w:line="118" w:lineRule="exact"/>
        <w:rPr>
          <w:sz w:val="20"/>
          <w:szCs w:val="20"/>
          <w:color w:val="auto"/>
        </w:rPr>
      </w:pPr>
    </w:p>
    <w:p>
      <w:pPr>
        <w:ind w:right="30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Rate Cap: </w:t>
      </w:r>
      <w:r>
        <w:rPr>
          <w:rFonts w:ascii="Times New Roman" w:cs="Times New Roman" w:eastAsia="Times New Roman" w:hAnsi="Times New Roman"/>
          <w:sz w:val="18"/>
          <w:szCs w:val="18"/>
          <w:color w:val="auto"/>
        </w:rPr>
        <w:t>The fair value of the interest rate cap is derived from the interest rates prevalent in the market and future expectations of those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interest rates (Level 2 inputs). The Company determines the fair value of the investments based on quoted prices from third-party brokers. See Note 10,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 for further discussion of the fair value of the interest rate cap.</w:t>
      </w:r>
    </w:p>
    <w:p>
      <w:pPr>
        <w:spacing w:after="0" w:line="146" w:lineRule="exact"/>
        <w:rPr>
          <w:sz w:val="20"/>
          <w:szCs w:val="20"/>
          <w:color w:val="auto"/>
        </w:rPr>
      </w:pPr>
    </w:p>
    <w:p>
      <w:pPr>
        <w:ind w:right="16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Money Market Funds: </w:t>
      </w:r>
      <w:r>
        <w:rPr>
          <w:rFonts w:ascii="Times New Roman" w:cs="Times New Roman" w:eastAsia="Times New Roman" w:hAnsi="Times New Roman"/>
          <w:sz w:val="18"/>
          <w:szCs w:val="18"/>
          <w:color w:val="auto"/>
        </w:rPr>
        <w:t>The fair value of the money market funds is derived from the closing price reported by the fund sponsor and classified as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cash equivalents on the Company’s condensed consolidated balance sheets (Level 1 inputs).</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other material assets or liabilities measured at fair value at September 30, 2024 and December 31, 2023.</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20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Company is involved in legal proceedings and is subject to investigations, inspections, audits, inquiries, and similar actions by governmental authorities, arising in the normal course of the Company’s business. Some of these suits may purport or may be determined to be class actions and/or involve parties seeking large and/or indeterminate amounts, including punitive or exemplary damages, and may remain unresolved for several years. From time to time, the Company may also be involved in legal proceedings as a plaintiff involving antitrust, tax, contract, intellectual property, and other matters. Gain contingencies, if any, are recognized when they are realized.</w:t>
      </w:r>
    </w:p>
    <w:p>
      <w:pPr>
        <w:spacing w:after="0" w:line="143"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The results of legal proceedings are often uncertain and difficult to predict, and the costs incurred in litigation can be substantial, regardless of the outcome. The Company does not believe that any of these pending matters, after consideration of applicable reserves and rights to indemnification, will have a material adverse effect on the Company’s condensed consolidated balance sheets.</w:t>
      </w:r>
    </w:p>
    <w:p>
      <w:pPr>
        <w:spacing w:after="0" w:line="135"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However, substantial unanticipated verdicts, fines, and rulings may occur. As a result, the Company may from time to time incur judgments, enter into settlements, or revise expectations regarding the outcome of certain matters, and such developments could have a material adverse effect on its results of operations in the period in which the amounts are accrued and/or its cash flows in the period in which the amounts are paid.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STOCK-BASED INCENTIVE COMPENSATION</w:t>
      </w:r>
    </w:p>
    <w:p>
      <w:pPr>
        <w:spacing w:after="0" w:line="198"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Equity Incentive Plans </w:t>
      </w:r>
      <w:r>
        <w:rPr>
          <w:rFonts w:ascii="Times New Roman" w:cs="Times New Roman" w:eastAsia="Times New Roman" w:hAnsi="Times New Roman"/>
          <w:sz w:val="18"/>
          <w:szCs w:val="18"/>
          <w:color w:val="auto"/>
        </w:rPr>
        <w:t>— Under the Company’s 2018 Equity Incentive Plan (the “2018 Plan”), approved at the annual meeting by the BioScrip, Inc.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(“BioScrip”) stockholders on May 3, 2018 and amended and restated on May 19, 2021 and May 15, 2024, the Company may issue, among other things, incentive stock options, non-qualified stock options, stock appreciation rights, restricted stock units, stock grants, and performance units to key employees and directors. The 2018 Plan is administered by the Company’s Compensation Committee, a standing committee of the Company’s Board of Directors. As of May 2021, a total of 9,101,734 shares of common stock were authorized for issuance under the 2018 Plan. In May 2024, an additional 4,000,000 shares were authorized for issuance under the 2018 Plan, resulting in a total of 13,101,734 shares of common stock authorized for issuance. The Company had stock options, restricted stock units and performance stock units outstanding related to the 2018 Plan as of September 30, 2024 and 2023. During the three and nine months ended September 30, 2024, total stock-based incentive compensation expense recognized by the Company related to the 2018 Plan was $10.4 million and $27.6 million, respectively. During the three and nine months ended September 30, 2023, total stock-based incentive compensation expense recognized by the Company related to the 2018 Plan was $9.2 million and $22.9 million, respectively.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STOCKHOLDERS’ EQUITY</w:t>
      </w:r>
    </w:p>
    <w:p>
      <w:pPr>
        <w:spacing w:after="0" w:line="185" w:lineRule="exact"/>
        <w:rPr>
          <w:sz w:val="20"/>
          <w:szCs w:val="20"/>
          <w:color w:val="auto"/>
        </w:rPr>
      </w:pPr>
    </w:p>
    <w:p>
      <w:pPr>
        <w:ind w:right="260"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2017 Warrants </w:t>
      </w:r>
      <w:r>
        <w:rPr>
          <w:rFonts w:ascii="Times New Roman" w:cs="Times New Roman" w:eastAsia="Times New Roman" w:hAnsi="Times New Roman"/>
          <w:sz w:val="18"/>
          <w:szCs w:val="18"/>
          <w:color w:val="auto"/>
        </w:rPr>
        <w:t>— During the three and nine months ended September 30, 2024, warrant holders did not elect to exercise any warrants to purchase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of common stock. During the three and nine months ended September 30, 2023, warrant holders elected to exercise 188,350 warrants to purchase shares of common stock. As of September 30, 2024 and December 31, 2023, the remaining warrant holders are entitled to purchase 51,838 shares of common stock.</w:t>
      </w:r>
    </w:p>
    <w:p>
      <w:pPr>
        <w:spacing w:after="0" w:line="149" w:lineRule="exact"/>
        <w:rPr>
          <w:sz w:val="20"/>
          <w:szCs w:val="20"/>
          <w:color w:val="auto"/>
        </w:rPr>
      </w:pPr>
    </w:p>
    <w:p>
      <w:pPr>
        <w:ind w:right="240"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2015 Warrants </w:t>
      </w:r>
      <w:r>
        <w:rPr>
          <w:rFonts w:ascii="Times New Roman" w:cs="Times New Roman" w:eastAsia="Times New Roman" w:hAnsi="Times New Roman"/>
          <w:sz w:val="18"/>
          <w:szCs w:val="18"/>
          <w:color w:val="auto"/>
        </w:rPr>
        <w:t>— During the three and nine months ended September 30, 2024, warrant holders exercised an immaterial number of warrants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 shares of common stock. During the three and nine months ended September 30, 2023, warrant holders exercised an immaterial number of warrants to purchase shares of common stock. As of September 30, 2024 and December 31, 2023, the remaining warrant holders are entitled to purchase 11,775 and 13,888 shares of common stock, respectively.</w:t>
      </w:r>
    </w:p>
    <w:p>
      <w:pPr>
        <w:spacing w:after="0" w:line="136" w:lineRule="exact"/>
        <w:rPr>
          <w:sz w:val="20"/>
          <w:szCs w:val="20"/>
          <w:color w:val="auto"/>
        </w:rPr>
      </w:pPr>
    </w:p>
    <w:p>
      <w:pPr>
        <w:ind w:right="360"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Share Repurchase Program </w:t>
      </w:r>
      <w:r>
        <w:rPr>
          <w:rFonts w:ascii="Times New Roman" w:cs="Times New Roman" w:eastAsia="Times New Roman" w:hAnsi="Times New Roman"/>
          <w:sz w:val="18"/>
          <w:szCs w:val="18"/>
          <w:color w:val="auto"/>
        </w:rPr>
        <w:t>— The Company’s Board of Directors approved a share repurchase program of up to an aggregate $500.0 million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of the Company. Under the share repurchase program, repurchases may occur in any number of methods depending on timing, market conditions, regulatory requirements, and other corporate considerations. The share repurchase program has no specified expiration date.</w:t>
      </w:r>
    </w:p>
    <w:p>
      <w:pPr>
        <w:spacing w:after="0" w:line="13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the three and nine months ended September 30, 2024, the Company purchased 1,399,674 and 5,317,183 shares of common stock for an average share price of $29.97 and $30.09, totaling $41.9 million and $160.0 million, respectively. During the three and nine months ended September 30, 2023, the Company purchased 2,913,520 and 5,388,686 shares of common stock for an average share price of $34.32 and $32.48, totaling $100.0 million and $175.0 million, respectively. All repurchased shares became treasury stock. As of September 30, 2024, the Company is authorized to repurchase up to a remaining $90.0 million of common stock of the Company.</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Shares Outstanding </w:t>
      </w:r>
      <w:r>
        <w:rPr>
          <w:rFonts w:ascii="Times New Roman" w:cs="Times New Roman" w:eastAsia="Times New Roman" w:hAnsi="Times New Roman"/>
          <w:sz w:val="18"/>
          <w:szCs w:val="18"/>
          <w:color w:val="auto"/>
        </w:rPr>
        <w:t>— The following table shows the Company’s changes in shares of common stock for the three and nine months ended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 and 2023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700" w:type="dxa"/>
            <w:vAlign w:val="bottom"/>
            <w:gridSpan w:val="2"/>
          </w:tcPr>
          <w:p>
            <w:pPr>
              <w:ind w:left="83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3"/>
        </w:trPr>
        <w:tc>
          <w:tcPr>
            <w:tcW w:w="7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beginning of the year</w:t>
            </w:r>
          </w:p>
        </w:tc>
        <w:tc>
          <w:tcPr>
            <w:tcW w:w="1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174,576</w:t>
            </w:r>
          </w:p>
        </w:tc>
        <w:tc>
          <w:tcPr>
            <w:tcW w:w="12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181,958</w:t>
            </w:r>
          </w:p>
        </w:tc>
      </w:tr>
      <w:tr>
        <w:trPr>
          <w:trHeight w:val="213"/>
        </w:trPr>
        <w:tc>
          <w:tcPr>
            <w:tcW w:w="87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Equity award issuances</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w:t>
            </w:r>
          </w:p>
        </w:tc>
        <w:tc>
          <w:tcPr>
            <w:tcW w:w="1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w:t>
            </w:r>
          </w:p>
        </w:tc>
      </w:tr>
      <w:tr>
        <w:trPr>
          <w:trHeight w:val="219"/>
        </w:trPr>
        <w:tc>
          <w:tcPr>
            <w:tcW w:w="8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 repurchases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(1,252)</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(2,475)</w:t>
            </w:r>
          </w:p>
        </w:tc>
      </w:tr>
      <w:tr>
        <w:trPr>
          <w:trHeight w:val="207"/>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March 31,</w:t>
            </w:r>
          </w:p>
        </w:tc>
        <w:tc>
          <w:tcPr>
            <w:tcW w:w="1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173,816</w:t>
            </w:r>
          </w:p>
        </w:tc>
        <w:tc>
          <w:tcPr>
            <w:tcW w:w="120" w:type="dxa"/>
            <w:vAlign w:val="bottom"/>
          </w:tcPr>
          <w:p>
            <w:pPr>
              <w:spacing w:after="0"/>
              <w:rPr>
                <w:sz w:val="17"/>
                <w:szCs w:val="17"/>
                <w:color w:val="auto"/>
              </w:rPr>
            </w:pP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179,757</w:t>
            </w:r>
          </w:p>
        </w:tc>
      </w:tr>
      <w:tr>
        <w:trPr>
          <w:trHeight w:val="219"/>
        </w:trPr>
        <w:tc>
          <w:tcPr>
            <w:tcW w:w="8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Equity award issuances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r>
      <w:tr>
        <w:trPr>
          <w:trHeight w:val="213"/>
        </w:trPr>
        <w:tc>
          <w:tcPr>
            <w:tcW w:w="87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Share repurchases</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(2,666)</w:t>
            </w:r>
          </w:p>
        </w:tc>
        <w:tc>
          <w:tcPr>
            <w:tcW w:w="1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7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June 30,</w:t>
            </w:r>
          </w:p>
        </w:tc>
        <w:tc>
          <w:tcPr>
            <w:tcW w:w="1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171,411</w:t>
            </w:r>
          </w:p>
        </w:tc>
        <w:tc>
          <w:tcPr>
            <w:tcW w:w="12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179,871</w:t>
            </w:r>
          </w:p>
        </w:tc>
      </w:tr>
      <w:tr>
        <w:trPr>
          <w:trHeight w:val="213"/>
        </w:trPr>
        <w:tc>
          <w:tcPr>
            <w:tcW w:w="87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Equity award issuances</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w:t>
            </w:r>
          </w:p>
        </w:tc>
      </w:tr>
      <w:tr>
        <w:trPr>
          <w:trHeight w:val="216"/>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 repurchases</w:t>
            </w:r>
          </w:p>
        </w:tc>
        <w:tc>
          <w:tcPr>
            <w:tcW w:w="1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(1,400)</w:t>
            </w:r>
          </w:p>
        </w:tc>
        <w:tc>
          <w:tcPr>
            <w:tcW w:w="120" w:type="dxa"/>
            <w:vAlign w:val="bottom"/>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(2,914)</w:t>
            </w:r>
          </w:p>
        </w:tc>
      </w:tr>
      <w:tr>
        <w:trPr>
          <w:trHeight w:val="212"/>
        </w:trPr>
        <w:tc>
          <w:tcPr>
            <w:tcW w:w="87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Balance September 30,</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170,146</w:t>
            </w:r>
          </w:p>
        </w:tc>
        <w:tc>
          <w:tcPr>
            <w:tcW w:w="1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177,129</w:t>
            </w:r>
          </w:p>
        </w:tc>
      </w:tr>
      <w:tr>
        <w:trPr>
          <w:trHeight w:val="20"/>
        </w:trPr>
        <w:tc>
          <w:tcPr>
            <w:tcW w:w="76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RELATED-PARTY TRANSACTIONS</w:t>
      </w:r>
    </w:p>
    <w:p>
      <w:pPr>
        <w:spacing w:after="0" w:line="198"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Transactions with Equity-Method Investees </w:t>
      </w:r>
      <w:r>
        <w:rPr>
          <w:rFonts w:ascii="Times New Roman" w:cs="Times New Roman" w:eastAsia="Times New Roman" w:hAnsi="Times New Roman"/>
          <w:sz w:val="18"/>
          <w:szCs w:val="18"/>
          <w:color w:val="auto"/>
        </w:rPr>
        <w:t>— The Company provides management services to its joint ventures such as accounting, invoicing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collections in addition to day-to-day managerial support of the operations of the businesses. The Company recorded management fee income of $1.6 million and $4.5 million for the three and nine months ended September 30, 2024, respectively. The Company recorded management fee income of $1.3 million and $3.9 million for the three and nine months ended September 30, 2023, respectively. Management fees are recorded in net revenues in the accompanying unaudited condensed consolidated statements of comprehensive income. During the three and nine months ended September 30, 2024, the Company received distributions from the investees of $0.5 million and $1.3 million, respectively. During the three and nine months ended September 30, 2023, the Company received distributions from the investees of $1.5 million and $4.0 million, respectively.</w:t>
      </w:r>
    </w:p>
    <w:p>
      <w:pPr>
        <w:spacing w:after="0" w:line="146"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Company had amounts due from its joint ventures of $0.6 million and due to its joint ventures of $0.8 million as of September 30, 2024. The Company had amounts due from its joint ventures of $0.1 million and due to its joint ventures of $0.5 million as of December 31, 2023. Receivables were included in prepaid expenses and other current assets in the accompanying condensed consolidated balance sheets. Payables were included in accrued expenses and other current liabilities in the accompanying condensed consolidated balance sheets. These balances primarily relate to cash collections received by the Company on behalf of the joint ventures, offset by certain pharmaceutical inventories and other expenses paid for by the Company on behalf of the joint ventures.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8"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200"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Unless the context requires otherwise, references in this report to "Option Care Health," the “Company,” “we,” “us” and “our” refer to Option Care Health, Inc. and its consolidated subsidiaries. Management’s discussion and analysis of financial condition and results of operations (“MD&amp;A”) is intended to assist the reader in understanding and assessing significant changes and trends related to our results of operations and financial condition. The following discussion and analysis should be read in conjunction with the Company’s unaudited condensed consolidated financial statements and the related notes thereto included in Item 1 of Part I of this Quarterly Report on Form 10-Q (this “Form 10-Q”). Certain statements in this Item 2 of Part I of this Form 10-Q, and in Item 1A, “Risk Factors” of Part I of our Annual Report on Form 10-K for the year ended December 31, 2023 (our “Form 10-K”), may cause our actual results, financial position, and cash and cash equivalents generated from operations to differ materially from these forward-looking statements.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8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Option Care Health, and its wholly-owned subsidiaries, provides infusion therapy and other ancillary health care services through a national network of 185 locations around the United States. The Company contracts with managed care organizations, third-party payers, hospitals, physicians, and other referral sources to provide pharmaceuticals and complex compounded solutions to patients for intravenous delivery in the patients’ homes or other nonhospital settings. Our services are provided in coordination with, and under the direction of, the patient’s physician. Our multidisciplinary team of clinicians, including pharmacists, nurses, and dietitians work with the physician to develop a plan of care suited to each patient’s specific needs. We provide home infusion services consisting of anti-infectives, nutrition support, bleeding disorder therapies, immunoglobulin therapy, and other therapies for chronic and acute conditions.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Update on the Impact of the Change Healthcare Cybersecurity Incident</w:t>
      </w:r>
    </w:p>
    <w:p>
      <w:pPr>
        <w:spacing w:after="0" w:line="18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As previously disclosed, Change Healthcare, a subsidiary of UnitedHealth Group, experienced an incident on February 21, 2024, in which a cybersecurity threat actor gained access to some of its information technology systems (“Change Healthcare Cybersecurity Incident”). Since the time of the system disruption, Option Care Health has worked continuously to find alternative processes to help maintain patient care and overall operations.</w:t>
      </w:r>
    </w:p>
    <w:p>
      <w:pPr>
        <w:spacing w:after="0" w:line="135"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As of September 30, 2024, the Company has not identified any compromise or unauthorized access of its systems or networks due to this third party incident. As of the end of the second quarter of 2024, the Company reconnected to key applications maintained by Change Healthcare and as of the end of the third quarter of 2024, the Company has substantially recovered operationally. The Company continues to work through accumulated patient payment obligations and to establish full recovery from the Change Healthcare Cybersecurity Incident.</w:t>
      </w:r>
    </w:p>
    <w:p>
      <w:pPr>
        <w:spacing w:after="0" w:line="153"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During the third quarter of 2024, the Company did not experience a material financial impact from the Change Healthcare Cybersecurity Incident on the financial results as reported. The Company continues to maintain strong liquidity and, having resumed submission of a majority of claims to payers, has determined that the Change Healthcare Cybersecurity Incident is not reasonably likely to materially impact the Company, including its business operations,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Composition of Results of Operations</w:t>
      </w:r>
    </w:p>
    <w:p>
      <w:pPr>
        <w:spacing w:after="0" w:line="20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results of operations include the accounts of Option Care Health and our subsidiaries for the three and nine months ended September 30, 2024 and 2023.</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Gross profit represents our net revenue less cost of revenue.</w:t>
      </w:r>
    </w:p>
    <w:p>
      <w:pPr>
        <w:spacing w:after="0" w:line="196" w:lineRule="exact"/>
        <w:rPr>
          <w:sz w:val="20"/>
          <w:szCs w:val="20"/>
          <w:color w:val="auto"/>
        </w:rPr>
      </w:pPr>
    </w:p>
    <w:p>
      <w:pPr>
        <w:ind w:right="10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Net Revenue. </w:t>
      </w:r>
      <w:r>
        <w:rPr>
          <w:rFonts w:ascii="Times New Roman" w:cs="Times New Roman" w:eastAsia="Times New Roman" w:hAnsi="Times New Roman"/>
          <w:sz w:val="18"/>
          <w:szCs w:val="18"/>
          <w:color w:val="auto"/>
        </w:rPr>
        <w:t>Infusion and related health care services revenue is reported at the estimated net realizable amounts from third-party payers and patients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goods sold and services rendered. When pharmaceuticals are provided to a patient, revenue is recognized upon delivery of the goods. When nursing services are provided, revenue is recognized when the services are rendered.</w:t>
      </w:r>
    </w:p>
    <w:p>
      <w:pPr>
        <w:spacing w:after="0" w:line="135" w:lineRule="exact"/>
        <w:rPr>
          <w:sz w:val="20"/>
          <w:szCs w:val="20"/>
          <w:color w:val="auto"/>
        </w:rPr>
      </w:pPr>
    </w:p>
    <w:p>
      <w:pPr>
        <w:ind w:right="120" w:firstLine="324"/>
        <w:spacing w:after="0" w:line="281" w:lineRule="auto"/>
        <w:rPr>
          <w:sz w:val="20"/>
          <w:szCs w:val="20"/>
          <w:color w:val="auto"/>
        </w:rPr>
      </w:pPr>
      <w:r>
        <w:rPr>
          <w:rFonts w:ascii="Times New Roman" w:cs="Times New Roman" w:eastAsia="Times New Roman" w:hAnsi="Times New Roman"/>
          <w:sz w:val="17"/>
          <w:szCs w:val="17"/>
          <w:color w:val="auto"/>
        </w:rPr>
        <w:t>Due to the nature of the health care industry and the reimbursement environment in which the Company operates, certain estimates are required to record revenue and accounts receivable at their net realizable values at the time goods or services are provided. Inherent in these estimates is the risk that they will have to be revised or updated as additional information becomes available. Specifically, the complexity of many third-party billing arrangements and the uncertainty of reimbursement amounts for certain services from certain payers may result in adjustments to amounts originally recorded.</w:t>
      </w:r>
    </w:p>
    <w:p>
      <w:pPr>
        <w:spacing w:after="0" w:line="122"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Cost of Revenue. </w:t>
      </w:r>
      <w:r>
        <w:rPr>
          <w:rFonts w:ascii="Times New Roman" w:cs="Times New Roman" w:eastAsia="Times New Roman" w:hAnsi="Times New Roman"/>
          <w:sz w:val="18"/>
          <w:szCs w:val="18"/>
          <w:color w:val="auto"/>
        </w:rPr>
        <w:t>Cost of revenue consists of the actual cost of pharmaceuticals and other medical supplies dispensed to patients. In addition to product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cost of revenue includes warehousing costs, purchasing costs, depreciation expense relating to revenue-generating assets, such as infusion pumps, shipping and handling costs, and wages and related costs for the pharmacists, nurses, and all other employees and contracted workers directly involved in providing service to the patient.</w:t>
      </w:r>
    </w:p>
    <w:p>
      <w:pPr>
        <w:spacing w:after="0" w:line="155"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The Company receives volume-based rebates and prompt payment discounts from some of its pharmaceutical and medical supplies vendors. These payments are recorded as a reduction of inventory and are accounted for as a reduction of cost of revenue when the related inventory is sold.</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Operating Costs and Expenses</w:t>
      </w:r>
    </w:p>
    <w:p>
      <w:pPr>
        <w:spacing w:after="0" w:line="187" w:lineRule="exact"/>
        <w:rPr>
          <w:sz w:val="20"/>
          <w:szCs w:val="20"/>
          <w:color w:val="auto"/>
        </w:rPr>
      </w:pPr>
    </w:p>
    <w:p>
      <w:pPr>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Selling, General and Administrative Expenses</w:t>
      </w:r>
      <w:r>
        <w:rPr>
          <w:rFonts w:ascii="Times New Roman" w:cs="Times New Roman" w:eastAsia="Times New Roman" w:hAnsi="Times New Roman"/>
          <w:sz w:val="18"/>
          <w:szCs w:val="18"/>
          <w:color w:val="auto"/>
        </w:rPr>
        <w:t>. Selling, general and administrative expenses consist principally of salaries for administrative employees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directly and indirectly support the operations, occupancy costs, marketing expenditures, insurance, and professional fees.</w:t>
      </w:r>
    </w:p>
    <w:p>
      <w:pPr>
        <w:spacing w:after="0" w:line="131" w:lineRule="exact"/>
        <w:rPr>
          <w:sz w:val="20"/>
          <w:szCs w:val="20"/>
          <w:color w:val="auto"/>
        </w:rPr>
      </w:pPr>
    </w:p>
    <w:p>
      <w:pPr>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Expense. </w:t>
      </w:r>
      <w:r>
        <w:rPr>
          <w:rFonts w:ascii="Times New Roman" w:cs="Times New Roman" w:eastAsia="Times New Roman" w:hAnsi="Times New Roman"/>
          <w:sz w:val="18"/>
          <w:szCs w:val="18"/>
          <w:color w:val="auto"/>
        </w:rPr>
        <w:t>Depreciation within this caption relates to fixed assets and amortization relates to intangibles. Depreciation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revenue-generating assets, such as infusion pumps, is included in cost of revenue.</w:t>
      </w:r>
    </w:p>
    <w:p>
      <w:pPr>
        <w:spacing w:after="0" w:line="1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87"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Interest Expense, Net</w:t>
      </w:r>
      <w:r>
        <w:rPr>
          <w:rFonts w:ascii="Times New Roman" w:cs="Times New Roman" w:eastAsia="Times New Roman" w:hAnsi="Times New Roman"/>
          <w:sz w:val="18"/>
          <w:szCs w:val="18"/>
          <w:color w:val="auto"/>
        </w:rPr>
        <w:t>. Interest expense consists principally of interest and fee payments on the Company’s outstanding borrowings under the First Lien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 Loan, Revolver Facility, Senior Notes, amortization of discount and deferred financing fees, payments associated with the interest rate cap, and interest income earned on cash and cash equivalents. Refer to the “Liquidity and Capital Resources” section below for further discussion of these outstanding borrowings.</w:t>
      </w:r>
    </w:p>
    <w:p>
      <w:pPr>
        <w:spacing w:after="0" w:line="153" w:lineRule="exact"/>
        <w:rPr>
          <w:sz w:val="20"/>
          <w:szCs w:val="20"/>
          <w:color w:val="auto"/>
        </w:rPr>
      </w:pPr>
    </w:p>
    <w:p>
      <w:pPr>
        <w:ind w:right="2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Equity in Earnings of Joint Ventures</w:t>
      </w:r>
      <w:r>
        <w:rPr>
          <w:rFonts w:ascii="Times New Roman" w:cs="Times New Roman" w:eastAsia="Times New Roman" w:hAnsi="Times New Roman"/>
          <w:sz w:val="18"/>
          <w:szCs w:val="18"/>
          <w:color w:val="auto"/>
        </w:rPr>
        <w:t>. Equity in earnings of joint ventures consists of our proportionate share of equity earnings or losses from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investments in two infusion joint ventures with health systems.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Other, Net</w:t>
      </w:r>
      <w:r>
        <w:rPr>
          <w:rFonts w:ascii="Times New Roman" w:cs="Times New Roman" w:eastAsia="Times New Roman" w:hAnsi="Times New Roman"/>
          <w:sz w:val="18"/>
          <w:szCs w:val="18"/>
          <w:color w:val="auto"/>
        </w:rPr>
        <w:t>. Other income (expense) primarily includes activity related to non-operating income and expenses.</w:t>
      </w:r>
    </w:p>
    <w:p>
      <w:pPr>
        <w:spacing w:after="0" w:line="185" w:lineRule="exact"/>
        <w:rPr>
          <w:sz w:val="20"/>
          <w:szCs w:val="20"/>
          <w:color w:val="auto"/>
        </w:rPr>
      </w:pPr>
    </w:p>
    <w:p>
      <w:pPr>
        <w:ind w:right="20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Income Tax Expense</w:t>
      </w:r>
      <w:r>
        <w:rPr>
          <w:rFonts w:ascii="Times New Roman" w:cs="Times New Roman" w:eastAsia="Times New Roman" w:hAnsi="Times New Roman"/>
          <w:sz w:val="18"/>
          <w:szCs w:val="18"/>
          <w:color w:val="auto"/>
        </w:rPr>
        <w:t>. The Company is subject to taxation in the United States and various states. The Company’s income tax expense is reflective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current federal and state tax rates.</w:t>
      </w:r>
    </w:p>
    <w:p>
      <w:pPr>
        <w:spacing w:after="0" w:line="131" w:lineRule="exact"/>
        <w:rPr>
          <w:sz w:val="20"/>
          <w:szCs w:val="20"/>
          <w:color w:val="auto"/>
        </w:rPr>
      </w:pPr>
    </w:p>
    <w:p>
      <w:pPr>
        <w:ind w:right="20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Change in Unrealized (Loss) Gain on Cash Flow Hedge, Net of Income Tax Benefit</w:t>
      </w:r>
      <w:r>
        <w:rPr>
          <w:rFonts w:ascii="Times New Roman" w:cs="Times New Roman" w:eastAsia="Times New Roman" w:hAnsi="Times New Roman"/>
          <w:sz w:val="18"/>
          <w:szCs w:val="18"/>
          <w:color w:val="auto"/>
        </w:rPr>
        <w:t>. Change in unrealized (loss) gain on cash flow hedge, net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tax benefit, consists of the (loss) gain associated with the changes in the fair value of derivatives designated as hedging instruments related to the interest rate cap hedge, net of income taxes.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02"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Option Care Health’s consolidated results of operations for the three and nine months ended September 30, 2024 and 2023 (in thousands, except for percentages):</w:t>
      </w:r>
    </w:p>
    <w:p>
      <w:pPr>
        <w:spacing w:after="0" w:line="164"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2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320" w:type="dxa"/>
            <w:vAlign w:val="bottom"/>
            <w:gridSpan w:val="9"/>
          </w:tcPr>
          <w:p>
            <w:pPr>
              <w:ind w:left="7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0" w:type="dxa"/>
            <w:vAlign w:val="bottom"/>
            <w:gridSpan w:val="7"/>
          </w:tcPr>
          <w:p>
            <w:pPr>
              <w:jc w:val="right"/>
              <w:ind w:right="89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11"/>
        </w:trPr>
        <w:tc>
          <w:tcPr>
            <w:tcW w:w="23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980" w:type="dxa"/>
            <w:vAlign w:val="bottom"/>
            <w:tcBorders>
              <w:top w:val="single" w:sz="8" w:color="auto"/>
              <w:bottom w:val="single" w:sz="8" w:color="auto"/>
            </w:tcBorders>
            <w:gridSpan w:val="3"/>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980" w:type="dxa"/>
            <w:vAlign w:val="bottom"/>
            <w:tcBorders>
              <w:top w:val="single" w:sz="8" w:color="auto"/>
              <w:bottom w:val="single" w:sz="8" w:color="auto"/>
            </w:tcBorders>
            <w:gridSpan w:val="3"/>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980" w:type="dxa"/>
            <w:vAlign w:val="bottom"/>
            <w:tcBorders>
              <w:top w:val="single" w:sz="8" w:color="auto"/>
              <w:bottom w:val="single" w:sz="8" w:color="auto"/>
            </w:tcBorders>
            <w:gridSpan w:val="3"/>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980" w:type="dxa"/>
            <w:vAlign w:val="bottom"/>
            <w:tcBorders>
              <w:top w:val="single" w:sz="8" w:color="auto"/>
              <w:bottom w:val="single" w:sz="8" w:color="auto"/>
            </w:tcBorders>
            <w:gridSpan w:val="3"/>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0"/>
        </w:trPr>
        <w:tc>
          <w:tcPr>
            <w:tcW w:w="23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 of Revenue</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 of Revenue</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 of Revenue</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 of Revenue</w:t>
            </w:r>
          </w:p>
        </w:tc>
        <w:tc>
          <w:tcPr>
            <w:tcW w:w="0" w:type="dxa"/>
            <w:vAlign w:val="bottom"/>
          </w:tcPr>
          <w:p>
            <w:pPr>
              <w:spacing w:after="0"/>
              <w:rPr>
                <w:sz w:val="1"/>
                <w:szCs w:val="1"/>
                <w:color w:val="auto"/>
              </w:rPr>
            </w:pPr>
          </w:p>
        </w:tc>
      </w:tr>
      <w:tr>
        <w:trPr>
          <w:trHeight w:val="211"/>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1,278,546</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1,093,014</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3,651,784</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3,177,934</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13"/>
        </w:trPr>
        <w:tc>
          <w:tcPr>
            <w:tcW w:w="2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COST OF REVENUE</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1,021,797</w:t>
            </w:r>
          </w:p>
        </w:tc>
        <w:tc>
          <w:tcPr>
            <w:tcW w:w="11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79.9 %</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838,748</w:t>
            </w:r>
          </w:p>
        </w:tc>
        <w:tc>
          <w:tcPr>
            <w:tcW w:w="11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76.7 %</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2,907,170</w:t>
            </w:r>
          </w:p>
        </w:tc>
        <w:tc>
          <w:tcPr>
            <w:tcW w:w="11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79.6 %</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2,443,834</w:t>
            </w:r>
          </w:p>
        </w:tc>
        <w:tc>
          <w:tcPr>
            <w:tcW w:w="11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76.9 %</w:t>
            </w:r>
          </w:p>
        </w:tc>
        <w:tc>
          <w:tcPr>
            <w:tcW w:w="0" w:type="dxa"/>
            <w:vAlign w:val="bottom"/>
          </w:tcPr>
          <w:p>
            <w:pPr>
              <w:spacing w:after="0"/>
              <w:rPr>
                <w:sz w:val="1"/>
                <w:szCs w:val="1"/>
                <w:color w:val="auto"/>
              </w:rPr>
            </w:pPr>
          </w:p>
        </w:tc>
      </w:tr>
      <w:tr>
        <w:trPr>
          <w:trHeight w:val="212"/>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256,749</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254,266</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23.3 %</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744,614</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20.4 %</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734,100</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23.1 %</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6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OPERATING COSTS AND</w:t>
            </w: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EXPENSES: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6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Selling, general and</w:t>
            </w: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156,999</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12.3 %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158,214</w:t>
            </w: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14.5 %</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465,524</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12.7 %</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459,644</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14.5 %</w:t>
            </w:r>
          </w:p>
        </w:tc>
        <w:tc>
          <w:tcPr>
            <w:tcW w:w="0" w:type="dxa"/>
            <w:vAlign w:val="bottom"/>
          </w:tcPr>
          <w:p>
            <w:pPr>
              <w:spacing w:after="0"/>
              <w:rPr>
                <w:sz w:val="1"/>
                <w:szCs w:val="1"/>
                <w:color w:val="auto"/>
              </w:rPr>
            </w:pPr>
          </w:p>
        </w:tc>
      </w:tr>
      <w:tr>
        <w:trPr>
          <w:trHeight w:val="213"/>
        </w:trPr>
        <w:tc>
          <w:tcPr>
            <w:tcW w:w="2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administrative expenses</w:t>
            </w: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360" w:type="dxa"/>
            <w:vAlign w:val="bottom"/>
            <w:shd w:val="clear" w:color="auto" w:fill="CCEEFF"/>
          </w:tcPr>
          <w:p>
            <w:pPr>
              <w:ind w:left="120"/>
              <w:spacing w:after="0" w:line="165" w:lineRule="exact"/>
              <w:rPr>
                <w:sz w:val="20"/>
                <w:szCs w:val="20"/>
                <w:color w:val="auto"/>
              </w:rPr>
            </w:pPr>
            <w:r>
              <w:rPr>
                <w:rFonts w:ascii="Times New Roman" w:cs="Times New Roman" w:eastAsia="Times New Roman" w:hAnsi="Times New Roman"/>
                <w:sz w:val="16"/>
                <w:szCs w:val="16"/>
                <w:color w:val="auto"/>
              </w:rPr>
              <w:t>Depreciation and amortization</w:t>
            </w: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14,659</w:t>
            </w:r>
          </w:p>
        </w:tc>
        <w:tc>
          <w:tcPr>
            <w:tcW w:w="1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15,005</w:t>
            </w:r>
          </w:p>
        </w:tc>
        <w:tc>
          <w:tcPr>
            <w:tcW w:w="11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44,294</w:t>
            </w:r>
          </w:p>
        </w:tc>
        <w:tc>
          <w:tcPr>
            <w:tcW w:w="1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44,417</w:t>
            </w:r>
          </w:p>
        </w:tc>
        <w:tc>
          <w:tcPr>
            <w:tcW w:w="1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expense</w:t>
            </w: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3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171,658</w:t>
            </w:r>
          </w:p>
        </w:tc>
        <w:tc>
          <w:tcPr>
            <w:tcW w:w="11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13.4 %</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173,219</w:t>
            </w:r>
          </w:p>
        </w:tc>
        <w:tc>
          <w:tcPr>
            <w:tcW w:w="11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15.8 %</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509,818</w:t>
            </w:r>
          </w:p>
        </w:tc>
        <w:tc>
          <w:tcPr>
            <w:tcW w:w="11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14.0 %</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504,061</w:t>
            </w:r>
          </w:p>
        </w:tc>
        <w:tc>
          <w:tcPr>
            <w:tcW w:w="11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15.9 %</w:t>
            </w:r>
          </w:p>
        </w:tc>
        <w:tc>
          <w:tcPr>
            <w:tcW w:w="0" w:type="dxa"/>
            <w:vAlign w:val="bottom"/>
          </w:tcPr>
          <w:p>
            <w:pPr>
              <w:spacing w:after="0"/>
              <w:rPr>
                <w:sz w:val="1"/>
                <w:szCs w:val="1"/>
                <w:color w:val="auto"/>
              </w:rPr>
            </w:pPr>
          </w:p>
        </w:tc>
      </w:tr>
      <w:tr>
        <w:trPr>
          <w:trHeight w:val="209"/>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INCOME</w:t>
            </w: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85,091</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6.7 %</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81,047</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7.4 %</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234,796</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6.4 %</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230,039</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7.2 %</w:t>
            </w:r>
          </w:p>
        </w:tc>
        <w:tc>
          <w:tcPr>
            <w:tcW w:w="0" w:type="dxa"/>
            <w:vAlign w:val="bottom"/>
          </w:tcPr>
          <w:p>
            <w:pPr>
              <w:spacing w:after="0"/>
              <w:rPr>
                <w:sz w:val="1"/>
                <w:szCs w:val="1"/>
                <w:color w:val="auto"/>
              </w:rPr>
            </w:pPr>
          </w:p>
        </w:tc>
      </w:tr>
      <w:tr>
        <w:trPr>
          <w:trHeight w:val="199"/>
        </w:trPr>
        <w:tc>
          <w:tcPr>
            <w:tcW w:w="2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INCOME (EXPENSE):</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Interest expense, net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(12,345)</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(11,786)</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(38,150)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(38,816)</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165"/>
        </w:trPr>
        <w:tc>
          <w:tcPr>
            <w:tcW w:w="2360" w:type="dxa"/>
            <w:vAlign w:val="bottom"/>
            <w:shd w:val="clear" w:color="auto" w:fill="CCEEFF"/>
          </w:tcPr>
          <w:p>
            <w:pPr>
              <w:ind w:left="120"/>
              <w:spacing w:after="0" w:line="165" w:lineRule="exact"/>
              <w:rPr>
                <w:sz w:val="20"/>
                <w:szCs w:val="20"/>
                <w:color w:val="auto"/>
              </w:rPr>
            </w:pPr>
            <w:r>
              <w:rPr>
                <w:rFonts w:ascii="Times New Roman" w:cs="Times New Roman" w:eastAsia="Times New Roman" w:hAnsi="Times New Roman"/>
                <w:sz w:val="16"/>
                <w:szCs w:val="16"/>
                <w:color w:val="auto"/>
              </w:rPr>
              <w:t>Equity in earnings of joint</w:t>
            </w: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1,391</w:t>
            </w:r>
          </w:p>
        </w:tc>
        <w:tc>
          <w:tcPr>
            <w:tcW w:w="1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1,273</w:t>
            </w:r>
          </w:p>
        </w:tc>
        <w:tc>
          <w:tcPr>
            <w:tcW w:w="11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3,921</w:t>
            </w:r>
          </w:p>
        </w:tc>
        <w:tc>
          <w:tcPr>
            <w:tcW w:w="1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4,107</w:t>
            </w:r>
          </w:p>
        </w:tc>
        <w:tc>
          <w:tcPr>
            <w:tcW w:w="1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ventures</w:t>
            </w: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Other, net</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(583)</w:t>
            </w:r>
          </w:p>
        </w:tc>
        <w:tc>
          <w:tcPr>
            <w:tcW w:w="12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(449)</w:t>
            </w: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1,983</w:t>
            </w:r>
          </w:p>
        </w:tc>
        <w:tc>
          <w:tcPr>
            <w:tcW w:w="11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84,487</w:t>
            </w:r>
          </w:p>
        </w:tc>
        <w:tc>
          <w:tcPr>
            <w:tcW w:w="11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2.7 %</w:t>
            </w:r>
          </w:p>
        </w:tc>
        <w:tc>
          <w:tcPr>
            <w:tcW w:w="0" w:type="dxa"/>
            <w:vAlign w:val="bottom"/>
          </w:tcPr>
          <w:p>
            <w:pPr>
              <w:spacing w:after="0"/>
              <w:rPr>
                <w:sz w:val="1"/>
                <w:szCs w:val="1"/>
                <w:color w:val="auto"/>
              </w:rPr>
            </w:pPr>
          </w:p>
        </w:tc>
      </w:tr>
      <w:tr>
        <w:trPr>
          <w:trHeight w:val="209"/>
        </w:trPr>
        <w:tc>
          <w:tcPr>
            <w:tcW w:w="2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other (expense) income</w:t>
            </w: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(11,537)</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(10,962)</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(32,246)</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49,778</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0" w:type="dxa"/>
            <w:vAlign w:val="bottom"/>
          </w:tcPr>
          <w:p>
            <w:pPr>
              <w:spacing w:after="0"/>
              <w:rPr>
                <w:sz w:val="1"/>
                <w:szCs w:val="1"/>
                <w:color w:val="auto"/>
              </w:rPr>
            </w:pPr>
          </w:p>
        </w:tc>
      </w:tr>
      <w:tr>
        <w:trPr>
          <w:trHeight w:val="199"/>
        </w:trPr>
        <w:tc>
          <w:tcPr>
            <w:tcW w:w="2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36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INCOME BEFORE INCOME</w:t>
            </w: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73,554</w:t>
            </w:r>
          </w:p>
        </w:tc>
        <w:tc>
          <w:tcPr>
            <w:tcW w:w="1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5.8 %</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70,085</w:t>
            </w:r>
          </w:p>
        </w:tc>
        <w:tc>
          <w:tcPr>
            <w:tcW w:w="11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6.4 %</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202,550</w:t>
            </w:r>
          </w:p>
        </w:tc>
        <w:tc>
          <w:tcPr>
            <w:tcW w:w="1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5.5 %</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279,817</w:t>
            </w:r>
          </w:p>
        </w:tc>
        <w:tc>
          <w:tcPr>
            <w:tcW w:w="1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8.8 %</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TAXES</w:t>
            </w: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19,698</w:t>
            </w:r>
          </w:p>
        </w:tc>
        <w:tc>
          <w:tcPr>
            <w:tcW w:w="11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13,783</w:t>
            </w:r>
          </w:p>
        </w:tc>
        <w:tc>
          <w:tcPr>
            <w:tcW w:w="11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50,860</w:t>
            </w:r>
          </w:p>
        </w:tc>
        <w:tc>
          <w:tcPr>
            <w:tcW w:w="11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69,904</w:t>
            </w:r>
          </w:p>
        </w:tc>
        <w:tc>
          <w:tcPr>
            <w:tcW w:w="11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0" w:type="dxa"/>
            <w:vAlign w:val="bottom"/>
          </w:tcPr>
          <w:p>
            <w:pPr>
              <w:spacing w:after="0"/>
              <w:rPr>
                <w:sz w:val="1"/>
                <w:szCs w:val="1"/>
                <w:color w:val="auto"/>
              </w:rPr>
            </w:pPr>
          </w:p>
        </w:tc>
      </w:tr>
      <w:tr>
        <w:trPr>
          <w:trHeight w:val="237"/>
        </w:trPr>
        <w:tc>
          <w:tcPr>
            <w:tcW w:w="2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53,856</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4.2 %</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56,302</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5.2 %</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151,690</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4.2 %</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209,913</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6.6 %</w:t>
            </w:r>
          </w:p>
        </w:tc>
        <w:tc>
          <w:tcPr>
            <w:tcW w:w="0" w:type="dxa"/>
            <w:vAlign w:val="bottom"/>
          </w:tcPr>
          <w:p>
            <w:pPr>
              <w:spacing w:after="0"/>
              <w:rPr>
                <w:sz w:val="1"/>
                <w:szCs w:val="1"/>
                <w:color w:val="auto"/>
              </w:rPr>
            </w:pPr>
          </w:p>
        </w:tc>
      </w:tr>
      <w:tr>
        <w:trPr>
          <w:trHeight w:val="20"/>
        </w:trPr>
        <w:tc>
          <w:tcPr>
            <w:tcW w:w="2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6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OTHER COMPREHENSIVE</w:t>
            </w: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INCOME, NET OF TAX:</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6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Change in unrealized (loss) gain</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6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on cash flow hedges, net of</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6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income tax benefit of $1,998, $8,</w:t>
            </w: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(6,127)</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Pr>
          <w:p>
            <w:pPr>
              <w:spacing w:after="0"/>
              <w:rPr>
                <w:sz w:val="14"/>
                <w:szCs w:val="14"/>
                <w:color w:val="auto"/>
              </w:rPr>
            </w:pPr>
          </w:p>
        </w:tc>
        <w:tc>
          <w:tcPr>
            <w:tcW w:w="11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(5,475)</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2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3"/>
        </w:trPr>
        <w:tc>
          <w:tcPr>
            <w:tcW w:w="23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$1,785 and $57, respectively</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160" w:type="dxa"/>
            <w:vAlign w:val="bottom"/>
            <w:tcBorders>
              <w:bottom w:val="single" w:sz="8" w:color="CCEEFF"/>
            </w:tcBorders>
            <w:gridSpan w:val="2"/>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gridSpan w:val="2"/>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160" w:type="dxa"/>
            <w:vAlign w:val="bottom"/>
            <w:tcBorders>
              <w:bottom w:val="single" w:sz="8" w:color="CCEEFF"/>
            </w:tcBorders>
            <w:gridSpan w:val="2"/>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23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6"/>
                <w:szCs w:val="16"/>
                <w:color w:val="auto"/>
              </w:rPr>
              <w:t>OTHER COMPREHENSIVE</w:t>
            </w:r>
          </w:p>
        </w:tc>
        <w:tc>
          <w:tcPr>
            <w:tcW w:w="1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(6,127)</w:t>
            </w:r>
          </w:p>
        </w:tc>
        <w:tc>
          <w:tcPr>
            <w:tcW w:w="1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shd w:val="clear" w:color="auto" w:fill="CCEEFF"/>
          </w:tcPr>
          <w:p>
            <w:pPr>
              <w:spacing w:after="0"/>
              <w:rPr>
                <w:sz w:val="12"/>
                <w:szCs w:val="12"/>
                <w:color w:val="auto"/>
              </w:rPr>
            </w:pPr>
          </w:p>
        </w:tc>
        <w:tc>
          <w:tcPr>
            <w:tcW w:w="11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(5,475)</w:t>
            </w:r>
          </w:p>
        </w:tc>
        <w:tc>
          <w:tcPr>
            <w:tcW w:w="1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2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INCOME</w:t>
            </w: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36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NET COMPREHENSIVE</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47,729</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3.7 %</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56,355</w:t>
            </w: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5.2 %</w:t>
            </w:r>
          </w:p>
        </w:tc>
        <w:tc>
          <w:tcPr>
            <w:tcW w:w="12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146,215</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4.0 %</w:t>
            </w:r>
          </w:p>
        </w:tc>
        <w:tc>
          <w:tcPr>
            <w:tcW w:w="12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209,814</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6.6 %</w:t>
            </w:r>
          </w:p>
        </w:tc>
        <w:tc>
          <w:tcPr>
            <w:tcW w:w="0" w:type="dxa"/>
            <w:vAlign w:val="bottom"/>
          </w:tcPr>
          <w:p>
            <w:pPr>
              <w:spacing w:after="0"/>
              <w:rPr>
                <w:sz w:val="1"/>
                <w:szCs w:val="1"/>
                <w:color w:val="auto"/>
              </w:rPr>
            </w:pPr>
          </w:p>
        </w:tc>
      </w:tr>
      <w:tr>
        <w:trPr>
          <w:trHeight w:val="194"/>
        </w:trPr>
        <w:tc>
          <w:tcPr>
            <w:tcW w:w="2360" w:type="dxa"/>
            <w:vAlign w:val="bottom"/>
          </w:tcPr>
          <w:p>
            <w:pPr>
              <w:spacing w:after="0"/>
              <w:rPr>
                <w:sz w:val="20"/>
                <w:szCs w:val="20"/>
                <w:color w:val="auto"/>
              </w:rPr>
            </w:pPr>
            <w:r>
              <w:rPr>
                <w:rFonts w:ascii="Times New Roman" w:cs="Times New Roman" w:eastAsia="Times New Roman" w:hAnsi="Times New Roman"/>
                <w:sz w:val="16"/>
                <w:szCs w:val="16"/>
                <w:color w:val="auto"/>
              </w:rPr>
              <w:t>INCOME</w:t>
            </w:r>
          </w:p>
        </w:tc>
        <w:tc>
          <w:tcPr>
            <w:tcW w:w="14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September 30, 2024 Compared to Three Months Ended September 30, 2023</w:t>
      </w:r>
    </w:p>
    <w:p>
      <w:pPr>
        <w:spacing w:after="0" w:line="202"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present selected consolidated comparative results of operations from Option Care Health’s unaudited condensed consolidated financial statements for the three months ended September 30, 2024 and 2023.</w:t>
      </w:r>
    </w:p>
    <w:p>
      <w:pPr>
        <w:spacing w:after="0" w:line="2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45"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4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60" w:type="dxa"/>
            <w:vAlign w:val="bottom"/>
            <w:gridSpan w:val="5"/>
          </w:tcPr>
          <w:p>
            <w:pPr>
              <w:ind w:left="2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56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gridSpan w:val="2"/>
          </w:tcPr>
          <w:p>
            <w:pPr>
              <w:ind w:left="700"/>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80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2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(in thousands, except for percentages)</w:t>
            </w: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1,278,546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1,093,014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185,532</w:t>
            </w:r>
          </w:p>
        </w:tc>
        <w:tc>
          <w:tcPr>
            <w:tcW w:w="7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17.0 %</w:t>
            </w:r>
          </w:p>
        </w:tc>
        <w:tc>
          <w:tcPr>
            <w:tcW w:w="0" w:type="dxa"/>
            <w:vAlign w:val="bottom"/>
          </w:tcPr>
          <w:p>
            <w:pPr>
              <w:spacing w:after="0"/>
              <w:rPr>
                <w:sz w:val="1"/>
                <w:szCs w:val="1"/>
                <w:color w:val="auto"/>
              </w:rPr>
            </w:pPr>
          </w:p>
        </w:tc>
      </w:tr>
      <w:tr>
        <w:trPr>
          <w:trHeight w:val="213"/>
        </w:trPr>
        <w:tc>
          <w:tcPr>
            <w:tcW w:w="4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3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1,021,797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838,748</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183,049</w:t>
            </w:r>
          </w:p>
        </w:tc>
        <w:tc>
          <w:tcPr>
            <w:tcW w:w="70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21.8 %</w:t>
            </w:r>
          </w:p>
        </w:tc>
        <w:tc>
          <w:tcPr>
            <w:tcW w:w="0" w:type="dxa"/>
            <w:vAlign w:val="bottom"/>
          </w:tcPr>
          <w:p>
            <w:pPr>
              <w:spacing w:after="0"/>
              <w:rPr>
                <w:sz w:val="1"/>
                <w:szCs w:val="1"/>
                <w:color w:val="auto"/>
              </w:rPr>
            </w:pPr>
          </w:p>
        </w:tc>
      </w:tr>
      <w:tr>
        <w:trPr>
          <w:trHeight w:val="237"/>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256,749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254,266</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2,483</w:t>
            </w:r>
          </w:p>
        </w:tc>
        <w:tc>
          <w:tcPr>
            <w:tcW w:w="7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Gross profit margin</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56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23.3 %</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57" w:lineRule="exact"/>
        <w:rPr>
          <w:sz w:val="20"/>
          <w:szCs w:val="20"/>
          <w:color w:val="auto"/>
        </w:rPr>
      </w:pPr>
    </w:p>
    <w:p>
      <w:pPr>
        <w:ind w:right="160" w:firstLine="324"/>
        <w:spacing w:after="0" w:line="269" w:lineRule="auto"/>
        <w:rPr>
          <w:sz w:val="20"/>
          <w:szCs w:val="20"/>
          <w:color w:val="auto"/>
        </w:rPr>
      </w:pPr>
      <w:r>
        <w:rPr>
          <w:rFonts w:ascii="Times New Roman" w:cs="Times New Roman" w:eastAsia="Times New Roman" w:hAnsi="Times New Roman"/>
          <w:sz w:val="17"/>
          <w:szCs w:val="17"/>
          <w:color w:val="auto"/>
        </w:rPr>
        <w:t>The increase in net revenue was primarily driven by organic growth in the Company’s portfolio of therapies, consisting of acute revenue that had single-digit growth relative to the prior year while chronic revenue grew in the low-twenties. The increase in cost of revenue was primarily driven by the growth in revenue and therapy mix, as well as the comparable impact of certain temporary favorable therapy procurement dynamics in the prior year. The decrease in gross profit margin was primarily due to the launch of certain new higher cost therapies included within chronic growth (including rare and orphan therapies) and to the same comparable impact of certain temporary favorable procurement dynamics in the prior year that did not continue into</w:t>
      </w:r>
    </w:p>
    <w:p>
      <w:pPr>
        <w:spacing w:after="0" w:line="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2024. Future revenue and gross profit may be impacted by the supply chain disruption in the availability of certain IV fluids in the near term. Additionally, management anticipates that 2025 gross profit will be negatively impacted due to a manufacturer’s proposed significant reduction in the spread at which the Company procures a key therapy relative to drug reference prices beginning in early 2025.</w:t>
      </w:r>
    </w:p>
    <w:p>
      <w:pPr>
        <w:sectPr>
          <w:pgSz w:w="11900" w:h="16838" w:orient="portrait"/>
          <w:cols w:equalWidth="0" w:num="1">
            <w:col w:w="11240"/>
          </w:cols>
          <w:pgMar w:left="320" w:top="118" w:right="339" w:bottom="1440" w:gutter="0" w:footer="0" w:header="0"/>
        </w:sectPr>
      </w:pPr>
    </w:p>
    <w:p>
      <w:pPr>
        <w:spacing w:after="0" w:line="3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0" w:right="1020"/>
        <w:spacing w:after="0" w:line="308" w:lineRule="auto"/>
        <w:rPr>
          <w:sz w:val="20"/>
          <w:szCs w:val="20"/>
          <w:color w:val="auto"/>
        </w:rPr>
      </w:pPr>
      <w:r>
        <w:rPr>
          <w:rFonts w:ascii="Times New Roman" w:cs="Times New Roman" w:eastAsia="Times New Roman" w:hAnsi="Times New Roman"/>
          <w:sz w:val="16"/>
          <w:szCs w:val="16"/>
          <w:color w:val="auto"/>
        </w:rPr>
        <w:t>Selling, general and administrative expenses Depreciation and amortization expense</w:t>
      </w:r>
    </w:p>
    <w:p>
      <w:pPr>
        <w:ind w:left="140"/>
        <w:spacing w:after="0"/>
        <w:rPr>
          <w:sz w:val="20"/>
          <w:szCs w:val="20"/>
          <w:color w:val="auto"/>
        </w:rPr>
      </w:pPr>
      <w:r>
        <w:rPr>
          <w:rFonts w:ascii="Times New Roman" w:cs="Times New Roman" w:eastAsia="Times New Roman" w:hAnsi="Times New Roman"/>
          <w:sz w:val="16"/>
          <w:szCs w:val="16"/>
          <w:color w:val="auto"/>
        </w:rPr>
        <w:t>Total operating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320" w:type="dxa"/>
            <w:vAlign w:val="bottom"/>
          </w:tcPr>
          <w:p>
            <w:pPr>
              <w:spacing w:after="0"/>
              <w:rPr>
                <w:sz w:val="18"/>
                <w:szCs w:val="18"/>
                <w:color w:val="auto"/>
              </w:rPr>
            </w:pPr>
          </w:p>
        </w:tc>
        <w:tc>
          <w:tcPr>
            <w:tcW w:w="3360" w:type="dxa"/>
            <w:vAlign w:val="bottom"/>
            <w:gridSpan w:val="5"/>
          </w:tcPr>
          <w:p>
            <w:pPr>
              <w:ind w:left="2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1"/>
        </w:trPr>
        <w:tc>
          <w:tcPr>
            <w:tcW w:w="32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gridSpan w:val="2"/>
          </w:tcPr>
          <w:p>
            <w:pPr>
              <w:ind w:left="660"/>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800" w:type="dxa"/>
            <w:vAlign w:val="bottom"/>
            <w:tcBorders>
              <w:top w:val="single" w:sz="8" w:color="auto"/>
              <w:bottom w:val="single" w:sz="8" w:color="auto"/>
            </w:tcBorders>
          </w:tcPr>
          <w:p>
            <w:pPr>
              <w:spacing w:after="0"/>
              <w:rPr>
                <w:sz w:val="18"/>
                <w:szCs w:val="18"/>
                <w:color w:val="auto"/>
              </w:rPr>
            </w:pPr>
          </w:p>
        </w:tc>
      </w:tr>
      <w:tr>
        <w:trPr>
          <w:trHeight w:val="246"/>
        </w:trPr>
        <w:tc>
          <w:tcPr>
            <w:tcW w:w="3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2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 except for percentages)</w:t>
            </w:r>
          </w:p>
        </w:tc>
        <w:tc>
          <w:tcPr>
            <w:tcW w:w="800" w:type="dxa"/>
            <w:vAlign w:val="bottom"/>
          </w:tcPr>
          <w:p>
            <w:pPr>
              <w:spacing w:after="0"/>
              <w:rPr>
                <w:sz w:val="21"/>
                <w:szCs w:val="21"/>
                <w:color w:val="auto"/>
              </w:rPr>
            </w:pPr>
          </w:p>
        </w:tc>
      </w:tr>
      <w:tr>
        <w:trPr>
          <w:trHeight w:val="216"/>
        </w:trPr>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156,999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158,214</w:t>
            </w:r>
          </w:p>
        </w:tc>
        <w:tc>
          <w:tcPr>
            <w:tcW w:w="12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(1,215)</w:t>
            </w:r>
          </w:p>
        </w:tc>
        <w:tc>
          <w:tcPr>
            <w:tcW w:w="7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r>
      <w:tr>
        <w:trPr>
          <w:trHeight w:val="219"/>
        </w:trPr>
        <w:tc>
          <w:tcPr>
            <w:tcW w:w="3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14,659</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15,005</w:t>
            </w:r>
          </w:p>
        </w:tc>
        <w:tc>
          <w:tcPr>
            <w:tcW w:w="1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7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13"/>
        </w:trPr>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171,658</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173,219</w:t>
            </w:r>
          </w:p>
        </w:tc>
        <w:tc>
          <w:tcPr>
            <w:tcW w:w="120" w:type="dxa"/>
            <w:vAlign w:val="bottom"/>
          </w:tcPr>
          <w:p>
            <w:pPr>
              <w:spacing w:after="0"/>
              <w:rPr>
                <w:sz w:val="18"/>
                <w:szCs w:val="18"/>
                <w:color w:val="auto"/>
              </w:rPr>
            </w:pPr>
          </w:p>
        </w:tc>
        <w:tc>
          <w:tcPr>
            <w:tcW w:w="4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(1,561)</w:t>
            </w:r>
          </w:p>
        </w:tc>
        <w:tc>
          <w:tcPr>
            <w:tcW w:w="7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-2953385</wp:posOffset>
            </wp:positionH>
            <wp:positionV relativeFrom="paragraph">
              <wp:posOffset>-453390</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-179705</wp:posOffset>
            </wp:positionV>
            <wp:extent cx="7132320" cy="163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40" w:space="720"/>
            <w:col w:w="6580"/>
          </w:cols>
          <w:pgMar w:left="320" w:top="118" w:right="339" w:bottom="1440" w:gutter="0" w:footer="0" w:header="0"/>
          <w:type w:val="continuous"/>
        </w:sectPr>
      </w:pPr>
    </w:p>
    <w:p>
      <w:pPr>
        <w:spacing w:after="0" w:line="52"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during the three months ended September 30, 2024 was relatively consistent with prior year; however, these expenses have declined as a percentage of revenue to 12.3% for the three months ended September 30, 2024 compared to 14.5% for the three months ended September 30, 2023, due to the Company’s focus on leveraging existing infrastructure to control spending.</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60" w:type="dxa"/>
            <w:vAlign w:val="bottom"/>
          </w:tcPr>
          <w:p>
            <w:pPr>
              <w:spacing w:after="0"/>
              <w:rPr>
                <w:sz w:val="18"/>
                <w:szCs w:val="18"/>
                <w:color w:val="auto"/>
              </w:rPr>
            </w:pPr>
          </w:p>
        </w:tc>
        <w:tc>
          <w:tcPr>
            <w:tcW w:w="3680" w:type="dxa"/>
            <w:vAlign w:val="bottom"/>
            <w:gridSpan w:val="6"/>
          </w:tcPr>
          <w:p>
            <w:pPr>
              <w:ind w:left="5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1"/>
        </w:trPr>
        <w:tc>
          <w:tcPr>
            <w:tcW w:w="466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820" w:type="dxa"/>
            <w:vAlign w:val="bottom"/>
            <w:tcBorders>
              <w:top w:val="single" w:sz="8" w:color="auto"/>
              <w:bottom w:val="single" w:sz="8" w:color="auto"/>
            </w:tcBorders>
          </w:tcPr>
          <w:p>
            <w:pPr>
              <w:spacing w:after="0"/>
              <w:rPr>
                <w:sz w:val="18"/>
                <w:szCs w:val="18"/>
                <w:color w:val="auto"/>
              </w:rPr>
            </w:pPr>
          </w:p>
        </w:tc>
      </w:tr>
      <w:tr>
        <w:trPr>
          <w:trHeight w:val="249"/>
        </w:trPr>
        <w:tc>
          <w:tcPr>
            <w:tcW w:w="46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thousands, except for percentages)</w:t>
            </w: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1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110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(12,345)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(11,786)</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(559)</w:t>
            </w:r>
          </w:p>
        </w:tc>
        <w:tc>
          <w:tcPr>
            <w:tcW w:w="7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4.7 %</w:t>
            </w:r>
          </w:p>
        </w:tc>
      </w:tr>
      <w:tr>
        <w:trPr>
          <w:trHeight w:val="213"/>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in earnings of joint ventures</w:t>
            </w:r>
          </w:p>
        </w:tc>
        <w:tc>
          <w:tcPr>
            <w:tcW w:w="1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1,273</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118</w:t>
            </w:r>
          </w:p>
        </w:tc>
        <w:tc>
          <w:tcPr>
            <w:tcW w:w="7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9.3 %</w:t>
            </w:r>
          </w:p>
        </w:tc>
      </w:tr>
      <w:tr>
        <w:trPr>
          <w:trHeight w:val="216"/>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net</w:t>
            </w:r>
          </w:p>
        </w:tc>
        <w:tc>
          <w:tcPr>
            <w:tcW w:w="1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w:t>
            </w:r>
          </w:p>
        </w:tc>
        <w:tc>
          <w:tcPr>
            <w:tcW w:w="1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(134)</w:t>
            </w:r>
          </w:p>
        </w:tc>
        <w:tc>
          <w:tcPr>
            <w:tcW w:w="7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29.8 %</w:t>
            </w:r>
          </w:p>
        </w:tc>
      </w:tr>
      <w:tr>
        <w:trPr>
          <w:trHeight w:val="212"/>
        </w:trPr>
        <w:tc>
          <w:tcPr>
            <w:tcW w:w="4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other (expense) income</w:t>
            </w:r>
          </w:p>
        </w:tc>
        <w:tc>
          <w:tcPr>
            <w:tcW w:w="1100" w:type="dxa"/>
            <w:vAlign w:val="bottom"/>
            <w:tcBorders>
              <w:bottom w:val="single" w:sz="8" w:color="auto"/>
            </w:tcBorders>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(11,537)</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(10,962)</w:t>
            </w:r>
          </w:p>
        </w:tc>
        <w:tc>
          <w:tcPr>
            <w:tcW w:w="120" w:type="dxa"/>
            <w:vAlign w:val="bottom"/>
          </w:tcPr>
          <w:p>
            <w:pPr>
              <w:spacing w:after="0"/>
              <w:rPr>
                <w:sz w:val="18"/>
                <w:szCs w:val="18"/>
                <w:color w:val="auto"/>
              </w:rPr>
            </w:pPr>
          </w:p>
        </w:tc>
        <w:tc>
          <w:tcPr>
            <w:tcW w:w="940" w:type="dxa"/>
            <w:vAlign w:val="bottom"/>
            <w:tcBorders>
              <w:bottom w:val="single" w:sz="8" w:color="auto"/>
            </w:tcBorders>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(575)</w:t>
            </w:r>
          </w:p>
        </w:tc>
        <w:tc>
          <w:tcPr>
            <w:tcW w:w="7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5.2 %</w:t>
            </w:r>
          </w:p>
        </w:tc>
      </w:tr>
      <w:tr>
        <w:trPr>
          <w:trHeight w:val="20"/>
        </w:trPr>
        <w:tc>
          <w:tcPr>
            <w:tcW w:w="46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ind w:right="240" w:firstLine="324"/>
        <w:spacing w:after="0" w:line="266" w:lineRule="auto"/>
        <w:rPr>
          <w:sz w:val="20"/>
          <w:szCs w:val="20"/>
          <w:color w:val="auto"/>
        </w:rPr>
      </w:pPr>
      <w:r>
        <w:rPr>
          <w:rFonts w:ascii="Times New Roman" w:cs="Times New Roman" w:eastAsia="Times New Roman" w:hAnsi="Times New Roman"/>
          <w:sz w:val="18"/>
          <w:szCs w:val="18"/>
          <w:color w:val="auto"/>
        </w:rPr>
        <w:t xml:space="preserve">The increase in interest expense, net during the three months ended September 30, 2024 was primarily attributable to an increase in the Company’s First Lien Term Loan principal balance, compared to the three months ended September 30, 2023. See Note 9, </w:t>
      </w:r>
      <w:r>
        <w:rPr>
          <w:rFonts w:ascii="Times New Roman" w:cs="Times New Roman" w:eastAsia="Times New Roman" w:hAnsi="Times New Roman"/>
          <w:sz w:val="18"/>
          <w:szCs w:val="18"/>
          <w:i w:val="1"/>
          <w:iCs w:val="1"/>
          <w:color w:val="auto"/>
        </w:rPr>
        <w:t>Indebtedness</w:t>
      </w:r>
      <w:r>
        <w:rPr>
          <w:rFonts w:ascii="Times New Roman" w:cs="Times New Roman" w:eastAsia="Times New Roman" w:hAnsi="Times New Roman"/>
          <w:sz w:val="18"/>
          <w:szCs w:val="18"/>
          <w:color w:val="auto"/>
        </w:rPr>
        <w:t>, of the unaudited condensed consolidated financial statements for further information.</w:t>
      </w:r>
    </w:p>
    <w:p>
      <w:pPr>
        <w:spacing w:after="0" w:line="3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231F20"/>
        </w:rPr>
        <w:t>Income Tax Expense</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360" w:type="dxa"/>
            <w:vAlign w:val="bottom"/>
            <w:gridSpan w:val="5"/>
          </w:tcPr>
          <w:p>
            <w:pPr>
              <w:ind w:left="2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5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1"/>
        </w:trPr>
        <w:tc>
          <w:tcPr>
            <w:tcW w:w="466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820" w:type="dxa"/>
            <w:vAlign w:val="bottom"/>
            <w:tcBorders>
              <w:top w:val="single" w:sz="8" w:color="auto"/>
              <w:bottom w:val="single" w:sz="8" w:color="auto"/>
            </w:tcBorders>
          </w:tcPr>
          <w:p>
            <w:pPr>
              <w:spacing w:after="0"/>
              <w:rPr>
                <w:sz w:val="18"/>
                <w:szCs w:val="18"/>
                <w:color w:val="auto"/>
              </w:rPr>
            </w:pPr>
          </w:p>
        </w:tc>
      </w:tr>
      <w:tr>
        <w:trPr>
          <w:trHeight w:val="249"/>
        </w:trPr>
        <w:tc>
          <w:tcPr>
            <w:tcW w:w="4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0" w:type="dxa"/>
            <w:vAlign w:val="bottom"/>
            <w:gridSpan w:val="4"/>
          </w:tcPr>
          <w:p>
            <w:pPr>
              <w:jc w:val="center"/>
              <w:ind w:right="1059"/>
              <w:spacing w:after="0"/>
              <w:rPr>
                <w:sz w:val="20"/>
                <w:szCs w:val="20"/>
                <w:color w:val="auto"/>
              </w:rPr>
            </w:pPr>
            <w:r>
              <w:rPr>
                <w:rFonts w:ascii="Times New Roman" w:cs="Times New Roman" w:eastAsia="Times New Roman" w:hAnsi="Times New Roman"/>
                <w:sz w:val="16"/>
                <w:szCs w:val="16"/>
                <w:b w:val="1"/>
                <w:bCs w:val="1"/>
                <w:color w:val="auto"/>
              </w:rPr>
              <w:t>(in thousands, except for percentages)</w:t>
            </w:r>
          </w:p>
        </w:tc>
        <w:tc>
          <w:tcPr>
            <w:tcW w:w="820" w:type="dxa"/>
            <w:vAlign w:val="bottom"/>
          </w:tcPr>
          <w:p>
            <w:pPr>
              <w:spacing w:after="0"/>
              <w:rPr>
                <w:sz w:val="21"/>
                <w:szCs w:val="21"/>
                <w:color w:val="auto"/>
              </w:rPr>
            </w:pPr>
          </w:p>
        </w:tc>
      </w:tr>
      <w:tr>
        <w:trPr>
          <w:trHeight w:val="21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19,698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13,783</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rPr>
              <w:t>5,915</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42.9 %</w:t>
            </w:r>
          </w:p>
        </w:tc>
      </w:tr>
    </w:tbl>
    <w:p>
      <w:pPr>
        <w:spacing w:after="0" w:line="252"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Company recorded income tax expense of $19.7 million and $13.8 million for the three months ended September 30, 2024 and 2023, respectively, which represents an effective tax rate of 26.8% and 19.7%, respectively. The variance in the Company’s effective tax rate of 26.8% for the three months ended September 30, 2024, compared to the federal statutory rate of 21%, was primarily attributable to the difference between federal and state tax rates, various non-deductible expenses, and a change in state valuation allowance. The variance in the Company’s effective tax rate of 19.7% for the three months ended September 30, 2023, compared to the federal statutory rate of 21%, was primarily attributable to the difference between federal and state tax rates, various non-deductible expenses, and a change in state valuation allowance. The variance in the Company’s effective tax rate of 26.8% for the three months ended September 30, 2024, compared to 19.7% for the three months ended September 30, 2023 was primarily due to change in state valuation allowance. In September 2023, the Company released $5.8 million of state valuation allowance.</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231F20"/>
        </w:rPr>
        <w:t>Net Income and Other Comprehensive Income (Loss)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80" w:type="dxa"/>
            <w:vAlign w:val="bottom"/>
          </w:tcPr>
          <w:p>
            <w:pPr>
              <w:spacing w:after="0"/>
              <w:rPr>
                <w:sz w:val="18"/>
                <w:szCs w:val="18"/>
                <w:color w:val="auto"/>
              </w:rPr>
            </w:pPr>
          </w:p>
        </w:tc>
        <w:tc>
          <w:tcPr>
            <w:tcW w:w="30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5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68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5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2"/>
          </w:tcPr>
          <w:p>
            <w:pPr>
              <w:ind w:left="660"/>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6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900" w:type="dxa"/>
            <w:vAlign w:val="bottom"/>
            <w:gridSpan w:val="6"/>
          </w:tcPr>
          <w:p>
            <w:pPr>
              <w:ind w:left="160"/>
              <w:spacing w:after="0"/>
              <w:rPr>
                <w:sz w:val="20"/>
                <w:szCs w:val="20"/>
                <w:color w:val="auto"/>
              </w:rPr>
            </w:pPr>
            <w:r>
              <w:rPr>
                <w:rFonts w:ascii="Times New Roman" w:cs="Times New Roman" w:eastAsia="Times New Roman" w:hAnsi="Times New Roman"/>
                <w:sz w:val="16"/>
                <w:szCs w:val="16"/>
                <w:b w:val="1"/>
                <w:bCs w:val="1"/>
                <w:color w:val="auto"/>
              </w:rPr>
              <w:t>(in thousands, except for percentages)</w:t>
            </w: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10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53,856</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3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56,302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(2,446)</w:t>
            </w:r>
          </w:p>
        </w:tc>
        <w:tc>
          <w:tcPr>
            <w:tcW w:w="7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213"/>
        </w:trPr>
        <w:tc>
          <w:tcPr>
            <w:tcW w:w="4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 income, net of tax:</w:t>
            </w: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468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Changes in unrealized (loss) gain on cash flow hedges, net of income</w:t>
            </w:r>
          </w:p>
        </w:tc>
        <w:tc>
          <w:tcPr>
            <w:tcW w:w="110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(6,127)</w:t>
            </w: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(6,180)</w:t>
            </w:r>
          </w:p>
        </w:tc>
        <w:tc>
          <w:tcPr>
            <w:tcW w:w="7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32"/>
                <w:szCs w:val="32"/>
                <w:color w:val="auto"/>
                <w:vertAlign w:val="subscript"/>
              </w:rPr>
              <w:t>NM</w:t>
            </w: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taxes</w:t>
            </w:r>
          </w:p>
        </w:tc>
        <w:tc>
          <w:tcPr>
            <w:tcW w:w="1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comprehensive (loss) income</w:t>
            </w:r>
          </w:p>
        </w:tc>
        <w:tc>
          <w:tcPr>
            <w:tcW w:w="1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(6,127)</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(6,180)</w:t>
            </w:r>
          </w:p>
        </w:tc>
        <w:tc>
          <w:tcPr>
            <w:tcW w:w="72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jc w:val="right"/>
              <w:spacing w:after="0" w:line="210" w:lineRule="exact"/>
              <w:rPr>
                <w:sz w:val="20"/>
                <w:szCs w:val="20"/>
                <w:color w:val="auto"/>
              </w:rPr>
            </w:pPr>
            <w:r>
              <w:rPr>
                <w:rFonts w:ascii="Times New Roman" w:cs="Times New Roman" w:eastAsia="Times New Roman" w:hAnsi="Times New Roman"/>
                <w:sz w:val="24"/>
                <w:szCs w:val="24"/>
                <w:color w:val="auto"/>
                <w:vertAlign w:val="subscript"/>
              </w:rPr>
              <w:t>NM</w:t>
            </w:r>
            <w:r>
              <w:rPr>
                <w:rFonts w:ascii="Times New Roman" w:cs="Times New Roman" w:eastAsia="Times New Roman" w:hAnsi="Times New Roman"/>
                <w:sz w:val="9"/>
                <w:szCs w:val="9"/>
                <w:color w:val="auto"/>
              </w:rPr>
              <w:t>(1)</w:t>
            </w:r>
          </w:p>
        </w:tc>
        <w:tc>
          <w:tcPr>
            <w:tcW w:w="0" w:type="dxa"/>
            <w:vAlign w:val="bottom"/>
          </w:tcPr>
          <w:p>
            <w:pPr>
              <w:spacing w:after="0"/>
              <w:rPr>
                <w:sz w:val="1"/>
                <w:szCs w:val="1"/>
                <w:color w:val="auto"/>
              </w:rPr>
            </w:pPr>
          </w:p>
        </w:tc>
      </w:tr>
      <w:tr>
        <w:trPr>
          <w:trHeight w:val="234"/>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comprehensive income</w:t>
            </w: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47,729</w:t>
            </w:r>
          </w:p>
        </w:tc>
        <w:tc>
          <w:tcPr>
            <w:tcW w:w="1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03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56,355</w:t>
            </w: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(8,626)</w:t>
            </w:r>
          </w:p>
        </w:tc>
        <w:tc>
          <w:tcPr>
            <w:tcW w:w="7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 Not meaningful</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change in net income was attributable to the factors described in the above sections.</w:t>
      </w:r>
    </w:p>
    <w:p>
      <w:pPr>
        <w:spacing w:after="0" w:line="185"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2024 and 2023, the change in unrealized (loss) gain on cash flow hedges, net of income taxes was related to the change in fair market value of the $300.0 million interest rate cap hedge executed in October 2021.</w:t>
      </w:r>
    </w:p>
    <w:p>
      <w:pPr>
        <w:spacing w:after="0" w:line="135"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Net comprehensive income decreased to $47.7 million for the three months ended September 30, 2024, compared to net comprehensive income of $56.4 million for the three months ended September 30, 2023, primarily as a result of the changes in net income discussed above as well as the change in the fair market value of the cash flow hedge.</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2024 Compared to Nine Months Ended September 30, 2023</w:t>
      </w:r>
    </w:p>
    <w:p>
      <w:pPr>
        <w:spacing w:after="0" w:line="202"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present selected consolidated comparative results of operations from Option Care Health’s unaudited condensed consolidated financial statements for the nine months ended September 30, 2024 and 2023.</w:t>
      </w:r>
    </w:p>
    <w:p>
      <w:pPr>
        <w:spacing w:after="0" w:line="2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45"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4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40" w:type="dxa"/>
            <w:vAlign w:val="bottom"/>
            <w:gridSpan w:val="5"/>
          </w:tcPr>
          <w:p>
            <w:pPr>
              <w:ind w:left="26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56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gridSpan w:val="2"/>
          </w:tcPr>
          <w:p>
            <w:pPr>
              <w:ind w:left="700"/>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80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2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(in thousands, except for percentages)</w:t>
            </w: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3,651,784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3,177,934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473,850</w:t>
            </w:r>
          </w:p>
        </w:tc>
        <w:tc>
          <w:tcPr>
            <w:tcW w:w="7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14.9 %</w:t>
            </w:r>
          </w:p>
        </w:tc>
        <w:tc>
          <w:tcPr>
            <w:tcW w:w="0" w:type="dxa"/>
            <w:vAlign w:val="bottom"/>
          </w:tcPr>
          <w:p>
            <w:pPr>
              <w:spacing w:after="0"/>
              <w:rPr>
                <w:sz w:val="1"/>
                <w:szCs w:val="1"/>
                <w:color w:val="auto"/>
              </w:rPr>
            </w:pPr>
          </w:p>
        </w:tc>
      </w:tr>
      <w:tr>
        <w:trPr>
          <w:trHeight w:val="213"/>
        </w:trPr>
        <w:tc>
          <w:tcPr>
            <w:tcW w:w="4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3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2,907,170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2,443,834</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463,336</w:t>
            </w:r>
          </w:p>
        </w:tc>
        <w:tc>
          <w:tcPr>
            <w:tcW w:w="70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19.0 %</w:t>
            </w:r>
          </w:p>
        </w:tc>
        <w:tc>
          <w:tcPr>
            <w:tcW w:w="0" w:type="dxa"/>
            <w:vAlign w:val="bottom"/>
          </w:tcPr>
          <w:p>
            <w:pPr>
              <w:spacing w:after="0"/>
              <w:rPr>
                <w:sz w:val="1"/>
                <w:szCs w:val="1"/>
                <w:color w:val="auto"/>
              </w:rPr>
            </w:pPr>
          </w:p>
        </w:tc>
      </w:tr>
      <w:tr>
        <w:trPr>
          <w:trHeight w:val="237"/>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744,614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734,100</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10,514</w:t>
            </w:r>
          </w:p>
        </w:tc>
        <w:tc>
          <w:tcPr>
            <w:tcW w:w="7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Gross profit margin</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56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23.1 %</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57"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The increase in net revenue was primarily driven by organic growth in the Company’s portfolio of therapies, consisting of acute revenue that had single-digit growth relative to the prior year while chronic revenue grew in the mid-teens. The increase in cost of revenue was primarily driven by the growth in revenue, therapy mix, and acute drug supply chain disruption, as well as the comparable impact of certain temporary favorable therapy procurement dynamics in the prior year. The decrease in gross profit margin was primarily due to the launch of certain new higher cost therapies included within chronic growth (including rare and orphan therapies) and to the same comparable impact of certain temporary favorable procurement dynamics in the prior year that did not continue into 2024. Future revenue and gross profit may be impacted by the supply chain disruption in the availability of certain IV fluids in the near term. Additionally, management anticipates that 2025 gross profit will be negatively impacted due to a manufacturer’s proposed significant reduction in the spread at which the Company procures a key therapy relative to drug reference prices beginning in early 2025.</w:t>
      </w:r>
    </w:p>
    <w:p>
      <w:pPr>
        <w:spacing w:after="0" w:line="3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60" w:type="dxa"/>
            <w:vAlign w:val="bottom"/>
          </w:tcPr>
          <w:p>
            <w:pPr>
              <w:spacing w:after="0"/>
              <w:rPr>
                <w:sz w:val="18"/>
                <w:szCs w:val="18"/>
                <w:color w:val="auto"/>
              </w:rPr>
            </w:pPr>
          </w:p>
        </w:tc>
        <w:tc>
          <w:tcPr>
            <w:tcW w:w="3680" w:type="dxa"/>
            <w:vAlign w:val="bottom"/>
            <w:gridSpan w:val="6"/>
          </w:tcPr>
          <w:p>
            <w:pPr>
              <w:ind w:left="58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1"/>
        </w:trPr>
        <w:tc>
          <w:tcPr>
            <w:tcW w:w="466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gridSpan w:val="2"/>
          </w:tcPr>
          <w:p>
            <w:pPr>
              <w:ind w:left="640"/>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800" w:type="dxa"/>
            <w:vAlign w:val="bottom"/>
            <w:tcBorders>
              <w:top w:val="single" w:sz="8" w:color="auto"/>
              <w:bottom w:val="single" w:sz="8" w:color="auto"/>
            </w:tcBorders>
          </w:tcPr>
          <w:p>
            <w:pPr>
              <w:spacing w:after="0"/>
              <w:rPr>
                <w:sz w:val="18"/>
                <w:szCs w:val="18"/>
                <w:color w:val="auto"/>
              </w:rPr>
            </w:pPr>
          </w:p>
        </w:tc>
      </w:tr>
      <w:tr>
        <w:trPr>
          <w:trHeight w:val="249"/>
        </w:trPr>
        <w:tc>
          <w:tcPr>
            <w:tcW w:w="46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2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 except for percentages)</w:t>
            </w:r>
          </w:p>
        </w:tc>
        <w:tc>
          <w:tcPr>
            <w:tcW w:w="800" w:type="dxa"/>
            <w:vAlign w:val="bottom"/>
          </w:tcPr>
          <w:p>
            <w:pPr>
              <w:spacing w:after="0"/>
              <w:rPr>
                <w:sz w:val="21"/>
                <w:szCs w:val="21"/>
                <w:color w:val="auto"/>
              </w:rPr>
            </w:pPr>
          </w:p>
        </w:tc>
      </w:tr>
      <w:tr>
        <w:trPr>
          <w:trHeight w:val="21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465,524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459,644</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5,880</w:t>
            </w:r>
          </w:p>
        </w:tc>
        <w:tc>
          <w:tcPr>
            <w:tcW w:w="7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1.3 %</w:t>
            </w:r>
          </w:p>
        </w:tc>
      </w:tr>
      <w:tr>
        <w:trPr>
          <w:trHeight w:val="213"/>
        </w:trPr>
        <w:tc>
          <w:tcPr>
            <w:tcW w:w="4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10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44,294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44,417</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76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37"/>
        </w:trPr>
        <w:tc>
          <w:tcPr>
            <w:tcW w:w="4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509,818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504,061</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5,757</w:t>
            </w:r>
          </w:p>
        </w:tc>
        <w:tc>
          <w:tcPr>
            <w:tcW w:w="7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1.1 %</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r>
    </w:tbl>
    <w:p>
      <w:pPr>
        <w:spacing w:after="0" w:line="252"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The increase in selling, general and administrative expenses during the nine months ended September 30, 2024 was primarily due to an increase in salaries, benefits, and equity compensation; however, these expenses have declined as a percentage of revenue to 12.7% for the nine months ended September 30, 2024 compared to 14.5% for the nine months ended September 30, 2023, due to the Company’s focus on leveraging existing infrastructure to control spending.</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60" w:type="dxa"/>
            <w:vAlign w:val="bottom"/>
          </w:tcPr>
          <w:p>
            <w:pPr>
              <w:spacing w:after="0"/>
              <w:rPr>
                <w:sz w:val="18"/>
                <w:szCs w:val="18"/>
                <w:color w:val="auto"/>
              </w:rPr>
            </w:pPr>
          </w:p>
        </w:tc>
        <w:tc>
          <w:tcPr>
            <w:tcW w:w="3680" w:type="dxa"/>
            <w:vAlign w:val="bottom"/>
            <w:gridSpan w:val="6"/>
          </w:tcPr>
          <w:p>
            <w:pPr>
              <w:ind w:left="58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1"/>
        </w:trPr>
        <w:tc>
          <w:tcPr>
            <w:tcW w:w="466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gridSpan w:val="2"/>
          </w:tcPr>
          <w:p>
            <w:pPr>
              <w:ind w:left="700"/>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880" w:type="dxa"/>
            <w:vAlign w:val="bottom"/>
            <w:tcBorders>
              <w:top w:val="single" w:sz="8" w:color="auto"/>
              <w:bottom w:val="single" w:sz="8" w:color="auto"/>
            </w:tcBorders>
          </w:tcPr>
          <w:p>
            <w:pPr>
              <w:spacing w:after="0"/>
              <w:rPr>
                <w:sz w:val="18"/>
                <w:szCs w:val="18"/>
                <w:color w:val="auto"/>
              </w:rPr>
            </w:pPr>
          </w:p>
        </w:tc>
      </w:tr>
      <w:tr>
        <w:trPr>
          <w:trHeight w:val="249"/>
        </w:trPr>
        <w:tc>
          <w:tcPr>
            <w:tcW w:w="46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74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 except for percentages)</w:t>
            </w:r>
          </w:p>
        </w:tc>
        <w:tc>
          <w:tcPr>
            <w:tcW w:w="880" w:type="dxa"/>
            <w:vAlign w:val="bottom"/>
          </w:tcPr>
          <w:p>
            <w:pPr>
              <w:spacing w:after="0"/>
              <w:rPr>
                <w:sz w:val="21"/>
                <w:szCs w:val="21"/>
                <w:color w:val="auto"/>
              </w:rPr>
            </w:pPr>
          </w:p>
        </w:tc>
      </w:tr>
      <w:tr>
        <w:trPr>
          <w:trHeight w:val="21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110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(38,150)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(38,816)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w:t>
            </w:r>
          </w:p>
        </w:tc>
        <w:tc>
          <w:tcPr>
            <w:tcW w:w="6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13"/>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in earnings of joint ventures</w:t>
            </w:r>
          </w:p>
        </w:tc>
        <w:tc>
          <w:tcPr>
            <w:tcW w:w="1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6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16"/>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net</w:t>
            </w:r>
          </w:p>
        </w:tc>
        <w:tc>
          <w:tcPr>
            <w:tcW w:w="1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1,983</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84,487</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(82,504)</w:t>
            </w:r>
          </w:p>
        </w:tc>
        <w:tc>
          <w:tcPr>
            <w:tcW w:w="6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w:t>
            </w:r>
          </w:p>
        </w:tc>
      </w:tr>
      <w:tr>
        <w:trPr>
          <w:trHeight w:val="212"/>
        </w:trPr>
        <w:tc>
          <w:tcPr>
            <w:tcW w:w="4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other (expense) income</w:t>
            </w:r>
          </w:p>
        </w:tc>
        <w:tc>
          <w:tcPr>
            <w:tcW w:w="1100" w:type="dxa"/>
            <w:vAlign w:val="bottom"/>
            <w:tcBorders>
              <w:bottom w:val="single" w:sz="8" w:color="auto"/>
            </w:tcBorders>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(32,246)</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49,778</w:t>
            </w:r>
          </w:p>
        </w:tc>
        <w:tc>
          <w:tcPr>
            <w:tcW w:w="12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(82,024)</w:t>
            </w:r>
          </w:p>
        </w:tc>
        <w:tc>
          <w:tcPr>
            <w:tcW w:w="6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(164.8)%</w:t>
            </w:r>
          </w:p>
        </w:tc>
      </w:tr>
      <w:tr>
        <w:trPr>
          <w:trHeight w:val="20"/>
        </w:trPr>
        <w:tc>
          <w:tcPr>
            <w:tcW w:w="46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252"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 xml:space="preserve">The decrease in interest expense, net during the nine months ended September 30, 2024 was primarily attributable to additional interest income generated from our cash and cash equivalents, partially offset by an increase in the Company’s First Lien Term Loan principal balance, compared to the nine months ended September 30, 2023. See Note 9, </w:t>
      </w:r>
      <w:r>
        <w:rPr>
          <w:rFonts w:ascii="Times New Roman" w:cs="Times New Roman" w:eastAsia="Times New Roman" w:hAnsi="Times New Roman"/>
          <w:sz w:val="18"/>
          <w:szCs w:val="18"/>
          <w:i w:val="1"/>
          <w:iCs w:val="1"/>
          <w:color w:val="auto"/>
        </w:rPr>
        <w:t>Indebtedness</w:t>
      </w:r>
      <w:r>
        <w:rPr>
          <w:rFonts w:ascii="Times New Roman" w:cs="Times New Roman" w:eastAsia="Times New Roman" w:hAnsi="Times New Roman"/>
          <w:sz w:val="18"/>
          <w:szCs w:val="18"/>
          <w:color w:val="auto"/>
        </w:rPr>
        <w:t>, of the unaudited condensed consolidated financial statements for further information.</w:t>
      </w:r>
    </w:p>
    <w:p>
      <w:pPr>
        <w:spacing w:after="0" w:line="135"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The decrease in Other, net during the nine months ended September 30, 2024 was due to the $106.0 million payment received on behalf of Amedisys, under the terms of the Mutual Termination Agreement, net of merger-related expenses during the nine months ended September 30, 2023. There was no comparable activity during the nine months ended September 30, 2024.</w:t>
      </w:r>
    </w:p>
    <w:p>
      <w:pPr>
        <w:spacing w:after="0" w:line="3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231F20"/>
        </w:rPr>
        <w:t>Income Tax Expense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340" w:type="dxa"/>
            <w:vAlign w:val="bottom"/>
            <w:gridSpan w:val="5"/>
          </w:tcPr>
          <w:p>
            <w:pPr>
              <w:ind w:left="24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4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1"/>
        </w:trPr>
        <w:tc>
          <w:tcPr>
            <w:tcW w:w="466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840" w:type="dxa"/>
            <w:vAlign w:val="bottom"/>
            <w:tcBorders>
              <w:top w:val="single" w:sz="8" w:color="auto"/>
              <w:bottom w:val="single" w:sz="8" w:color="auto"/>
            </w:tcBorders>
          </w:tcPr>
          <w:p>
            <w:pPr>
              <w:spacing w:after="0"/>
              <w:rPr>
                <w:sz w:val="18"/>
                <w:szCs w:val="18"/>
                <w:color w:val="auto"/>
              </w:rPr>
            </w:pPr>
          </w:p>
        </w:tc>
      </w:tr>
      <w:tr>
        <w:trPr>
          <w:trHeight w:val="249"/>
        </w:trPr>
        <w:tc>
          <w:tcPr>
            <w:tcW w:w="4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780" w:type="dxa"/>
            <w:vAlign w:val="bottom"/>
            <w:gridSpan w:val="4"/>
          </w:tcPr>
          <w:p>
            <w:pPr>
              <w:jc w:val="center"/>
              <w:ind w:right="1039"/>
              <w:spacing w:after="0"/>
              <w:rPr>
                <w:sz w:val="20"/>
                <w:szCs w:val="20"/>
                <w:color w:val="auto"/>
              </w:rPr>
            </w:pPr>
            <w:r>
              <w:rPr>
                <w:rFonts w:ascii="Times New Roman" w:cs="Times New Roman" w:eastAsia="Times New Roman" w:hAnsi="Times New Roman"/>
                <w:sz w:val="16"/>
                <w:szCs w:val="16"/>
                <w:b w:val="1"/>
                <w:bCs w:val="1"/>
                <w:color w:val="auto"/>
              </w:rPr>
              <w:t>(in thousands, except for percentages)</w:t>
            </w:r>
          </w:p>
        </w:tc>
        <w:tc>
          <w:tcPr>
            <w:tcW w:w="840" w:type="dxa"/>
            <w:vAlign w:val="bottom"/>
          </w:tcPr>
          <w:p>
            <w:pPr>
              <w:spacing w:after="0"/>
              <w:rPr>
                <w:sz w:val="21"/>
                <w:szCs w:val="21"/>
                <w:color w:val="auto"/>
              </w:rPr>
            </w:pPr>
          </w:p>
        </w:tc>
      </w:tr>
      <w:tr>
        <w:trPr>
          <w:trHeight w:val="21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50,860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69,904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6"/>
                <w:szCs w:val="16"/>
                <w:color w:val="auto"/>
              </w:rPr>
              <w:t>(19,044)</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w:t>
            </w:r>
          </w:p>
        </w:tc>
      </w:tr>
    </w:tbl>
    <w:p>
      <w:pPr>
        <w:spacing w:after="0" w:line="252"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The Company recorded income tax expense of $50.9 million and $69.9 million for the nine months ended September 30, 2024 and 2023, respectively, which represents an effective tax rate of 25.1% and 25.0%, respectively. The income tax expense for the nine months ended September 30, 2023 includes $22.1 million of tax expense related to the Termination Fee payment received on behalf of Amedisys, under the terms of the Mutual Termination Agreement, net of merger-related expenses. The variance in the Company’s effective tax rate of 25.1% for the nine months ended September 30, 2024, compared to the federal statutory rate of 21%, was primarily attributable to the difference between federal and state tax rates, various non-deductible expenses, and a change in state valuation allowance. The variance in the Company’s effective tax rate of 25.0% for the nine months ended September 30, 2023, compared to the federal statutory rate of 21%, was primarily attributable to the difference between federal and state tax rates, various non-deductible expenses, and a change in state valuation allowance.</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231F20"/>
        </w:rPr>
        <w:t>Net Income and Other Comprehensive Income (Loss)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60" w:type="dxa"/>
            <w:vAlign w:val="bottom"/>
          </w:tcPr>
          <w:p>
            <w:pPr>
              <w:spacing w:after="0"/>
              <w:rPr>
                <w:sz w:val="18"/>
                <w:szCs w:val="18"/>
                <w:color w:val="auto"/>
              </w:rPr>
            </w:pPr>
          </w:p>
        </w:tc>
        <w:tc>
          <w:tcPr>
            <w:tcW w:w="3680" w:type="dxa"/>
            <w:vAlign w:val="bottom"/>
            <w:gridSpan w:val="6"/>
          </w:tcPr>
          <w:p>
            <w:pPr>
              <w:ind w:left="58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1"/>
        </w:trPr>
        <w:tc>
          <w:tcPr>
            <w:tcW w:w="466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gridSpan w:val="2"/>
          </w:tcPr>
          <w:p>
            <w:pPr>
              <w:ind w:left="700"/>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840" w:type="dxa"/>
            <w:vAlign w:val="bottom"/>
            <w:tcBorders>
              <w:top w:val="single" w:sz="8" w:color="auto"/>
              <w:bottom w:val="single" w:sz="8" w:color="auto"/>
            </w:tcBorders>
          </w:tcPr>
          <w:p>
            <w:pPr>
              <w:spacing w:after="0"/>
              <w:rPr>
                <w:sz w:val="18"/>
                <w:szCs w:val="18"/>
                <w:color w:val="auto"/>
              </w:rPr>
            </w:pPr>
          </w:p>
        </w:tc>
      </w:tr>
      <w:tr>
        <w:trPr>
          <w:trHeight w:val="249"/>
        </w:trPr>
        <w:tc>
          <w:tcPr>
            <w:tcW w:w="46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78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 except for percentages)</w:t>
            </w:r>
          </w:p>
        </w:tc>
        <w:tc>
          <w:tcPr>
            <w:tcW w:w="840" w:type="dxa"/>
            <w:vAlign w:val="bottom"/>
          </w:tcPr>
          <w:p>
            <w:pPr>
              <w:spacing w:after="0"/>
              <w:rPr>
                <w:sz w:val="21"/>
                <w:szCs w:val="21"/>
                <w:color w:val="auto"/>
              </w:rPr>
            </w:pPr>
          </w:p>
        </w:tc>
      </w:tr>
      <w:tr>
        <w:trPr>
          <w:trHeight w:val="21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151,690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209,913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(58,223)</w:t>
            </w:r>
          </w:p>
        </w:tc>
        <w:tc>
          <w:tcPr>
            <w:tcW w:w="7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w:t>
            </w:r>
          </w:p>
        </w:tc>
      </w:tr>
      <w:tr>
        <w:trPr>
          <w:trHeight w:val="213"/>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10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9"/>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Changes in unrealized loss on cash flow hedges, net of income taxes</w:t>
            </w:r>
          </w:p>
        </w:tc>
        <w:tc>
          <w:tcPr>
            <w:tcW w:w="10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(5,376)</w:t>
            </w:r>
          </w:p>
        </w:tc>
        <w:tc>
          <w:tcPr>
            <w:tcW w:w="7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line="219" w:lineRule="exact"/>
              <w:rPr>
                <w:sz w:val="20"/>
                <w:szCs w:val="20"/>
                <w:color w:val="auto"/>
              </w:rPr>
            </w:pPr>
            <w:r>
              <w:rPr>
                <w:rFonts w:ascii="Times New Roman" w:cs="Times New Roman" w:eastAsia="Times New Roman" w:hAnsi="Times New Roman"/>
                <w:sz w:val="25"/>
                <w:szCs w:val="25"/>
                <w:color w:val="auto"/>
                <w:vertAlign w:val="subscript"/>
              </w:rPr>
              <w:t>NM</w:t>
            </w:r>
            <w:r>
              <w:rPr>
                <w:rFonts w:ascii="Times New Roman" w:cs="Times New Roman" w:eastAsia="Times New Roman" w:hAnsi="Times New Roman"/>
                <w:sz w:val="9"/>
                <w:szCs w:val="9"/>
                <w:color w:val="auto"/>
              </w:rPr>
              <w:t>(1)</w:t>
            </w:r>
          </w:p>
        </w:tc>
      </w:tr>
      <w:tr>
        <w:trPr>
          <w:trHeight w:val="210"/>
        </w:trPr>
        <w:tc>
          <w:tcPr>
            <w:tcW w:w="4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0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(5,475)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(5,376)</w:t>
            </w:r>
          </w:p>
        </w:tc>
        <w:tc>
          <w:tcPr>
            <w:tcW w:w="72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jc w:val="right"/>
              <w:spacing w:after="0" w:line="210" w:lineRule="exact"/>
              <w:rPr>
                <w:sz w:val="20"/>
                <w:szCs w:val="20"/>
                <w:color w:val="auto"/>
              </w:rPr>
            </w:pPr>
            <w:r>
              <w:rPr>
                <w:rFonts w:ascii="Times New Roman" w:cs="Times New Roman" w:eastAsia="Times New Roman" w:hAnsi="Times New Roman"/>
                <w:sz w:val="24"/>
                <w:szCs w:val="24"/>
                <w:color w:val="auto"/>
                <w:vertAlign w:val="subscript"/>
              </w:rPr>
              <w:t>NM</w:t>
            </w:r>
            <w:r>
              <w:rPr>
                <w:rFonts w:ascii="Times New Roman" w:cs="Times New Roman" w:eastAsia="Times New Roman" w:hAnsi="Times New Roman"/>
                <w:sz w:val="9"/>
                <w:szCs w:val="9"/>
                <w:color w:val="auto"/>
              </w:rPr>
              <w:t>(1)</w:t>
            </w:r>
          </w:p>
        </w:tc>
      </w:tr>
      <w:tr>
        <w:trPr>
          <w:trHeight w:val="234"/>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comprehensive income</w:t>
            </w: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146,215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209,814</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(63,599)</w:t>
            </w:r>
          </w:p>
        </w:tc>
        <w:tc>
          <w:tcPr>
            <w:tcW w:w="7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r>
    </w:tbl>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 Not meaningful</w:t>
      </w:r>
    </w:p>
    <w:p>
      <w:pPr>
        <w:spacing w:after="0" w:line="185"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The change in net income was attributable to the factors described in the above sections in addition to the $106.0 million payment received on behalf of Amedisys, under the terms of the Mutual Termination Agreement, net of merger-related expenses during the nine months ended September 30, 2023. There was no comparable activity during the nine months ended September 30, 2024.</w:t>
      </w:r>
    </w:p>
    <w:p>
      <w:pPr>
        <w:spacing w:after="0" w:line="135"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2024 and 2023, the change in unrealized loss on cash flow hedges, net of income taxes was related to the change in fair market value of the $300.0 million interest rate cap hedge executed in October 2021.</w:t>
      </w:r>
    </w:p>
    <w:p>
      <w:pPr>
        <w:spacing w:after="0" w:line="135"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Net comprehensive income decreased to $146.2 million for the nine months ended September 30, 2024, compared to net comprehensive income of $209.8 million for the nine months ended September 30, 2023, primarily as a result of the changes in net income discussed above as well as the change in the fair market value of the cash flow hedge.</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02" w:lineRule="exact"/>
        <w:rPr>
          <w:sz w:val="20"/>
          <w:szCs w:val="20"/>
          <w:color w:val="auto"/>
        </w:rPr>
      </w:pPr>
    </w:p>
    <w:p>
      <w:pPr>
        <w:ind w:right="120" w:firstLine="324"/>
        <w:spacing w:after="0" w:line="272" w:lineRule="auto"/>
        <w:rPr>
          <w:sz w:val="20"/>
          <w:szCs w:val="20"/>
          <w:color w:val="auto"/>
        </w:rPr>
      </w:pPr>
      <w:r>
        <w:rPr>
          <w:rFonts w:ascii="Times New Roman" w:cs="Times New Roman" w:eastAsia="Times New Roman" w:hAnsi="Times New Roman"/>
          <w:sz w:val="17"/>
          <w:szCs w:val="17"/>
          <w:color w:val="auto"/>
        </w:rPr>
        <w:t>For the nine months ended September 30, 2024 and the twelve months ended December 31, 2023, the Company’s primary sources of liquidity were cash and cash equivalents of $483.0 million and $343.8 million, respectively. As of September 30, 2024, the Company had $395.9 million of borrowings available under its credit facilities (net of $4.1 million undrawn letters of credit issued and outstanding). As of December 31, 2023, the Company had $394.7 million of borrowings available under its credit facilities (net of $5.3 million undrawn letters of credit issued and outstanding). During the nine months ended September 30, 2024, the Company’s cash flows from operations were impacted by the Change Healthcare Cybersecurity Incident. See the caption “Update on the Impact of the Change Healthcare Cybersecurity Incident” included in this Form 10-Q for further discussion. During the nine months ended September 30, 2023, the Company’s cash flows from operations enabled investments in pharmacy, infusion suites, and information technology infrastructure to support growth and create additional capacity in the future, as well as to pursue acquisitions and share repurchases.</w:t>
      </w:r>
    </w:p>
    <w:p>
      <w:pPr>
        <w:spacing w:after="0" w:line="131"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Company’s primary uses of cash and cash equivalents include supporting our ongoing business activities, investment in capital expenditures in both facilities and technology, the pursuit of acquisitions, and share repurchases. Ongoing operating cash outflows are associated with procuring and dispensing drugs, personnel and other costs associated with servicing patients, as well as paying cash interest on outstanding debt and cash taxes. Ongoing investing cash flows are primarily associated with capital projects related to business acquisitions, the improvement and maintenance of our pharmacy facilities and investment in our information technology systems. Ongoing financing cash flows are primarily associated with the quarterly principal payments on our outstanding debt, along with potential future share repurchases.</w:t>
      </w:r>
    </w:p>
    <w:p>
      <w:pPr>
        <w:spacing w:after="0" w:line="14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Our business strategy includes the deployment of capital to pursue acquisitions that complement our existing operations. We continue to evaluate acquisition opportunities and view acquisitions as a key part of our growth strategy. The Company historically has funded its acquisitions with cash and cash equivalents with the exception of the BioScrip merger. The Company may require additional capital in excess of current availability in order to complete future acquisitions. It is impossible to predict the amount of capital that may be required for acquisitions, and there is no assurance that sufficient financing for these activities will be available on acceptable terms.</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Short-Term and Long-Term Liquidity Requirements</w:t>
      </w:r>
    </w:p>
    <w:p>
      <w:pPr>
        <w:spacing w:after="0" w:line="18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The Company’s ability to make principal and interest payments on any borrowings under our credit facilities and our ability to fund planned capital expenditures will depend on our ability to generate cash and cash equivalents in the future, which to a certain extent, is subject to general economic, financial, competitive, regulatory and other conditions. Based on our current level of operations and planned capital expenditures, we believe that our existing cash and cash equivalents balances and expected cash flows generated from operations will be sufficient to meet our operating requirements over the next 12 months and beyond. We may require additional borrowings under our credit facilities and alternative forms of financings or investments to achieve our longer-term strategic plans.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8" w:right="4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Credit Facilities</w:t>
      </w:r>
    </w:p>
    <w:p>
      <w:pPr>
        <w:spacing w:after="0" w:line="202"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Company’s Revolver Facility provides for borrowings up to $400.0 million. The Revolver Facility matures on the date that is the earlier of (i) December 7, 2028 and (ii) the date that is 91 days prior to the stated maturity date applicable to any Term B Loans. Borrowings under the Revolver Facility will bear interest at a rate equal to, at the option of the Company, either (i) the Term SOFR applicable thereto plus the Applicable Rate or (ii) the then-applicable Base Rate plus the Applicable Rate, which Applicable Rate shall be, subject to certain caveats thereto, as follows (i) until delivery of financial statements and related Compliance Certificate for the first full fiscal quarter ending after the effective date of the Second Amendment, (A) for Term SOFR Loans, 1.75%, or (B) for Base Rate Loans, 0.75% and (ii) thereafter, the Applicable Rate for Term SOFR Loans and Base Rate Loans, based upon the Total Net Leverage Ratio as set forth in the most recent compliance certificate received by the Administrative Agent pursuant to the terms of the credit agreement. As of September 30, 2024, the Company had $4.1 million of undrawn letters of credit issued and outstanding, resulting in net borrowing availability under the Revolver Facility of $395.9 million.</w:t>
      </w:r>
    </w:p>
    <w:p>
      <w:pPr>
        <w:spacing w:after="0" w:line="148"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In May 2024, the Company entered into the Third Amendment on the First Lien Term Loan. The Third Amendment, among other things, (i) provides for an additional $50.0 million of incremental First Lien Term Loan indebtedness and (ii) reduces the interest rate on the First Lien Term Loan from Term SOFR (including a credit spread adjustment) plus 2.75% to Term SOFR plus 2.25% and removes the credit spread adjustment with respect to such First Lien Term Loan.</w:t>
      </w:r>
    </w:p>
    <w:p>
      <w:pPr>
        <w:spacing w:after="0" w:line="13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principal balance of the First Lien Term Loan is repayable in quarterly installments of $1.6 million plus interest, with a final payment of all remaining outstanding principal due on October 27, 2028. The quarterly principal payments commenced in March 2022. Under the Third Amendment, interest on the First Lien Term Loan is payable monthly on either (i) SOFR (with a floor of 0.50% per annum) plus an applicable margin of 2.25% for Term SOFR Loans (as such term is defined in the Third Amendment); or (ii) a base rate determined in accordance with the Third Amendment, plus 1.25% for Base Rate Loans (as such term is defined in the Third Amendment).</w:t>
      </w:r>
    </w:p>
    <w:p>
      <w:pPr>
        <w:spacing w:after="0" w:line="156"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Senior Notes bear interest at a rate of 4.375% per annum and are payable semi-annually in arrears on October 31 and April 30 of each year, which began on April 30, 2022. The Senior Notes mature on October 31, 2029.</w:t>
      </w:r>
    </w:p>
    <w:p>
      <w:pPr>
        <w:spacing w:after="0" w:line="121"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Interest payments over the course of long-term debt obligations total an estimated $305.1 million based on final maturity dates of the Company’s credit facilities. Interest payments are calculated based on current rates as of September 30, 2024. Actual payments are based on changes in SOFR and exclude the interest rate cap derivative instrument.</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2024 Compared to Nine Months Ended September 30, 2023</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selected data from Option Care Health’s unaudited condensed consolidated statements of cash flows: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40" w:type="dxa"/>
            <w:vAlign w:val="bottom"/>
          </w:tcPr>
          <w:p>
            <w:pPr>
              <w:spacing w:after="0"/>
              <w:rPr>
                <w:sz w:val="18"/>
                <w:szCs w:val="18"/>
                <w:color w:val="auto"/>
              </w:rPr>
            </w:pPr>
          </w:p>
        </w:tc>
        <w:tc>
          <w:tcPr>
            <w:tcW w:w="3740" w:type="dxa"/>
            <w:vAlign w:val="bottom"/>
            <w:gridSpan w:val="6"/>
          </w:tcPr>
          <w:p>
            <w:pPr>
              <w:ind w:left="60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1"/>
        </w:trPr>
        <w:tc>
          <w:tcPr>
            <w:tcW w:w="574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Variance</w:t>
            </w:r>
          </w:p>
        </w:tc>
      </w:tr>
      <w:tr>
        <w:trPr>
          <w:trHeight w:val="249"/>
        </w:trPr>
        <w:tc>
          <w:tcPr>
            <w:tcW w:w="57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2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1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287,270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320,326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center"/>
              <w:ind w:left="759"/>
              <w:spacing w:after="0"/>
              <w:rPr>
                <w:sz w:val="20"/>
                <w:szCs w:val="20"/>
                <w:color w:val="auto"/>
              </w:rPr>
            </w:pPr>
            <w:r>
              <w:rPr>
                <w:rFonts w:ascii="Times New Roman" w:cs="Times New Roman" w:eastAsia="Times New Roman" w:hAnsi="Times New Roman"/>
                <w:sz w:val="16"/>
                <w:szCs w:val="16"/>
                <w:color w:val="auto"/>
              </w:rPr>
              <w:t>(33,056)</w:t>
            </w:r>
          </w:p>
        </w:tc>
      </w:tr>
      <w:tr>
        <w:trPr>
          <w:trHeight w:val="213"/>
        </w:trPr>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(25,266)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(40,725)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center"/>
              <w:ind w:left="779"/>
              <w:spacing w:after="0"/>
              <w:rPr>
                <w:sz w:val="20"/>
                <w:szCs w:val="20"/>
                <w:color w:val="auto"/>
              </w:rPr>
            </w:pPr>
            <w:r>
              <w:rPr>
                <w:rFonts w:ascii="Times New Roman" w:cs="Times New Roman" w:eastAsia="Times New Roman" w:hAnsi="Times New Roman"/>
                <w:sz w:val="16"/>
                <w:szCs w:val="16"/>
                <w:color w:val="auto"/>
              </w:rPr>
              <w:t>15,459</w:t>
            </w:r>
          </w:p>
        </w:tc>
      </w:tr>
      <w:tr>
        <w:trPr>
          <w:trHeight w:val="21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0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(122,827)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(187,298)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center"/>
              <w:ind w:left="779"/>
              <w:spacing w:after="0"/>
              <w:rPr>
                <w:sz w:val="20"/>
                <w:szCs w:val="20"/>
                <w:color w:val="auto"/>
              </w:rPr>
            </w:pPr>
            <w:r>
              <w:rPr>
                <w:rFonts w:ascii="Times New Roman" w:cs="Times New Roman" w:eastAsia="Times New Roman" w:hAnsi="Times New Roman"/>
                <w:sz w:val="16"/>
                <w:szCs w:val="16"/>
                <w:color w:val="auto"/>
              </w:rPr>
              <w:t>64,471</w:t>
            </w:r>
          </w:p>
        </w:tc>
      </w:tr>
      <w:tr>
        <w:trPr>
          <w:trHeight w:val="207"/>
        </w:trPr>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in cash and cash equivalents</w:t>
            </w:r>
          </w:p>
        </w:tc>
        <w:tc>
          <w:tcPr>
            <w:tcW w:w="10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139,177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92,303</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tcPr>
          <w:p>
            <w:pPr>
              <w:jc w:val="center"/>
              <w:ind w:left="779"/>
              <w:spacing w:after="0"/>
              <w:rPr>
                <w:sz w:val="20"/>
                <w:szCs w:val="20"/>
                <w:color w:val="auto"/>
              </w:rPr>
            </w:pPr>
            <w:r>
              <w:rPr>
                <w:rFonts w:ascii="Times New Roman" w:cs="Times New Roman" w:eastAsia="Times New Roman" w:hAnsi="Times New Roman"/>
                <w:sz w:val="16"/>
                <w:szCs w:val="16"/>
                <w:color w:val="auto"/>
              </w:rPr>
              <w:t>46,874</w:t>
            </w:r>
          </w:p>
        </w:tc>
      </w:tr>
      <w:tr>
        <w:trPr>
          <w:trHeight w:val="216"/>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 beginning of period</w:t>
            </w:r>
          </w:p>
        </w:tc>
        <w:tc>
          <w:tcPr>
            <w:tcW w:w="10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343,849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294,186</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center"/>
              <w:ind w:left="779"/>
              <w:spacing w:after="0"/>
              <w:rPr>
                <w:sz w:val="20"/>
                <w:szCs w:val="20"/>
                <w:color w:val="auto"/>
              </w:rPr>
            </w:pPr>
            <w:r>
              <w:rPr>
                <w:rFonts w:ascii="Times New Roman" w:cs="Times New Roman" w:eastAsia="Times New Roman" w:hAnsi="Times New Roman"/>
                <w:sz w:val="16"/>
                <w:szCs w:val="16"/>
                <w:color w:val="auto"/>
              </w:rPr>
              <w:t>49,663</w:t>
            </w:r>
          </w:p>
        </w:tc>
      </w:tr>
      <w:tr>
        <w:trPr>
          <w:trHeight w:val="212"/>
        </w:trPr>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 end of period</w:t>
            </w:r>
          </w:p>
        </w:tc>
        <w:tc>
          <w:tcPr>
            <w:tcW w:w="1080" w:type="dxa"/>
            <w:vAlign w:val="bottom"/>
            <w:tcBorders>
              <w:bottom w:val="single" w:sz="8" w:color="auto"/>
            </w:tcBorders>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483,026</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386,489</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center"/>
              <w:ind w:left="779"/>
              <w:spacing w:after="0"/>
              <w:rPr>
                <w:sz w:val="20"/>
                <w:szCs w:val="20"/>
                <w:color w:val="auto"/>
              </w:rPr>
            </w:pPr>
            <w:r>
              <w:rPr>
                <w:rFonts w:ascii="Times New Roman" w:cs="Times New Roman" w:eastAsia="Times New Roman" w:hAnsi="Times New Roman"/>
                <w:sz w:val="16"/>
                <w:szCs w:val="16"/>
                <w:color w:val="auto"/>
              </w:rPr>
              <w:t>96,537</w:t>
            </w:r>
          </w:p>
        </w:tc>
      </w:tr>
      <w:tr>
        <w:trPr>
          <w:trHeight w:val="20"/>
        </w:trPr>
        <w:tc>
          <w:tcPr>
            <w:tcW w:w="57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202" w:lineRule="exact"/>
        <w:rPr>
          <w:sz w:val="20"/>
          <w:szCs w:val="20"/>
          <w:color w:val="auto"/>
        </w:rPr>
      </w:pPr>
    </w:p>
    <w:p>
      <w:pPr>
        <w:ind w:right="480" w:firstLine="324"/>
        <w:spacing w:after="0" w:line="261" w:lineRule="auto"/>
        <w:rPr>
          <w:sz w:val="20"/>
          <w:szCs w:val="20"/>
          <w:color w:val="auto"/>
        </w:rPr>
      </w:pPr>
      <w:r>
        <w:rPr>
          <w:rFonts w:ascii="Times New Roman" w:cs="Times New Roman" w:eastAsia="Times New Roman" w:hAnsi="Times New Roman"/>
          <w:sz w:val="18"/>
          <w:szCs w:val="18"/>
          <w:color w:val="auto"/>
        </w:rPr>
        <w:t>The decrease in cash provided in operating activities during the nine months ended September 30, 2024, as compared to the nine months ended September 30, 2023, was primarily due to the $106.0 million payment received on behalf of Amedisys, under the terms of the Mutual Termination Agreement, and changes in accounts receivable, accrued compensation and employee benefits, and changes in prepaid expenses, offset by changes in accounts payable.</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189"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 change in cash used in investing activities during the nine months ended September 30, 2023 was primarily due to prior year acquisition activity with no comparable activity within the nine months ended September 30, 2024.</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189" w:lineRule="exact"/>
        <w:rPr>
          <w:sz w:val="20"/>
          <w:szCs w:val="20"/>
          <w:color w:val="auto"/>
        </w:rPr>
      </w:pPr>
    </w:p>
    <w:p>
      <w:pPr>
        <w:ind w:right="440" w:firstLine="324"/>
        <w:spacing w:after="0" w:line="261" w:lineRule="auto"/>
        <w:rPr>
          <w:sz w:val="20"/>
          <w:szCs w:val="20"/>
          <w:color w:val="auto"/>
        </w:rPr>
      </w:pPr>
      <w:r>
        <w:rPr>
          <w:rFonts w:ascii="Times New Roman" w:cs="Times New Roman" w:eastAsia="Times New Roman" w:hAnsi="Times New Roman"/>
          <w:sz w:val="18"/>
          <w:szCs w:val="18"/>
          <w:color w:val="auto"/>
        </w:rPr>
        <w:t>The decrease in cash used in financing activities was primarily related to the Company’s debt refinancing in May 2024, in which $50.0 million in proceeds from issuance of debt was received, which partially offset $160.0 million in repurchase of common stock during the nine months ended September 30, 2024. The cash used in financing activities during the nine months ended September 30, 2023 was primarily related to the Company’s $175.0 million repurchase of common stock.</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02"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The Company prepares its unaudited condensed consolidated financial statements in accordance with GAAP, which requires the Company to make estimates and assumptions. The Company evaluates its estimates and assumptions on an ongoing basis. Estimates and assumptions are based on historical experience and on various other factors that are believed to be reasonable under the circumstances, the results of which form the basis for making assumptions about the carrying values of assets and liabilities at the date of the financial statements and the reported amounts of revenues and expenses for the period presented. The Company’s actual results may differ from these estimates, and different assumptions or conditions may yield different estimates.</w:t>
      </w:r>
    </w:p>
    <w:p>
      <w:pPr>
        <w:spacing w:after="0" w:line="143"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Company’s critical accounting policies and estimates as presented in our Form 10-K, which are hereby incorporated by reference.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There have been no material changes to our exposure to market risk from those included in our Form 10-K, which is hereby incorporated by reference.</w:t>
      </w:r>
    </w:p>
    <w:p>
      <w:pPr>
        <w:spacing w:after="0" w:line="192"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02"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Company maintains disclosure controls and procedures (as such term is defined under Rule 13a-15(e) promulgated under the Exchange Act) that are designed to ensure that information required to be disclosed by the Company in the reports we file or submit under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 Under the supervision and with the participation of the Company’s management, including its Chief Executive Officer and Chief Financial Officer, management evaluated the effectiveness of the Company’s disclosure controls and procedures as of September 30, 2024. Based on that evaluation, the Company’s Chief Executive Officer and its Chief Financial Officer concluded that our disclosure controls and procedures were effective as of September 30, 2024.</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Controls over Financial Reporting</w:t>
      </w:r>
    </w:p>
    <w:p>
      <w:pPr>
        <w:spacing w:after="0" w:line="189"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three months ended September 30, 2024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176"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i w:val="1"/>
          <w:iCs w:val="1"/>
          <w:color w:val="auto"/>
        </w:rPr>
        <w:t>Legal Proceedings</w:t>
      </w:r>
    </w:p>
    <w:p>
      <w:pPr>
        <w:spacing w:after="0" w:line="187" w:lineRule="exact"/>
        <w:rPr>
          <w:sz w:val="20"/>
          <w:szCs w:val="20"/>
          <w:color w:val="auto"/>
        </w:rPr>
      </w:pPr>
    </w:p>
    <w:p>
      <w:pPr>
        <w:ind w:right="120" w:firstLine="324"/>
        <w:spacing w:after="0" w:line="284" w:lineRule="auto"/>
        <w:rPr>
          <w:sz w:val="20"/>
          <w:szCs w:val="20"/>
          <w:color w:val="auto"/>
        </w:rPr>
      </w:pPr>
      <w:r>
        <w:rPr>
          <w:rFonts w:ascii="Times New Roman" w:cs="Times New Roman" w:eastAsia="Times New Roman" w:hAnsi="Times New Roman"/>
          <w:sz w:val="18"/>
          <w:szCs w:val="18"/>
          <w:color w:val="auto"/>
        </w:rPr>
        <w:t xml:space="preserve">For a summary of legal proceedings, refer to Note 12,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of the unaudited condensed consolidated financial statements included in Item 1 of this Form 10-Q.</w:t>
      </w:r>
    </w:p>
    <w:p>
      <w:pPr>
        <w:spacing w:after="0" w:line="11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i w:val="1"/>
          <w:iCs w:val="1"/>
          <w:color w:val="auto"/>
        </w:rPr>
        <w:t>Risk Factors</w:t>
      </w:r>
    </w:p>
    <w:p>
      <w:pPr>
        <w:spacing w:after="0" w:line="202"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the risk factors affecting our business, financial condition or results of operations from those set forth in Part I, Item 1A. “Risk Factors” in our Form 10-K. Additional risks and uncertainties not currently known to us or that we currently deem to be immaterial may also materially adversely affect our business, financial condition and/or operating results, except for the updated risk factors below:</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Delays in reimbursement may adversely affect our liquidity, cash flows and results of operations.</w:t>
      </w:r>
    </w:p>
    <w:p>
      <w:pPr>
        <w:spacing w:after="0" w:line="189"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The reimbursement process for the services we provide is complex, resulting in delays between the time we bill for a service and receipt of payment that can be significant. Reimbursement and procedural issues often require us to resubmit claims multiple times and respond to multiple administrative requests before payment is remitted. The collection of accounts receivable is challenging and requires constant focus and involvement by management and ongoing enhancements to information systems and billing center operating procedures. While management believes that our controls and processes are satisfactory, there can be no assurance that collections of accounts receivable will continue at historical rates. The risks associated with third-party payers and the inability to collect outstanding accounts receivable could have a material adverse effect on our liquidity, cash flows, and results of operations. For example, in the first quarter of 2024, Change Healthcare, a subsidiary of UnitedHealth Group, experienced a cybersecurity incident that disrupted its operations, causing us to disconnect from certain Change Healthcare applications until the end of the quarter, preventing us from processing claims for services and reducing our cash flows from operations in the first quarter of 2024. The majority of previously unprocessed claims were recognized in the second quarter of 2024 and we continued to experience delays in certain patient payment obligations through the third quarter of 2024.</w:t>
      </w:r>
    </w:p>
    <w:p>
      <w:pPr>
        <w:spacing w:after="0" w:line="163" w:lineRule="exact"/>
        <w:rPr>
          <w:sz w:val="20"/>
          <w:szCs w:val="20"/>
          <w:color w:val="auto"/>
        </w:rPr>
      </w:pPr>
    </w:p>
    <w:p>
      <w:pPr>
        <w:ind w:right="10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our relationships with pharmaceutical suppliers, including changes in drug availability or pricing, could adversely affect our business and financial results.</w:t>
      </w:r>
    </w:p>
    <w:p>
      <w:pPr>
        <w:spacing w:after="0" w:line="118" w:lineRule="exact"/>
        <w:rPr>
          <w:sz w:val="20"/>
          <w:szCs w:val="20"/>
          <w:color w:val="auto"/>
        </w:rPr>
      </w:pPr>
    </w:p>
    <w:p>
      <w:pPr>
        <w:ind w:right="160" w:firstLine="324"/>
        <w:spacing w:after="0" w:line="255" w:lineRule="auto"/>
        <w:rPr>
          <w:sz w:val="20"/>
          <w:szCs w:val="20"/>
          <w:color w:val="auto"/>
        </w:rPr>
      </w:pPr>
      <w:r>
        <w:rPr>
          <w:rFonts w:ascii="Times New Roman" w:cs="Times New Roman" w:eastAsia="Times New Roman" w:hAnsi="Times New Roman"/>
          <w:sz w:val="18"/>
          <w:szCs w:val="18"/>
          <w:color w:val="auto"/>
        </w:rPr>
        <w:t>We have contractual relationships with pharmaceutical manufacturers to purchase the pharmaceuticals that we dispense. In order to have access to these pharmaceuticals, and to be able to participate in the launch of new pharmaceuticals, we must maintain a good working relationship with these manufacturers. Most of the manufacturers of the pharmaceuticals we sell have the right to cancel their supply contracts with us without cause and after giving only minimal notice. Any changes to these relationships, including, but not limited to, the loss of a manufacturer relationship, drug shortages, or changes in pricing, could have an adverse effect on our business and financial results. For example, in October 2024, the Company received notice of a manufacturer’s intention to significantly reduce the spread at which the Company procures a certain therapy relative to drug reference prices beginning in early 2025, which is expected to negatively impact gross margins in 2025.</w:t>
      </w:r>
    </w:p>
    <w:p>
      <w:pPr>
        <w:spacing w:after="0" w:line="148"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Some pharmaceutical manufacturers attempt to limit the number of preferred distributors that may market certain of their pharmaceutical products. We cannot provide assurance that we will be selected and retained as a preferred distributor or that we can remain a preferred distributor to market these products. Although we believe we can effectively meet our suppliers’ requirements, we cannot provide assurance that we will be able to compete effectively with other providers to retain our position as a distributor of each of our core products. Our failure to retain our position as a distributor of each of our core products could have a material adverse effect on our financial condition and results of operations.</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Federal actions and legislation may reduce reimbursement rates from governmental payers and adversely affect our results of operations.</w:t>
      </w:r>
    </w:p>
    <w:p>
      <w:pPr>
        <w:spacing w:after="0" w:line="18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recent years, Congress has passed legislation reducing payments to healthcare providers. The Budget Control Act of 2011, as amended, requires automatic spending reductions to reduce the federal deficit, including Medicare spending reductions of up to 2% per fiscal year that extend through 2027. The Center for Medicare &amp; Medicaid Services (“CMS”) began imposing a 2% reduction on Medicare claims on April 1, 2013. The Affordable Care Act provides for material reductions in the growth of Medicare program spending. The 21st Century Cures Act (the “Cures Act”) significantly reduced the amount paid by Medicare for drug costs, while delaying the implementation of a clinical services payment, although Congress also passed a temporary transitional service payment that took effect January 1, 2019. In addition, from time to time, CMS revises the reimbursement systems used to reimburse healthcare providers, which may result in reduced Medicare payments. In addition, in August 2024, CMS announced the results of its negotiation with pharmaceutical manufacturers with respect to the inaugural 10 drugs covered under Medicare Part D for which CMS conducted drug price negotiations under the Inflation Reduction Act of 2022 (the “IRA”). CMS negotiated a 66% discount, applicable beginning in 2026, from the 2023 list price with the manufacturer on a certain drug within the Company’s portfolio of therapies, and the manufacturer notified us in October 2024 that it intends to significantly reduce the spread at which we procure this therapy relative to drug reference prices beginning in early 2025. The results of price negotiations between CMS and drug manufacturers pursuant to the IRA with respect to therapies that the Company dispenses is expected to negatively impact our results of operations.</w:t>
      </w:r>
    </w:p>
    <w:p>
      <w:pPr>
        <w:spacing w:after="0" w:line="365"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2023, 12% of our revenue was derived from reimbursement by direct federal and state programs such as Medicare and Medicaid. Reimbursement from these and other government programs is subject to statutory and regulatory requirements, administrative rulings, interpretations of policy, implementation of reimbursement procedures, retroactive payment adjustments, governmental funding restrictions and changes to or new legislation, all of which may materially affect the amount and timing of reimbursement payments to us. Changes to the way Medicare pays for our services, including mandatory payment reductions, such as sequestration, may reduce our revenue and profitability on services provided to Medicare patients and increase our working capital requirements. In addition, we are sensitive to possible changes in state Medicaid programs.</w:t>
      </w:r>
    </w:p>
    <w:p>
      <w:pPr>
        <w:spacing w:after="0" w:line="160"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Because most states must operate with balanced budgets and because the Medicaid program is often a state’s largest program, some states have enacted or may consider enacting legislation designed to reduce their Medicaid expenditures. Further, many states have taken steps to reduce coverage and/or enroll Medicaid recipients in managed care programs. The current economic environment has increased the budgetary pressures on many states, and these budgetary pressures have resulted, and likely will continue to result, in decreased spending, or decreased spending growth, for Medicaid programs and the Children’s Health Insurance Program in many states.</w:t>
      </w:r>
    </w:p>
    <w:p>
      <w:pPr>
        <w:sectPr>
          <w:pgSz w:w="11900" w:h="16838" w:orient="portrait"/>
          <w:cols w:equalWidth="0" w:num="1">
            <w:col w:w="11240"/>
          </w:cols>
          <w:pgMar w:left="320" w:top="118" w:right="339" w:bottom="82" w:gutter="0" w:footer="0" w:header="0"/>
        </w:sectPr>
      </w:pPr>
    </w:p>
    <w:bookmarkStart w:id="34" w:name="page35"/>
    <w:bookmarkEnd w:id="34"/>
    <w:p>
      <w:pPr>
        <w:ind w:firstLine="324"/>
        <w:spacing w:after="0" w:line="258" w:lineRule="auto"/>
        <w:rPr>
          <w:sz w:val="20"/>
          <w:szCs w:val="20"/>
          <w:color w:val="auto"/>
        </w:rPr>
      </w:pPr>
      <w:r>
        <w:rPr>
          <w:rFonts w:ascii="Times New Roman" w:cs="Times New Roman" w:eastAsia="Times New Roman" w:hAnsi="Times New Roman"/>
          <w:sz w:val="18"/>
          <w:szCs w:val="18"/>
          <w:color w:val="auto"/>
        </w:rPr>
        <w:t>In some cases, Third-Party Payers rely on all or portions of Medicare payment systems to determine payment rates. Changes to government healthcare programs that reduce payments under these programs may negatively impact payments from Third-Party Payers. Current or future healthcare reform and deficit reduction efforts, changes in other laws or regulations affecting government healthcare programs, changes in the administration of government healthcare programs and changes in payment rates by Third-Party Payers could have a material, adverse effect on our financial position and results of operations.</w:t>
      </w:r>
    </w:p>
    <w:p>
      <w:pPr>
        <w:spacing w:after="0" w:line="1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 disruption in pharmaceutical and medical supply could adversely impact our business.</w:t>
      </w:r>
    </w:p>
    <w:p>
      <w:pPr>
        <w:spacing w:after="0" w:line="202"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For the year ended December 31, 2023, approximately 72% of our pharmaceutical and medical supply purchases were from four vendors. Most of the pharmaceuticals that we purchase are available from multiple sources, and we believe they are available in sufficient quantities to meet our needs and the needs of our patients. We keep safety stock to ensure continuity of service for reasonable, but limited, periods of time. Should a supply disruption result in our inability to obtain especially high margin drugs and compound components necessary for patient care, our consolidated financial statements could be negatively impacted. For example, Hurricane Helene caused significant damage late in the third quarter of 2024 to a certain manufacturer’s plant that produces intravenous solution bags that are used by the Company, which may impact our ability to service existing and onboard new patients. This disruption is expected to negatively impact our revenue and gross profit results until the supply situation improves.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Unregistered Sales of Equity Securities and Use of Proceeds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89"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 Company’s Board of Directors approved a share repurchase program of up to an aggregate $500 million of common stock of the Company. This program has no specified expiration date.</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certain information with respect to the Company’s repurchases of common stock from July 1, 2024 through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Total Number of Shares</w:t>
            </w:r>
          </w:p>
        </w:tc>
        <w:tc>
          <w:tcPr>
            <w:tcW w:w="100" w:type="dxa"/>
            <w:vAlign w:val="bottom"/>
          </w:tcPr>
          <w:p>
            <w:pPr>
              <w:spacing w:after="0"/>
              <w:rPr>
                <w:sz w:val="16"/>
                <w:szCs w:val="16"/>
                <w:color w:val="auto"/>
              </w:rPr>
            </w:pPr>
          </w:p>
        </w:tc>
        <w:tc>
          <w:tcPr>
            <w:tcW w:w="166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Approximate Dollar</w:t>
            </w:r>
          </w:p>
        </w:tc>
        <w:tc>
          <w:tcPr>
            <w:tcW w:w="0" w:type="dxa"/>
            <w:vAlign w:val="bottom"/>
          </w:tcPr>
          <w:p>
            <w:pPr>
              <w:spacing w:after="0"/>
              <w:rPr>
                <w:sz w:val="1"/>
                <w:szCs w:val="1"/>
                <w:color w:val="auto"/>
              </w:rPr>
            </w:pPr>
          </w:p>
        </w:tc>
      </w:tr>
      <w:tr>
        <w:trPr>
          <w:trHeight w:val="162"/>
        </w:trPr>
        <w:tc>
          <w:tcPr>
            <w:tcW w:w="3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jc w:val="center"/>
              <w:ind w:right="19"/>
              <w:spacing w:after="0" w:line="162" w:lineRule="exact"/>
              <w:rPr>
                <w:sz w:val="20"/>
                <w:szCs w:val="20"/>
                <w:color w:val="auto"/>
              </w:rPr>
            </w:pPr>
            <w:r>
              <w:rPr>
                <w:rFonts w:ascii="Times New Roman" w:cs="Times New Roman" w:eastAsia="Times New Roman" w:hAnsi="Times New Roman"/>
                <w:sz w:val="16"/>
                <w:szCs w:val="16"/>
                <w:b w:val="1"/>
                <w:bCs w:val="1"/>
                <w:color w:val="auto"/>
                <w:w w:val="99"/>
              </w:rPr>
              <w:t>Value of Shares That</w:t>
            </w:r>
          </w:p>
        </w:tc>
        <w:tc>
          <w:tcPr>
            <w:tcW w:w="0" w:type="dxa"/>
            <w:vAlign w:val="bottom"/>
          </w:tcPr>
          <w:p>
            <w:pPr>
              <w:spacing w:after="0"/>
              <w:rPr>
                <w:sz w:val="1"/>
                <w:szCs w:val="1"/>
                <w:color w:val="auto"/>
              </w:rPr>
            </w:pPr>
          </w:p>
        </w:tc>
      </w:tr>
      <w:tr>
        <w:trPr>
          <w:trHeight w:val="162"/>
        </w:trPr>
        <w:tc>
          <w:tcPr>
            <w:tcW w:w="3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Total Number of Shares</w:t>
            </w:r>
          </w:p>
        </w:tc>
        <w:tc>
          <w:tcPr>
            <w:tcW w:w="184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Average Price Paid per</w:t>
            </w:r>
          </w:p>
        </w:tc>
        <w:tc>
          <w:tcPr>
            <w:tcW w:w="186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Purchased as Part of</w:t>
            </w:r>
          </w:p>
        </w:tc>
        <w:tc>
          <w:tcPr>
            <w:tcW w:w="100" w:type="dxa"/>
            <w:vAlign w:val="bottom"/>
          </w:tcPr>
          <w:p>
            <w:pPr>
              <w:spacing w:after="0"/>
              <w:rPr>
                <w:sz w:val="14"/>
                <w:szCs w:val="14"/>
                <w:color w:val="auto"/>
              </w:rPr>
            </w:pPr>
          </w:p>
        </w:tc>
        <w:tc>
          <w:tcPr>
            <w:tcW w:w="1660" w:type="dxa"/>
            <w:vAlign w:val="bottom"/>
          </w:tcPr>
          <w:p>
            <w:pPr>
              <w:jc w:val="center"/>
              <w:ind w:right="19"/>
              <w:spacing w:after="0" w:line="162" w:lineRule="exact"/>
              <w:rPr>
                <w:sz w:val="20"/>
                <w:szCs w:val="20"/>
                <w:color w:val="auto"/>
              </w:rPr>
            </w:pPr>
            <w:r>
              <w:rPr>
                <w:rFonts w:ascii="Times New Roman" w:cs="Times New Roman" w:eastAsia="Times New Roman" w:hAnsi="Times New Roman"/>
                <w:sz w:val="16"/>
                <w:szCs w:val="16"/>
                <w:b w:val="1"/>
                <w:bCs w:val="1"/>
                <w:color w:val="auto"/>
                <w:w w:val="99"/>
              </w:rPr>
              <w:t>May Yet Be Purchased</w:t>
            </w:r>
          </w:p>
        </w:tc>
        <w:tc>
          <w:tcPr>
            <w:tcW w:w="0" w:type="dxa"/>
            <w:vAlign w:val="bottom"/>
          </w:tcPr>
          <w:p>
            <w:pPr>
              <w:spacing w:after="0"/>
              <w:rPr>
                <w:sz w:val="1"/>
                <w:szCs w:val="1"/>
                <w:color w:val="auto"/>
              </w:rPr>
            </w:pPr>
          </w:p>
        </w:tc>
      </w:tr>
      <w:tr>
        <w:trPr>
          <w:trHeight w:val="162"/>
        </w:trPr>
        <w:tc>
          <w:tcPr>
            <w:tcW w:w="3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860" w:type="dxa"/>
            <w:vAlign w:val="bottom"/>
            <w:gridSpan w:val="2"/>
            <w:vMerge w:val="continue"/>
          </w:tcPr>
          <w:p>
            <w:pPr>
              <w:spacing w:after="0"/>
              <w:rPr>
                <w:sz w:val="14"/>
                <w:szCs w:val="14"/>
                <w:color w:val="auto"/>
              </w:rPr>
            </w:pPr>
          </w:p>
        </w:tc>
        <w:tc>
          <w:tcPr>
            <w:tcW w:w="1840" w:type="dxa"/>
            <w:vAlign w:val="bottom"/>
            <w:gridSpan w:val="3"/>
            <w:vMerge w:val="continue"/>
          </w:tcPr>
          <w:p>
            <w:pPr>
              <w:spacing w:after="0"/>
              <w:rPr>
                <w:sz w:val="14"/>
                <w:szCs w:val="14"/>
                <w:color w:val="auto"/>
              </w:rPr>
            </w:pPr>
          </w:p>
        </w:tc>
        <w:tc>
          <w:tcPr>
            <w:tcW w:w="186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Publicly Announced</w:t>
            </w:r>
          </w:p>
        </w:tc>
        <w:tc>
          <w:tcPr>
            <w:tcW w:w="100" w:type="dxa"/>
            <w:vAlign w:val="bottom"/>
          </w:tcPr>
          <w:p>
            <w:pPr>
              <w:spacing w:after="0"/>
              <w:rPr>
                <w:sz w:val="14"/>
                <w:szCs w:val="14"/>
                <w:color w:val="auto"/>
              </w:rPr>
            </w:pPr>
          </w:p>
        </w:tc>
        <w:tc>
          <w:tcPr>
            <w:tcW w:w="1660" w:type="dxa"/>
            <w:vAlign w:val="bottom"/>
          </w:tcPr>
          <w:p>
            <w:pPr>
              <w:jc w:val="center"/>
              <w:ind w:right="19"/>
              <w:spacing w:after="0" w:line="162" w:lineRule="exact"/>
              <w:rPr>
                <w:sz w:val="20"/>
                <w:szCs w:val="20"/>
                <w:color w:val="auto"/>
              </w:rPr>
            </w:pPr>
            <w:r>
              <w:rPr>
                <w:rFonts w:ascii="Times New Roman" w:cs="Times New Roman" w:eastAsia="Times New Roman" w:hAnsi="Times New Roman"/>
                <w:sz w:val="16"/>
                <w:szCs w:val="16"/>
                <w:b w:val="1"/>
                <w:bCs w:val="1"/>
                <w:color w:val="auto"/>
              </w:rPr>
              <w:t>Under the Plans or</w:t>
            </w:r>
          </w:p>
        </w:tc>
        <w:tc>
          <w:tcPr>
            <w:tcW w:w="0" w:type="dxa"/>
            <w:vAlign w:val="bottom"/>
          </w:tcPr>
          <w:p>
            <w:pPr>
              <w:spacing w:after="0"/>
              <w:rPr>
                <w:sz w:val="1"/>
                <w:szCs w:val="1"/>
                <w:color w:val="auto"/>
              </w:rPr>
            </w:pPr>
          </w:p>
        </w:tc>
      </w:tr>
      <w:tr>
        <w:trPr>
          <w:trHeight w:val="214"/>
        </w:trPr>
        <w:tc>
          <w:tcPr>
            <w:tcW w:w="3920" w:type="dxa"/>
            <w:vAlign w:val="bottom"/>
            <w:gridSpan w:val="2"/>
            <w:vMerge w:val="continue"/>
          </w:tcPr>
          <w:p>
            <w:pPr>
              <w:spacing w:after="0"/>
              <w:rPr>
                <w:sz w:val="18"/>
                <w:szCs w:val="18"/>
                <w:color w:val="auto"/>
              </w:rPr>
            </w:pP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Purchased</w:t>
            </w:r>
          </w:p>
        </w:tc>
        <w:tc>
          <w:tcPr>
            <w:tcW w:w="380" w:type="dxa"/>
            <w:vAlign w:val="bottom"/>
          </w:tcPr>
          <w:p>
            <w:pPr>
              <w:spacing w:after="0"/>
              <w:rPr>
                <w:sz w:val="18"/>
                <w:szCs w:val="18"/>
                <w:color w:val="auto"/>
              </w:rPr>
            </w:pPr>
          </w:p>
        </w:tc>
        <w:tc>
          <w:tcPr>
            <w:tcW w:w="146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Share</w:t>
            </w:r>
          </w:p>
        </w:tc>
        <w:tc>
          <w:tcPr>
            <w:tcW w:w="18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Plans or Programs</w:t>
            </w:r>
          </w:p>
        </w:tc>
        <w:tc>
          <w:tcPr>
            <w:tcW w:w="100" w:type="dxa"/>
            <w:vAlign w:val="bottom"/>
          </w:tcPr>
          <w:p>
            <w:pPr>
              <w:spacing w:after="0"/>
              <w:rPr>
                <w:sz w:val="18"/>
                <w:szCs w:val="18"/>
                <w:color w:val="auto"/>
              </w:rPr>
            </w:pPr>
          </w:p>
        </w:tc>
        <w:tc>
          <w:tcPr>
            <w:tcW w:w="166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Programs</w:t>
            </w:r>
          </w:p>
        </w:tc>
        <w:tc>
          <w:tcPr>
            <w:tcW w:w="0" w:type="dxa"/>
            <w:vAlign w:val="bottom"/>
          </w:tcPr>
          <w:p>
            <w:pPr>
              <w:spacing w:after="0"/>
              <w:rPr>
                <w:sz w:val="1"/>
                <w:szCs w:val="1"/>
                <w:color w:val="auto"/>
              </w:rPr>
            </w:pPr>
          </w:p>
        </w:tc>
      </w:tr>
      <w:tr>
        <w:trPr>
          <w:trHeight w:val="211"/>
        </w:trPr>
        <w:tc>
          <w:tcPr>
            <w:tcW w:w="3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July 1, 2024 - July 31, 2024</w:t>
            </w:r>
          </w:p>
        </w:tc>
        <w:tc>
          <w:tcPr>
            <w:tcW w:w="10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433,841</w:t>
            </w: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27.54</w:t>
            </w:r>
          </w:p>
        </w:tc>
        <w:tc>
          <w:tcPr>
            <w:tcW w:w="10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433,841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120,000,179</w:t>
            </w:r>
          </w:p>
        </w:tc>
        <w:tc>
          <w:tcPr>
            <w:tcW w:w="0" w:type="dxa"/>
            <w:vAlign w:val="bottom"/>
          </w:tcPr>
          <w:p>
            <w:pPr>
              <w:spacing w:after="0"/>
              <w:rPr>
                <w:sz w:val="1"/>
                <w:szCs w:val="1"/>
                <w:color w:val="auto"/>
              </w:rPr>
            </w:pPr>
          </w:p>
        </w:tc>
      </w:tr>
      <w:tr>
        <w:trPr>
          <w:trHeight w:val="213"/>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August 1, 2024 - August 31, 2024</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771,471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30.73</w:t>
            </w:r>
          </w:p>
        </w:tc>
        <w:tc>
          <w:tcPr>
            <w:tcW w:w="1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771,471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96,295,151</w:t>
            </w:r>
          </w:p>
        </w:tc>
        <w:tc>
          <w:tcPr>
            <w:tcW w:w="0" w:type="dxa"/>
            <w:vAlign w:val="bottom"/>
          </w:tcPr>
          <w:p>
            <w:pPr>
              <w:spacing w:after="0"/>
              <w:rPr>
                <w:sz w:val="1"/>
                <w:szCs w:val="1"/>
                <w:color w:val="auto"/>
              </w:rPr>
            </w:pPr>
          </w:p>
        </w:tc>
      </w:tr>
      <w:tr>
        <w:trPr>
          <w:trHeight w:val="219"/>
        </w:trPr>
        <w:tc>
          <w:tcPr>
            <w:tcW w:w="3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September 1, 2024 - September 30, 2024</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194,362</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32.37</w:t>
            </w:r>
          </w:p>
        </w:tc>
        <w:tc>
          <w:tcPr>
            <w:tcW w:w="100" w:type="dxa"/>
            <w:vAlign w:val="bottom"/>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194,362</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90,004,547</w:t>
            </w:r>
          </w:p>
        </w:tc>
        <w:tc>
          <w:tcPr>
            <w:tcW w:w="0" w:type="dxa"/>
            <w:vAlign w:val="bottom"/>
          </w:tcPr>
          <w:p>
            <w:pPr>
              <w:spacing w:after="0"/>
              <w:rPr>
                <w:sz w:val="1"/>
                <w:szCs w:val="1"/>
                <w:color w:val="auto"/>
              </w:rPr>
            </w:pPr>
          </w:p>
        </w:tc>
      </w:tr>
      <w:tr>
        <w:trPr>
          <w:trHeight w:val="204"/>
        </w:trPr>
        <w:tc>
          <w:tcPr>
            <w:tcW w:w="3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1,399,674</w:t>
            </w:r>
          </w:p>
        </w:tc>
        <w:tc>
          <w:tcPr>
            <w:tcW w:w="120" w:type="dxa"/>
            <w:vAlign w:val="bottom"/>
          </w:tcPr>
          <w:p>
            <w:pPr>
              <w:spacing w:after="0"/>
              <w:rPr>
                <w:sz w:val="17"/>
                <w:szCs w:val="17"/>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29.97</w:t>
            </w:r>
          </w:p>
        </w:tc>
        <w:tc>
          <w:tcPr>
            <w:tcW w:w="10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1,399,674</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90,004,547</w:t>
            </w:r>
          </w:p>
        </w:tc>
        <w:tc>
          <w:tcPr>
            <w:tcW w:w="0" w:type="dxa"/>
            <w:vAlign w:val="bottom"/>
          </w:tcPr>
          <w:p>
            <w:pPr>
              <w:spacing w:after="0"/>
              <w:rPr>
                <w:sz w:val="1"/>
                <w:szCs w:val="1"/>
                <w:color w:val="auto"/>
              </w:rPr>
            </w:pPr>
          </w:p>
        </w:tc>
      </w:tr>
    </w:tbl>
    <w:p>
      <w:pPr>
        <w:spacing w:after="0" w:line="25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i w:val="1"/>
          <w:iCs w:val="1"/>
          <w:color w:val="auto"/>
        </w:rPr>
        <w:t>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Adoption, Modification and Termination of Rule 10b5-1 Plans and Certain Other Trading Arrangements</w:t>
      </w:r>
    </w:p>
    <w:p>
      <w:pPr>
        <w:spacing w:after="0" w:line="189"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No director or officer of the Company has adopted, modified or terminated a Rule 10b5-1 plan or non-Rule 10b5-1 trading arrangement during the three months ended September 30, 2024.</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i w:val="1"/>
          <w:iCs w:val="1"/>
          <w:color w:val="auto"/>
        </w:rPr>
        <w:t>Exhibits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Exhibits.</w:t>
      </w:r>
    </w:p>
    <w:p>
      <w:pPr>
        <w:spacing w:after="0" w:line="228"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1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Exhibit Number</w:t>
            </w:r>
          </w:p>
        </w:tc>
        <w:tc>
          <w:tcPr>
            <w:tcW w:w="9720" w:type="dxa"/>
            <w:vAlign w:val="bottom"/>
            <w:tcBorders>
              <w:bottom w:val="single" w:sz="8" w:color="auto"/>
            </w:tcBorders>
            <w:gridSpan w:val="6"/>
          </w:tcPr>
          <w:p>
            <w:pPr>
              <w:ind w:left="446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23"/>
        </w:trPr>
        <w:tc>
          <w:tcPr>
            <w:tcW w:w="1480" w:type="dxa"/>
            <w:vAlign w:val="bottom"/>
            <w:tcBorders>
              <w:bottom w:val="single" w:sz="8" w:color="auto"/>
            </w:tcBorders>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182"/>
        </w:trPr>
        <w:tc>
          <w:tcPr>
            <w:tcW w:w="148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rPr>
              <w:t>3.1</w:t>
            </w:r>
          </w:p>
        </w:tc>
        <w:tc>
          <w:tcPr>
            <w:tcW w:w="9720" w:type="dxa"/>
            <w:vAlign w:val="bottom"/>
            <w:gridSpan w:val="6"/>
          </w:tcPr>
          <w:p>
            <w:pPr>
              <w:spacing w:after="0" w:line="183" w:lineRule="exact"/>
              <w:rPr>
                <w:rFonts w:ascii="Times New Roman" w:cs="Times New Roman" w:eastAsia="Times New Roman" w:hAnsi="Times New Roman"/>
                <w:sz w:val="16"/>
                <w:szCs w:val="16"/>
                <w:color w:val="0000FF"/>
              </w:rPr>
            </w:pPr>
            <w:hyperlink r:id="rId46">
              <w:r>
                <w:rPr>
                  <w:rFonts w:ascii="Times New Roman" w:cs="Times New Roman" w:eastAsia="Times New Roman" w:hAnsi="Times New Roman"/>
                  <w:sz w:val="16"/>
                  <w:szCs w:val="16"/>
                  <w:color w:val="0000FF"/>
                </w:rPr>
                <w:t>Fifth Amended and Restated By-Laws of Option Care Health, Inc., effective as of September 5, 2024 (incorporated by reference to Exhibit 3.1 to the</w:t>
              </w:r>
            </w:hyperlink>
          </w:p>
        </w:tc>
      </w:tr>
      <w:tr>
        <w:trPr>
          <w:trHeight w:val="169"/>
        </w:trPr>
        <w:tc>
          <w:tcPr>
            <w:tcW w:w="1480" w:type="dxa"/>
            <w:vAlign w:val="bottom"/>
          </w:tcPr>
          <w:p>
            <w:pPr>
              <w:spacing w:after="0"/>
              <w:rPr>
                <w:sz w:val="14"/>
                <w:szCs w:val="14"/>
                <w:color w:val="auto"/>
              </w:rPr>
            </w:pPr>
          </w:p>
        </w:tc>
        <w:tc>
          <w:tcPr>
            <w:tcW w:w="454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6"/>
                <w:szCs w:val="16"/>
                <w:color w:val="0000FF"/>
              </w:rPr>
            </w:pPr>
            <w:hyperlink r:id="rId46">
              <w:r>
                <w:rPr>
                  <w:rFonts w:ascii="Times New Roman" w:cs="Times New Roman" w:eastAsia="Times New Roman" w:hAnsi="Times New Roman"/>
                  <w:sz w:val="16"/>
                  <w:szCs w:val="16"/>
                  <w:color w:val="0000FF"/>
                </w:rPr>
                <w:t>Company’s Current Report on Form 8-K filed on September 6, 2024).</w:t>
              </w:r>
            </w:hyperlink>
          </w:p>
        </w:tc>
        <w:tc>
          <w:tcPr>
            <w:tcW w:w="5100" w:type="dxa"/>
            <w:vAlign w:val="bottom"/>
            <w:tcBorders>
              <w:top w:val="single" w:sz="8" w:color="0000FF"/>
            </w:tcBorders>
            <w:gridSpan w:val="4"/>
          </w:tcPr>
          <w:p>
            <w:pPr>
              <w:spacing w:after="0"/>
              <w:rPr>
                <w:sz w:val="14"/>
                <w:szCs w:val="14"/>
                <w:color w:val="auto"/>
              </w:rPr>
            </w:pPr>
          </w:p>
        </w:tc>
        <w:tc>
          <w:tcPr>
            <w:tcW w:w="80" w:type="dxa"/>
            <w:vAlign w:val="bottom"/>
          </w:tcPr>
          <w:p>
            <w:pPr>
              <w:spacing w:after="0"/>
              <w:rPr>
                <w:sz w:val="14"/>
                <w:szCs w:val="14"/>
                <w:color w:val="auto"/>
              </w:rPr>
            </w:pPr>
          </w:p>
        </w:tc>
      </w:tr>
      <w:tr>
        <w:trPr>
          <w:trHeight w:val="236"/>
        </w:trPr>
        <w:tc>
          <w:tcPr>
            <w:tcW w:w="1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31.1</w:t>
            </w:r>
          </w:p>
        </w:tc>
        <w:tc>
          <w:tcPr>
            <w:tcW w:w="972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pursuant to 18 U.S.C. Section 1350, as adopted pursuant to Section 302 of the Sarbanes-Oxley Act of 2002.</w:t>
            </w:r>
          </w:p>
        </w:tc>
      </w:tr>
      <w:tr>
        <w:trPr>
          <w:trHeight w:val="209"/>
        </w:trPr>
        <w:tc>
          <w:tcPr>
            <w:tcW w:w="1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31.2</w:t>
            </w:r>
          </w:p>
        </w:tc>
        <w:tc>
          <w:tcPr>
            <w:tcW w:w="958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rPr>
              <w:t>Certification of Chief Financial Officer pursuant to 18 U.S.C. Section 1350, as adopted pursuant to Section 302 of the Sarbanes-Oxley Act of 2002.</w:t>
            </w:r>
          </w:p>
        </w:tc>
        <w:tc>
          <w:tcPr>
            <w:tcW w:w="20" w:type="dxa"/>
            <w:vAlign w:val="bottom"/>
            <w:tcBorders>
              <w:top w:val="single" w:sz="8" w:color="0000FF"/>
            </w:tcBorders>
          </w:tcPr>
          <w:p>
            <w:pPr>
              <w:spacing w:after="0"/>
              <w:rPr>
                <w:sz w:val="18"/>
                <w:szCs w:val="18"/>
                <w:color w:val="auto"/>
              </w:rPr>
            </w:pPr>
          </w:p>
        </w:tc>
        <w:tc>
          <w:tcPr>
            <w:tcW w:w="120" w:type="dxa"/>
            <w:vAlign w:val="bottom"/>
            <w:gridSpan w:val="2"/>
          </w:tcPr>
          <w:p>
            <w:pPr>
              <w:spacing w:after="0"/>
              <w:rPr>
                <w:sz w:val="18"/>
                <w:szCs w:val="18"/>
                <w:color w:val="auto"/>
              </w:rPr>
            </w:pPr>
          </w:p>
        </w:tc>
      </w:tr>
      <w:tr>
        <w:trPr>
          <w:trHeight w:val="196"/>
        </w:trPr>
        <w:tc>
          <w:tcPr>
            <w:tcW w:w="1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32.1</w:t>
            </w:r>
          </w:p>
        </w:tc>
        <w:tc>
          <w:tcPr>
            <w:tcW w:w="972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pursuant to 18 U.S.C. Section 1350, as adopted pursuant to Section 906 of the Sarbanes-Oxley Act of 2002.</w:t>
            </w:r>
          </w:p>
        </w:tc>
      </w:tr>
      <w:tr>
        <w:trPr>
          <w:trHeight w:val="196"/>
        </w:trPr>
        <w:tc>
          <w:tcPr>
            <w:tcW w:w="1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32.2</w:t>
            </w:r>
          </w:p>
        </w:tc>
        <w:tc>
          <w:tcPr>
            <w:tcW w:w="960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rPr>
              <w:t>Certification of Chief Financial Officer pursuant to 18 U.S.C. Section 1350, as adopted pursuant to Section 906 of the Sarbanes-Oxley Act of 2002.</w:t>
            </w:r>
          </w:p>
        </w:tc>
        <w:tc>
          <w:tcPr>
            <w:tcW w:w="120" w:type="dxa"/>
            <w:vAlign w:val="bottom"/>
            <w:gridSpan w:val="2"/>
          </w:tcPr>
          <w:p>
            <w:pPr>
              <w:spacing w:after="0"/>
              <w:rPr>
                <w:sz w:val="17"/>
                <w:szCs w:val="17"/>
                <w:color w:val="auto"/>
              </w:rPr>
            </w:pPr>
          </w:p>
        </w:tc>
      </w:tr>
      <w:tr>
        <w:trPr>
          <w:trHeight w:val="231"/>
        </w:trPr>
        <w:tc>
          <w:tcPr>
            <w:tcW w:w="1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101.INS</w:t>
            </w:r>
          </w:p>
        </w:tc>
        <w:tc>
          <w:tcPr>
            <w:tcW w:w="956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auto"/>
              </w:rPr>
              <w:t>XBRL Instance Document</w:t>
            </w:r>
          </w:p>
        </w:tc>
        <w:tc>
          <w:tcPr>
            <w:tcW w:w="160" w:type="dxa"/>
            <w:vAlign w:val="bottom"/>
            <w:gridSpan w:val="4"/>
          </w:tcPr>
          <w:p>
            <w:pPr>
              <w:spacing w:after="0"/>
              <w:rPr>
                <w:sz w:val="20"/>
                <w:szCs w:val="20"/>
                <w:color w:val="auto"/>
              </w:rPr>
            </w:pPr>
          </w:p>
        </w:tc>
      </w:tr>
      <w:tr>
        <w:trPr>
          <w:trHeight w:val="216"/>
        </w:trPr>
        <w:tc>
          <w:tcPr>
            <w:tcW w:w="1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101.SCH</w:t>
            </w:r>
          </w:p>
        </w:tc>
        <w:tc>
          <w:tcPr>
            <w:tcW w:w="972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XBRL Taxonomy Extension Schema Document</w:t>
            </w:r>
          </w:p>
        </w:tc>
      </w:tr>
      <w:tr>
        <w:trPr>
          <w:trHeight w:val="216"/>
        </w:trPr>
        <w:tc>
          <w:tcPr>
            <w:tcW w:w="1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101.CAL</w:t>
            </w:r>
          </w:p>
        </w:tc>
        <w:tc>
          <w:tcPr>
            <w:tcW w:w="972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XBRL Taxonomy Extension Calculation Linkbase Document</w:t>
            </w:r>
          </w:p>
        </w:tc>
      </w:tr>
      <w:tr>
        <w:trPr>
          <w:trHeight w:val="216"/>
        </w:trPr>
        <w:tc>
          <w:tcPr>
            <w:tcW w:w="1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101.DEF</w:t>
            </w:r>
          </w:p>
        </w:tc>
        <w:tc>
          <w:tcPr>
            <w:tcW w:w="972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XBRL Taxonomy Extension Definition Linkbase Document</w:t>
            </w:r>
          </w:p>
        </w:tc>
      </w:tr>
      <w:tr>
        <w:trPr>
          <w:trHeight w:val="216"/>
        </w:trPr>
        <w:tc>
          <w:tcPr>
            <w:tcW w:w="1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101.LAB</w:t>
            </w:r>
          </w:p>
        </w:tc>
        <w:tc>
          <w:tcPr>
            <w:tcW w:w="972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XBRL Taxonomy Extension Labels Linkbase Document</w:t>
            </w:r>
          </w:p>
        </w:tc>
      </w:tr>
      <w:tr>
        <w:trPr>
          <w:trHeight w:val="216"/>
        </w:trPr>
        <w:tc>
          <w:tcPr>
            <w:tcW w:w="1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101.PRE</w:t>
            </w:r>
          </w:p>
        </w:tc>
        <w:tc>
          <w:tcPr>
            <w:tcW w:w="972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XBRL Taxonomy Extension Presentation Linkbase Document</w:t>
            </w:r>
          </w:p>
        </w:tc>
      </w:tr>
      <w:tr>
        <w:trPr>
          <w:trHeight w:val="216"/>
        </w:trPr>
        <w:tc>
          <w:tcPr>
            <w:tcW w:w="1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104</w:t>
            </w:r>
          </w:p>
        </w:tc>
        <w:tc>
          <w:tcPr>
            <w:tcW w:w="972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XBRL Formatted Cover Page</w:t>
            </w:r>
          </w:p>
        </w:tc>
      </w:tr>
    </w:tbl>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42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OPTION CARE HEALTH, INC.</w:t>
            </w:r>
          </w:p>
        </w:tc>
      </w:tr>
      <w:tr>
        <w:trPr>
          <w:trHeight w:val="459"/>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30, 2024</w:t>
            </w:r>
          </w:p>
        </w:tc>
        <w:tc>
          <w:tcPr>
            <w:tcW w:w="5460" w:type="dxa"/>
            <w:vAlign w:val="bottom"/>
          </w:tcPr>
          <w:p>
            <w:pPr>
              <w:spacing w:after="0"/>
              <w:rPr>
                <w:sz w:val="24"/>
                <w:szCs w:val="24"/>
                <w:color w:val="auto"/>
              </w:rPr>
            </w:pPr>
          </w:p>
        </w:tc>
        <w:tc>
          <w:tcPr>
            <w:tcW w:w="3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/s/ Michael Shapiro</w:t>
            </w:r>
          </w:p>
        </w:tc>
      </w:tr>
      <w:tr>
        <w:trPr>
          <w:trHeight w:val="228"/>
        </w:trPr>
        <w:tc>
          <w:tcPr>
            <w:tcW w:w="242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Michael Shapiro</w:t>
            </w:r>
          </w:p>
        </w:tc>
      </w:tr>
      <w:tr>
        <w:trPr>
          <w:trHeight w:val="360"/>
        </w:trPr>
        <w:tc>
          <w:tcPr>
            <w:tcW w:w="2420" w:type="dxa"/>
            <w:vAlign w:val="bottom"/>
          </w:tcPr>
          <w:p>
            <w:pPr>
              <w:spacing w:after="0"/>
              <w:rPr>
                <w:sz w:val="24"/>
                <w:szCs w:val="24"/>
                <w:color w:val="auto"/>
              </w:rPr>
            </w:pPr>
          </w:p>
        </w:tc>
        <w:tc>
          <w:tcPr>
            <w:tcW w:w="8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Chief Financial Officer and Executive Vice President (Principal Financial Officer and Duly Authorized Officer)</w:t>
            </w:r>
          </w:p>
        </w:tc>
      </w:tr>
      <w:tr>
        <w:trPr>
          <w:trHeight w:val="864"/>
        </w:trPr>
        <w:tc>
          <w:tcPr>
            <w:tcW w:w="2420" w:type="dxa"/>
            <w:vAlign w:val="bottom"/>
          </w:tcPr>
          <w:p>
            <w:pPr>
              <w:spacing w:after="0"/>
              <w:rPr>
                <w:sz w:val="24"/>
                <w:szCs w:val="24"/>
                <w:color w:val="auto"/>
              </w:rPr>
            </w:pPr>
          </w:p>
        </w:tc>
        <w:tc>
          <w:tcPr>
            <w:tcW w:w="5460" w:type="dxa"/>
            <w:vAlign w:val="bottom"/>
          </w:tcPr>
          <w:p>
            <w:pPr>
              <w:jc w:val="right"/>
              <w:ind w:right="2090"/>
              <w:spacing w:after="0"/>
              <w:rPr>
                <w:sz w:val="20"/>
                <w:szCs w:val="20"/>
                <w:color w:val="auto"/>
              </w:rPr>
            </w:pPr>
            <w:r>
              <w:rPr>
                <w:rFonts w:ascii="Times New Roman" w:cs="Times New Roman" w:eastAsia="Times New Roman" w:hAnsi="Times New Roman"/>
                <w:sz w:val="18"/>
                <w:szCs w:val="18"/>
                <w:color w:val="auto"/>
              </w:rPr>
              <w:t>35</w:t>
            </w:r>
          </w:p>
        </w:tc>
        <w:tc>
          <w:tcPr>
            <w:tcW w:w="3340" w:type="dxa"/>
            <w:vAlign w:val="bottom"/>
          </w:tcPr>
          <w:p>
            <w:pPr>
              <w:spacing w:after="0"/>
              <w:rPr>
                <w:sz w:val="24"/>
                <w:szCs w:val="24"/>
                <w:color w:val="auto"/>
              </w:rPr>
            </w:pPr>
          </w:p>
        </w:tc>
      </w:tr>
    </w:tbl>
    <w:p>
      <w:pPr>
        <w:sectPr>
          <w:pgSz w:w="11900" w:h="16838" w:orient="portrait"/>
          <w:cols w:equalWidth="0" w:num="1">
            <w:col w:w="11240"/>
          </w:cols>
          <w:pgMar w:left="320" w:top="118" w:right="339" w:bottom="1440" w:gutter="0" w:footer="0" w:header="0"/>
        </w:sectPr>
      </w:pPr>
    </w:p>
    <w:bookmarkStart w:id="37" w:name="page38"/>
    <w:bookmarkEnd w:id="37"/>
    <w:p>
      <w:pPr>
        <w:ind w:left="10180"/>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24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Rademacher, certify that:</w:t>
      </w:r>
    </w:p>
    <w:p>
      <w:pPr>
        <w:spacing w:after="0" w:line="104" w:lineRule="exact"/>
        <w:rPr>
          <w:sz w:val="20"/>
          <w:szCs w:val="20"/>
          <w:color w:val="auto"/>
        </w:rPr>
      </w:pPr>
    </w:p>
    <w:p>
      <w:pPr>
        <w:ind w:left="360" w:hanging="352"/>
        <w:spacing w:after="0"/>
        <w:tabs>
          <w:tab w:leader="none" w:pos="3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Option Care Health, Inc.;</w:t>
      </w:r>
    </w:p>
    <w:p>
      <w:pPr>
        <w:spacing w:after="0" w:line="103" w:lineRule="exact"/>
        <w:rPr>
          <w:rFonts w:ascii="Times New Roman" w:cs="Times New Roman" w:eastAsia="Times New Roman" w:hAnsi="Times New Roman"/>
          <w:sz w:val="18"/>
          <w:szCs w:val="18"/>
          <w:color w:val="auto"/>
        </w:rPr>
      </w:pPr>
    </w:p>
    <w:p>
      <w:pPr>
        <w:ind w:left="660" w:hanging="652"/>
        <w:spacing w:after="0" w:line="266" w:lineRule="auto"/>
        <w:tabs>
          <w:tab w:leader="none" w:pos="4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left="660" w:hanging="652"/>
        <w:spacing w:after="0" w:line="282" w:lineRule="auto"/>
        <w:tabs>
          <w:tab w:leader="none" w:pos="44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ind w:left="660" w:hanging="652"/>
        <w:spacing w:after="0" w:line="266" w:lineRule="auto"/>
        <w:tabs>
          <w:tab w:leader="none" w:pos="45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ind w:left="1300" w:hanging="644"/>
        <w:spacing w:after="0" w:line="266" w:lineRule="auto"/>
        <w:tabs>
          <w:tab w:leader="none" w:pos="110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ind w:left="1300" w:hanging="644"/>
        <w:spacing w:after="0" w:line="266" w:lineRule="auto"/>
        <w:tabs>
          <w:tab w:leader="none" w:pos="115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left="1300" w:hanging="644"/>
        <w:spacing w:after="0" w:line="282" w:lineRule="auto"/>
        <w:tabs>
          <w:tab w:leader="none" w:pos="1179"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controls and procedures, as of the end of the period covered by this report based on such evaluation; and</w:t>
      </w:r>
    </w:p>
    <w:p>
      <w:pPr>
        <w:spacing w:after="0" w:line="40" w:lineRule="exact"/>
        <w:rPr>
          <w:rFonts w:ascii="Times New Roman" w:cs="Times New Roman" w:eastAsia="Times New Roman" w:hAnsi="Times New Roman"/>
          <w:sz w:val="18"/>
          <w:szCs w:val="18"/>
          <w:color w:val="auto"/>
        </w:rPr>
      </w:pPr>
    </w:p>
    <w:p>
      <w:pPr>
        <w:ind w:left="1300" w:hanging="644"/>
        <w:spacing w:after="0" w:line="266" w:lineRule="auto"/>
        <w:tabs>
          <w:tab w:leader="none" w:pos="11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0" w:lineRule="exact"/>
        <w:rPr>
          <w:rFonts w:ascii="Times New Roman" w:cs="Times New Roman" w:eastAsia="Times New Roman" w:hAnsi="Times New Roman"/>
          <w:sz w:val="18"/>
          <w:szCs w:val="18"/>
          <w:color w:val="auto"/>
        </w:rPr>
      </w:pPr>
    </w:p>
    <w:p>
      <w:pPr>
        <w:ind w:left="660" w:hanging="652"/>
        <w:spacing w:after="0" w:line="282" w:lineRule="auto"/>
        <w:tabs>
          <w:tab w:leader="none" w:pos="42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13"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1300" w:hanging="644"/>
        <w:spacing w:after="0" w:line="282" w:lineRule="auto"/>
        <w:tabs>
          <w:tab w:leader="none" w:pos="1152"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30, 2024</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John Rademacher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Rademacher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Chief Executive Officer and Principal Executive Officer</w:t>
      </w:r>
    </w:p>
    <w:p>
      <w:pPr>
        <w:sectPr>
          <w:pgSz w:w="11900" w:h="16838" w:orient="portrait"/>
          <w:cols w:equalWidth="0" w:num="1">
            <w:col w:w="11240"/>
          </w:cols>
          <w:pgMar w:left="320" w:top="893"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24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Shapiro, certify that:</w:t>
      </w:r>
    </w:p>
    <w:p>
      <w:pPr>
        <w:spacing w:after="0" w:line="104" w:lineRule="exact"/>
        <w:rPr>
          <w:sz w:val="20"/>
          <w:szCs w:val="20"/>
          <w:color w:val="auto"/>
        </w:rPr>
      </w:pPr>
    </w:p>
    <w:p>
      <w:pPr>
        <w:ind w:left="360" w:hanging="352"/>
        <w:spacing w:after="0"/>
        <w:tabs>
          <w:tab w:leader="none" w:pos="3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Option Care Health, Inc.;</w:t>
      </w:r>
    </w:p>
    <w:p>
      <w:pPr>
        <w:spacing w:after="0" w:line="103" w:lineRule="exact"/>
        <w:rPr>
          <w:rFonts w:ascii="Times New Roman" w:cs="Times New Roman" w:eastAsia="Times New Roman" w:hAnsi="Times New Roman"/>
          <w:sz w:val="18"/>
          <w:szCs w:val="18"/>
          <w:color w:val="auto"/>
        </w:rPr>
      </w:pPr>
    </w:p>
    <w:p>
      <w:pPr>
        <w:ind w:left="660" w:hanging="652"/>
        <w:spacing w:after="0" w:line="266" w:lineRule="auto"/>
        <w:tabs>
          <w:tab w:leader="none" w:pos="4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left="660" w:hanging="652"/>
        <w:spacing w:after="0" w:line="282" w:lineRule="auto"/>
        <w:tabs>
          <w:tab w:leader="none" w:pos="44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ind w:left="660" w:hanging="652"/>
        <w:spacing w:after="0" w:line="266" w:lineRule="auto"/>
        <w:tabs>
          <w:tab w:leader="none" w:pos="45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ind w:left="1300" w:hanging="644"/>
        <w:spacing w:after="0" w:line="266" w:lineRule="auto"/>
        <w:tabs>
          <w:tab w:leader="none" w:pos="1106"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ind w:left="1300" w:hanging="644"/>
        <w:spacing w:after="0" w:line="266" w:lineRule="auto"/>
        <w:tabs>
          <w:tab w:leader="none" w:pos="115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left="1300" w:hanging="644"/>
        <w:spacing w:after="0" w:line="282" w:lineRule="auto"/>
        <w:tabs>
          <w:tab w:leader="none" w:pos="1179"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controls and procedures, as of the end of the period covered by this report based on such evaluation; and</w:t>
      </w:r>
    </w:p>
    <w:p>
      <w:pPr>
        <w:spacing w:after="0" w:line="40" w:lineRule="exact"/>
        <w:rPr>
          <w:rFonts w:ascii="Times New Roman" w:cs="Times New Roman" w:eastAsia="Times New Roman" w:hAnsi="Times New Roman"/>
          <w:sz w:val="18"/>
          <w:szCs w:val="18"/>
          <w:color w:val="auto"/>
        </w:rPr>
      </w:pPr>
    </w:p>
    <w:p>
      <w:pPr>
        <w:ind w:left="1300" w:hanging="644"/>
        <w:spacing w:after="0" w:line="266" w:lineRule="auto"/>
        <w:tabs>
          <w:tab w:leader="none" w:pos="11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0" w:lineRule="exact"/>
        <w:rPr>
          <w:rFonts w:ascii="Times New Roman" w:cs="Times New Roman" w:eastAsia="Times New Roman" w:hAnsi="Times New Roman"/>
          <w:sz w:val="18"/>
          <w:szCs w:val="18"/>
          <w:color w:val="auto"/>
        </w:rPr>
      </w:pPr>
    </w:p>
    <w:p>
      <w:pPr>
        <w:ind w:left="660" w:hanging="652"/>
        <w:spacing w:after="0" w:line="282" w:lineRule="auto"/>
        <w:tabs>
          <w:tab w:leader="none" w:pos="42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13"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1300" w:hanging="644"/>
        <w:spacing w:after="0" w:line="282" w:lineRule="auto"/>
        <w:tabs>
          <w:tab w:leader="none" w:pos="1152"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30, 2024</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Michael Shapiro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Shapiro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 and Principal Financial Officer</w:t>
      </w:r>
    </w:p>
    <w:p>
      <w:pPr>
        <w:sectPr>
          <w:pgSz w:w="11900" w:h="16838" w:orient="portrait"/>
          <w:cols w:equalWidth="0" w:num="1">
            <w:col w:w="11240"/>
          </w:cols>
          <w:pgMar w:left="320" w:top="893"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08" w:lineRule="exact"/>
        <w:rPr>
          <w:sz w:val="20"/>
          <w:szCs w:val="20"/>
          <w:color w:val="auto"/>
        </w:rPr>
      </w:pPr>
    </w:p>
    <w:p>
      <w:pPr>
        <w:jc w:val="both"/>
        <w:ind w:firstLine="19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Option Care Health, Inc. (the “Company”) on Form 10-Q for the quarter ended September 30, 2024, as filed with the Securities and Exchange Commission on the date hereof (the “Report”), I, John Rademacher, Chief Executive Officer of the Company, do hereby certify, pursuant to 18 U.S.C. Section 1350, as adopted pursuant to Section 906 of the Sarbanes-Oxley Act of 2002, that to my knowledge:</w:t>
      </w:r>
    </w:p>
    <w:p>
      <w:pPr>
        <w:spacing w:after="0" w:line="41" w:lineRule="exact"/>
        <w:rPr>
          <w:sz w:val="20"/>
          <w:szCs w:val="20"/>
          <w:color w:val="auto"/>
        </w:rPr>
      </w:pPr>
    </w:p>
    <w:p>
      <w:pPr>
        <w:ind w:left="440" w:hanging="432"/>
        <w:spacing w:after="0"/>
        <w:tabs>
          <w:tab w:leader="none" w:pos="4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03"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30, 2024</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John Rademacher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Rademacher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Chief Executive Officer and Principal Executive Officer</w:t>
      </w:r>
    </w:p>
    <w:p>
      <w:pPr>
        <w:sectPr>
          <w:pgSz w:w="11900" w:h="16838" w:orient="portrait"/>
          <w:cols w:equalWidth="0" w:num="1">
            <w:col w:w="11240"/>
          </w:cols>
          <w:pgMar w:left="320" w:top="887"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08" w:lineRule="exact"/>
        <w:rPr>
          <w:sz w:val="20"/>
          <w:szCs w:val="20"/>
          <w:color w:val="auto"/>
        </w:rPr>
      </w:pPr>
    </w:p>
    <w:p>
      <w:pPr>
        <w:jc w:val="both"/>
        <w:ind w:firstLine="19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Option Care Health, Inc. (the “Company”) on Form 10-Q for the quarter ended September 30, 2024, as filed with the Securities and Exchange Commission on the date hereof (the “Report”), I, Michael Shapiro, Chief Financial Officer of the Company, do hereby certify, pursuant to 18 U.S.C. Section 1350, as adopted pursuant to Section 906 of the Sarbanes-Oxley Act of 2002, that to my knowledge:</w:t>
      </w:r>
    </w:p>
    <w:p>
      <w:pPr>
        <w:spacing w:after="0" w:line="41" w:lineRule="exact"/>
        <w:rPr>
          <w:sz w:val="20"/>
          <w:szCs w:val="20"/>
          <w:color w:val="auto"/>
        </w:rPr>
      </w:pPr>
    </w:p>
    <w:p>
      <w:pPr>
        <w:ind w:left="440" w:hanging="432"/>
        <w:spacing w:after="0"/>
        <w:tabs>
          <w:tab w:leader="none" w:pos="4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03"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30, 2024</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Michael Shapiro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Shapiro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 and Principal Financial Officer</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1"/>
    </w:lvl>
    <w:lvl w:ilvl="1">
      <w:lvlJc w:val="left"/>
      <w:lvlText w:val="(%2)"/>
      <w:numFmt w:val="lowerLetter"/>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hyperlink" Target="https://www.sec.gov/Archives/edgar/data/1014739/000101473924000041/opch-fifthamendedandresta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2024-10-30T15:14:32Z</dcterms:created>
  <dcterms:modified xsi:type="dcterms:W3CDTF">2024-10-30T15:14:32Z</dcterms:modified>
</cp:coreProperties>
</file>