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345440</wp:posOffset>
            </wp:positionH>
            <wp:positionV relativeFrom="page">
              <wp:posOffset>431800</wp:posOffset>
            </wp:positionV>
            <wp:extent cx="6866255"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66255" cy="43180"/>
                    </a:xfrm>
                    <a:prstGeom prst="rect">
                      <a:avLst/>
                    </a:prstGeom>
                    <a:noFill/>
                  </pic:spPr>
                </pic:pic>
              </a:graphicData>
            </a:graphic>
          </wp:anchor>
        </w:drawing>
        <w:t>UNITED STATES</w:t>
      </w:r>
    </w:p>
    <w:p>
      <w:pPr>
        <w:spacing w:after="0" w:line="2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2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135"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16"/>
          <w:szCs w:val="16"/>
          <w:b w:val="1"/>
          <w:bCs w:val="1"/>
          <w:color w:val="auto"/>
        </w:rPr>
        <w:t>(Mark One)</w:t>
      </w:r>
    </w:p>
    <w:p>
      <w:pPr>
        <w:spacing w:after="0" w:line="32" w:lineRule="exact"/>
        <w:rPr>
          <w:sz w:val="24"/>
          <w:szCs w:val="24"/>
          <w:color w:val="auto"/>
        </w:rPr>
      </w:pPr>
    </w:p>
    <w:p>
      <w:pPr>
        <w:ind w:left="1100" w:right="2220" w:hanging="626"/>
        <w:spacing w:after="0" w:line="281" w:lineRule="auto"/>
        <w:tabs>
          <w:tab w:leader="none" w:pos="110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ANNUAL REPORT PURSUANT TO SECTION 13 OR 15(d) OF THE SECURITIES EXCHANGE ACT OF 1934 For the fiscal year ended December 31, 2024</w:t>
      </w:r>
    </w:p>
    <w:p>
      <w:pPr>
        <w:spacing w:after="0" w:line="1" w:lineRule="exact"/>
        <w:rPr>
          <w:sz w:val="24"/>
          <w:szCs w:val="24"/>
          <w:color w:val="auto"/>
        </w:rPr>
      </w:pPr>
    </w:p>
    <w:p>
      <w:pPr>
        <w:jc w:val="center"/>
        <w:ind w:left="520"/>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32" w:lineRule="exact"/>
        <w:rPr>
          <w:sz w:val="24"/>
          <w:szCs w:val="24"/>
          <w:color w:val="auto"/>
        </w:rPr>
      </w:pPr>
    </w:p>
    <w:p>
      <w:pPr>
        <w:ind w:left="1100" w:hanging="626"/>
        <w:spacing w:after="0"/>
        <w:tabs>
          <w:tab w:leader="none" w:pos="1100"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52" w:lineRule="exact"/>
        <w:rPr>
          <w:sz w:val="24"/>
          <w:szCs w:val="24"/>
          <w:color w:val="auto"/>
        </w:rPr>
      </w:pPr>
    </w:p>
    <w:p>
      <w:pPr>
        <w:ind w:left="1100"/>
        <w:spacing w:after="0"/>
        <w:tabs>
          <w:tab w:leader="none" w:pos="3380" w:val="left"/>
        </w:tabs>
        <w:rPr>
          <w:sz w:val="20"/>
          <w:szCs w:val="20"/>
          <w:color w:val="auto"/>
        </w:rPr>
      </w:pPr>
      <w:r>
        <w:rPr>
          <w:rFonts w:ascii="Times New Roman" w:cs="Times New Roman" w:eastAsia="Times New Roman" w:hAnsi="Times New Roman"/>
          <w:sz w:val="16"/>
          <w:szCs w:val="16"/>
          <w:b w:val="1"/>
          <w:bCs w:val="1"/>
          <w:color w:val="auto"/>
        </w:rPr>
        <w:t>For the transition period from</w:t>
        <w:tab/>
        <w:t>to</w:t>
      </w:r>
    </w:p>
    <w:p>
      <w:pPr>
        <w:spacing w:after="0" w:line="8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Commission file number: 001-11993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2893695</wp:posOffset>
            </wp:positionH>
            <wp:positionV relativeFrom="paragraph">
              <wp:posOffset>21590</wp:posOffset>
            </wp:positionV>
            <wp:extent cx="1354455" cy="5226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54455" cy="5226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0"/>
          <w:szCs w:val="40"/>
          <w:b w:val="1"/>
          <w:bCs w:val="1"/>
          <w:color w:val="auto"/>
        </w:rPr>
        <w:t>OPTION CARE HEALTH, INC.</w:t>
      </w:r>
    </w:p>
    <w:p>
      <w:pPr>
        <w:spacing w:after="0" w:line="6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i w:val="1"/>
          <w:iCs w:val="1"/>
          <w:color w:val="auto"/>
        </w:rPr>
        <w:t>(Exact name of registrant as specified in its charter)</w:t>
      </w:r>
    </w:p>
    <w:p>
      <w:pPr>
        <w:sectPr>
          <w:pgSz w:w="11900" w:h="16838" w:orient="portrait"/>
          <w:cols w:equalWidth="0" w:num="1">
            <w:col w:w="11240"/>
          </w:cols>
          <w:pgMar w:left="320" w:top="828" w:right="339" w:bottom="1440" w:gutter="0" w:footer="0" w:header="0"/>
        </w:sectPr>
      </w:pPr>
    </w:p>
    <w:p>
      <w:pPr>
        <w:spacing w:after="0" w:line="126" w:lineRule="exact"/>
        <w:rPr>
          <w:sz w:val="24"/>
          <w:szCs w:val="24"/>
          <w:color w:val="auto"/>
        </w:rPr>
      </w:pPr>
    </w:p>
    <w:p>
      <w:pPr>
        <w:jc w:val="center"/>
        <w:ind w:right="820"/>
        <w:spacing w:after="0"/>
        <w:rPr>
          <w:sz w:val="20"/>
          <w:szCs w:val="20"/>
          <w:color w:val="auto"/>
        </w:rPr>
      </w:pPr>
      <w:r>
        <w:rPr>
          <w:rFonts w:ascii="Times New Roman" w:cs="Times New Roman" w:eastAsia="Times New Roman" w:hAnsi="Times New Roman"/>
          <w:sz w:val="16"/>
          <w:szCs w:val="16"/>
          <w:b w:val="1"/>
          <w:bCs w:val="1"/>
          <w:color w:val="auto"/>
        </w:rPr>
        <w:t>Delaware</w:t>
      </w:r>
    </w:p>
    <w:p>
      <w:pPr>
        <w:spacing w:after="0" w:line="32" w:lineRule="exact"/>
        <w:rPr>
          <w:sz w:val="24"/>
          <w:szCs w:val="24"/>
          <w:color w:val="auto"/>
        </w:rPr>
      </w:pPr>
    </w:p>
    <w:p>
      <w:pPr>
        <w:jc w:val="center"/>
        <w:ind w:right="820"/>
        <w:spacing w:after="0"/>
        <w:rPr>
          <w:sz w:val="20"/>
          <w:szCs w:val="20"/>
          <w:color w:val="auto"/>
        </w:rPr>
      </w:pPr>
      <w:r>
        <w:rPr>
          <w:rFonts w:ascii="Times New Roman" w:cs="Times New Roman" w:eastAsia="Times New Roman" w:hAnsi="Times New Roman"/>
          <w:sz w:val="16"/>
          <w:szCs w:val="16"/>
          <w:i w:val="1"/>
          <w:iCs w:val="1"/>
          <w:color w:val="auto"/>
        </w:rPr>
        <w:t>(State or other jurisdiction of incorporation or organization)</w:t>
      </w:r>
    </w:p>
    <w:p>
      <w:pPr>
        <w:spacing w:after="0" w:line="32" w:lineRule="exact"/>
        <w:rPr>
          <w:sz w:val="24"/>
          <w:szCs w:val="24"/>
          <w:color w:val="auto"/>
        </w:rPr>
      </w:pPr>
    </w:p>
    <w:p>
      <w:pPr>
        <w:jc w:val="center"/>
        <w:ind w:right="820"/>
        <w:spacing w:after="0"/>
        <w:rPr>
          <w:sz w:val="20"/>
          <w:szCs w:val="20"/>
          <w:color w:val="auto"/>
        </w:rPr>
      </w:pPr>
      <w:r>
        <w:rPr>
          <w:rFonts w:ascii="Times New Roman" w:cs="Times New Roman" w:eastAsia="Times New Roman" w:hAnsi="Times New Roman"/>
          <w:sz w:val="16"/>
          <w:szCs w:val="16"/>
          <w:b w:val="1"/>
          <w:bCs w:val="1"/>
          <w:color w:val="auto"/>
        </w:rPr>
        <w:t>3000 Lakeside Dr. Suite 300N, Bannockburn, IL</w:t>
      </w:r>
    </w:p>
    <w:p>
      <w:pPr>
        <w:spacing w:after="0" w:line="20" w:lineRule="exact"/>
        <w:rPr>
          <w:sz w:val="24"/>
          <w:szCs w:val="24"/>
          <w:color w:val="auto"/>
        </w:rPr>
      </w:pPr>
      <w:r>
        <w:rPr>
          <w:sz w:val="24"/>
          <w:szCs w:val="24"/>
          <w:color w:val="auto"/>
        </w:rPr>
        <w:br w:type="column"/>
      </w:r>
    </w:p>
    <w:p>
      <w:pPr>
        <w:spacing w:after="0" w:line="106" w:lineRule="exact"/>
        <w:rPr>
          <w:sz w:val="24"/>
          <w:szCs w:val="24"/>
          <w:color w:val="auto"/>
        </w:rPr>
      </w:pPr>
    </w:p>
    <w:p>
      <w:pPr>
        <w:jc w:val="center"/>
        <w:ind w:right="1960"/>
        <w:spacing w:after="0"/>
        <w:rPr>
          <w:sz w:val="20"/>
          <w:szCs w:val="20"/>
          <w:color w:val="auto"/>
        </w:rPr>
      </w:pPr>
      <w:r>
        <w:rPr>
          <w:rFonts w:ascii="Times New Roman" w:cs="Times New Roman" w:eastAsia="Times New Roman" w:hAnsi="Times New Roman"/>
          <w:sz w:val="16"/>
          <w:szCs w:val="16"/>
          <w:b w:val="1"/>
          <w:bCs w:val="1"/>
          <w:color w:val="auto"/>
        </w:rPr>
        <w:t>05-0489664</w:t>
      </w:r>
    </w:p>
    <w:p>
      <w:pPr>
        <w:spacing w:after="0" w:line="32" w:lineRule="exact"/>
        <w:rPr>
          <w:sz w:val="24"/>
          <w:szCs w:val="24"/>
          <w:color w:val="auto"/>
        </w:rPr>
      </w:pPr>
    </w:p>
    <w:p>
      <w:pPr>
        <w:jc w:val="center"/>
        <w:ind w:right="1960"/>
        <w:spacing w:after="0"/>
        <w:rPr>
          <w:sz w:val="20"/>
          <w:szCs w:val="20"/>
          <w:color w:val="auto"/>
        </w:rPr>
      </w:pPr>
      <w:r>
        <w:rPr>
          <w:rFonts w:ascii="Times New Roman" w:cs="Times New Roman" w:eastAsia="Times New Roman" w:hAnsi="Times New Roman"/>
          <w:sz w:val="16"/>
          <w:szCs w:val="16"/>
          <w:i w:val="1"/>
          <w:iCs w:val="1"/>
          <w:color w:val="auto"/>
        </w:rPr>
        <w:t>(I.R.S. Employer Identification No.)</w:t>
      </w:r>
    </w:p>
    <w:p>
      <w:pPr>
        <w:spacing w:after="0" w:line="32" w:lineRule="exact"/>
        <w:rPr>
          <w:sz w:val="24"/>
          <w:szCs w:val="24"/>
          <w:color w:val="auto"/>
        </w:rPr>
      </w:pPr>
    </w:p>
    <w:p>
      <w:pPr>
        <w:jc w:val="center"/>
        <w:ind w:right="1960"/>
        <w:spacing w:after="0"/>
        <w:rPr>
          <w:sz w:val="20"/>
          <w:szCs w:val="20"/>
          <w:color w:val="auto"/>
        </w:rPr>
      </w:pPr>
      <w:r>
        <w:rPr>
          <w:rFonts w:ascii="Times New Roman" w:cs="Times New Roman" w:eastAsia="Times New Roman" w:hAnsi="Times New Roman"/>
          <w:sz w:val="16"/>
          <w:szCs w:val="16"/>
          <w:b w:val="1"/>
          <w:bCs w:val="1"/>
          <w:color w:val="auto"/>
        </w:rPr>
        <w:t>60015</w:t>
      </w:r>
    </w:p>
    <w:p>
      <w:pPr>
        <w:spacing w:after="0" w:line="32" w:lineRule="exact"/>
        <w:rPr>
          <w:sz w:val="24"/>
          <w:szCs w:val="24"/>
          <w:color w:val="auto"/>
        </w:rPr>
      </w:pPr>
    </w:p>
    <w:p>
      <w:pPr>
        <w:sectPr>
          <w:pgSz w:w="11900" w:h="16838" w:orient="portrait"/>
          <w:cols w:equalWidth="0" w:num="2">
            <w:col w:w="6240" w:space="720"/>
            <w:col w:w="4280"/>
          </w:cols>
          <w:pgMar w:left="320" w:top="828" w:right="339" w:bottom="1440" w:gutter="0" w:footer="0" w:header="0"/>
          <w:type w:val="continuous"/>
        </w:sectPr>
      </w:pPr>
    </w:p>
    <w:p>
      <w:pPr>
        <w:ind w:left="1440"/>
        <w:spacing w:after="0"/>
        <w:rPr>
          <w:sz w:val="20"/>
          <w:szCs w:val="20"/>
          <w:color w:val="auto"/>
        </w:rPr>
      </w:pPr>
      <w:r>
        <w:rPr>
          <w:rFonts w:ascii="Times New Roman" w:cs="Times New Roman" w:eastAsia="Times New Roman" w:hAnsi="Times New Roman"/>
          <w:sz w:val="16"/>
          <w:szCs w:val="16"/>
          <w:i w:val="1"/>
          <w:i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i w:val="1"/>
          <w:iCs w:val="1"/>
          <w:color w:val="auto"/>
        </w:rPr>
        <w:t>(Zip Code)</w:t>
      </w:r>
    </w:p>
    <w:p>
      <w:pPr>
        <w:spacing w:after="0" w:line="100" w:lineRule="exact"/>
        <w:rPr>
          <w:sz w:val="24"/>
          <w:szCs w:val="24"/>
          <w:color w:val="auto"/>
        </w:rPr>
      </w:pPr>
    </w:p>
    <w:p>
      <w:pPr>
        <w:sectPr>
          <w:pgSz w:w="11900" w:h="16838" w:orient="portrait"/>
          <w:cols w:equalWidth="0" w:num="2">
            <w:col w:w="7040" w:space="720"/>
            <w:col w:w="3480"/>
          </w:cols>
          <w:pgMar w:left="320" w:top="828" w:right="3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312-940-2443</w:t>
      </w:r>
    </w:p>
    <w:p>
      <w:pPr>
        <w:spacing w:after="0" w:line="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p>
      <w:pPr>
        <w:sectPr>
          <w:pgSz w:w="11900" w:h="16838" w:orient="portrait"/>
          <w:cols w:equalWidth="0" w:num="1">
            <w:col w:w="11240"/>
          </w:cols>
          <w:pgMar w:left="320" w:top="828" w:right="339" w:bottom="1440" w:gutter="0" w:footer="0" w:header="0"/>
          <w:type w:val="continuous"/>
        </w:sectPr>
      </w:pPr>
    </w:p>
    <w:p>
      <w:pPr>
        <w:spacing w:after="0" w:line="120" w:lineRule="exact"/>
        <w:rPr>
          <w:sz w:val="24"/>
          <w:szCs w:val="24"/>
          <w:color w:val="auto"/>
        </w:rPr>
      </w:pPr>
    </w:p>
    <w:p>
      <w:pPr>
        <w:ind w:left="1280"/>
        <w:spacing w:after="0"/>
        <w:rPr>
          <w:sz w:val="20"/>
          <w:szCs w:val="20"/>
          <w:color w:val="auto"/>
        </w:rPr>
      </w:pPr>
      <w:r>
        <w:rPr>
          <w:rFonts w:ascii="Times New Roman" w:cs="Times New Roman" w:eastAsia="Times New Roman" w:hAnsi="Times New Roman"/>
          <w:sz w:val="16"/>
          <w:szCs w:val="16"/>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100"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Trading Symbol</w:t>
      </w:r>
    </w:p>
    <w:p>
      <w:pPr>
        <w:spacing w:after="0" w:line="20" w:lineRule="exact"/>
        <w:rPr>
          <w:sz w:val="24"/>
          <w:szCs w:val="24"/>
          <w:color w:val="auto"/>
        </w:rPr>
      </w:pPr>
      <w:r>
        <w:rPr>
          <w:sz w:val="24"/>
          <w:szCs w:val="24"/>
          <w:color w:val="auto"/>
        </w:rPr>
        <w:br w:type="column"/>
      </w:r>
    </w:p>
    <w:p>
      <w:pPr>
        <w:spacing w:after="0" w:line="100"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p>
      <w:pPr>
        <w:spacing w:after="0" w:line="34" w:lineRule="exact"/>
        <w:rPr>
          <w:sz w:val="24"/>
          <w:szCs w:val="24"/>
          <w:color w:val="auto"/>
        </w:rPr>
      </w:pPr>
    </w:p>
    <w:p>
      <w:pPr>
        <w:sectPr>
          <w:pgSz w:w="11900" w:h="16838" w:orient="portrait"/>
          <w:cols w:equalWidth="0" w:num="3">
            <w:col w:w="4340" w:space="720"/>
            <w:col w:w="2080" w:space="720"/>
            <w:col w:w="3380"/>
          </w:cols>
          <w:pgMar w:left="320" w:top="828" w:right="339" w:bottom="1440" w:gutter="0" w:footer="0" w:header="0"/>
          <w:type w:val="continuous"/>
        </w:sectPr>
      </w:pPr>
    </w:p>
    <w:p>
      <w:pPr>
        <w:ind w:left="440"/>
        <w:spacing w:after="0"/>
        <w:rPr>
          <w:sz w:val="20"/>
          <w:szCs w:val="20"/>
          <w:color w:val="auto"/>
        </w:rPr>
      </w:pPr>
      <w:r>
        <w:rPr>
          <w:rFonts w:ascii="Times New Roman" w:cs="Times New Roman" w:eastAsia="Times New Roman" w:hAnsi="Times New Roman"/>
          <w:sz w:val="16"/>
          <w:szCs w:val="16"/>
          <w:color w:val="auto"/>
        </w:rPr>
        <w:t>Common Stock, $0.0001 par value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auto"/>
        </w:rPr>
        <w:t>OPCH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auto"/>
        </w:rPr>
        <w:t>Nasdaq Global Select Market</w:t>
      </w:r>
    </w:p>
    <w:p>
      <w:pPr>
        <w:spacing w:after="0" w:line="111" w:lineRule="exact"/>
        <w:rPr>
          <w:sz w:val="24"/>
          <w:szCs w:val="24"/>
          <w:color w:val="auto"/>
        </w:rPr>
      </w:pPr>
    </w:p>
    <w:p>
      <w:pPr>
        <w:sectPr>
          <w:pgSz w:w="11900" w:h="16838" w:orient="portrait"/>
          <w:cols w:equalWidth="0" w:num="3">
            <w:col w:w="4680" w:space="720"/>
            <w:col w:w="2280" w:space="720"/>
            <w:col w:w="2840"/>
          </w:cols>
          <w:pgMar w:left="320" w:top="828" w:right="3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12(g) of the Act: None</w:t>
      </w:r>
    </w:p>
    <w:p>
      <w:pPr>
        <w:sectPr>
          <w:pgSz w:w="11900" w:h="16838" w:orient="portrait"/>
          <w:cols w:equalWidth="0" w:num="1">
            <w:col w:w="11240"/>
          </w:cols>
          <w:pgMar w:left="320" w:top="828" w:right="339" w:bottom="1440" w:gutter="0" w:footer="0" w:header="0"/>
          <w:type w:val="continuous"/>
        </w:sectPr>
      </w:pPr>
    </w:p>
    <w:p>
      <w:pPr>
        <w:spacing w:after="0" w:line="214"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if the registrant is a well-known seasoned issuer, as defined in Rule 405 of the Securities Act. Yes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94" w:lineRule="exact"/>
        <w:rPr>
          <w:sz w:val="24"/>
          <w:szCs w:val="24"/>
          <w:color w:val="auto"/>
        </w:rPr>
      </w:pPr>
    </w:p>
    <w:p>
      <w:pPr>
        <w:spacing w:after="0" w:line="173" w:lineRule="exact"/>
        <w:rPr>
          <w:sz w:val="20"/>
          <w:szCs w:val="20"/>
          <w:color w:val="auto"/>
        </w:rPr>
      </w:pPr>
      <w:r>
        <w:rPr>
          <w:rFonts w:ascii="Times New Roman" w:cs="Times New Roman" w:eastAsia="Times New Roman" w:hAnsi="Times New Roman"/>
          <w:sz w:val="15"/>
          <w:szCs w:val="15"/>
          <w:color w:val="auto"/>
        </w:rPr>
        <w:t xml:space="preserve">No </w:t>
      </w:r>
      <w:r>
        <w:rPr>
          <w:rFonts w:ascii="MS PGothic" w:cs="MS PGothic" w:eastAsia="MS PGothic" w:hAnsi="MS PGothic"/>
          <w:sz w:val="15"/>
          <w:szCs w:val="15"/>
          <w:color w:val="auto"/>
        </w:rPr>
        <w:t>☐</w:t>
      </w:r>
    </w:p>
    <w:p>
      <w:pPr>
        <w:spacing w:after="0" w:line="111" w:lineRule="exact"/>
        <w:rPr>
          <w:sz w:val="24"/>
          <w:szCs w:val="24"/>
          <w:color w:val="auto"/>
        </w:rPr>
      </w:pPr>
    </w:p>
    <w:p>
      <w:pPr>
        <w:sectPr>
          <w:pgSz w:w="11900" w:h="16838" w:orient="portrait"/>
          <w:cols w:equalWidth="0" w:num="2">
            <w:col w:w="8100" w:space="220"/>
            <w:col w:w="2920"/>
          </w:cols>
          <w:pgMar w:left="320" w:top="828" w:right="339" w:bottom="1440" w:gutter="0" w:footer="0" w:header="0"/>
          <w:type w:val="continuous"/>
        </w:sect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if the registrant is not required to file reports pursuant to Section 13 or Section 15(d) of the Act. Yes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53" w:lineRule="exact"/>
        <w:rPr>
          <w:sz w:val="20"/>
          <w:szCs w:val="20"/>
          <w:color w:val="auto"/>
        </w:rPr>
      </w:pPr>
      <w:r>
        <w:rPr>
          <w:rFonts w:ascii="Times New Roman" w:cs="Times New Roman" w:eastAsia="Times New Roman" w:hAnsi="Times New Roman"/>
          <w:sz w:val="15"/>
          <w:szCs w:val="15"/>
          <w:color w:val="auto"/>
        </w:rPr>
        <w:t xml:space="preserve">No </w:t>
      </w:r>
      <w:r>
        <w:rPr>
          <w:rFonts w:ascii="MS PGothic" w:cs="MS PGothic" w:eastAsia="MS PGothic" w:hAnsi="MS PGothic"/>
          <w:sz w:val="15"/>
          <w:szCs w:val="15"/>
          <w:color w:val="auto"/>
        </w:rPr>
        <w:t>☑</w:t>
      </w:r>
    </w:p>
    <w:p>
      <w:pPr>
        <w:spacing w:after="0" w:line="147" w:lineRule="exact"/>
        <w:rPr>
          <w:sz w:val="24"/>
          <w:szCs w:val="24"/>
          <w:color w:val="auto"/>
        </w:rPr>
      </w:pPr>
    </w:p>
    <w:p>
      <w:pPr>
        <w:sectPr>
          <w:pgSz w:w="11900" w:h="16838" w:orient="portrait"/>
          <w:cols w:equalWidth="0" w:num="2">
            <w:col w:w="8260" w:space="200"/>
            <w:col w:w="2780"/>
          </w:cols>
          <w:pgMar w:left="320" w:top="828"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 preceding</w:t>
      </w:r>
    </w:p>
    <w:p>
      <w:pPr>
        <w:sectPr>
          <w:pgSz w:w="11900" w:h="16838" w:orient="portrait"/>
          <w:cols w:equalWidth="0" w:num="1">
            <w:col w:w="11240"/>
          </w:cols>
          <w:pgMar w:left="320" w:top="828" w:right="339" w:bottom="1440" w:gutter="0" w:footer="0" w:header="0"/>
          <w:type w:val="continuous"/>
        </w:sectPr>
      </w:pPr>
    </w:p>
    <w:p>
      <w:pPr>
        <w:spacing w:after="0" w:line="2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12 months (or</w:t>
      </w:r>
    </w:p>
    <w:p>
      <w:pPr>
        <w:spacing w:after="0" w:line="15"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90 days. Yes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6" w:lineRule="exact"/>
        <w:rPr>
          <w:sz w:val="24"/>
          <w:szCs w:val="24"/>
          <w:color w:val="auto"/>
        </w:rPr>
      </w:pPr>
    </w:p>
    <w:p>
      <w:pPr>
        <w:ind w:hanging="152"/>
        <w:spacing w:after="0" w:line="209" w:lineRule="exact"/>
        <w:rPr>
          <w:sz w:val="20"/>
          <w:szCs w:val="20"/>
          <w:color w:val="auto"/>
        </w:rPr>
      </w:pPr>
      <w:r>
        <w:rPr>
          <w:rFonts w:ascii="Times New Roman" w:cs="Times New Roman" w:eastAsia="Times New Roman" w:hAnsi="Times New Roman"/>
          <w:sz w:val="16"/>
          <w:szCs w:val="16"/>
          <w:color w:val="auto"/>
        </w:rPr>
        <w:t xml:space="preserve">for such shorter period that the registrant was required to file such reports), and (2) has been subject to such filing requirements for the past No </w:t>
      </w:r>
      <w:r>
        <w:rPr>
          <w:rFonts w:ascii="MS PGothic" w:cs="MS PGothic" w:eastAsia="MS PGothic" w:hAnsi="MS PGothic"/>
          <w:sz w:val="16"/>
          <w:szCs w:val="16"/>
          <w:color w:val="auto"/>
        </w:rPr>
        <w:t>☐</w:t>
      </w:r>
    </w:p>
    <w:p>
      <w:pPr>
        <w:spacing w:after="0" w:line="256" w:lineRule="exact"/>
        <w:rPr>
          <w:sz w:val="24"/>
          <w:szCs w:val="24"/>
          <w:color w:val="auto"/>
        </w:rPr>
      </w:pPr>
    </w:p>
    <w:p>
      <w:pPr>
        <w:sectPr>
          <w:pgSz w:w="11900" w:h="16838" w:orient="portrait"/>
          <w:cols w:equalWidth="0" w:num="2">
            <w:col w:w="1040" w:space="220"/>
            <w:col w:w="9980"/>
          </w:cols>
          <w:pgMar w:left="320" w:top="828" w:right="339" w:bottom="1440" w:gutter="0" w:footer="0" w:header="0"/>
          <w:type w:val="continuous"/>
        </w:sectPr>
      </w:pPr>
    </w:p>
    <w:p>
      <w:pPr>
        <w:jc w:val="both"/>
        <w:spacing w:after="0" w:line="213"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75" w:lineRule="exact"/>
        <w:rPr>
          <w:sz w:val="24"/>
          <w:szCs w:val="24"/>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1" w:lineRule="exact"/>
        <w:rPr>
          <w:sz w:val="24"/>
          <w:szCs w:val="24"/>
          <w:color w:val="auto"/>
        </w:rPr>
      </w:pPr>
    </w:p>
    <w:p>
      <w:pPr>
        <w:ind w:left="1100"/>
        <w:spacing w:after="0" w:line="184" w:lineRule="exact"/>
        <w:tabs>
          <w:tab w:leader="none" w:pos="2920" w:val="left"/>
          <w:tab w:leader="none" w:pos="4400" w:val="left"/>
          <w:tab w:leader="none" w:pos="6200" w:val="left"/>
          <w:tab w:leader="none" w:pos="8320" w:val="left"/>
        </w:tabs>
        <w:rPr>
          <w:sz w:val="20"/>
          <w:szCs w:val="20"/>
          <w:color w:val="auto"/>
        </w:rPr>
      </w:pPr>
      <w:r>
        <w:rPr>
          <w:rFonts w:ascii="Times New Roman" w:cs="Times New Roman" w:eastAsia="Times New Roman" w:hAnsi="Times New Roman"/>
          <w:sz w:val="16"/>
          <w:szCs w:val="16"/>
          <w:color w:val="auto"/>
        </w:rPr>
        <w:t xml:space="preserve">Large accelerated filer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Accelerated filer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Non-accelerated filer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Smaller reporting company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Emerging growth company </w:t>
      </w:r>
      <w:r>
        <w:rPr>
          <w:rFonts w:ascii="MS PGothic" w:cs="MS PGothic" w:eastAsia="MS PGothic" w:hAnsi="MS PGothic"/>
          <w:sz w:val="16"/>
          <w:szCs w:val="16"/>
          <w:color w:val="auto"/>
        </w:rPr>
        <w:t>☐</w:t>
      </w:r>
    </w:p>
    <w:p>
      <w:pPr>
        <w:spacing w:after="0" w:line="136" w:lineRule="exact"/>
        <w:rPr>
          <w:sz w:val="24"/>
          <w:szCs w:val="24"/>
          <w:color w:val="auto"/>
        </w:rPr>
      </w:pPr>
    </w:p>
    <w:p>
      <w:pPr>
        <w:jc w:val="both"/>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48" w:lineRule="exact"/>
        <w:rPr>
          <w:sz w:val="24"/>
          <w:szCs w:val="24"/>
          <w:color w:val="auto"/>
        </w:rPr>
      </w:pPr>
    </w:p>
    <w:p>
      <w:pPr>
        <w:jc w:val="both"/>
        <w:ind w:right="20"/>
        <w:spacing w:after="0" w:line="213"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6"/>
          <w:szCs w:val="16"/>
          <w:color w:val="auto"/>
        </w:rPr>
        <w:t>☑</w:t>
      </w:r>
    </w:p>
    <w:p>
      <w:pPr>
        <w:spacing w:after="0" w:line="48" w:lineRule="exact"/>
        <w:rPr>
          <w:sz w:val="24"/>
          <w:szCs w:val="24"/>
          <w:color w:val="auto"/>
        </w:rPr>
      </w:pPr>
    </w:p>
    <w:p>
      <w:pPr>
        <w:ind w:right="300"/>
        <w:spacing w:after="0" w:line="220" w:lineRule="exact"/>
        <w:rPr>
          <w:sz w:val="20"/>
          <w:szCs w:val="20"/>
          <w:color w:val="auto"/>
        </w:rPr>
      </w:pPr>
      <w:r>
        <w:rPr>
          <w:rFonts w:ascii="Times New Roman" w:cs="Times New Roman" w:eastAsia="Times New Roman" w:hAnsi="Times New Roman"/>
          <w:sz w:val="16"/>
          <w:szCs w:val="16"/>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6"/>
          <w:szCs w:val="16"/>
          <w:color w:val="auto"/>
        </w:rPr>
        <w:t>☐</w:t>
      </w:r>
    </w:p>
    <w:p>
      <w:pPr>
        <w:spacing w:after="0" w:line="48" w:lineRule="exact"/>
        <w:rPr>
          <w:sz w:val="24"/>
          <w:szCs w:val="24"/>
          <w:color w:val="auto"/>
        </w:rPr>
      </w:pPr>
    </w:p>
    <w:p>
      <w:pPr>
        <w:ind w:right="320"/>
        <w:spacing w:after="0" w:line="213" w:lineRule="exact"/>
        <w:rPr>
          <w:sz w:val="20"/>
          <w:szCs w:val="20"/>
          <w:color w:val="auto"/>
        </w:rPr>
      </w:pPr>
      <w:r>
        <w:rPr>
          <w:rFonts w:ascii="Times New Roman" w:cs="Times New Roman" w:eastAsia="Times New Roman" w:hAnsi="Times New Roman"/>
          <w:sz w:val="16"/>
          <w:szCs w:val="16"/>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 240.10D-1(b). </w:t>
      </w:r>
      <w:r>
        <w:rPr>
          <w:rFonts w:ascii="MS PGothic" w:cs="MS PGothic" w:eastAsia="MS PGothic" w:hAnsi="MS PGothic"/>
          <w:sz w:val="16"/>
          <w:szCs w:val="16"/>
          <w:color w:val="auto"/>
        </w:rPr>
        <w:t>☐</w:t>
      </w:r>
    </w:p>
    <w:p>
      <w:pPr>
        <w:spacing w:after="0" w:line="12" w:lineRule="exact"/>
        <w:rPr>
          <w:sz w:val="24"/>
          <w:szCs w:val="24"/>
          <w:color w:val="auto"/>
        </w:rPr>
      </w:pPr>
    </w:p>
    <w:p>
      <w:pPr>
        <w:spacing w:after="0" w:line="184" w:lineRule="exact"/>
        <w:tabs>
          <w:tab w:leader="none" w:pos="7380" w:val="left"/>
        </w:tabs>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Act). Yes </w:t>
      </w: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5"/>
          <w:szCs w:val="15"/>
          <w:color w:val="auto"/>
        </w:rPr>
        <w:t xml:space="preserve">No </w:t>
      </w:r>
      <w:r>
        <w:rPr>
          <w:rFonts w:ascii="MS PGothic" w:cs="MS PGothic" w:eastAsia="MS PGothic" w:hAnsi="MS PGothic"/>
          <w:sz w:val="15"/>
          <w:szCs w:val="15"/>
          <w:color w:val="auto"/>
        </w:rPr>
        <w:t>☑</w:t>
      </w:r>
    </w:p>
    <w:p>
      <w:pPr>
        <w:spacing w:after="0" w:line="136" w:lineRule="exact"/>
        <w:rPr>
          <w:sz w:val="24"/>
          <w:szCs w:val="24"/>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The aggregate market value of the registrant’s Common Stock held by non-affiliates of the registrant as of June 28, 2024, the last business day of the registrant’s most recently completed second fiscal quarter, was approximately $4,748,081,376 based on the closing price of the registrant’s Common Stock on the Nasdaq Global Select Market on such date.</w:t>
      </w:r>
    </w:p>
    <w:p>
      <w:pPr>
        <w:spacing w:after="0" w:line="4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As of February 21, 2025, there were 165,315,961 shares of the registrant’s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281940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28" w:right="33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6"/>
          <w:szCs w:val="16"/>
          <w:b w:val="1"/>
          <w:bCs w:val="1"/>
          <w:color w:val="auto"/>
        </w:rPr>
        <w:t>DOCUMENTS INCORPORATED BY REFERENCE</w:t>
      </w:r>
    </w:p>
    <w:p>
      <w:pPr>
        <w:spacing w:after="0" w:line="102"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6"/>
          <w:szCs w:val="16"/>
          <w:color w:val="auto"/>
        </w:rPr>
        <w:t>Portions of the registrant’s definitive proxy statement for its 2025 Annual Meeting of Stockholders to be filed with the Securities and Exchange Commission (the “SEC”) within 120 days after the close of the registrant’s fiscal year are incorporated by reference into Part III of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246380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9"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100" w:type="dxa"/>
            <w:vAlign w:val="bottom"/>
            <w:gridSpan w:val="8"/>
          </w:tcPr>
          <w:p>
            <w:pPr>
              <w:jc w:val="center"/>
              <w:ind w:right="294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r>
      <w:tr>
        <w:trPr>
          <w:trHeight w:val="364"/>
        </w:trPr>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0" w:type="dxa"/>
            <w:vAlign w:val="bottom"/>
            <w:gridSpan w:val="3"/>
          </w:tcPr>
          <w:p>
            <w:pPr>
              <w:jc w:val="center"/>
              <w:ind w:left="739"/>
              <w:spacing w:after="0"/>
              <w:rPr>
                <w:sz w:val="20"/>
                <w:szCs w:val="20"/>
                <w:color w:val="auto"/>
              </w:rPr>
            </w:pPr>
            <w:r>
              <w:rPr>
                <w:rFonts w:ascii="Times New Roman" w:cs="Times New Roman" w:eastAsia="Times New Roman" w:hAnsi="Times New Roman"/>
                <w:sz w:val="16"/>
                <w:szCs w:val="16"/>
                <w:b w:val="1"/>
                <w:bCs w:val="1"/>
                <w:color w:val="auto"/>
              </w:rPr>
              <w:t>Page</w:t>
            </w:r>
          </w:p>
        </w:tc>
      </w:tr>
      <w:tr>
        <w:trPr>
          <w:trHeight w:val="212"/>
        </w:trPr>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0" w:type="dxa"/>
            <w:vAlign w:val="bottom"/>
            <w:gridSpan w:val="3"/>
          </w:tcPr>
          <w:p>
            <w:pPr>
              <w:jc w:val="center"/>
              <w:ind w:left="739"/>
              <w:spacing w:after="0"/>
              <w:rPr>
                <w:sz w:val="20"/>
                <w:szCs w:val="20"/>
                <w:color w:val="auto"/>
              </w:rPr>
            </w:pPr>
            <w:r>
              <w:rPr>
                <w:rFonts w:ascii="Times New Roman" w:cs="Times New Roman" w:eastAsia="Times New Roman" w:hAnsi="Times New Roman"/>
                <w:sz w:val="16"/>
                <w:szCs w:val="16"/>
                <w:b w:val="1"/>
                <w:bCs w:val="1"/>
                <w:color w:val="auto"/>
              </w:rPr>
              <w:t>Number</w:t>
            </w:r>
          </w:p>
        </w:tc>
      </w:tr>
      <w:tr>
        <w:trPr>
          <w:trHeight w:val="214"/>
        </w:trPr>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420" w:type="dxa"/>
            <w:vAlign w:val="bottom"/>
            <w:gridSpan w:val="7"/>
          </w:tcPr>
          <w:p>
            <w:pPr>
              <w:jc w:val="center"/>
              <w:ind w:right="3620"/>
              <w:spacing w:after="0"/>
              <w:rPr>
                <w:sz w:val="20"/>
                <w:szCs w:val="20"/>
                <w:color w:val="auto"/>
              </w:rPr>
            </w:pPr>
            <w:r>
              <w:rPr>
                <w:rFonts w:ascii="Times New Roman" w:cs="Times New Roman" w:eastAsia="Times New Roman" w:hAnsi="Times New Roman"/>
                <w:sz w:val="16"/>
                <w:szCs w:val="16"/>
                <w:b w:val="1"/>
                <w:bCs w:val="1"/>
                <w:color w:val="auto"/>
                <w:w w:val="96"/>
              </w:rPr>
              <w:t>PART I</w:t>
            </w: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343"/>
        </w:trPr>
        <w:tc>
          <w:tcPr>
            <w:tcW w:w="1520" w:type="dxa"/>
            <w:vAlign w:val="bottom"/>
            <w:gridSpan w:val="5"/>
          </w:tcPr>
          <w:p>
            <w:pPr>
              <w:spacing w:after="0"/>
              <w:rPr>
                <w:sz w:val="20"/>
                <w:szCs w:val="20"/>
                <w:color w:val="auto"/>
              </w:rPr>
            </w:pPr>
            <w:r>
              <w:rPr>
                <w:rFonts w:ascii="Times New Roman" w:cs="Times New Roman" w:eastAsia="Times New Roman" w:hAnsi="Times New Roman"/>
                <w:sz w:val="16"/>
                <w:szCs w:val="16"/>
                <w:color w:val="0000FF"/>
              </w:rPr>
              <w:t>Item 1.</w:t>
            </w:r>
          </w:p>
        </w:tc>
        <w:tc>
          <w:tcPr>
            <w:tcW w:w="8100" w:type="dxa"/>
            <w:vAlign w:val="bottom"/>
            <w:gridSpan w:val="20"/>
          </w:tcPr>
          <w:p>
            <w:pPr>
              <w:spacing w:after="0"/>
              <w:rPr>
                <w:sz w:val="20"/>
                <w:szCs w:val="20"/>
                <w:color w:val="auto"/>
              </w:rPr>
            </w:pPr>
            <w:r>
              <w:rPr>
                <w:rFonts w:ascii="Times New Roman" w:cs="Times New Roman" w:eastAsia="Times New Roman" w:hAnsi="Times New Roman"/>
                <w:sz w:val="16"/>
                <w:szCs w:val="16"/>
                <w:color w:val="0000FF"/>
              </w:rPr>
              <w:t>Business</w:t>
            </w:r>
          </w:p>
        </w:tc>
        <w:tc>
          <w:tcPr>
            <w:tcW w:w="1140" w:type="dxa"/>
            <w:vAlign w:val="bottom"/>
            <w:gridSpan w:val="2"/>
          </w:tcPr>
          <w:p>
            <w:pPr>
              <w:jc w:val="center"/>
              <w:ind w:left="979"/>
              <w:spacing w:after="0"/>
              <w:rPr>
                <w:sz w:val="20"/>
                <w:szCs w:val="20"/>
                <w:color w:val="auto"/>
              </w:rPr>
            </w:pPr>
            <w:r>
              <w:rPr>
                <w:rFonts w:ascii="Times New Roman" w:cs="Times New Roman" w:eastAsia="Times New Roman" w:hAnsi="Times New Roman"/>
                <w:sz w:val="16"/>
                <w:szCs w:val="16"/>
                <w:color w:val="0000FF"/>
                <w:w w:val="99"/>
              </w:rPr>
              <w:t>4</w:t>
            </w:r>
          </w:p>
        </w:tc>
        <w:tc>
          <w:tcPr>
            <w:tcW w:w="260" w:type="dxa"/>
            <w:vAlign w:val="bottom"/>
          </w:tcPr>
          <w:p>
            <w:pPr>
              <w:spacing w:after="0"/>
              <w:rPr>
                <w:sz w:val="24"/>
                <w:szCs w:val="24"/>
                <w:color w:val="auto"/>
              </w:rPr>
            </w:pPr>
          </w:p>
        </w:tc>
      </w:tr>
      <w:tr>
        <w:trPr>
          <w:trHeight w:val="20"/>
        </w:trPr>
        <w:tc>
          <w:tcPr>
            <w:tcW w:w="4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96"/>
        </w:trPr>
        <w:tc>
          <w:tcPr>
            <w:tcW w:w="60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6"/>
                <w:szCs w:val="16"/>
                <w:color w:val="0000FF"/>
              </w:rPr>
              <w:t>Item 1A.</w:t>
            </w:r>
          </w:p>
        </w:tc>
        <w:tc>
          <w:tcPr>
            <w:tcW w:w="920" w:type="dxa"/>
            <w:vAlign w:val="bottom"/>
            <w:gridSpan w:val="2"/>
          </w:tcPr>
          <w:p>
            <w:pPr>
              <w:spacing w:after="0"/>
              <w:rPr>
                <w:sz w:val="17"/>
                <w:szCs w:val="17"/>
                <w:color w:val="auto"/>
              </w:rPr>
            </w:pPr>
          </w:p>
        </w:tc>
        <w:tc>
          <w:tcPr>
            <w:tcW w:w="82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6"/>
                <w:szCs w:val="16"/>
                <w:color w:val="0000FF"/>
                <w:w w:val="99"/>
              </w:rPr>
              <w:t>Risk Factors</w:t>
            </w:r>
          </w:p>
        </w:tc>
        <w:tc>
          <w:tcPr>
            <w:tcW w:w="7280" w:type="dxa"/>
            <w:vAlign w:val="bottom"/>
            <w:gridSpan w:val="17"/>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6"/>
                <w:szCs w:val="16"/>
                <w:color w:val="0000FF"/>
                <w:w w:val="74"/>
              </w:rPr>
              <w:t>13</w:t>
            </w:r>
          </w:p>
        </w:tc>
        <w:tc>
          <w:tcPr>
            <w:tcW w:w="260" w:type="dxa"/>
            <w:vAlign w:val="bottom"/>
          </w:tcPr>
          <w:p>
            <w:pPr>
              <w:spacing w:after="0"/>
              <w:rPr>
                <w:sz w:val="17"/>
                <w:szCs w:val="17"/>
                <w:color w:val="auto"/>
              </w:rPr>
            </w:pPr>
          </w:p>
        </w:tc>
      </w:tr>
      <w:tr>
        <w:trPr>
          <w:trHeight w:val="196"/>
        </w:trPr>
        <w:tc>
          <w:tcPr>
            <w:tcW w:w="54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6"/>
                <w:szCs w:val="16"/>
                <w:color w:val="0000FF"/>
                <w:w w:val="89"/>
              </w:rPr>
              <w:t>Item 1B.</w:t>
            </w:r>
          </w:p>
        </w:tc>
        <w:tc>
          <w:tcPr>
            <w:tcW w:w="980" w:type="dxa"/>
            <w:vAlign w:val="bottom"/>
            <w:gridSpan w:val="3"/>
          </w:tcPr>
          <w:p>
            <w:pPr>
              <w:spacing w:after="0"/>
              <w:rPr>
                <w:sz w:val="17"/>
                <w:szCs w:val="17"/>
                <w:color w:val="auto"/>
              </w:rPr>
            </w:pPr>
          </w:p>
        </w:tc>
        <w:tc>
          <w:tcPr>
            <w:tcW w:w="184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6"/>
                <w:szCs w:val="16"/>
                <w:color w:val="0000FF"/>
                <w:w w:val="99"/>
              </w:rPr>
              <w:t>Unresolved Staff Comments</w:t>
            </w:r>
          </w:p>
        </w:tc>
        <w:tc>
          <w:tcPr>
            <w:tcW w:w="6260" w:type="dxa"/>
            <w:vAlign w:val="bottom"/>
            <w:gridSpan w:val="11"/>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6"/>
                <w:szCs w:val="16"/>
                <w:color w:val="0000FF"/>
                <w:w w:val="74"/>
              </w:rPr>
              <w:t>27</w:t>
            </w:r>
          </w:p>
        </w:tc>
        <w:tc>
          <w:tcPr>
            <w:tcW w:w="260" w:type="dxa"/>
            <w:vAlign w:val="bottom"/>
          </w:tcPr>
          <w:p>
            <w:pPr>
              <w:spacing w:after="0"/>
              <w:rPr>
                <w:sz w:val="17"/>
                <w:szCs w:val="17"/>
                <w:color w:val="auto"/>
              </w:rPr>
            </w:pPr>
          </w:p>
        </w:tc>
      </w:tr>
      <w:tr>
        <w:trPr>
          <w:trHeight w:val="196"/>
        </w:trPr>
        <w:tc>
          <w:tcPr>
            <w:tcW w:w="100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Item 1C.</w:t>
            </w:r>
          </w:p>
        </w:tc>
        <w:tc>
          <w:tcPr>
            <w:tcW w:w="520" w:type="dxa"/>
            <w:vAlign w:val="bottom"/>
          </w:tcPr>
          <w:p>
            <w:pPr>
              <w:spacing w:after="0"/>
              <w:rPr>
                <w:sz w:val="17"/>
                <w:szCs w:val="17"/>
                <w:color w:val="auto"/>
              </w:rPr>
            </w:pPr>
          </w:p>
        </w:tc>
        <w:tc>
          <w:tcPr>
            <w:tcW w:w="8100" w:type="dxa"/>
            <w:vAlign w:val="bottom"/>
            <w:gridSpan w:val="20"/>
          </w:tcPr>
          <w:p>
            <w:pPr>
              <w:spacing w:after="0"/>
              <w:rPr>
                <w:sz w:val="20"/>
                <w:szCs w:val="20"/>
                <w:color w:val="auto"/>
              </w:rPr>
            </w:pPr>
            <w:r>
              <w:rPr>
                <w:rFonts w:ascii="Times New Roman" w:cs="Times New Roman" w:eastAsia="Times New Roman" w:hAnsi="Times New Roman"/>
                <w:sz w:val="16"/>
                <w:szCs w:val="16"/>
                <w:color w:val="0000FF"/>
              </w:rPr>
              <w:t>Cybersecurity</w:t>
            </w:r>
          </w:p>
        </w:tc>
        <w:tc>
          <w:tcPr>
            <w:tcW w:w="1140" w:type="dxa"/>
            <w:vAlign w:val="bottom"/>
            <w:gridSpan w:val="2"/>
          </w:tcPr>
          <w:p>
            <w:pPr>
              <w:jc w:val="center"/>
              <w:ind w:left="899"/>
              <w:spacing w:after="0"/>
              <w:rPr>
                <w:sz w:val="20"/>
                <w:szCs w:val="20"/>
                <w:color w:val="auto"/>
              </w:rPr>
            </w:pPr>
            <w:r>
              <w:rPr>
                <w:rFonts w:ascii="Times New Roman" w:cs="Times New Roman" w:eastAsia="Times New Roman" w:hAnsi="Times New Roman"/>
                <w:sz w:val="16"/>
                <w:szCs w:val="16"/>
                <w:color w:val="0000FF"/>
                <w:w w:val="99"/>
              </w:rPr>
              <w:t>27</w:t>
            </w:r>
          </w:p>
        </w:tc>
        <w:tc>
          <w:tcPr>
            <w:tcW w:w="260" w:type="dxa"/>
            <w:vAlign w:val="bottom"/>
          </w:tcPr>
          <w:p>
            <w:pPr>
              <w:spacing w:after="0"/>
              <w:rPr>
                <w:sz w:val="17"/>
                <w:szCs w:val="17"/>
                <w:color w:val="auto"/>
              </w:rPr>
            </w:pPr>
          </w:p>
        </w:tc>
      </w:tr>
      <w:tr>
        <w:trPr>
          <w:trHeight w:val="196"/>
        </w:trPr>
        <w:tc>
          <w:tcPr>
            <w:tcW w:w="100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6"/>
                <w:szCs w:val="16"/>
                <w:color w:val="0000FF"/>
              </w:rPr>
              <w:t>Item 2.</w:t>
            </w:r>
          </w:p>
        </w:tc>
        <w:tc>
          <w:tcPr>
            <w:tcW w:w="520" w:type="dxa"/>
            <w:vAlign w:val="bottom"/>
          </w:tcPr>
          <w:p>
            <w:pPr>
              <w:spacing w:after="0"/>
              <w:rPr>
                <w:sz w:val="17"/>
                <w:szCs w:val="17"/>
                <w:color w:val="auto"/>
              </w:rPr>
            </w:pPr>
          </w:p>
        </w:tc>
        <w:tc>
          <w:tcPr>
            <w:tcW w:w="90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6"/>
                <w:szCs w:val="16"/>
                <w:color w:val="0000FF"/>
              </w:rPr>
              <w:t>Properties</w:t>
            </w:r>
          </w:p>
        </w:tc>
        <w:tc>
          <w:tcPr>
            <w:tcW w:w="7200" w:type="dxa"/>
            <w:vAlign w:val="bottom"/>
            <w:gridSpan w:val="16"/>
          </w:tcPr>
          <w:p>
            <w:pPr>
              <w:spacing w:after="0"/>
              <w:rPr>
                <w:sz w:val="17"/>
                <w:szCs w:val="17"/>
                <w:color w:val="auto"/>
              </w:rPr>
            </w:pPr>
          </w:p>
        </w:tc>
        <w:tc>
          <w:tcPr>
            <w:tcW w:w="1140" w:type="dxa"/>
            <w:vAlign w:val="bottom"/>
            <w:gridSpan w:val="2"/>
          </w:tcPr>
          <w:p>
            <w:pPr>
              <w:jc w:val="center"/>
              <w:ind w:left="899"/>
              <w:spacing w:after="0"/>
              <w:rPr>
                <w:sz w:val="20"/>
                <w:szCs w:val="20"/>
                <w:color w:val="auto"/>
              </w:rPr>
            </w:pPr>
            <w:r>
              <w:rPr>
                <w:rFonts w:ascii="Times New Roman" w:cs="Times New Roman" w:eastAsia="Times New Roman" w:hAnsi="Times New Roman"/>
                <w:sz w:val="16"/>
                <w:szCs w:val="16"/>
                <w:color w:val="0000FF"/>
                <w:w w:val="99"/>
              </w:rPr>
              <w:t>28</w:t>
            </w:r>
          </w:p>
        </w:tc>
        <w:tc>
          <w:tcPr>
            <w:tcW w:w="260" w:type="dxa"/>
            <w:vAlign w:val="bottom"/>
          </w:tcPr>
          <w:p>
            <w:pPr>
              <w:spacing w:after="0"/>
              <w:rPr>
                <w:sz w:val="17"/>
                <w:szCs w:val="17"/>
                <w:color w:val="auto"/>
              </w:rPr>
            </w:pPr>
          </w:p>
        </w:tc>
      </w:tr>
      <w:tr>
        <w:trPr>
          <w:trHeight w:val="20"/>
        </w:trPr>
        <w:tc>
          <w:tcPr>
            <w:tcW w:w="4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580" w:type="dxa"/>
            <w:vAlign w:val="bottom"/>
            <w:tcBorders>
              <w:left w:val="single" w:sz="8" w:color="0000FF"/>
            </w:tcBorders>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r>
      <w:tr>
        <w:trPr>
          <w:trHeight w:val="196"/>
        </w:trPr>
        <w:tc>
          <w:tcPr>
            <w:tcW w:w="1520" w:type="dxa"/>
            <w:vAlign w:val="bottom"/>
            <w:gridSpan w:val="5"/>
          </w:tcPr>
          <w:p>
            <w:pPr>
              <w:spacing w:after="0"/>
              <w:rPr>
                <w:sz w:val="20"/>
                <w:szCs w:val="20"/>
                <w:color w:val="auto"/>
              </w:rPr>
            </w:pPr>
            <w:r>
              <w:rPr>
                <w:rFonts w:ascii="Times New Roman" w:cs="Times New Roman" w:eastAsia="Times New Roman" w:hAnsi="Times New Roman"/>
                <w:sz w:val="16"/>
                <w:szCs w:val="16"/>
                <w:color w:val="0000FF"/>
              </w:rPr>
              <w:t>Item 3.</w:t>
            </w:r>
          </w:p>
        </w:tc>
        <w:tc>
          <w:tcPr>
            <w:tcW w:w="8100" w:type="dxa"/>
            <w:vAlign w:val="bottom"/>
            <w:gridSpan w:val="20"/>
          </w:tcPr>
          <w:p>
            <w:pPr>
              <w:spacing w:after="0"/>
              <w:rPr>
                <w:sz w:val="20"/>
                <w:szCs w:val="20"/>
                <w:color w:val="auto"/>
              </w:rPr>
            </w:pPr>
            <w:r>
              <w:rPr>
                <w:rFonts w:ascii="Times New Roman" w:cs="Times New Roman" w:eastAsia="Times New Roman" w:hAnsi="Times New Roman"/>
                <w:sz w:val="16"/>
                <w:szCs w:val="16"/>
                <w:color w:val="0000FF"/>
              </w:rPr>
              <w:t>Legal Proceedings</w:t>
            </w:r>
          </w:p>
        </w:tc>
        <w:tc>
          <w:tcPr>
            <w:tcW w:w="1140" w:type="dxa"/>
            <w:vAlign w:val="bottom"/>
            <w:gridSpan w:val="2"/>
          </w:tcPr>
          <w:p>
            <w:pPr>
              <w:jc w:val="center"/>
              <w:ind w:left="899"/>
              <w:spacing w:after="0"/>
              <w:rPr>
                <w:sz w:val="20"/>
                <w:szCs w:val="20"/>
                <w:color w:val="auto"/>
              </w:rPr>
            </w:pPr>
            <w:r>
              <w:rPr>
                <w:rFonts w:ascii="Times New Roman" w:cs="Times New Roman" w:eastAsia="Times New Roman" w:hAnsi="Times New Roman"/>
                <w:sz w:val="16"/>
                <w:szCs w:val="16"/>
                <w:color w:val="0000FF"/>
                <w:w w:val="99"/>
              </w:rPr>
              <w:t>28</w:t>
            </w:r>
          </w:p>
        </w:tc>
        <w:tc>
          <w:tcPr>
            <w:tcW w:w="260" w:type="dxa"/>
            <w:vAlign w:val="bottom"/>
          </w:tcPr>
          <w:p>
            <w:pPr>
              <w:spacing w:after="0"/>
              <w:rPr>
                <w:sz w:val="17"/>
                <w:szCs w:val="17"/>
                <w:color w:val="auto"/>
              </w:rPr>
            </w:pPr>
          </w:p>
        </w:tc>
      </w:tr>
      <w:tr>
        <w:trPr>
          <w:trHeight w:val="20"/>
        </w:trPr>
        <w:tc>
          <w:tcPr>
            <w:tcW w:w="4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580" w:type="dxa"/>
            <w:vAlign w:val="bottom"/>
            <w:tcBorders>
              <w:left w:val="single" w:sz="8" w:color="0000FF"/>
            </w:tcBorders>
            <w:gridSpan w:val="3"/>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r>
      <w:tr>
        <w:trPr>
          <w:trHeight w:val="196"/>
        </w:trPr>
        <w:tc>
          <w:tcPr>
            <w:tcW w:w="1520" w:type="dxa"/>
            <w:vAlign w:val="bottom"/>
            <w:gridSpan w:val="5"/>
          </w:tcPr>
          <w:p>
            <w:pPr>
              <w:spacing w:after="0"/>
              <w:rPr>
                <w:sz w:val="20"/>
                <w:szCs w:val="20"/>
                <w:color w:val="auto"/>
              </w:rPr>
            </w:pPr>
            <w:r>
              <w:rPr>
                <w:rFonts w:ascii="Times New Roman" w:cs="Times New Roman" w:eastAsia="Times New Roman" w:hAnsi="Times New Roman"/>
                <w:sz w:val="16"/>
                <w:szCs w:val="16"/>
                <w:color w:val="0000FF"/>
              </w:rPr>
              <w:t>Item 4.</w:t>
            </w:r>
          </w:p>
        </w:tc>
        <w:tc>
          <w:tcPr>
            <w:tcW w:w="8100" w:type="dxa"/>
            <w:vAlign w:val="bottom"/>
            <w:gridSpan w:val="20"/>
          </w:tcPr>
          <w:p>
            <w:pPr>
              <w:spacing w:after="0"/>
              <w:rPr>
                <w:sz w:val="20"/>
                <w:szCs w:val="20"/>
                <w:color w:val="auto"/>
              </w:rPr>
            </w:pPr>
            <w:r>
              <w:rPr>
                <w:rFonts w:ascii="Times New Roman" w:cs="Times New Roman" w:eastAsia="Times New Roman" w:hAnsi="Times New Roman"/>
                <w:sz w:val="16"/>
                <w:szCs w:val="16"/>
                <w:color w:val="0000FF"/>
              </w:rPr>
              <w:t>Mine Safety Disclosures</w:t>
            </w:r>
          </w:p>
        </w:tc>
        <w:tc>
          <w:tcPr>
            <w:tcW w:w="1140" w:type="dxa"/>
            <w:vAlign w:val="bottom"/>
            <w:gridSpan w:val="2"/>
          </w:tcPr>
          <w:p>
            <w:pPr>
              <w:jc w:val="center"/>
              <w:ind w:left="899"/>
              <w:spacing w:after="0"/>
              <w:rPr>
                <w:sz w:val="20"/>
                <w:szCs w:val="20"/>
                <w:color w:val="auto"/>
              </w:rPr>
            </w:pPr>
            <w:r>
              <w:rPr>
                <w:rFonts w:ascii="Times New Roman" w:cs="Times New Roman" w:eastAsia="Times New Roman" w:hAnsi="Times New Roman"/>
                <w:sz w:val="16"/>
                <w:szCs w:val="16"/>
                <w:color w:val="0000FF"/>
                <w:w w:val="99"/>
              </w:rPr>
              <w:t>28</w:t>
            </w:r>
          </w:p>
        </w:tc>
        <w:tc>
          <w:tcPr>
            <w:tcW w:w="260" w:type="dxa"/>
            <w:vAlign w:val="bottom"/>
          </w:tcPr>
          <w:p>
            <w:pPr>
              <w:spacing w:after="0"/>
              <w:rPr>
                <w:sz w:val="17"/>
                <w:szCs w:val="17"/>
                <w:color w:val="auto"/>
              </w:rPr>
            </w:pPr>
          </w:p>
        </w:tc>
      </w:tr>
      <w:tr>
        <w:trPr>
          <w:trHeight w:val="393"/>
        </w:trPr>
        <w:tc>
          <w:tcPr>
            <w:tcW w:w="460" w:type="dxa"/>
            <w:vAlign w:val="bottom"/>
            <w:tcBorders>
              <w:top w:val="single" w:sz="8" w:color="0000FF"/>
            </w:tcBorders>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20" w:type="dxa"/>
            <w:vAlign w:val="bottom"/>
            <w:gridSpan w:val="7"/>
          </w:tcPr>
          <w:p>
            <w:pPr>
              <w:jc w:val="center"/>
              <w:ind w:right="3620"/>
              <w:spacing w:after="0"/>
              <w:rPr>
                <w:sz w:val="20"/>
                <w:szCs w:val="20"/>
                <w:color w:val="auto"/>
              </w:rPr>
            </w:pPr>
            <w:r>
              <w:rPr>
                <w:rFonts w:ascii="Times New Roman" w:cs="Times New Roman" w:eastAsia="Times New Roman" w:hAnsi="Times New Roman"/>
                <w:sz w:val="16"/>
                <w:szCs w:val="16"/>
                <w:b w:val="1"/>
                <w:bCs w:val="1"/>
                <w:color w:val="auto"/>
                <w:w w:val="99"/>
              </w:rPr>
              <w:t>PART II</w:t>
            </w:r>
          </w:p>
        </w:tc>
        <w:tc>
          <w:tcPr>
            <w:tcW w:w="106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60" w:type="dxa"/>
            <w:vAlign w:val="bottom"/>
          </w:tcPr>
          <w:p>
            <w:pPr>
              <w:spacing w:after="0"/>
              <w:rPr>
                <w:sz w:val="24"/>
                <w:szCs w:val="24"/>
                <w:color w:val="auto"/>
              </w:rPr>
            </w:pPr>
          </w:p>
        </w:tc>
      </w:tr>
      <w:tr>
        <w:trPr>
          <w:trHeight w:val="343"/>
        </w:trPr>
        <w:tc>
          <w:tcPr>
            <w:tcW w:w="1520" w:type="dxa"/>
            <w:vAlign w:val="bottom"/>
            <w:gridSpan w:val="5"/>
          </w:tcPr>
          <w:p>
            <w:pPr>
              <w:spacing w:after="0"/>
              <w:rPr>
                <w:sz w:val="20"/>
                <w:szCs w:val="20"/>
                <w:color w:val="auto"/>
              </w:rPr>
            </w:pPr>
            <w:r>
              <w:rPr>
                <w:rFonts w:ascii="Times New Roman" w:cs="Times New Roman" w:eastAsia="Times New Roman" w:hAnsi="Times New Roman"/>
                <w:sz w:val="16"/>
                <w:szCs w:val="16"/>
                <w:color w:val="0000FF"/>
              </w:rPr>
              <w:t>Item 5.</w:t>
            </w:r>
          </w:p>
        </w:tc>
        <w:tc>
          <w:tcPr>
            <w:tcW w:w="8100" w:type="dxa"/>
            <w:vAlign w:val="bottom"/>
            <w:gridSpan w:val="20"/>
          </w:tcPr>
          <w:p>
            <w:pPr>
              <w:spacing w:after="0"/>
              <w:rPr>
                <w:sz w:val="20"/>
                <w:szCs w:val="20"/>
                <w:color w:val="auto"/>
              </w:rPr>
            </w:pPr>
            <w:r>
              <w:rPr>
                <w:rFonts w:ascii="Times New Roman" w:cs="Times New Roman" w:eastAsia="Times New Roman" w:hAnsi="Times New Roman"/>
                <w:sz w:val="16"/>
                <w:szCs w:val="16"/>
                <w:color w:val="0000FF"/>
              </w:rPr>
              <w:t>Market for Registrant’s Common Equity, Related Stockholder Matters and Issuer Purchases of Equity Securities</w:t>
            </w:r>
          </w:p>
        </w:tc>
        <w:tc>
          <w:tcPr>
            <w:tcW w:w="1140" w:type="dxa"/>
            <w:vAlign w:val="bottom"/>
            <w:gridSpan w:val="2"/>
          </w:tcPr>
          <w:p>
            <w:pPr>
              <w:jc w:val="center"/>
              <w:ind w:left="899"/>
              <w:spacing w:after="0"/>
              <w:rPr>
                <w:sz w:val="20"/>
                <w:szCs w:val="20"/>
                <w:color w:val="auto"/>
              </w:rPr>
            </w:pPr>
            <w:r>
              <w:rPr>
                <w:rFonts w:ascii="Times New Roman" w:cs="Times New Roman" w:eastAsia="Times New Roman" w:hAnsi="Times New Roman"/>
                <w:sz w:val="16"/>
                <w:szCs w:val="16"/>
                <w:color w:val="0000FF"/>
                <w:w w:val="99"/>
              </w:rPr>
              <w:t>29</w:t>
            </w:r>
          </w:p>
        </w:tc>
        <w:tc>
          <w:tcPr>
            <w:tcW w:w="260" w:type="dxa"/>
            <w:vAlign w:val="bottom"/>
          </w:tcPr>
          <w:p>
            <w:pPr>
              <w:spacing w:after="0"/>
              <w:rPr>
                <w:sz w:val="24"/>
                <w:szCs w:val="24"/>
                <w:color w:val="auto"/>
              </w:rPr>
            </w:pPr>
          </w:p>
        </w:tc>
      </w:tr>
      <w:tr>
        <w:trPr>
          <w:trHeight w:val="20"/>
        </w:trPr>
        <w:tc>
          <w:tcPr>
            <w:tcW w:w="4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580" w:type="dxa"/>
            <w:vAlign w:val="bottom"/>
            <w:tcBorders>
              <w:left w:val="single" w:sz="8" w:color="0000FF"/>
            </w:tcBorders>
            <w:gridSpan w:val="3"/>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r>
      <w:tr>
        <w:trPr>
          <w:trHeight w:val="196"/>
        </w:trPr>
        <w:tc>
          <w:tcPr>
            <w:tcW w:w="1520" w:type="dxa"/>
            <w:vAlign w:val="bottom"/>
            <w:gridSpan w:val="5"/>
          </w:tcPr>
          <w:p>
            <w:pPr>
              <w:spacing w:after="0"/>
              <w:rPr>
                <w:sz w:val="20"/>
                <w:szCs w:val="20"/>
                <w:color w:val="auto"/>
              </w:rPr>
            </w:pPr>
            <w:r>
              <w:rPr>
                <w:rFonts w:ascii="Times New Roman" w:cs="Times New Roman" w:eastAsia="Times New Roman" w:hAnsi="Times New Roman"/>
                <w:sz w:val="16"/>
                <w:szCs w:val="16"/>
                <w:color w:val="0000FF"/>
              </w:rPr>
              <w:t>Item 6.</w:t>
            </w:r>
          </w:p>
        </w:tc>
        <w:tc>
          <w:tcPr>
            <w:tcW w:w="8100" w:type="dxa"/>
            <w:vAlign w:val="bottom"/>
            <w:gridSpan w:val="20"/>
          </w:tcPr>
          <w:p>
            <w:pPr>
              <w:spacing w:after="0"/>
              <w:rPr>
                <w:sz w:val="20"/>
                <w:szCs w:val="20"/>
                <w:color w:val="auto"/>
              </w:rPr>
            </w:pPr>
            <w:r>
              <w:rPr>
                <w:rFonts w:ascii="Times New Roman" w:cs="Times New Roman" w:eastAsia="Times New Roman" w:hAnsi="Times New Roman"/>
                <w:sz w:val="16"/>
                <w:szCs w:val="16"/>
                <w:color w:val="0000FF"/>
              </w:rPr>
              <w:t>Reserved</w:t>
            </w:r>
          </w:p>
        </w:tc>
        <w:tc>
          <w:tcPr>
            <w:tcW w:w="1140" w:type="dxa"/>
            <w:vAlign w:val="bottom"/>
            <w:gridSpan w:val="2"/>
          </w:tcPr>
          <w:p>
            <w:pPr>
              <w:jc w:val="center"/>
              <w:ind w:left="899"/>
              <w:spacing w:after="0"/>
              <w:rPr>
                <w:sz w:val="20"/>
                <w:szCs w:val="20"/>
                <w:color w:val="auto"/>
              </w:rPr>
            </w:pPr>
            <w:r>
              <w:rPr>
                <w:rFonts w:ascii="Times New Roman" w:cs="Times New Roman" w:eastAsia="Times New Roman" w:hAnsi="Times New Roman"/>
                <w:sz w:val="16"/>
                <w:szCs w:val="16"/>
                <w:color w:val="0000FF"/>
                <w:w w:val="99"/>
              </w:rPr>
              <w:t>31</w:t>
            </w:r>
          </w:p>
        </w:tc>
        <w:tc>
          <w:tcPr>
            <w:tcW w:w="260" w:type="dxa"/>
            <w:vAlign w:val="bottom"/>
          </w:tcPr>
          <w:p>
            <w:pPr>
              <w:spacing w:after="0"/>
              <w:rPr>
                <w:sz w:val="17"/>
                <w:szCs w:val="17"/>
                <w:color w:val="auto"/>
              </w:rPr>
            </w:pPr>
          </w:p>
        </w:tc>
      </w:tr>
      <w:tr>
        <w:trPr>
          <w:trHeight w:val="20"/>
        </w:trPr>
        <w:tc>
          <w:tcPr>
            <w:tcW w:w="4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10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r>
      <w:tr>
        <w:trPr>
          <w:trHeight w:val="196"/>
        </w:trPr>
        <w:tc>
          <w:tcPr>
            <w:tcW w:w="1520" w:type="dxa"/>
            <w:vAlign w:val="bottom"/>
            <w:gridSpan w:val="5"/>
          </w:tcPr>
          <w:p>
            <w:pPr>
              <w:spacing w:after="0"/>
              <w:rPr>
                <w:sz w:val="20"/>
                <w:szCs w:val="20"/>
                <w:color w:val="auto"/>
              </w:rPr>
            </w:pPr>
            <w:r>
              <w:rPr>
                <w:rFonts w:ascii="Times New Roman" w:cs="Times New Roman" w:eastAsia="Times New Roman" w:hAnsi="Times New Roman"/>
                <w:sz w:val="16"/>
                <w:szCs w:val="16"/>
                <w:color w:val="0000FF"/>
              </w:rPr>
              <w:t>Item 7.</w:t>
            </w:r>
          </w:p>
        </w:tc>
        <w:tc>
          <w:tcPr>
            <w:tcW w:w="8100" w:type="dxa"/>
            <w:vAlign w:val="bottom"/>
            <w:gridSpan w:val="20"/>
          </w:tcPr>
          <w:p>
            <w:pPr>
              <w:spacing w:after="0"/>
              <w:rPr>
                <w:sz w:val="20"/>
                <w:szCs w:val="20"/>
                <w:color w:val="auto"/>
              </w:rPr>
            </w:pPr>
            <w:r>
              <w:rPr>
                <w:rFonts w:ascii="Times New Roman" w:cs="Times New Roman" w:eastAsia="Times New Roman" w:hAnsi="Times New Roman"/>
                <w:sz w:val="16"/>
                <w:szCs w:val="16"/>
                <w:color w:val="0000FF"/>
              </w:rPr>
              <w:t>Management’s Discussion and Analysis of Financial Condition and Results of Operations</w:t>
            </w:r>
          </w:p>
        </w:tc>
        <w:tc>
          <w:tcPr>
            <w:tcW w:w="1140" w:type="dxa"/>
            <w:vAlign w:val="bottom"/>
            <w:gridSpan w:val="2"/>
          </w:tcPr>
          <w:p>
            <w:pPr>
              <w:jc w:val="center"/>
              <w:ind w:left="899"/>
              <w:spacing w:after="0"/>
              <w:rPr>
                <w:sz w:val="20"/>
                <w:szCs w:val="20"/>
                <w:color w:val="auto"/>
              </w:rPr>
            </w:pPr>
            <w:r>
              <w:rPr>
                <w:rFonts w:ascii="Times New Roman" w:cs="Times New Roman" w:eastAsia="Times New Roman" w:hAnsi="Times New Roman"/>
                <w:sz w:val="16"/>
                <w:szCs w:val="16"/>
                <w:color w:val="0000FF"/>
                <w:w w:val="99"/>
              </w:rPr>
              <w:t>31</w:t>
            </w:r>
          </w:p>
        </w:tc>
        <w:tc>
          <w:tcPr>
            <w:tcW w:w="260" w:type="dxa"/>
            <w:vAlign w:val="bottom"/>
          </w:tcPr>
          <w:p>
            <w:pPr>
              <w:spacing w:after="0"/>
              <w:rPr>
                <w:sz w:val="17"/>
                <w:szCs w:val="17"/>
                <w:color w:val="auto"/>
              </w:rPr>
            </w:pPr>
          </w:p>
        </w:tc>
      </w:tr>
      <w:tr>
        <w:trPr>
          <w:trHeight w:val="20"/>
        </w:trPr>
        <w:tc>
          <w:tcPr>
            <w:tcW w:w="4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80" w:type="dxa"/>
            <w:vAlign w:val="bottom"/>
            <w:gridSpan w:val="5"/>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10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r>
      <w:tr>
        <w:trPr>
          <w:trHeight w:val="196"/>
        </w:trPr>
        <w:tc>
          <w:tcPr>
            <w:tcW w:w="60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Item 7A.</w:t>
            </w:r>
          </w:p>
        </w:tc>
        <w:tc>
          <w:tcPr>
            <w:tcW w:w="920" w:type="dxa"/>
            <w:vAlign w:val="bottom"/>
            <w:gridSpan w:val="2"/>
          </w:tcPr>
          <w:p>
            <w:pPr>
              <w:spacing w:after="0"/>
              <w:rPr>
                <w:sz w:val="17"/>
                <w:szCs w:val="17"/>
                <w:color w:val="auto"/>
              </w:rPr>
            </w:pPr>
          </w:p>
        </w:tc>
        <w:tc>
          <w:tcPr>
            <w:tcW w:w="8100" w:type="dxa"/>
            <w:vAlign w:val="bottom"/>
            <w:gridSpan w:val="20"/>
          </w:tcPr>
          <w:p>
            <w:pPr>
              <w:spacing w:after="0"/>
              <w:rPr>
                <w:sz w:val="20"/>
                <w:szCs w:val="20"/>
                <w:color w:val="auto"/>
              </w:rPr>
            </w:pPr>
            <w:r>
              <w:rPr>
                <w:rFonts w:ascii="Times New Roman" w:cs="Times New Roman" w:eastAsia="Times New Roman" w:hAnsi="Times New Roman"/>
                <w:sz w:val="16"/>
                <w:szCs w:val="16"/>
                <w:color w:val="0000FF"/>
              </w:rPr>
              <w:t>Quantitative and Qualitative Disclosures About Market Risk</w:t>
            </w:r>
          </w:p>
        </w:tc>
        <w:tc>
          <w:tcPr>
            <w:tcW w:w="1140" w:type="dxa"/>
            <w:vAlign w:val="bottom"/>
            <w:gridSpan w:val="2"/>
          </w:tcPr>
          <w:p>
            <w:pPr>
              <w:jc w:val="center"/>
              <w:ind w:left="899"/>
              <w:spacing w:after="0"/>
              <w:rPr>
                <w:sz w:val="20"/>
                <w:szCs w:val="20"/>
                <w:color w:val="auto"/>
              </w:rPr>
            </w:pPr>
            <w:r>
              <w:rPr>
                <w:rFonts w:ascii="Times New Roman" w:cs="Times New Roman" w:eastAsia="Times New Roman" w:hAnsi="Times New Roman"/>
                <w:sz w:val="16"/>
                <w:szCs w:val="16"/>
                <w:color w:val="0000FF"/>
                <w:w w:val="99"/>
              </w:rPr>
              <w:t>42</w:t>
            </w:r>
          </w:p>
        </w:tc>
        <w:tc>
          <w:tcPr>
            <w:tcW w:w="260" w:type="dxa"/>
            <w:vAlign w:val="bottom"/>
          </w:tcPr>
          <w:p>
            <w:pPr>
              <w:spacing w:after="0"/>
              <w:rPr>
                <w:sz w:val="17"/>
                <w:szCs w:val="17"/>
                <w:color w:val="auto"/>
              </w:rPr>
            </w:pPr>
          </w:p>
        </w:tc>
      </w:tr>
      <w:tr>
        <w:trPr>
          <w:trHeight w:val="196"/>
        </w:trPr>
        <w:tc>
          <w:tcPr>
            <w:tcW w:w="54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6"/>
                <w:szCs w:val="16"/>
                <w:color w:val="0000FF"/>
              </w:rPr>
              <w:t>Item 8.</w:t>
            </w:r>
          </w:p>
        </w:tc>
        <w:tc>
          <w:tcPr>
            <w:tcW w:w="60" w:type="dxa"/>
            <w:vAlign w:val="bottom"/>
            <w:tcBorders>
              <w:top w:val="single" w:sz="8" w:color="0000FF"/>
            </w:tcBorders>
          </w:tcPr>
          <w:p>
            <w:pPr>
              <w:spacing w:after="0"/>
              <w:rPr>
                <w:sz w:val="17"/>
                <w:szCs w:val="17"/>
                <w:color w:val="auto"/>
              </w:rPr>
            </w:pPr>
          </w:p>
        </w:tc>
        <w:tc>
          <w:tcPr>
            <w:tcW w:w="920" w:type="dxa"/>
            <w:vAlign w:val="bottom"/>
            <w:gridSpan w:val="2"/>
          </w:tcPr>
          <w:p>
            <w:pPr>
              <w:spacing w:after="0"/>
              <w:rPr>
                <w:sz w:val="17"/>
                <w:szCs w:val="17"/>
                <w:color w:val="auto"/>
              </w:rPr>
            </w:pPr>
          </w:p>
        </w:tc>
        <w:tc>
          <w:tcPr>
            <w:tcW w:w="3000" w:type="dxa"/>
            <w:vAlign w:val="bottom"/>
            <w:tcBorders>
              <w:top w:val="single" w:sz="8" w:color="0000FF"/>
              <w:bottom w:val="single" w:sz="8" w:color="0000FF"/>
            </w:tcBorders>
            <w:gridSpan w:val="12"/>
          </w:tcPr>
          <w:p>
            <w:pPr>
              <w:spacing w:after="0"/>
              <w:rPr>
                <w:sz w:val="20"/>
                <w:szCs w:val="20"/>
                <w:color w:val="auto"/>
              </w:rPr>
            </w:pPr>
            <w:r>
              <w:rPr>
                <w:rFonts w:ascii="Times New Roman" w:cs="Times New Roman" w:eastAsia="Times New Roman" w:hAnsi="Times New Roman"/>
                <w:sz w:val="16"/>
                <w:szCs w:val="16"/>
                <w:color w:val="0000FF"/>
              </w:rPr>
              <w:t>Financial Statements and Supplementary Data</w:t>
            </w:r>
          </w:p>
        </w:tc>
        <w:tc>
          <w:tcPr>
            <w:tcW w:w="920" w:type="dxa"/>
            <w:vAlign w:val="bottom"/>
            <w:tcBorders>
              <w:top w:val="single" w:sz="8" w:color="0000FF"/>
            </w:tcBorders>
            <w:gridSpan w:val="2"/>
          </w:tcPr>
          <w:p>
            <w:pPr>
              <w:spacing w:after="0"/>
              <w:rPr>
                <w:sz w:val="17"/>
                <w:szCs w:val="17"/>
                <w:color w:val="auto"/>
              </w:rPr>
            </w:pPr>
          </w:p>
        </w:tc>
        <w:tc>
          <w:tcPr>
            <w:tcW w:w="4180" w:type="dxa"/>
            <w:vAlign w:val="bottom"/>
            <w:gridSpan w:val="6"/>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Borders>
              <w:top w:val="single" w:sz="8" w:color="0000FF"/>
            </w:tcBorders>
          </w:tcPr>
          <w:p>
            <w:pPr>
              <w:jc w:val="center"/>
              <w:spacing w:after="0"/>
              <w:rPr>
                <w:sz w:val="20"/>
                <w:szCs w:val="20"/>
                <w:color w:val="auto"/>
              </w:rPr>
            </w:pPr>
            <w:r>
              <w:rPr>
                <w:rFonts w:ascii="Times New Roman" w:cs="Times New Roman" w:eastAsia="Times New Roman" w:hAnsi="Times New Roman"/>
                <w:sz w:val="16"/>
                <w:szCs w:val="16"/>
                <w:color w:val="0000FF"/>
                <w:w w:val="74"/>
              </w:rPr>
              <w:t>43</w:t>
            </w:r>
          </w:p>
        </w:tc>
        <w:tc>
          <w:tcPr>
            <w:tcW w:w="260" w:type="dxa"/>
            <w:vAlign w:val="bottom"/>
          </w:tcPr>
          <w:p>
            <w:pPr>
              <w:spacing w:after="0"/>
              <w:rPr>
                <w:sz w:val="17"/>
                <w:szCs w:val="17"/>
                <w:color w:val="auto"/>
              </w:rPr>
            </w:pPr>
          </w:p>
        </w:tc>
      </w:tr>
      <w:tr>
        <w:trPr>
          <w:trHeight w:val="196"/>
        </w:trPr>
        <w:tc>
          <w:tcPr>
            <w:tcW w:w="1520" w:type="dxa"/>
            <w:vAlign w:val="bottom"/>
            <w:gridSpan w:val="5"/>
          </w:tcPr>
          <w:p>
            <w:pPr>
              <w:spacing w:after="0"/>
              <w:rPr>
                <w:sz w:val="20"/>
                <w:szCs w:val="20"/>
                <w:color w:val="auto"/>
              </w:rPr>
            </w:pPr>
            <w:r>
              <w:rPr>
                <w:rFonts w:ascii="Times New Roman" w:cs="Times New Roman" w:eastAsia="Times New Roman" w:hAnsi="Times New Roman"/>
                <w:sz w:val="16"/>
                <w:szCs w:val="16"/>
                <w:color w:val="0000FF"/>
              </w:rPr>
              <w:t>Item 9.</w:t>
            </w:r>
          </w:p>
        </w:tc>
        <w:tc>
          <w:tcPr>
            <w:tcW w:w="8100" w:type="dxa"/>
            <w:vAlign w:val="bottom"/>
            <w:gridSpan w:val="20"/>
          </w:tcPr>
          <w:p>
            <w:pPr>
              <w:spacing w:after="0"/>
              <w:rPr>
                <w:sz w:val="20"/>
                <w:szCs w:val="20"/>
                <w:color w:val="auto"/>
              </w:rPr>
            </w:pPr>
            <w:r>
              <w:rPr>
                <w:rFonts w:ascii="Times New Roman" w:cs="Times New Roman" w:eastAsia="Times New Roman" w:hAnsi="Times New Roman"/>
                <w:sz w:val="16"/>
                <w:szCs w:val="16"/>
                <w:color w:val="0000FF"/>
              </w:rPr>
              <w:t>Changes in and Disagreements with Accountants on Accounting and Financial Disclosure</w:t>
            </w:r>
          </w:p>
        </w:tc>
        <w:tc>
          <w:tcPr>
            <w:tcW w:w="1140" w:type="dxa"/>
            <w:vAlign w:val="bottom"/>
            <w:gridSpan w:val="2"/>
          </w:tcPr>
          <w:p>
            <w:pPr>
              <w:jc w:val="center"/>
              <w:ind w:left="899"/>
              <w:spacing w:after="0"/>
              <w:rPr>
                <w:sz w:val="20"/>
                <w:szCs w:val="20"/>
                <w:color w:val="auto"/>
              </w:rPr>
            </w:pPr>
            <w:r>
              <w:rPr>
                <w:rFonts w:ascii="Times New Roman" w:cs="Times New Roman" w:eastAsia="Times New Roman" w:hAnsi="Times New Roman"/>
                <w:sz w:val="16"/>
                <w:szCs w:val="16"/>
                <w:color w:val="0000FF"/>
                <w:w w:val="99"/>
              </w:rPr>
              <w:t>74</w:t>
            </w:r>
          </w:p>
        </w:tc>
        <w:tc>
          <w:tcPr>
            <w:tcW w:w="260" w:type="dxa"/>
            <w:vAlign w:val="bottom"/>
          </w:tcPr>
          <w:p>
            <w:pPr>
              <w:spacing w:after="0"/>
              <w:rPr>
                <w:sz w:val="17"/>
                <w:szCs w:val="17"/>
                <w:color w:val="auto"/>
              </w:rPr>
            </w:pPr>
          </w:p>
        </w:tc>
      </w:tr>
      <w:tr>
        <w:trPr>
          <w:trHeight w:val="20"/>
        </w:trPr>
        <w:tc>
          <w:tcPr>
            <w:tcW w:w="4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80" w:type="dxa"/>
            <w:vAlign w:val="bottom"/>
            <w:gridSpan w:val="5"/>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10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r>
      <w:tr>
        <w:trPr>
          <w:trHeight w:val="196"/>
        </w:trPr>
        <w:tc>
          <w:tcPr>
            <w:tcW w:w="60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6"/>
                <w:szCs w:val="16"/>
                <w:color w:val="0000FF"/>
              </w:rPr>
              <w:t>Item 9A.</w:t>
            </w:r>
          </w:p>
        </w:tc>
        <w:tc>
          <w:tcPr>
            <w:tcW w:w="920" w:type="dxa"/>
            <w:vAlign w:val="bottom"/>
            <w:gridSpan w:val="2"/>
          </w:tcPr>
          <w:p>
            <w:pPr>
              <w:spacing w:after="0"/>
              <w:rPr>
                <w:sz w:val="17"/>
                <w:szCs w:val="17"/>
                <w:color w:val="auto"/>
              </w:rPr>
            </w:pPr>
          </w:p>
        </w:tc>
        <w:tc>
          <w:tcPr>
            <w:tcW w:w="160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6"/>
                <w:szCs w:val="16"/>
                <w:color w:val="0000FF"/>
              </w:rPr>
              <w:t>Controls and Procedures</w:t>
            </w:r>
          </w:p>
        </w:tc>
        <w:tc>
          <w:tcPr>
            <w:tcW w:w="6500" w:type="dxa"/>
            <w:vAlign w:val="bottom"/>
            <w:gridSpan w:val="13"/>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6"/>
                <w:szCs w:val="16"/>
                <w:color w:val="0000FF"/>
                <w:w w:val="74"/>
              </w:rPr>
              <w:t>74</w:t>
            </w:r>
          </w:p>
        </w:tc>
        <w:tc>
          <w:tcPr>
            <w:tcW w:w="260" w:type="dxa"/>
            <w:vAlign w:val="bottom"/>
          </w:tcPr>
          <w:p>
            <w:pPr>
              <w:spacing w:after="0"/>
              <w:rPr>
                <w:sz w:val="17"/>
                <w:szCs w:val="17"/>
                <w:color w:val="auto"/>
              </w:rPr>
            </w:pPr>
          </w:p>
        </w:tc>
      </w:tr>
      <w:tr>
        <w:trPr>
          <w:trHeight w:val="196"/>
        </w:trPr>
        <w:tc>
          <w:tcPr>
            <w:tcW w:w="540" w:type="dxa"/>
            <w:vAlign w:val="bottom"/>
            <w:gridSpan w:val="2"/>
          </w:tcPr>
          <w:p>
            <w:pPr>
              <w:spacing w:after="0"/>
              <w:rPr>
                <w:sz w:val="20"/>
                <w:szCs w:val="20"/>
                <w:color w:val="auto"/>
              </w:rPr>
            </w:pPr>
            <w:r>
              <w:rPr>
                <w:rFonts w:ascii="Times New Roman" w:cs="Times New Roman" w:eastAsia="Times New Roman" w:hAnsi="Times New Roman"/>
                <w:sz w:val="16"/>
                <w:szCs w:val="16"/>
                <w:color w:val="0000FF"/>
                <w:w w:val="89"/>
              </w:rPr>
              <w:t>Item 9B.</w:t>
            </w:r>
          </w:p>
        </w:tc>
        <w:tc>
          <w:tcPr>
            <w:tcW w:w="980" w:type="dxa"/>
            <w:vAlign w:val="bottom"/>
            <w:gridSpan w:val="3"/>
          </w:tcPr>
          <w:p>
            <w:pPr>
              <w:spacing w:after="0"/>
              <w:rPr>
                <w:sz w:val="17"/>
                <w:szCs w:val="17"/>
                <w:color w:val="auto"/>
              </w:rPr>
            </w:pPr>
          </w:p>
        </w:tc>
        <w:tc>
          <w:tcPr>
            <w:tcW w:w="8100" w:type="dxa"/>
            <w:vAlign w:val="bottom"/>
            <w:gridSpan w:val="20"/>
          </w:tcPr>
          <w:p>
            <w:pPr>
              <w:spacing w:after="0"/>
              <w:rPr>
                <w:sz w:val="20"/>
                <w:szCs w:val="20"/>
                <w:color w:val="auto"/>
              </w:rPr>
            </w:pPr>
            <w:r>
              <w:rPr>
                <w:rFonts w:ascii="Times New Roman" w:cs="Times New Roman" w:eastAsia="Times New Roman" w:hAnsi="Times New Roman"/>
                <w:sz w:val="16"/>
                <w:szCs w:val="16"/>
                <w:color w:val="0000FF"/>
              </w:rPr>
              <w:t>Other Information</w:t>
            </w:r>
          </w:p>
        </w:tc>
        <w:tc>
          <w:tcPr>
            <w:tcW w:w="1140" w:type="dxa"/>
            <w:vAlign w:val="bottom"/>
            <w:gridSpan w:val="2"/>
          </w:tcPr>
          <w:p>
            <w:pPr>
              <w:jc w:val="center"/>
              <w:ind w:left="899"/>
              <w:spacing w:after="0"/>
              <w:rPr>
                <w:sz w:val="20"/>
                <w:szCs w:val="20"/>
                <w:color w:val="auto"/>
              </w:rPr>
            </w:pPr>
            <w:r>
              <w:rPr>
                <w:rFonts w:ascii="Times New Roman" w:cs="Times New Roman" w:eastAsia="Times New Roman" w:hAnsi="Times New Roman"/>
                <w:sz w:val="16"/>
                <w:szCs w:val="16"/>
                <w:color w:val="0000FF"/>
                <w:w w:val="99"/>
              </w:rPr>
              <w:t>76</w:t>
            </w:r>
          </w:p>
        </w:tc>
        <w:tc>
          <w:tcPr>
            <w:tcW w:w="260" w:type="dxa"/>
            <w:vAlign w:val="bottom"/>
          </w:tcPr>
          <w:p>
            <w:pPr>
              <w:spacing w:after="0"/>
              <w:rPr>
                <w:sz w:val="17"/>
                <w:szCs w:val="17"/>
                <w:color w:val="auto"/>
              </w:rPr>
            </w:pPr>
          </w:p>
        </w:tc>
      </w:tr>
      <w:tr>
        <w:trPr>
          <w:trHeight w:val="20"/>
        </w:trPr>
        <w:tc>
          <w:tcPr>
            <w:tcW w:w="54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80" w:type="dxa"/>
            <w:vAlign w:val="bottom"/>
            <w:gridSpan w:val="5"/>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10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r>
      <w:tr>
        <w:trPr>
          <w:trHeight w:val="196"/>
        </w:trPr>
        <w:tc>
          <w:tcPr>
            <w:tcW w:w="540" w:type="dxa"/>
            <w:vAlign w:val="bottom"/>
            <w:gridSpan w:val="2"/>
          </w:tcPr>
          <w:p>
            <w:pPr>
              <w:spacing w:after="0"/>
              <w:rPr>
                <w:sz w:val="20"/>
                <w:szCs w:val="20"/>
                <w:color w:val="auto"/>
              </w:rPr>
            </w:pPr>
            <w:r>
              <w:rPr>
                <w:rFonts w:ascii="Times New Roman" w:cs="Times New Roman" w:eastAsia="Times New Roman" w:hAnsi="Times New Roman"/>
                <w:sz w:val="16"/>
                <w:szCs w:val="16"/>
                <w:color w:val="0000FF"/>
                <w:w w:val="89"/>
              </w:rPr>
              <w:t>Item 9C.</w:t>
            </w:r>
          </w:p>
        </w:tc>
        <w:tc>
          <w:tcPr>
            <w:tcW w:w="980" w:type="dxa"/>
            <w:vAlign w:val="bottom"/>
            <w:gridSpan w:val="3"/>
          </w:tcPr>
          <w:p>
            <w:pPr>
              <w:spacing w:after="0"/>
              <w:rPr>
                <w:sz w:val="17"/>
                <w:szCs w:val="17"/>
                <w:color w:val="auto"/>
              </w:rPr>
            </w:pPr>
          </w:p>
        </w:tc>
        <w:tc>
          <w:tcPr>
            <w:tcW w:w="8100" w:type="dxa"/>
            <w:vAlign w:val="bottom"/>
            <w:gridSpan w:val="20"/>
          </w:tcPr>
          <w:p>
            <w:pPr>
              <w:spacing w:after="0"/>
              <w:rPr>
                <w:sz w:val="20"/>
                <w:szCs w:val="20"/>
                <w:color w:val="auto"/>
              </w:rPr>
            </w:pPr>
            <w:r>
              <w:rPr>
                <w:rFonts w:ascii="Times New Roman" w:cs="Times New Roman" w:eastAsia="Times New Roman" w:hAnsi="Times New Roman"/>
                <w:sz w:val="16"/>
                <w:szCs w:val="16"/>
                <w:color w:val="0000FF"/>
              </w:rPr>
              <w:t>Disclosure Regarding Foreign Jurisdictions that Prevent Inspections</w:t>
            </w:r>
          </w:p>
        </w:tc>
        <w:tc>
          <w:tcPr>
            <w:tcW w:w="1140" w:type="dxa"/>
            <w:vAlign w:val="bottom"/>
            <w:gridSpan w:val="2"/>
          </w:tcPr>
          <w:p>
            <w:pPr>
              <w:jc w:val="center"/>
              <w:ind w:left="899"/>
              <w:spacing w:after="0"/>
              <w:rPr>
                <w:sz w:val="20"/>
                <w:szCs w:val="20"/>
                <w:color w:val="auto"/>
              </w:rPr>
            </w:pPr>
            <w:r>
              <w:rPr>
                <w:rFonts w:ascii="Times New Roman" w:cs="Times New Roman" w:eastAsia="Times New Roman" w:hAnsi="Times New Roman"/>
                <w:sz w:val="16"/>
                <w:szCs w:val="16"/>
                <w:color w:val="0000FF"/>
                <w:w w:val="99"/>
              </w:rPr>
              <w:t>76</w:t>
            </w:r>
          </w:p>
        </w:tc>
        <w:tc>
          <w:tcPr>
            <w:tcW w:w="260" w:type="dxa"/>
            <w:vAlign w:val="bottom"/>
          </w:tcPr>
          <w:p>
            <w:pPr>
              <w:spacing w:after="0"/>
              <w:rPr>
                <w:sz w:val="17"/>
                <w:szCs w:val="17"/>
                <w:color w:val="auto"/>
              </w:rPr>
            </w:pPr>
          </w:p>
        </w:tc>
      </w:tr>
      <w:tr>
        <w:trPr>
          <w:trHeight w:val="20"/>
        </w:trPr>
        <w:tc>
          <w:tcPr>
            <w:tcW w:w="4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10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r>
      <w:tr>
        <w:trPr>
          <w:trHeight w:val="393"/>
        </w:trPr>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20" w:type="dxa"/>
            <w:vAlign w:val="bottom"/>
            <w:gridSpan w:val="7"/>
          </w:tcPr>
          <w:p>
            <w:pPr>
              <w:jc w:val="center"/>
              <w:ind w:right="3600"/>
              <w:spacing w:after="0"/>
              <w:rPr>
                <w:sz w:val="20"/>
                <w:szCs w:val="20"/>
                <w:color w:val="auto"/>
              </w:rPr>
            </w:pPr>
            <w:r>
              <w:rPr>
                <w:rFonts w:ascii="Times New Roman" w:cs="Times New Roman" w:eastAsia="Times New Roman" w:hAnsi="Times New Roman"/>
                <w:sz w:val="16"/>
                <w:szCs w:val="16"/>
                <w:b w:val="1"/>
                <w:bCs w:val="1"/>
                <w:color w:val="auto"/>
                <w:w w:val="99"/>
              </w:rPr>
              <w:t>PART III</w:t>
            </w: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343"/>
        </w:trPr>
        <w:tc>
          <w:tcPr>
            <w:tcW w:w="1520" w:type="dxa"/>
            <w:vAlign w:val="bottom"/>
            <w:gridSpan w:val="5"/>
          </w:tcPr>
          <w:p>
            <w:pPr>
              <w:spacing w:after="0"/>
              <w:rPr>
                <w:sz w:val="20"/>
                <w:szCs w:val="20"/>
                <w:color w:val="auto"/>
              </w:rPr>
            </w:pPr>
            <w:r>
              <w:rPr>
                <w:rFonts w:ascii="Times New Roman" w:cs="Times New Roman" w:eastAsia="Times New Roman" w:hAnsi="Times New Roman"/>
                <w:sz w:val="16"/>
                <w:szCs w:val="16"/>
                <w:color w:val="0000FF"/>
              </w:rPr>
              <w:t>Item 10.</w:t>
            </w:r>
          </w:p>
        </w:tc>
        <w:tc>
          <w:tcPr>
            <w:tcW w:w="8100" w:type="dxa"/>
            <w:vAlign w:val="bottom"/>
            <w:gridSpan w:val="20"/>
          </w:tcPr>
          <w:p>
            <w:pPr>
              <w:spacing w:after="0"/>
              <w:rPr>
                <w:sz w:val="20"/>
                <w:szCs w:val="20"/>
                <w:color w:val="auto"/>
              </w:rPr>
            </w:pPr>
            <w:r>
              <w:rPr>
                <w:rFonts w:ascii="Times New Roman" w:cs="Times New Roman" w:eastAsia="Times New Roman" w:hAnsi="Times New Roman"/>
                <w:sz w:val="16"/>
                <w:szCs w:val="16"/>
                <w:color w:val="0000FF"/>
              </w:rPr>
              <w:t>Directors, Executive Officers and Corporate Governance</w:t>
            </w:r>
          </w:p>
        </w:tc>
        <w:tc>
          <w:tcPr>
            <w:tcW w:w="1140" w:type="dxa"/>
            <w:vAlign w:val="bottom"/>
            <w:gridSpan w:val="2"/>
          </w:tcPr>
          <w:p>
            <w:pPr>
              <w:jc w:val="center"/>
              <w:ind w:left="899"/>
              <w:spacing w:after="0"/>
              <w:rPr>
                <w:sz w:val="20"/>
                <w:szCs w:val="20"/>
                <w:color w:val="auto"/>
              </w:rPr>
            </w:pPr>
            <w:r>
              <w:rPr>
                <w:rFonts w:ascii="Times New Roman" w:cs="Times New Roman" w:eastAsia="Times New Roman" w:hAnsi="Times New Roman"/>
                <w:sz w:val="16"/>
                <w:szCs w:val="16"/>
                <w:color w:val="0000FF"/>
                <w:w w:val="99"/>
              </w:rPr>
              <w:t>76</w:t>
            </w:r>
          </w:p>
        </w:tc>
        <w:tc>
          <w:tcPr>
            <w:tcW w:w="260" w:type="dxa"/>
            <w:vAlign w:val="bottom"/>
          </w:tcPr>
          <w:p>
            <w:pPr>
              <w:spacing w:after="0"/>
              <w:rPr>
                <w:sz w:val="24"/>
                <w:szCs w:val="24"/>
                <w:color w:val="auto"/>
              </w:rPr>
            </w:pPr>
          </w:p>
        </w:tc>
      </w:tr>
      <w:tr>
        <w:trPr>
          <w:trHeight w:val="196"/>
        </w:trPr>
        <w:tc>
          <w:tcPr>
            <w:tcW w:w="54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6"/>
                <w:szCs w:val="16"/>
                <w:color w:val="0000FF"/>
                <w:w w:val="93"/>
              </w:rPr>
              <w:t>Item 11.</w:t>
            </w:r>
          </w:p>
        </w:tc>
        <w:tc>
          <w:tcPr>
            <w:tcW w:w="980" w:type="dxa"/>
            <w:vAlign w:val="bottom"/>
            <w:gridSpan w:val="3"/>
          </w:tcPr>
          <w:p>
            <w:pPr>
              <w:spacing w:after="0"/>
              <w:rPr>
                <w:sz w:val="17"/>
                <w:szCs w:val="17"/>
                <w:color w:val="auto"/>
              </w:rPr>
            </w:pPr>
          </w:p>
        </w:tc>
        <w:tc>
          <w:tcPr>
            <w:tcW w:w="3680" w:type="dxa"/>
            <w:vAlign w:val="bottom"/>
            <w:tcBorders>
              <w:top w:val="single" w:sz="8" w:color="0000FF"/>
            </w:tcBorders>
            <w:gridSpan w:val="13"/>
          </w:tcPr>
          <w:p>
            <w:pPr>
              <w:spacing w:after="0"/>
              <w:rPr>
                <w:sz w:val="20"/>
                <w:szCs w:val="20"/>
                <w:color w:val="auto"/>
              </w:rPr>
            </w:pPr>
            <w:r>
              <w:rPr>
                <w:rFonts w:ascii="Times New Roman" w:cs="Times New Roman" w:eastAsia="Times New Roman" w:hAnsi="Times New Roman"/>
                <w:sz w:val="16"/>
                <w:szCs w:val="16"/>
                <w:color w:val="0000FF"/>
              </w:rPr>
              <w:t>Executive Compensation</w:t>
            </w:r>
          </w:p>
        </w:tc>
        <w:tc>
          <w:tcPr>
            <w:tcW w:w="4420" w:type="dxa"/>
            <w:vAlign w:val="bottom"/>
            <w:gridSpan w:val="7"/>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Borders>
              <w:top w:val="single" w:sz="8" w:color="0000FF"/>
            </w:tcBorders>
          </w:tcPr>
          <w:p>
            <w:pPr>
              <w:jc w:val="center"/>
              <w:spacing w:after="0"/>
              <w:rPr>
                <w:sz w:val="20"/>
                <w:szCs w:val="20"/>
                <w:color w:val="auto"/>
              </w:rPr>
            </w:pPr>
            <w:r>
              <w:rPr>
                <w:rFonts w:ascii="Times New Roman" w:cs="Times New Roman" w:eastAsia="Times New Roman" w:hAnsi="Times New Roman"/>
                <w:sz w:val="16"/>
                <w:szCs w:val="16"/>
                <w:color w:val="0000FF"/>
                <w:w w:val="74"/>
              </w:rPr>
              <w:t>76</w:t>
            </w:r>
          </w:p>
        </w:tc>
        <w:tc>
          <w:tcPr>
            <w:tcW w:w="260" w:type="dxa"/>
            <w:vAlign w:val="bottom"/>
          </w:tcPr>
          <w:p>
            <w:pPr>
              <w:spacing w:after="0"/>
              <w:rPr>
                <w:sz w:val="17"/>
                <w:szCs w:val="17"/>
                <w:color w:val="auto"/>
              </w:rPr>
            </w:pPr>
          </w:p>
        </w:tc>
      </w:tr>
      <w:tr>
        <w:trPr>
          <w:trHeight w:val="20"/>
        </w:trPr>
        <w:tc>
          <w:tcPr>
            <w:tcW w:w="540" w:type="dxa"/>
            <w:vAlign w:val="bottom"/>
            <w:gridSpan w:val="2"/>
            <w:shd w:val="clear" w:color="auto" w:fill="0000FF"/>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0" w:type="dxa"/>
            <w:vAlign w:val="bottom"/>
            <w:gridSpan w:val="6"/>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60" w:type="dxa"/>
            <w:vAlign w:val="bottom"/>
            <w:gridSpan w:val="5"/>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10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r>
      <w:tr>
        <w:trPr>
          <w:trHeight w:val="196"/>
        </w:trPr>
        <w:tc>
          <w:tcPr>
            <w:tcW w:w="1520" w:type="dxa"/>
            <w:vAlign w:val="bottom"/>
            <w:gridSpan w:val="5"/>
          </w:tcPr>
          <w:p>
            <w:pPr>
              <w:spacing w:after="0"/>
              <w:rPr>
                <w:sz w:val="20"/>
                <w:szCs w:val="20"/>
                <w:color w:val="auto"/>
              </w:rPr>
            </w:pPr>
            <w:r>
              <w:rPr>
                <w:rFonts w:ascii="Times New Roman" w:cs="Times New Roman" w:eastAsia="Times New Roman" w:hAnsi="Times New Roman"/>
                <w:sz w:val="16"/>
                <w:szCs w:val="16"/>
                <w:color w:val="0000FF"/>
              </w:rPr>
              <w:t>Item 12.</w:t>
            </w:r>
          </w:p>
        </w:tc>
        <w:tc>
          <w:tcPr>
            <w:tcW w:w="8100" w:type="dxa"/>
            <w:vAlign w:val="bottom"/>
            <w:gridSpan w:val="20"/>
          </w:tcPr>
          <w:p>
            <w:pPr>
              <w:spacing w:after="0"/>
              <w:rPr>
                <w:sz w:val="20"/>
                <w:szCs w:val="20"/>
                <w:color w:val="auto"/>
              </w:rPr>
            </w:pPr>
            <w:r>
              <w:rPr>
                <w:rFonts w:ascii="Times New Roman" w:cs="Times New Roman" w:eastAsia="Times New Roman" w:hAnsi="Times New Roman"/>
                <w:sz w:val="16"/>
                <w:szCs w:val="16"/>
                <w:color w:val="0000FF"/>
              </w:rPr>
              <w:t>Security Ownership of Certain Beneficial Owners and Management and Related Stockholder Matters</w:t>
            </w:r>
          </w:p>
        </w:tc>
        <w:tc>
          <w:tcPr>
            <w:tcW w:w="1140" w:type="dxa"/>
            <w:vAlign w:val="bottom"/>
            <w:gridSpan w:val="2"/>
          </w:tcPr>
          <w:p>
            <w:pPr>
              <w:jc w:val="center"/>
              <w:ind w:left="899"/>
              <w:spacing w:after="0"/>
              <w:rPr>
                <w:sz w:val="20"/>
                <w:szCs w:val="20"/>
                <w:color w:val="auto"/>
              </w:rPr>
            </w:pPr>
            <w:r>
              <w:rPr>
                <w:rFonts w:ascii="Times New Roman" w:cs="Times New Roman" w:eastAsia="Times New Roman" w:hAnsi="Times New Roman"/>
                <w:sz w:val="16"/>
                <w:szCs w:val="16"/>
                <w:color w:val="0000FF"/>
                <w:w w:val="99"/>
              </w:rPr>
              <w:t>76</w:t>
            </w:r>
          </w:p>
        </w:tc>
        <w:tc>
          <w:tcPr>
            <w:tcW w:w="260" w:type="dxa"/>
            <w:vAlign w:val="bottom"/>
          </w:tcPr>
          <w:p>
            <w:pPr>
              <w:spacing w:after="0"/>
              <w:rPr>
                <w:sz w:val="17"/>
                <w:szCs w:val="17"/>
                <w:color w:val="auto"/>
              </w:rPr>
            </w:pPr>
          </w:p>
        </w:tc>
      </w:tr>
      <w:tr>
        <w:trPr>
          <w:trHeight w:val="20"/>
        </w:trPr>
        <w:tc>
          <w:tcPr>
            <w:tcW w:w="540" w:type="dxa"/>
            <w:vAlign w:val="bottom"/>
            <w:gridSpan w:val="2"/>
            <w:shd w:val="clear" w:color="auto" w:fill="0000FF"/>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0" w:type="dxa"/>
            <w:vAlign w:val="bottom"/>
            <w:gridSpan w:val="6"/>
            <w:shd w:val="clear" w:color="auto" w:fill="0000FF"/>
          </w:tcPr>
          <w:p>
            <w:pPr>
              <w:spacing w:after="0" w:line="20" w:lineRule="exact"/>
              <w:rPr>
                <w:sz w:val="1"/>
                <w:szCs w:val="1"/>
                <w:color w:val="auto"/>
              </w:rPr>
            </w:pPr>
          </w:p>
        </w:tc>
        <w:tc>
          <w:tcPr>
            <w:tcW w:w="1180" w:type="dxa"/>
            <w:vAlign w:val="bottom"/>
            <w:gridSpan w:val="4"/>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60" w:type="dxa"/>
            <w:vAlign w:val="bottom"/>
            <w:gridSpan w:val="5"/>
            <w:shd w:val="clear" w:color="auto" w:fill="0000FF"/>
          </w:tcPr>
          <w:p>
            <w:pPr>
              <w:spacing w:after="0" w:line="20" w:lineRule="exact"/>
              <w:rPr>
                <w:sz w:val="1"/>
                <w:szCs w:val="1"/>
                <w:color w:val="auto"/>
              </w:rPr>
            </w:pPr>
          </w:p>
        </w:tc>
        <w:tc>
          <w:tcPr>
            <w:tcW w:w="1660" w:type="dxa"/>
            <w:vAlign w:val="bottom"/>
            <w:gridSpan w:val="2"/>
            <w:shd w:val="clear" w:color="auto" w:fill="0000FF"/>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10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r>
      <w:tr>
        <w:trPr>
          <w:trHeight w:val="196"/>
        </w:trPr>
        <w:tc>
          <w:tcPr>
            <w:tcW w:w="1520" w:type="dxa"/>
            <w:vAlign w:val="bottom"/>
            <w:gridSpan w:val="5"/>
          </w:tcPr>
          <w:p>
            <w:pPr>
              <w:spacing w:after="0"/>
              <w:rPr>
                <w:sz w:val="20"/>
                <w:szCs w:val="20"/>
                <w:color w:val="auto"/>
              </w:rPr>
            </w:pPr>
            <w:r>
              <w:rPr>
                <w:rFonts w:ascii="Times New Roman" w:cs="Times New Roman" w:eastAsia="Times New Roman" w:hAnsi="Times New Roman"/>
                <w:sz w:val="16"/>
                <w:szCs w:val="16"/>
                <w:color w:val="0000FF"/>
              </w:rPr>
              <w:t>Item 13.</w:t>
            </w:r>
          </w:p>
        </w:tc>
        <w:tc>
          <w:tcPr>
            <w:tcW w:w="8100" w:type="dxa"/>
            <w:vAlign w:val="bottom"/>
            <w:gridSpan w:val="20"/>
          </w:tcPr>
          <w:p>
            <w:pPr>
              <w:spacing w:after="0"/>
              <w:rPr>
                <w:sz w:val="20"/>
                <w:szCs w:val="20"/>
                <w:color w:val="auto"/>
              </w:rPr>
            </w:pPr>
            <w:r>
              <w:rPr>
                <w:rFonts w:ascii="Times New Roman" w:cs="Times New Roman" w:eastAsia="Times New Roman" w:hAnsi="Times New Roman"/>
                <w:sz w:val="16"/>
                <w:szCs w:val="16"/>
                <w:color w:val="0000FF"/>
              </w:rPr>
              <w:t>Certain Relationships and Related Transactions, and Director Independence</w:t>
            </w:r>
          </w:p>
        </w:tc>
        <w:tc>
          <w:tcPr>
            <w:tcW w:w="1140" w:type="dxa"/>
            <w:vAlign w:val="bottom"/>
            <w:gridSpan w:val="2"/>
          </w:tcPr>
          <w:p>
            <w:pPr>
              <w:jc w:val="center"/>
              <w:ind w:left="899"/>
              <w:spacing w:after="0"/>
              <w:rPr>
                <w:sz w:val="20"/>
                <w:szCs w:val="20"/>
                <w:color w:val="auto"/>
              </w:rPr>
            </w:pPr>
            <w:r>
              <w:rPr>
                <w:rFonts w:ascii="Times New Roman" w:cs="Times New Roman" w:eastAsia="Times New Roman" w:hAnsi="Times New Roman"/>
                <w:sz w:val="16"/>
                <w:szCs w:val="16"/>
                <w:color w:val="0000FF"/>
                <w:w w:val="99"/>
              </w:rPr>
              <w:t>76</w:t>
            </w:r>
          </w:p>
        </w:tc>
        <w:tc>
          <w:tcPr>
            <w:tcW w:w="260" w:type="dxa"/>
            <w:vAlign w:val="bottom"/>
          </w:tcPr>
          <w:p>
            <w:pPr>
              <w:spacing w:after="0"/>
              <w:rPr>
                <w:sz w:val="17"/>
                <w:szCs w:val="17"/>
                <w:color w:val="auto"/>
              </w:rPr>
            </w:pPr>
          </w:p>
        </w:tc>
      </w:tr>
      <w:tr>
        <w:trPr>
          <w:trHeight w:val="20"/>
        </w:trPr>
        <w:tc>
          <w:tcPr>
            <w:tcW w:w="540" w:type="dxa"/>
            <w:vAlign w:val="bottom"/>
            <w:gridSpan w:val="2"/>
            <w:shd w:val="clear" w:color="auto" w:fill="0000FF"/>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0" w:type="dxa"/>
            <w:vAlign w:val="bottom"/>
            <w:gridSpan w:val="6"/>
            <w:shd w:val="clear" w:color="auto" w:fill="0000FF"/>
          </w:tcPr>
          <w:p>
            <w:pPr>
              <w:spacing w:after="0" w:line="20" w:lineRule="exact"/>
              <w:rPr>
                <w:sz w:val="1"/>
                <w:szCs w:val="1"/>
                <w:color w:val="auto"/>
              </w:rPr>
            </w:pPr>
          </w:p>
        </w:tc>
        <w:tc>
          <w:tcPr>
            <w:tcW w:w="1180" w:type="dxa"/>
            <w:vAlign w:val="bottom"/>
            <w:gridSpan w:val="4"/>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60" w:type="dxa"/>
            <w:vAlign w:val="bottom"/>
            <w:gridSpan w:val="5"/>
            <w:shd w:val="clear" w:color="auto" w:fill="0000FF"/>
          </w:tcPr>
          <w:p>
            <w:pPr>
              <w:spacing w:after="0" w:line="20" w:lineRule="exact"/>
              <w:rPr>
                <w:sz w:val="1"/>
                <w:szCs w:val="1"/>
                <w:color w:val="auto"/>
              </w:rPr>
            </w:pPr>
          </w:p>
        </w:tc>
        <w:tc>
          <w:tcPr>
            <w:tcW w:w="3200" w:type="dxa"/>
            <w:vAlign w:val="bottom"/>
            <w:gridSpan w:val="4"/>
          </w:tcPr>
          <w:p>
            <w:pPr>
              <w:spacing w:after="0" w:line="20" w:lineRule="exact"/>
              <w:rPr>
                <w:sz w:val="1"/>
                <w:szCs w:val="1"/>
                <w:color w:val="auto"/>
              </w:rPr>
            </w:pPr>
          </w:p>
        </w:tc>
        <w:tc>
          <w:tcPr>
            <w:tcW w:w="10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r>
      <w:tr>
        <w:trPr>
          <w:trHeight w:val="196"/>
        </w:trPr>
        <w:tc>
          <w:tcPr>
            <w:tcW w:w="1520" w:type="dxa"/>
            <w:vAlign w:val="bottom"/>
            <w:gridSpan w:val="5"/>
          </w:tcPr>
          <w:p>
            <w:pPr>
              <w:spacing w:after="0"/>
              <w:rPr>
                <w:sz w:val="20"/>
                <w:szCs w:val="20"/>
                <w:color w:val="auto"/>
              </w:rPr>
            </w:pPr>
            <w:r>
              <w:rPr>
                <w:rFonts w:ascii="Times New Roman" w:cs="Times New Roman" w:eastAsia="Times New Roman" w:hAnsi="Times New Roman"/>
                <w:sz w:val="16"/>
                <w:szCs w:val="16"/>
                <w:color w:val="0000FF"/>
              </w:rPr>
              <w:t>Item 14.</w:t>
            </w:r>
          </w:p>
        </w:tc>
        <w:tc>
          <w:tcPr>
            <w:tcW w:w="8100" w:type="dxa"/>
            <w:vAlign w:val="bottom"/>
            <w:gridSpan w:val="20"/>
          </w:tcPr>
          <w:p>
            <w:pPr>
              <w:spacing w:after="0"/>
              <w:rPr>
                <w:sz w:val="20"/>
                <w:szCs w:val="20"/>
                <w:color w:val="auto"/>
              </w:rPr>
            </w:pPr>
            <w:r>
              <w:rPr>
                <w:rFonts w:ascii="Times New Roman" w:cs="Times New Roman" w:eastAsia="Times New Roman" w:hAnsi="Times New Roman"/>
                <w:sz w:val="16"/>
                <w:szCs w:val="16"/>
                <w:color w:val="0000FF"/>
              </w:rPr>
              <w:t>Principal Accountant Fees and Services</w:t>
            </w:r>
          </w:p>
        </w:tc>
        <w:tc>
          <w:tcPr>
            <w:tcW w:w="1140" w:type="dxa"/>
            <w:vAlign w:val="bottom"/>
            <w:gridSpan w:val="2"/>
          </w:tcPr>
          <w:p>
            <w:pPr>
              <w:jc w:val="center"/>
              <w:ind w:left="899"/>
              <w:spacing w:after="0"/>
              <w:rPr>
                <w:sz w:val="20"/>
                <w:szCs w:val="20"/>
                <w:color w:val="auto"/>
              </w:rPr>
            </w:pPr>
            <w:r>
              <w:rPr>
                <w:rFonts w:ascii="Times New Roman" w:cs="Times New Roman" w:eastAsia="Times New Roman" w:hAnsi="Times New Roman"/>
                <w:sz w:val="16"/>
                <w:szCs w:val="16"/>
                <w:color w:val="0000FF"/>
                <w:w w:val="99"/>
              </w:rPr>
              <w:t>76</w:t>
            </w:r>
          </w:p>
        </w:tc>
        <w:tc>
          <w:tcPr>
            <w:tcW w:w="260" w:type="dxa"/>
            <w:vAlign w:val="bottom"/>
          </w:tcPr>
          <w:p>
            <w:pPr>
              <w:spacing w:after="0"/>
              <w:rPr>
                <w:sz w:val="17"/>
                <w:szCs w:val="17"/>
                <w:color w:val="auto"/>
              </w:rPr>
            </w:pPr>
          </w:p>
        </w:tc>
      </w:tr>
      <w:tr>
        <w:trPr>
          <w:trHeight w:val="393"/>
        </w:trPr>
        <w:tc>
          <w:tcPr>
            <w:tcW w:w="4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740" w:type="dxa"/>
            <w:vAlign w:val="bottom"/>
            <w:tcBorders>
              <w:top w:val="single" w:sz="8" w:color="0000FF"/>
            </w:tcBorders>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20" w:type="dxa"/>
            <w:vAlign w:val="bottom"/>
            <w:gridSpan w:val="7"/>
          </w:tcPr>
          <w:p>
            <w:pPr>
              <w:jc w:val="center"/>
              <w:ind w:right="3620"/>
              <w:spacing w:after="0"/>
              <w:rPr>
                <w:sz w:val="20"/>
                <w:szCs w:val="20"/>
                <w:color w:val="auto"/>
              </w:rPr>
            </w:pPr>
            <w:r>
              <w:rPr>
                <w:rFonts w:ascii="Times New Roman" w:cs="Times New Roman" w:eastAsia="Times New Roman" w:hAnsi="Times New Roman"/>
                <w:sz w:val="16"/>
                <w:szCs w:val="16"/>
                <w:b w:val="1"/>
                <w:bCs w:val="1"/>
                <w:color w:val="auto"/>
                <w:w w:val="97"/>
              </w:rPr>
              <w:t>PART IV</w:t>
            </w:r>
          </w:p>
        </w:tc>
        <w:tc>
          <w:tcPr>
            <w:tcW w:w="106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60" w:type="dxa"/>
            <w:vAlign w:val="bottom"/>
          </w:tcPr>
          <w:p>
            <w:pPr>
              <w:spacing w:after="0"/>
              <w:rPr>
                <w:sz w:val="24"/>
                <w:szCs w:val="24"/>
                <w:color w:val="auto"/>
              </w:rPr>
            </w:pPr>
          </w:p>
        </w:tc>
      </w:tr>
      <w:tr>
        <w:trPr>
          <w:trHeight w:val="344"/>
        </w:trPr>
        <w:tc>
          <w:tcPr>
            <w:tcW w:w="1520" w:type="dxa"/>
            <w:vAlign w:val="bottom"/>
            <w:gridSpan w:val="5"/>
          </w:tcPr>
          <w:p>
            <w:pPr>
              <w:spacing w:after="0"/>
              <w:rPr>
                <w:sz w:val="20"/>
                <w:szCs w:val="20"/>
                <w:color w:val="auto"/>
              </w:rPr>
            </w:pPr>
            <w:r>
              <w:rPr>
                <w:rFonts w:ascii="Times New Roman" w:cs="Times New Roman" w:eastAsia="Times New Roman" w:hAnsi="Times New Roman"/>
                <w:sz w:val="16"/>
                <w:szCs w:val="16"/>
                <w:color w:val="0000FF"/>
              </w:rPr>
              <w:t>Item 15.</w:t>
            </w:r>
          </w:p>
        </w:tc>
        <w:tc>
          <w:tcPr>
            <w:tcW w:w="8100" w:type="dxa"/>
            <w:vAlign w:val="bottom"/>
            <w:gridSpan w:val="20"/>
          </w:tcPr>
          <w:p>
            <w:pPr>
              <w:spacing w:after="0"/>
              <w:rPr>
                <w:sz w:val="20"/>
                <w:szCs w:val="20"/>
                <w:color w:val="auto"/>
              </w:rPr>
            </w:pPr>
            <w:r>
              <w:rPr>
                <w:rFonts w:ascii="Times New Roman" w:cs="Times New Roman" w:eastAsia="Times New Roman" w:hAnsi="Times New Roman"/>
                <w:sz w:val="16"/>
                <w:szCs w:val="16"/>
                <w:color w:val="0000FF"/>
              </w:rPr>
              <w:t>Exhibits and Financial Statement Schedules</w:t>
            </w:r>
          </w:p>
        </w:tc>
        <w:tc>
          <w:tcPr>
            <w:tcW w:w="1140" w:type="dxa"/>
            <w:vAlign w:val="bottom"/>
            <w:gridSpan w:val="2"/>
          </w:tcPr>
          <w:p>
            <w:pPr>
              <w:jc w:val="center"/>
              <w:ind w:left="899"/>
              <w:spacing w:after="0"/>
              <w:rPr>
                <w:sz w:val="20"/>
                <w:szCs w:val="20"/>
                <w:color w:val="auto"/>
              </w:rPr>
            </w:pPr>
            <w:r>
              <w:rPr>
                <w:rFonts w:ascii="Times New Roman" w:cs="Times New Roman" w:eastAsia="Times New Roman" w:hAnsi="Times New Roman"/>
                <w:sz w:val="16"/>
                <w:szCs w:val="16"/>
                <w:color w:val="0000FF"/>
                <w:w w:val="99"/>
              </w:rPr>
              <w:t>77</w:t>
            </w:r>
          </w:p>
        </w:tc>
        <w:tc>
          <w:tcPr>
            <w:tcW w:w="260" w:type="dxa"/>
            <w:vAlign w:val="bottom"/>
          </w:tcPr>
          <w:p>
            <w:pPr>
              <w:spacing w:after="0"/>
              <w:rPr>
                <w:sz w:val="24"/>
                <w:szCs w:val="24"/>
                <w:color w:val="auto"/>
              </w:rPr>
            </w:pPr>
          </w:p>
        </w:tc>
      </w:tr>
      <w:tr>
        <w:trPr>
          <w:trHeight w:val="20"/>
        </w:trPr>
        <w:tc>
          <w:tcPr>
            <w:tcW w:w="540" w:type="dxa"/>
            <w:vAlign w:val="bottom"/>
            <w:gridSpan w:val="2"/>
            <w:shd w:val="clear" w:color="auto" w:fill="0000FF"/>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0" w:type="dxa"/>
            <w:vAlign w:val="bottom"/>
            <w:gridSpan w:val="6"/>
            <w:shd w:val="clear" w:color="auto" w:fill="0000FF"/>
          </w:tcPr>
          <w:p>
            <w:pPr>
              <w:spacing w:after="0" w:line="20" w:lineRule="exact"/>
              <w:rPr>
                <w:sz w:val="1"/>
                <w:szCs w:val="1"/>
                <w:color w:val="auto"/>
              </w:rPr>
            </w:pPr>
          </w:p>
        </w:tc>
        <w:tc>
          <w:tcPr>
            <w:tcW w:w="1440" w:type="dxa"/>
            <w:vAlign w:val="bottom"/>
            <w:gridSpan w:val="5"/>
            <w:shd w:val="clear" w:color="auto" w:fill="0000FF"/>
          </w:tcPr>
          <w:p>
            <w:pPr>
              <w:spacing w:after="0" w:line="20" w:lineRule="exact"/>
              <w:rPr>
                <w:sz w:val="1"/>
                <w:szCs w:val="1"/>
                <w:color w:val="auto"/>
              </w:rPr>
            </w:pPr>
          </w:p>
        </w:tc>
        <w:tc>
          <w:tcPr>
            <w:tcW w:w="5260" w:type="dxa"/>
            <w:vAlign w:val="bottom"/>
            <w:gridSpan w:val="9"/>
          </w:tcPr>
          <w:p>
            <w:pPr>
              <w:spacing w:after="0" w:line="20" w:lineRule="exact"/>
              <w:rPr>
                <w:sz w:val="1"/>
                <w:szCs w:val="1"/>
                <w:color w:val="auto"/>
              </w:rPr>
            </w:pPr>
          </w:p>
        </w:tc>
        <w:tc>
          <w:tcPr>
            <w:tcW w:w="10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r>
      <w:tr>
        <w:trPr>
          <w:trHeight w:val="196"/>
        </w:trPr>
        <w:tc>
          <w:tcPr>
            <w:tcW w:w="1520" w:type="dxa"/>
            <w:vAlign w:val="bottom"/>
            <w:gridSpan w:val="5"/>
          </w:tcPr>
          <w:p>
            <w:pPr>
              <w:spacing w:after="0"/>
              <w:rPr>
                <w:sz w:val="20"/>
                <w:szCs w:val="20"/>
                <w:color w:val="auto"/>
              </w:rPr>
            </w:pPr>
            <w:r>
              <w:rPr>
                <w:rFonts w:ascii="Times New Roman" w:cs="Times New Roman" w:eastAsia="Times New Roman" w:hAnsi="Times New Roman"/>
                <w:sz w:val="16"/>
                <w:szCs w:val="16"/>
                <w:color w:val="0000FF"/>
              </w:rPr>
              <w:t>Item 16.</w:t>
            </w:r>
          </w:p>
        </w:tc>
        <w:tc>
          <w:tcPr>
            <w:tcW w:w="8100" w:type="dxa"/>
            <w:vAlign w:val="bottom"/>
            <w:gridSpan w:val="20"/>
          </w:tcPr>
          <w:p>
            <w:pPr>
              <w:spacing w:after="0"/>
              <w:rPr>
                <w:sz w:val="20"/>
                <w:szCs w:val="20"/>
                <w:color w:val="auto"/>
              </w:rPr>
            </w:pPr>
            <w:r>
              <w:rPr>
                <w:rFonts w:ascii="Times New Roman" w:cs="Times New Roman" w:eastAsia="Times New Roman" w:hAnsi="Times New Roman"/>
                <w:sz w:val="16"/>
                <w:szCs w:val="16"/>
                <w:color w:val="0000FF"/>
              </w:rPr>
              <w:t>Form 10-K Summary</w:t>
            </w:r>
          </w:p>
        </w:tc>
        <w:tc>
          <w:tcPr>
            <w:tcW w:w="1140" w:type="dxa"/>
            <w:vAlign w:val="bottom"/>
            <w:gridSpan w:val="2"/>
          </w:tcPr>
          <w:p>
            <w:pPr>
              <w:jc w:val="center"/>
              <w:ind w:left="899"/>
              <w:spacing w:after="0"/>
              <w:rPr>
                <w:sz w:val="20"/>
                <w:szCs w:val="20"/>
                <w:color w:val="auto"/>
              </w:rPr>
            </w:pPr>
            <w:r>
              <w:rPr>
                <w:rFonts w:ascii="Times New Roman" w:cs="Times New Roman" w:eastAsia="Times New Roman" w:hAnsi="Times New Roman"/>
                <w:sz w:val="16"/>
                <w:szCs w:val="16"/>
                <w:color w:val="0000FF"/>
                <w:w w:val="99"/>
              </w:rPr>
              <w:t>78</w:t>
            </w:r>
          </w:p>
        </w:tc>
        <w:tc>
          <w:tcPr>
            <w:tcW w:w="260" w:type="dxa"/>
            <w:vAlign w:val="bottom"/>
          </w:tcPr>
          <w:p>
            <w:pPr>
              <w:spacing w:after="0"/>
              <w:rPr>
                <w:sz w:val="17"/>
                <w:szCs w:val="17"/>
                <w:color w:val="auto"/>
              </w:rPr>
            </w:pPr>
          </w:p>
        </w:tc>
      </w:tr>
      <w:tr>
        <w:trPr>
          <w:trHeight w:val="20"/>
        </w:trPr>
        <w:tc>
          <w:tcPr>
            <w:tcW w:w="540" w:type="dxa"/>
            <w:vAlign w:val="bottom"/>
            <w:gridSpan w:val="2"/>
            <w:shd w:val="clear" w:color="auto" w:fill="0000FF"/>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r>
      <w:tr>
        <w:trPr>
          <w:trHeight w:val="196"/>
        </w:trPr>
        <w:tc>
          <w:tcPr>
            <w:tcW w:w="100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6"/>
                <w:szCs w:val="16"/>
                <w:color w:val="0000FF"/>
                <w:w w:val="98"/>
              </w:rPr>
              <w:t>SIGNATURES</w:t>
            </w:r>
          </w:p>
        </w:tc>
        <w:tc>
          <w:tcPr>
            <w:tcW w:w="5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6"/>
                <w:szCs w:val="16"/>
                <w:color w:val="0000FF"/>
                <w:w w:val="74"/>
              </w:rPr>
              <w:t>79</w:t>
            </w:r>
          </w:p>
        </w:tc>
        <w:tc>
          <w:tcPr>
            <w:tcW w:w="26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40" w:top="887" w:right="5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89"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This Annual Report on Form 10-K (“Annual Report”) contains statements not purely historical and which may be considered forward-looking statements within the meaning of Section 27A of the Securities Act of 1933, as amended (the “Securities Act”), and Section 21E of the Securities Exchange Act of 1934, as amended (the “Exchange Act”), including statements regarding our expectations, beliefs, future plans and strategies, anticipated events or trends concerning matters that are not historical facts or that necessarily depend upon future events. In some cases, you can identify forward-looking statements by terms such as “may,” “will,” “should,” “could,” “would,” “expect,” “plan,” “anticipate,” “believe,” “estimate,” “project,” “predict,” “potential,” “intend,” and similar expressions. This Annual Report contains, among others, forward-looking statements based upon current expectations that involve numerous risks and uncertainties, including those described in Item 1A. “Risk Factors”.</w:t>
      </w:r>
    </w:p>
    <w:p>
      <w:pPr>
        <w:spacing w:after="0" w:line="162" w:lineRule="exact"/>
        <w:rPr>
          <w:sz w:val="20"/>
          <w:szCs w:val="20"/>
          <w:color w:val="auto"/>
        </w:rPr>
      </w:pPr>
    </w:p>
    <w:p>
      <w:pPr>
        <w:ind w:right="340" w:firstLine="324"/>
        <w:spacing w:after="0" w:line="282" w:lineRule="auto"/>
        <w:rPr>
          <w:sz w:val="20"/>
          <w:szCs w:val="20"/>
          <w:color w:val="auto"/>
        </w:rPr>
      </w:pPr>
      <w:r>
        <w:rPr>
          <w:rFonts w:ascii="Times New Roman" w:cs="Times New Roman" w:eastAsia="Times New Roman" w:hAnsi="Times New Roman"/>
          <w:sz w:val="18"/>
          <w:szCs w:val="18"/>
          <w:color w:val="auto"/>
        </w:rPr>
        <w:t>Investors are cautioned that any such forward-looking statements are not guarantees of future performance, involve risks and uncertainties and that actual results may differ materially from those possible results discussed in the forward-looking statements as a result of various factors.</w:t>
      </w:r>
    </w:p>
    <w:p>
      <w:pPr>
        <w:spacing w:after="0" w:line="121"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Do not place undue reliance on such forward-looking statements as they speak only as of the date they are made. Except as required by law, Option Care Health, Inc. assumes no obligation to publicly update or revise any forward-looking statement even if experience or future changes make it clear that any projected results expressed or implied therein will not be realized.</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18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i w:val="1"/>
          <w:iCs w:val="1"/>
          <w:color w:val="auto"/>
        </w:rPr>
        <w:t>Business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89" w:lineRule="exact"/>
        <w:rPr>
          <w:sz w:val="20"/>
          <w:szCs w:val="20"/>
          <w:color w:val="auto"/>
        </w:rPr>
      </w:pPr>
    </w:p>
    <w:p>
      <w:pPr>
        <w:ind w:right="160" w:firstLine="324"/>
        <w:spacing w:after="0" w:line="256" w:lineRule="auto"/>
        <w:rPr>
          <w:sz w:val="20"/>
          <w:szCs w:val="20"/>
          <w:color w:val="auto"/>
        </w:rPr>
      </w:pPr>
      <w:r>
        <w:rPr>
          <w:rFonts w:ascii="Times New Roman" w:cs="Times New Roman" w:eastAsia="Times New Roman" w:hAnsi="Times New Roman"/>
          <w:sz w:val="18"/>
          <w:szCs w:val="18"/>
          <w:color w:val="auto"/>
        </w:rPr>
        <w:t>Option Care Health, Inc. (“Option Care Health”, “we”, “us”, “our”, or the “Company”) is the largest independent provider of home and alternate site infusion services through its national network of 185 locations in 43 states. Option Care Health draws on over 40 years of clinical care experience to offer patient-centered, cost-effective infusion therapy. Option Care Health’s infusion services include the clinical management of infusion therapy, nursing support and care coordination. Option Care Health’s multidisciplinary team of more than 5,000 clinicians, including pharmacists, pharmacy technicians, nurses and dietitians, are able to provide infusion service coverage for nearly all patients across the United States (“U.S.”) needing treatment for complex and chronic medical conditions.</w:t>
      </w:r>
    </w:p>
    <w:p>
      <w:pPr>
        <w:spacing w:after="0" w:line="147" w:lineRule="exact"/>
        <w:rPr>
          <w:sz w:val="20"/>
          <w:szCs w:val="20"/>
          <w:color w:val="auto"/>
        </w:rPr>
      </w:pPr>
    </w:p>
    <w:p>
      <w:pPr>
        <w:ind w:right="720" w:firstLine="324"/>
        <w:spacing w:after="0" w:line="282" w:lineRule="auto"/>
        <w:rPr>
          <w:sz w:val="20"/>
          <w:szCs w:val="20"/>
          <w:color w:val="auto"/>
        </w:rPr>
      </w:pPr>
      <w:r>
        <w:rPr>
          <w:rFonts w:ascii="Times New Roman" w:cs="Times New Roman" w:eastAsia="Times New Roman" w:hAnsi="Times New Roman"/>
          <w:sz w:val="18"/>
          <w:szCs w:val="18"/>
          <w:color w:val="auto"/>
        </w:rPr>
        <w:t>On April 7, 2015, HC Group Holdings II, Inc. (“HC II”) and its sole shareholder, HC Group Holdings I, LLC. (“HC I”), collectively acquired Walgreens Infusion Services, Inc. and its subsidiaries from Walgreen Co., and the business was rebranded as Option Care, Inc. (“Option Care”).</w:t>
      </w:r>
    </w:p>
    <w:p>
      <w:pPr>
        <w:spacing w:after="0" w:line="135" w:lineRule="exact"/>
        <w:rPr>
          <w:sz w:val="20"/>
          <w:szCs w:val="20"/>
          <w:color w:val="auto"/>
        </w:rPr>
      </w:pPr>
    </w:p>
    <w:p>
      <w:pPr>
        <w:ind w:right="160" w:firstLine="324"/>
        <w:spacing w:after="0" w:line="266" w:lineRule="auto"/>
        <w:rPr>
          <w:sz w:val="20"/>
          <w:szCs w:val="20"/>
          <w:color w:val="auto"/>
        </w:rPr>
      </w:pPr>
      <w:r>
        <w:rPr>
          <w:rFonts w:ascii="Times New Roman" w:cs="Times New Roman" w:eastAsia="Times New Roman" w:hAnsi="Times New Roman"/>
          <w:sz w:val="18"/>
          <w:szCs w:val="18"/>
          <w:color w:val="auto"/>
        </w:rPr>
        <w:t>On March 14, 2019, HC I and HC II entered into a definitive agreement to merge with and into a wholly-owned subsidiary of BioScrip, Inc. (“BioScrip”) (the “Merger”), a national provider of infusion and home care management solutions, which was completed on August 6, 2019 (the “Merger Date”). Following the close of the Merger, BioScrip was rebranded as Option Care Health, Inc.</w:t>
      </w:r>
    </w:p>
    <w:p>
      <w:pPr>
        <w:spacing w:after="0" w:line="135"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Option Care Health contracts with managed care organizations, third-party payers, hospitals, physicians and other referral sources to provide pharmaceuticals and complex compounded solutions to patients for intravenous delivery in the patients’ homes or other nonhospital settings. Our services are provided in coordination with, and under the direction of, the patient’s physician. Our multidisciplinary team of clinicians, including pharmacists, nurses, dietitians and respiratory therapists, work with the physician to develop a plan of care suited to each patient’s specific needs. We provide home infusion services consisting of anti-infectives, nutrition support, chronic inflammatory disorders, neurological disorders, immunoglobulin therapy, and other therapies for chronic and acute conditions. The Company operates in one segment, infusion services.</w:t>
      </w:r>
    </w:p>
    <w:p>
      <w:pPr>
        <w:spacing w:after="0" w:line="14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Company’s operating model enables it to provide favorable outcomes to its stakeholders as follows:</w:t>
      </w:r>
    </w:p>
    <w:p>
      <w:pPr>
        <w:spacing w:after="0" w:line="194" w:lineRule="exact"/>
        <w:rPr>
          <w:sz w:val="20"/>
          <w:szCs w:val="20"/>
          <w:color w:val="auto"/>
        </w:rPr>
      </w:pPr>
    </w:p>
    <w:p>
      <w:pPr>
        <w:ind w:left="660" w:right="140" w:hanging="328"/>
        <w:spacing w:after="0" w:line="262" w:lineRule="auto"/>
        <w:tabs>
          <w:tab w:leader="none" w:pos="655"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Patients. </w:t>
      </w:r>
      <w:r>
        <w:rPr>
          <w:rFonts w:ascii="Times New Roman" w:cs="Times New Roman" w:eastAsia="Times New Roman" w:hAnsi="Times New Roman"/>
          <w:sz w:val="18"/>
          <w:szCs w:val="18"/>
          <w:color w:val="auto"/>
        </w:rPr>
        <w:t>The Company improves patients’ quality of life by allowing them to receive infusion therapy at home or at one of its ambulatory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infusion suites. In addition, the Company helps manage patients’ conditions through counseling and education regarding their treatment and by providing ongoing monitoring to encourage patient compliance with the prescribed therapy. The Company also provides services to help patients receive reimbursement benefits.</w:t>
      </w:r>
    </w:p>
    <w:p>
      <w:pPr>
        <w:spacing w:after="0" w:line="135" w:lineRule="exact"/>
        <w:rPr>
          <w:rFonts w:ascii="Times New Roman" w:cs="Times New Roman" w:eastAsia="Times New Roman" w:hAnsi="Times New Roman"/>
          <w:sz w:val="18"/>
          <w:szCs w:val="18"/>
          <w:b w:val="1"/>
          <w:bCs w:val="1"/>
          <w:color w:val="auto"/>
        </w:rPr>
      </w:pPr>
    </w:p>
    <w:p>
      <w:pPr>
        <w:jc w:val="both"/>
        <w:ind w:left="660" w:right="260" w:hanging="328"/>
        <w:spacing w:after="0" w:line="262" w:lineRule="auto"/>
        <w:tabs>
          <w:tab w:leader="none" w:pos="655"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Payers. </w:t>
      </w:r>
      <w:r>
        <w:rPr>
          <w:rFonts w:ascii="Times New Roman" w:cs="Times New Roman" w:eastAsia="Times New Roman" w:hAnsi="Times New Roman"/>
          <w:sz w:val="18"/>
          <w:szCs w:val="18"/>
          <w:color w:val="auto"/>
        </w:rPr>
        <w:t>The Company provides payers with a comprehensive approach to meeting their pharmacy service needs and providing a cost-effective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solution. The Company’s provision of infusion pharmacy services in the patient’s home or at one of its local ambulatory infusion suites offers a lower cost alternative to providing these therapies in a hospital setting. The Company also provides payers with utilization and outcome data to evaluate therapy effectiveness.</w:t>
      </w:r>
    </w:p>
    <w:p>
      <w:pPr>
        <w:spacing w:after="0" w:line="135" w:lineRule="exact"/>
        <w:rPr>
          <w:rFonts w:ascii="Times New Roman" w:cs="Times New Roman" w:eastAsia="Times New Roman" w:hAnsi="Times New Roman"/>
          <w:sz w:val="18"/>
          <w:szCs w:val="18"/>
          <w:b w:val="1"/>
          <w:bCs w:val="1"/>
          <w:color w:val="auto"/>
        </w:rPr>
      </w:pPr>
    </w:p>
    <w:p>
      <w:pPr>
        <w:ind w:left="660" w:right="20" w:hanging="328"/>
        <w:spacing w:after="0" w:line="268" w:lineRule="auto"/>
        <w:tabs>
          <w:tab w:leader="none" w:pos="655"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Providers. </w:t>
      </w:r>
      <w:r>
        <w:rPr>
          <w:rFonts w:ascii="Times New Roman" w:cs="Times New Roman" w:eastAsia="Times New Roman" w:hAnsi="Times New Roman"/>
          <w:sz w:val="18"/>
          <w:szCs w:val="18"/>
          <w:color w:val="auto"/>
        </w:rPr>
        <w:t>The Company provides providers with timely patient clinical support by providing care management related to their patients’ pharmacy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needs and improving compliance with therapy protocols. The Company eliminates the need for providers to carry inventories of high-cost prescriptions by distributing the medications directly to patients’ homes.</w:t>
      </w:r>
    </w:p>
    <w:p>
      <w:pPr>
        <w:spacing w:after="0" w:line="143" w:lineRule="exact"/>
        <w:rPr>
          <w:rFonts w:ascii="Times New Roman" w:cs="Times New Roman" w:eastAsia="Times New Roman" w:hAnsi="Times New Roman"/>
          <w:sz w:val="18"/>
          <w:szCs w:val="18"/>
          <w:b w:val="1"/>
          <w:bCs w:val="1"/>
          <w:color w:val="auto"/>
        </w:rPr>
      </w:pPr>
    </w:p>
    <w:p>
      <w:pPr>
        <w:ind w:left="660" w:right="20" w:hanging="328"/>
        <w:spacing w:after="0" w:line="262" w:lineRule="auto"/>
        <w:tabs>
          <w:tab w:leader="none" w:pos="655"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Pharmaceutical Manufacturers. </w:t>
      </w:r>
      <w:r>
        <w:rPr>
          <w:rFonts w:ascii="Times New Roman" w:cs="Times New Roman" w:eastAsia="Times New Roman" w:hAnsi="Times New Roman"/>
          <w:sz w:val="18"/>
          <w:szCs w:val="18"/>
          <w:color w:val="auto"/>
        </w:rPr>
        <w:t>The Company collaborates with pharmaceutical manufacturers to provide a broad distribution channel for their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existing pharmaceuticals and their new product launches. The Company implements patient monitoring programs that encourage compliance with the prescribed therapy. The Company also provides valuable clinical information in the form of outcomes and compliance data to manufacturers to aid in their evaluation of the efficacy of their products.</w:t>
      </w:r>
    </w:p>
    <w:p>
      <w:pPr>
        <w:spacing w:after="0" w:line="135" w:lineRule="exact"/>
        <w:rPr>
          <w:rFonts w:ascii="Times New Roman" w:cs="Times New Roman" w:eastAsia="Times New Roman" w:hAnsi="Times New Roman"/>
          <w:sz w:val="18"/>
          <w:szCs w:val="18"/>
          <w:b w:val="1"/>
          <w:bCs w:val="1"/>
          <w:color w:val="auto"/>
        </w:rPr>
      </w:pPr>
    </w:p>
    <w:p>
      <w:pPr>
        <w:ind w:left="660" w:right="40" w:hanging="328"/>
        <w:spacing w:after="0" w:line="268" w:lineRule="auto"/>
        <w:tabs>
          <w:tab w:leader="none" w:pos="655"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Health Systems. </w:t>
      </w:r>
      <w:r>
        <w:rPr>
          <w:rFonts w:ascii="Times New Roman" w:cs="Times New Roman" w:eastAsia="Times New Roman" w:hAnsi="Times New Roman"/>
          <w:sz w:val="18"/>
          <w:szCs w:val="18"/>
          <w:color w:val="auto"/>
        </w:rPr>
        <w:t>The Company partners with health systems across the country to provide seamless transitional care within an effective post-acute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care network to manage patients across the continuum of care. The Company assists partnered health systems in monitoring key metrics that tie back to what most payers monitor in their value-based contracts.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Quality</w:t>
      </w:r>
    </w:p>
    <w:p>
      <w:pPr>
        <w:spacing w:after="0" w:line="189"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Quality is at the core of the Company’s mission as it strives to deliver quality healthcare, leading to favorable outcomes and more cost-effective care. The Company offers comprehensive services that align with specific healthcare provider needs and has demonstrated success in improving outcomes across a broad range of therapies through improved clinical-reported patient adherence rates and decreased rates of unplanned hospital readmissions.</w:t>
      </w:r>
    </w:p>
    <w:p>
      <w:pPr>
        <w:spacing w:after="0" w:line="149" w:lineRule="exact"/>
        <w:rPr>
          <w:sz w:val="20"/>
          <w:szCs w:val="20"/>
          <w:color w:val="auto"/>
        </w:rPr>
      </w:pPr>
    </w:p>
    <w:p>
      <w:pPr>
        <w:ind w:right="660" w:firstLine="324"/>
        <w:spacing w:after="0" w:line="266" w:lineRule="auto"/>
        <w:rPr>
          <w:sz w:val="20"/>
          <w:szCs w:val="20"/>
          <w:color w:val="auto"/>
        </w:rPr>
      </w:pPr>
      <w:r>
        <w:rPr>
          <w:rFonts w:ascii="Times New Roman" w:cs="Times New Roman" w:eastAsia="Times New Roman" w:hAnsi="Times New Roman"/>
          <w:sz w:val="18"/>
          <w:szCs w:val="18"/>
          <w:color w:val="auto"/>
        </w:rPr>
        <w:t>The Company’s commitment to continuous quality improvement to provide optimal outcomes for its patients is evidenced by its national accreditations, including accreditations from Accreditation Commission for Health Care (“ACHC”), Pharmacy Compounding Accreditation Board (“PCAB”), American Society of Health-System Pharmacists (“ASHP”) and Utilization Review Accreditation Commission (“URAC”).</w:t>
      </w:r>
    </w:p>
    <w:p>
      <w:pPr>
        <w:spacing w:after="0" w:line="135" w:lineRule="exact"/>
        <w:rPr>
          <w:sz w:val="20"/>
          <w:szCs w:val="20"/>
          <w:color w:val="auto"/>
        </w:rPr>
      </w:pPr>
    </w:p>
    <w:p>
      <w:pPr>
        <w:ind w:right="320" w:firstLine="324"/>
        <w:spacing w:after="0" w:line="266" w:lineRule="auto"/>
        <w:rPr>
          <w:sz w:val="20"/>
          <w:szCs w:val="20"/>
          <w:color w:val="auto"/>
        </w:rPr>
      </w:pPr>
      <w:r>
        <w:rPr>
          <w:rFonts w:ascii="Times New Roman" w:cs="Times New Roman" w:eastAsia="Times New Roman" w:hAnsi="Times New Roman"/>
          <w:sz w:val="18"/>
          <w:szCs w:val="18"/>
          <w:color w:val="auto"/>
        </w:rPr>
        <w:t>ACHC accreditation is awarded to healthcare organizations that meet regulatory requirements and accreditation standards, and PCAB accreditation offers the most comprehensive compliance solution in the industry based on more than 40 sterile compounding standards in the U.S. Pharmacopeia Pharmaceutical Compounding - Sterile Preparations Standards (“USP 797”).</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Services</w:t>
      </w:r>
    </w:p>
    <w:p>
      <w:pPr>
        <w:spacing w:after="0" w:line="189"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The Company is the largest independent provider of home and alternate site infusion services. The Company’s services are most typically provided in the patient’s home, but may also be provided at clinics, physicians’ offices or ambulatory infusion suites. The Company provides a broad therapy portfolio through its network of 92 full-service pharmacies and 93 stand-alone ambulatory infusion suites. The Company’s home infusion services include medication and supplies for administration and use at home or within one of its ambulatory infusion suites, consultation and education regarding the patient’s condition and the prescribed medication nursing support, clinical monitoring and assistance in monitoring potential side effects, and assistance in obtaining reimbursement. The Company administers a wide variety of therapies and services, including the following:</w:t>
      </w:r>
    </w:p>
    <w:p>
      <w:pPr>
        <w:spacing w:after="0" w:line="156" w:lineRule="exact"/>
        <w:rPr>
          <w:sz w:val="20"/>
          <w:szCs w:val="20"/>
          <w:color w:val="auto"/>
        </w:rPr>
      </w:pPr>
    </w:p>
    <w:p>
      <w:pPr>
        <w:ind w:left="660" w:right="140" w:hanging="328"/>
        <w:spacing w:after="0" w:line="286" w:lineRule="auto"/>
        <w:tabs>
          <w:tab w:leader="none" w:pos="655"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Anti-Infectives Infusion. </w:t>
      </w:r>
      <w:r>
        <w:rPr>
          <w:rFonts w:ascii="Times New Roman" w:cs="Times New Roman" w:eastAsia="Times New Roman" w:hAnsi="Times New Roman"/>
          <w:sz w:val="18"/>
          <w:szCs w:val="18"/>
          <w:color w:val="auto"/>
        </w:rPr>
        <w:t>The Company provides comprehensive home infusion services to combat serious infections in patients of all ages.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Company’s anti-infective therapy and services help avoid hospitalizations for many infections that can be safely treated at home.</w:t>
      </w:r>
    </w:p>
    <w:p>
      <w:pPr>
        <w:spacing w:after="0" w:line="114" w:lineRule="exact"/>
        <w:rPr>
          <w:rFonts w:ascii="Times New Roman" w:cs="Times New Roman" w:eastAsia="Times New Roman" w:hAnsi="Times New Roman"/>
          <w:sz w:val="18"/>
          <w:szCs w:val="18"/>
          <w:b w:val="1"/>
          <w:bCs w:val="1"/>
          <w:color w:val="auto"/>
        </w:rPr>
      </w:pPr>
    </w:p>
    <w:p>
      <w:pPr>
        <w:jc w:val="both"/>
        <w:ind w:left="660" w:right="160" w:hanging="328"/>
        <w:spacing w:after="0" w:line="268" w:lineRule="auto"/>
        <w:tabs>
          <w:tab w:leader="none" w:pos="655"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Nutrition Support. </w:t>
      </w:r>
      <w:r>
        <w:rPr>
          <w:rFonts w:ascii="Times New Roman" w:cs="Times New Roman" w:eastAsia="Times New Roman" w:hAnsi="Times New Roman"/>
          <w:sz w:val="18"/>
          <w:szCs w:val="18"/>
          <w:color w:val="auto"/>
        </w:rPr>
        <w:t>The Company delivers comprehensive nutrition support across pediatric, adult, and geriatric patients. The Company’s expert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team provides home parenteral nutrition and enteral nutrition support for numerous acute and chronic conditions negatively affecting nutritional status, such as stroke, cancer, and gastrointestinal diseases.</w:t>
      </w:r>
    </w:p>
    <w:p>
      <w:pPr>
        <w:spacing w:after="0" w:line="130" w:lineRule="exact"/>
        <w:rPr>
          <w:rFonts w:ascii="Times New Roman" w:cs="Times New Roman" w:eastAsia="Times New Roman" w:hAnsi="Times New Roman"/>
          <w:sz w:val="18"/>
          <w:szCs w:val="18"/>
          <w:b w:val="1"/>
          <w:bCs w:val="1"/>
          <w:color w:val="auto"/>
        </w:rPr>
      </w:pPr>
    </w:p>
    <w:p>
      <w:pPr>
        <w:ind w:left="660" w:right="200" w:hanging="328"/>
        <w:spacing w:after="0" w:line="262" w:lineRule="auto"/>
        <w:tabs>
          <w:tab w:leader="none" w:pos="655" w:val="left"/>
        </w:tabs>
        <w:numPr>
          <w:ilvl w:val="0"/>
          <w:numId w:val="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Immunoglobulin Infusion. </w:t>
      </w:r>
      <w:r>
        <w:rPr>
          <w:rFonts w:ascii="Times New Roman" w:cs="Times New Roman" w:eastAsia="Times New Roman" w:hAnsi="Times New Roman"/>
          <w:sz w:val="18"/>
          <w:szCs w:val="18"/>
          <w:color w:val="auto"/>
        </w:rPr>
        <w:t>The Company offers expertise, access, and support in immunoglobulin (“IG”) infusion therapy designed to treat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immune deficiencies. Immune deficiencies are disorders that reduce the patient’s ability to identify and destroy substances that do not belong in the human body and are characterized by reduced levels of antibodies. Intravenous IG infusions are concentrated antibodies that have been purified from large numbers of human blood donors.</w:t>
      </w:r>
    </w:p>
    <w:p>
      <w:pPr>
        <w:spacing w:after="0" w:line="149" w:lineRule="exact"/>
        <w:rPr>
          <w:rFonts w:ascii="Times New Roman" w:cs="Times New Roman" w:eastAsia="Times New Roman" w:hAnsi="Times New Roman"/>
          <w:sz w:val="18"/>
          <w:szCs w:val="18"/>
          <w:b w:val="1"/>
          <w:bCs w:val="1"/>
          <w:i w:val="1"/>
          <w:iCs w:val="1"/>
          <w:color w:val="auto"/>
        </w:rPr>
      </w:pPr>
    </w:p>
    <w:p>
      <w:pPr>
        <w:ind w:left="660" w:hanging="328"/>
        <w:spacing w:after="0" w:line="286" w:lineRule="auto"/>
        <w:tabs>
          <w:tab w:leader="none" w:pos="655" w:val="left"/>
        </w:tabs>
        <w:numPr>
          <w:ilvl w:val="0"/>
          <w:numId w:val="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Chronic Inflammatory Disorders. </w:t>
      </w:r>
      <w:r>
        <w:rPr>
          <w:rFonts w:ascii="Times New Roman" w:cs="Times New Roman" w:eastAsia="Times New Roman" w:hAnsi="Times New Roman"/>
          <w:sz w:val="18"/>
          <w:szCs w:val="18"/>
          <w:color w:val="auto"/>
        </w:rPr>
        <w:t>The Company treats chronic inflammatory disorders, which include Crohn’s disease, plaque psoriasis, psoriatic</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arthritis, rheumatoid arthritis, ulcerative colitis, and other chronic inflammatory disorders.</w:t>
      </w:r>
    </w:p>
    <w:p>
      <w:pPr>
        <w:spacing w:after="0" w:line="114" w:lineRule="exact"/>
        <w:rPr>
          <w:rFonts w:ascii="Times New Roman" w:cs="Times New Roman" w:eastAsia="Times New Roman" w:hAnsi="Times New Roman"/>
          <w:sz w:val="18"/>
          <w:szCs w:val="18"/>
          <w:b w:val="1"/>
          <w:bCs w:val="1"/>
          <w:i w:val="1"/>
          <w:iCs w:val="1"/>
          <w:color w:val="auto"/>
        </w:rPr>
      </w:pPr>
    </w:p>
    <w:p>
      <w:pPr>
        <w:ind w:left="660" w:right="300" w:hanging="328"/>
        <w:spacing w:after="0" w:line="286" w:lineRule="auto"/>
        <w:tabs>
          <w:tab w:leader="none" w:pos="655" w:val="left"/>
        </w:tabs>
        <w:numPr>
          <w:ilvl w:val="0"/>
          <w:numId w:val="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Neurological Disorders. </w:t>
      </w:r>
      <w:r>
        <w:rPr>
          <w:rFonts w:ascii="Times New Roman" w:cs="Times New Roman" w:eastAsia="Times New Roman" w:hAnsi="Times New Roman"/>
          <w:sz w:val="18"/>
          <w:szCs w:val="18"/>
          <w:color w:val="auto"/>
        </w:rPr>
        <w:t>The Company provides an array of treatments to manage the progression of neurological disorders such as Duchenne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Muscular Dystrophy, Multiple Sclerosis, Alzheimer’s Disease, and other neurological disorders.</w:t>
      </w:r>
    </w:p>
    <w:p>
      <w:pPr>
        <w:spacing w:after="0" w:line="114" w:lineRule="exact"/>
        <w:rPr>
          <w:rFonts w:ascii="Times New Roman" w:cs="Times New Roman" w:eastAsia="Times New Roman" w:hAnsi="Times New Roman"/>
          <w:sz w:val="18"/>
          <w:szCs w:val="18"/>
          <w:b w:val="1"/>
          <w:bCs w:val="1"/>
          <w:i w:val="1"/>
          <w:iCs w:val="1"/>
          <w:color w:val="auto"/>
        </w:rPr>
      </w:pPr>
    </w:p>
    <w:p>
      <w:pPr>
        <w:ind w:left="660" w:right="80" w:hanging="328"/>
        <w:spacing w:after="0" w:line="268" w:lineRule="auto"/>
        <w:tabs>
          <w:tab w:leader="none" w:pos="655"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Bleeding Disorders Infusion. </w:t>
      </w:r>
      <w:r>
        <w:rPr>
          <w:rFonts w:ascii="Times New Roman" w:cs="Times New Roman" w:eastAsia="Times New Roman" w:hAnsi="Times New Roman"/>
          <w:sz w:val="18"/>
          <w:szCs w:val="18"/>
          <w:color w:val="auto"/>
        </w:rPr>
        <w:t>As a provider of home infusion therapy for hemophilia and von Willebrand disease, the Company streamlines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administrative burdens associated with infusion therapies for bleeding disorders. The Company works with medical specialists across the country to offer access to all approved factor products, a full range of therapies, and dedicated support services.</w:t>
      </w:r>
    </w:p>
    <w:p>
      <w:pPr>
        <w:spacing w:after="0" w:line="143" w:lineRule="exact"/>
        <w:rPr>
          <w:rFonts w:ascii="Times New Roman" w:cs="Times New Roman" w:eastAsia="Times New Roman" w:hAnsi="Times New Roman"/>
          <w:sz w:val="18"/>
          <w:szCs w:val="18"/>
          <w:b w:val="1"/>
          <w:bCs w:val="1"/>
          <w:color w:val="auto"/>
        </w:rPr>
      </w:pPr>
    </w:p>
    <w:p>
      <w:pPr>
        <w:ind w:left="660" w:right="460" w:hanging="328"/>
        <w:spacing w:after="0" w:line="286" w:lineRule="auto"/>
        <w:tabs>
          <w:tab w:leader="none" w:pos="655" w:val="left"/>
        </w:tabs>
        <w:numPr>
          <w:ilvl w:val="0"/>
          <w:numId w:val="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Naven Health. </w:t>
      </w:r>
      <w:r>
        <w:rPr>
          <w:rFonts w:ascii="Times New Roman" w:cs="Times New Roman" w:eastAsia="Times New Roman" w:hAnsi="Times New Roman"/>
          <w:sz w:val="18"/>
          <w:szCs w:val="18"/>
          <w:color w:val="auto"/>
        </w:rPr>
        <w:t>The Company offers a nationwide home infusion nursing network and clinical platform. Naven Health focuses on delivering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highly specialized, infusion care.</w:t>
      </w:r>
    </w:p>
    <w:p>
      <w:pPr>
        <w:spacing w:after="0" w:line="114" w:lineRule="exact"/>
        <w:rPr>
          <w:rFonts w:ascii="Times New Roman" w:cs="Times New Roman" w:eastAsia="Times New Roman" w:hAnsi="Times New Roman"/>
          <w:sz w:val="18"/>
          <w:szCs w:val="18"/>
          <w:b w:val="1"/>
          <w:bCs w:val="1"/>
          <w:i w:val="1"/>
          <w:iCs w:val="1"/>
          <w:color w:val="auto"/>
        </w:rPr>
      </w:pPr>
    </w:p>
    <w:p>
      <w:pPr>
        <w:ind w:left="660" w:right="120" w:hanging="328"/>
        <w:spacing w:after="0" w:line="286" w:lineRule="auto"/>
        <w:tabs>
          <w:tab w:leader="none" w:pos="655"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Women’s Health. </w:t>
      </w:r>
      <w:r>
        <w:rPr>
          <w:rFonts w:ascii="Times New Roman" w:cs="Times New Roman" w:eastAsia="Times New Roman" w:hAnsi="Times New Roman"/>
          <w:sz w:val="18"/>
          <w:szCs w:val="18"/>
          <w:color w:val="auto"/>
        </w:rPr>
        <w:t>The Company offers therapies that women need to survive and thrive through high-risk pregnancies. Personalized programs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prematurity, nausea and vomiting hyperemesis, diabetes in pregnancy, and hypertension help meet the needs of each mother.</w:t>
      </w:r>
    </w:p>
    <w:p>
      <w:pPr>
        <w:spacing w:after="0" w:line="114" w:lineRule="exact"/>
        <w:rPr>
          <w:rFonts w:ascii="Times New Roman" w:cs="Times New Roman" w:eastAsia="Times New Roman" w:hAnsi="Times New Roman"/>
          <w:sz w:val="18"/>
          <w:szCs w:val="18"/>
          <w:b w:val="1"/>
          <w:bCs w:val="1"/>
          <w:color w:val="auto"/>
        </w:rPr>
      </w:pPr>
    </w:p>
    <w:p>
      <w:pPr>
        <w:ind w:left="660" w:right="280" w:hanging="328"/>
        <w:spacing w:after="0" w:line="286" w:lineRule="auto"/>
        <w:tabs>
          <w:tab w:leader="none" w:pos="655"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Heart Failure. </w:t>
      </w:r>
      <w:r>
        <w:rPr>
          <w:rFonts w:ascii="Times New Roman" w:cs="Times New Roman" w:eastAsia="Times New Roman" w:hAnsi="Times New Roman"/>
          <w:sz w:val="18"/>
          <w:szCs w:val="18"/>
          <w:color w:val="auto"/>
        </w:rPr>
        <w:t>The Company administers home infusion services to treat heart failure, either in anticipation of cardiac transplant or to provide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palliation of heart failure symptoms.</w:t>
      </w:r>
    </w:p>
    <w:p>
      <w:pPr>
        <w:spacing w:after="0" w:line="127" w:lineRule="exact"/>
        <w:rPr>
          <w:rFonts w:ascii="Times New Roman" w:cs="Times New Roman" w:eastAsia="Times New Roman" w:hAnsi="Times New Roman"/>
          <w:sz w:val="18"/>
          <w:szCs w:val="18"/>
          <w:b w:val="1"/>
          <w:bCs w:val="1"/>
          <w:color w:val="auto"/>
        </w:rPr>
      </w:pPr>
    </w:p>
    <w:p>
      <w:pPr>
        <w:ind w:left="660" w:right="340" w:hanging="328"/>
        <w:spacing w:after="0" w:line="286" w:lineRule="auto"/>
        <w:tabs>
          <w:tab w:leader="none" w:pos="655"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Other. </w:t>
      </w:r>
      <w:r>
        <w:rPr>
          <w:rFonts w:ascii="Times New Roman" w:cs="Times New Roman" w:eastAsia="Times New Roman" w:hAnsi="Times New Roman"/>
          <w:sz w:val="18"/>
          <w:szCs w:val="18"/>
          <w:color w:val="auto"/>
        </w:rPr>
        <w:t>The Company offers a range of other infusion therapies to treat a variety of conditions, including pain management, chemotherapy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respiratory medication.</w:t>
      </w:r>
    </w:p>
    <w:p>
      <w:pPr>
        <w:spacing w:after="0" w:line="118" w:lineRule="exact"/>
        <w:rPr>
          <w:sz w:val="20"/>
          <w:szCs w:val="20"/>
          <w:color w:val="auto"/>
        </w:rPr>
      </w:pPr>
    </w:p>
    <w:p>
      <w:pPr>
        <w:ind w:right="300" w:firstLine="324"/>
        <w:spacing w:after="0" w:line="282" w:lineRule="auto"/>
        <w:rPr>
          <w:sz w:val="20"/>
          <w:szCs w:val="20"/>
          <w:color w:val="auto"/>
        </w:rPr>
      </w:pPr>
      <w:r>
        <w:rPr>
          <w:rFonts w:ascii="Times New Roman" w:cs="Times New Roman" w:eastAsia="Times New Roman" w:hAnsi="Times New Roman"/>
          <w:sz w:val="18"/>
          <w:szCs w:val="18"/>
          <w:color w:val="auto"/>
        </w:rPr>
        <w:t>The Company also provides nursing services to support the above therapies, comprised of its nursing team of approximately 2,900 employees, and through its network of sub-contracted nursing agencies.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and Marketing</w:t>
      </w:r>
    </w:p>
    <w:p>
      <w:pPr>
        <w:spacing w:after="0" w:line="189" w:lineRule="exact"/>
        <w:rPr>
          <w:sz w:val="20"/>
          <w:szCs w:val="20"/>
          <w:color w:val="auto"/>
        </w:rPr>
      </w:pPr>
    </w:p>
    <w:p>
      <w:pPr>
        <w:ind w:right="160" w:firstLine="324"/>
        <w:spacing w:after="0" w:line="266" w:lineRule="auto"/>
        <w:rPr>
          <w:sz w:val="20"/>
          <w:szCs w:val="20"/>
          <w:color w:val="auto"/>
        </w:rPr>
      </w:pPr>
      <w:r>
        <w:rPr>
          <w:rFonts w:ascii="Times New Roman" w:cs="Times New Roman" w:eastAsia="Times New Roman" w:hAnsi="Times New Roman"/>
          <w:sz w:val="18"/>
          <w:szCs w:val="18"/>
          <w:color w:val="auto"/>
        </w:rPr>
        <w:t>The Company’s sales and marketing efforts focus on three primary objectives: (1) building new relationships and expanding existing contracts with managed care organizations; (2) establishing, maintaining and strengthening relationships with local and regional patient referral sources; and (3) maintaining existing and developing new relationships with pharmaceutical manufacturers to gain distribution access as they release new products.</w:t>
      </w:r>
    </w:p>
    <w:p>
      <w:pPr>
        <w:spacing w:after="0" w:line="14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The Company’s sales structure is focused on maintaining and expanding its relationships with drug manufacturers to establish its position as a participating provider when they release new products. In addition, the Company’s sales structure allows it to leverage its national managed care relationships to provide sales and contract pull-through by the Company’s local field-based sales personnel. This cross-utilization enables the Company to market its services to numerous sources of patient referrals, including physicians, hospital discharge planners, hospital personnel, Health Maintenance Organizations (“HMOs”) and Preferred Provider Organizations (“PPOs”).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8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The Company competes in the large and highly fragmented home and alternative site infusion market for contracts with managed care organizations and other third-party payers to receive referrals from physicians, case managers and hospital discharge planners. Competition in the home infusion market is based on quality of care, clinical outcomes, pricing and cost of service, reputation, and reliability of service. The Company’s competitors within the home infusion market include Optum Infusion Pharmacy (a unit of the United Healthcare Insurance Company), Coram CVS/specialty infusion services (a division of CVS Health), Amerita Specialty Pharmacy (a division of BrightSpring Health), KabaFusion, Soleo Health, Vital Care and many smaller regional and local home infusion companies, ambulatory infusion centers, or specialty pharmacies including Accredo, CVS Caremark, Optum Rx, and Orsini. The Company believes that its reputation for providing quality services, the strength of its national presence and its ability to effectively market its services at national, regional and local levels places it in a strong position against existing and potential competitors.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75" w:lineRule="exact"/>
        <w:rPr>
          <w:sz w:val="20"/>
          <w:szCs w:val="20"/>
          <w:color w:val="auto"/>
        </w:rPr>
      </w:pPr>
    </w:p>
    <w:p>
      <w:pPr>
        <w:ind w:right="60" w:firstLine="324"/>
        <w:spacing w:after="0" w:line="241" w:lineRule="auto"/>
        <w:rPr>
          <w:sz w:val="20"/>
          <w:szCs w:val="20"/>
          <w:color w:val="auto"/>
        </w:rPr>
      </w:pPr>
      <w:r>
        <w:rPr>
          <w:rFonts w:ascii="Times New Roman" w:cs="Times New Roman" w:eastAsia="Times New Roman" w:hAnsi="Times New Roman"/>
          <w:sz w:val="18"/>
          <w:szCs w:val="18"/>
          <w:color w:val="auto"/>
        </w:rPr>
        <w:t>Option Care Health and its subsidiaries own a variety of trademarks, licenses, and service marks, including but not limited to: “Option Care Health”, “Option Care”, “Critical Care Systems”, “Clinical Specialties”, “BioScrip”, “BioScrip Infusion Services”, “HomeChoice Partners”, “InfuScience”, “InfusionCare”, “Infusion Partners”, “Infusion Solutions”, “New England Home Therapies”, “Professional Home Care Services”, “Wilcox Home Infusion”, “Home Solutions”, Home Solutions Infusion Therapy”, “Naven Health”, “Naven Connect”, “Restore+ by Option Care Health”, “IG Complete+”, “Care Nav+ by Option Care Health”, “BioCure”, “DP Diabetes in Pregnancy Program”, “HP Hypertension in Pregnancy Program”, “NV Nausea and Vomiting Hyperemesis Program”, “PM Prematurity Program”, “Factor Ape”, as well as several others.</w:t>
      </w:r>
    </w:p>
    <w:p>
      <w:pPr>
        <w:spacing w:after="0" w:line="200" w:lineRule="exact"/>
        <w:rPr>
          <w:sz w:val="20"/>
          <w:szCs w:val="20"/>
          <w:color w:val="auto"/>
        </w:rPr>
      </w:pPr>
    </w:p>
    <w:p>
      <w:pPr>
        <w:spacing w:after="0" w:line="33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18" w:right="47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Suppliers</w:t>
      </w:r>
    </w:p>
    <w:p>
      <w:pPr>
        <w:spacing w:after="0" w:line="189" w:lineRule="exact"/>
        <w:rPr>
          <w:sz w:val="20"/>
          <w:szCs w:val="20"/>
          <w:color w:val="auto"/>
        </w:rPr>
      </w:pPr>
    </w:p>
    <w:p>
      <w:pPr>
        <w:ind w:right="80" w:firstLine="324"/>
        <w:spacing w:after="0" w:line="253" w:lineRule="auto"/>
        <w:rPr>
          <w:sz w:val="20"/>
          <w:szCs w:val="20"/>
          <w:color w:val="auto"/>
        </w:rPr>
      </w:pPr>
      <w:r>
        <w:rPr>
          <w:rFonts w:ascii="Times New Roman" w:cs="Times New Roman" w:eastAsia="Times New Roman" w:hAnsi="Times New Roman"/>
          <w:sz w:val="18"/>
          <w:szCs w:val="18"/>
          <w:color w:val="auto"/>
        </w:rPr>
        <w:t>The Company purchases pharmaceuticals and medical supplies directly through pharmaceutical manufacturers, authorized distributors and group purchasing organizations. As a national pharmacy provider with broad coverage and clinical expertise of its 92 full-service pharmacies, the Company provides pharmaceutical manufacturers with an extensive distribution channel for its existing and prospective pharmaceutical products. Many of the pharmaceuticals that the Company purchases are available from multiple sources and are available in sufficient quantities to meet the needs of the Company and its patients. However, some drugs are only available through sole distribution sources and/or limited distribution models from the manufacturer that may be subject to limits on distribution. In such cases, it is important that the Company establishes and maintains good working relationships with the manufacturer to secure a sufficient supply to meet its patients’ needs. Additionally, certain drugs may become subject to supply shortages. Such shortages can result in cost increases or hamper the Company’s ability to obtain sufficient quantities to meet the needs of its patients. The Company actively manages its relationships with direct manufacturers and distributors to provide differentiated access and service to ensure consistent supply and cost-effective procurement. These relationships provide the Company the opportunity to become a selected partner in the launch of their new products. The Company may also receive fees, which it records as revenue, from certain biotech manufacturers for providing them with bona fide services often focused around clinical outcomes/data. The Company’s continued growth will be dependent on maintaining its existing relationships with manufacturers and establishing new relationships with additional manufacturers as the Company launches new products.</w:t>
      </w:r>
    </w:p>
    <w:p>
      <w:pPr>
        <w:spacing w:after="0" w:line="16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For the year ended December 31, 2024, approximately 58% of the Company’s pharmaceutical and medical supply purchases were from three vendors. Although there are a limited number of suppliers, the Company believes that other vendors could provide similar products on comparable terms. However, a change in suppliers could cause delays in service delivery and possible losses in revenue, which could adversely affect the Company’s financial condition or operating results.</w:t>
      </w:r>
    </w:p>
    <w:p>
      <w:pPr>
        <w:spacing w:after="0" w:line="139" w:lineRule="exact"/>
        <w:rPr>
          <w:sz w:val="20"/>
          <w:szCs w:val="20"/>
          <w:color w:val="auto"/>
        </w:rPr>
      </w:pPr>
    </w:p>
    <w:p>
      <w:pPr>
        <w:ind w:right="180" w:firstLine="324"/>
        <w:spacing w:after="0" w:line="312" w:lineRule="auto"/>
        <w:rPr>
          <w:sz w:val="20"/>
          <w:szCs w:val="20"/>
          <w:color w:val="auto"/>
        </w:rPr>
      </w:pPr>
      <w:r>
        <w:rPr>
          <w:rFonts w:ascii="Times New Roman" w:cs="Times New Roman" w:eastAsia="Times New Roman" w:hAnsi="Times New Roman"/>
          <w:sz w:val="17"/>
          <w:szCs w:val="17"/>
          <w:color w:val="auto"/>
        </w:rPr>
        <w:t>Through the purchasing power of its national platform, the Company is able to negotiate favorable terms and economics, including volume purchase rebates and vendor administration fees. Such fees are recorded as reductions to cost of revenue when the pharmaceuticals are delivered to the patient.</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Billing &amp; Significant Payers</w:t>
      </w:r>
    </w:p>
    <w:p>
      <w:pPr>
        <w:spacing w:after="0" w:line="202"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The Company generates most of its revenue from contracts with third-party payers, including managed care organizations, insurance companies, self-insured employers, Medicare, and Medicaid programs. Where permissible, the Company bills patients for any amounts not reimbursed by third-party payers. The majority of the Company’s infusion pharmacy revenue consists of reimbursements for both the cost of the pharmaceuticals sold and the cost of services provided. Pharmaceuticals are typically reimbursed on a percentage discount from the published average wholesale price (“AWP”) of each drug or on a percentage premium to average sales price (“ASP”). Nursing services are typically billed separately, while other patient support services, such as pharmacy compounding service, delivery service and ancillary medical supplies are reimbursed either separately or on a per diem basis, as applicable.</w:t>
      </w:r>
    </w:p>
    <w:p>
      <w:pPr>
        <w:spacing w:after="0" w:line="147"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The Company’s largest payer represented approximately 15% of its revenue for the year ended December 31, 2024. No other single payer represented more than 10% of its revenue. The Company also provides services that are directly reimbursable through government healthcare programs such as Medicare and state Medicaid programs. For the year ended December 31, 2024, approximately 12% of the Company’s revenue was reimbursable through direct governmental programs, such as Medicare and Medicaid.</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Matters Affecting Drug Prices</w:t>
      </w:r>
    </w:p>
    <w:p>
      <w:pPr>
        <w:spacing w:after="0" w:line="202"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Pricing benchmarks in the pharmacy industry are periodically published by third parties such as Red Book, Medi-Span, RJ Health, and the Centers for Medicare &amp; Medicaid Services (“CMS”), and the benchmark reimbursement varies by payer contract. The most commonly used benchmarks are AWP and ASP. AWP is based on self-reported prices charged by wholesalers and manufacturers and reimbursement is generally AWP minus a percentage and may include a per diem fee or a fixed dispensing fee. ASP is based on actual sales transactions reported by wholesalers and is generally lower than AWP; reimbursement is generally ASP plus a percentage. The Company may also receive a fixed dispensing fee or a per diem fee for each day a patient is on service. Changes to these pricing benchmarks may have a significant impact on the profitability of the Company’s business.</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Governmental Regulation</w:t>
      </w:r>
    </w:p>
    <w:p>
      <w:pPr>
        <w:spacing w:after="0" w:line="189"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The home infusion industry is subject to extensive regulation by a number of federal, state and local governmental entities. The industry is also subject to frequent regulatory changes. Laws and regulations in the healthcare industry are complex and, at times, the industry does not benefit from significant regulatory or judicial interpretation that would clarify how these laws and regulations should be applied. Moreover, the Company’s business is also impacted by certain laws and regulations that are applicable to its managed care and other clients. If the Company fails to comply with the laws and regulations directly applicable to its business, the Company could suffer civil and/or criminal penalties, and the Company could be excluded from participating in Medicare, Medicaid and other federal and state healthcare programs, which would have an adverse impact on its business.</w:t>
      </w:r>
    </w:p>
    <w:p>
      <w:pPr>
        <w:spacing w:after="0" w:line="1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Professional Licensure</w:t>
      </w:r>
    </w:p>
    <w:p>
      <w:pPr>
        <w:spacing w:after="0" w:line="189" w:lineRule="exact"/>
        <w:rPr>
          <w:sz w:val="20"/>
          <w:szCs w:val="20"/>
          <w:color w:val="auto"/>
        </w:rPr>
      </w:pPr>
    </w:p>
    <w:p>
      <w:pPr>
        <w:jc w:val="both"/>
        <w:ind w:right="160" w:firstLine="324"/>
        <w:spacing w:after="0" w:line="266" w:lineRule="auto"/>
        <w:rPr>
          <w:sz w:val="20"/>
          <w:szCs w:val="20"/>
          <w:color w:val="auto"/>
        </w:rPr>
      </w:pPr>
      <w:r>
        <w:rPr>
          <w:rFonts w:ascii="Times New Roman" w:cs="Times New Roman" w:eastAsia="Times New Roman" w:hAnsi="Times New Roman"/>
          <w:sz w:val="18"/>
          <w:szCs w:val="18"/>
          <w:color w:val="auto"/>
        </w:rPr>
        <w:t>Nurses, pharmacists and certain other healthcare professionals employed by the Company are required to be individually licensed or certified under applicable state law. The Company performs criminal and other background checks on employees and takes steps to ensure that its employees possess all necessary licenses and certifications, and the Company believes that its employees comply in all material respects with applicable licensure laws.</w:t>
      </w:r>
    </w:p>
    <w:p>
      <w:pPr>
        <w:spacing w:after="0" w:line="1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Pharmacy Licensing and Registration</w:t>
      </w:r>
    </w:p>
    <w:p>
      <w:pPr>
        <w:spacing w:after="0" w:line="202"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State laws require that each pharmacy location be licensed as an in-state pharmacy to dispense pharmaceuticals in that state. Certain states also require that pharmacy locations be licensed as out-of-state pharmacies if the Company delivers prescription pharmaceuticals into those states from locations outside of the state. The Company believes that it materially complies with all applicable state licensing laws. If the Company is unable to maintain its licenses or if states place burdensome regulations on non-resident pharmacies, its ability to operate in some states would be limited, which could have an adverse impact on its business. Laws enforced by the Drug Enforcement Administration (“DEA”), as well as some similar state agencies, require its pharmacy locations to individually register in order to handle controlled substances, including prescription pharmaceuticals. A separate registration is required at each principal place of business where the Company dispenses controlled substances. Federal and state laws also require that the Company follow specific labeling, reporting and record-keeping requirements for controlled substances. The Company maintains federal and state controlled substance registrations for each of its facilities that require such registration and materially follows procedures intended to comply with all applicable federal and state requirements regarding controlled substances.</w:t>
      </w:r>
    </w:p>
    <w:p>
      <w:pPr>
        <w:spacing w:after="0" w:line="154"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Many states in which the Company operates also require home infusion companies to be licensed as home health agencies. The Company believes it is in material compliance with these laws, as applicable.</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Privacy and Security Requirements</w:t>
      </w:r>
    </w:p>
    <w:p>
      <w:pPr>
        <w:spacing w:after="0" w:line="202" w:lineRule="exact"/>
        <w:rPr>
          <w:sz w:val="20"/>
          <w:szCs w:val="20"/>
          <w:color w:val="auto"/>
        </w:rPr>
      </w:pPr>
    </w:p>
    <w:p>
      <w:pPr>
        <w:ind w:right="200" w:firstLine="324"/>
        <w:spacing w:after="0" w:line="258" w:lineRule="auto"/>
        <w:rPr>
          <w:sz w:val="20"/>
          <w:szCs w:val="20"/>
          <w:color w:val="auto"/>
        </w:rPr>
      </w:pPr>
      <w:r>
        <w:rPr>
          <w:rFonts w:ascii="Times New Roman" w:cs="Times New Roman" w:eastAsia="Times New Roman" w:hAnsi="Times New Roman"/>
          <w:sz w:val="18"/>
          <w:szCs w:val="18"/>
          <w:color w:val="auto"/>
        </w:rPr>
        <w:t>The Health Insurance Portability and Accountability Act of 1996 (“HIPAA”) as amended by the Health Information Technology for Economic and Clinical Health Act (“HITECH”), and its implementing regulations, regulate the use, disclosure, confidentiality, availability and integrity of individually identifiable health information, known as “protected health information,” and provide for a number of individual rights with respect to such information. The federal privacy regulations are designed to protect health-related information that could be used to identify an individual’s protected health information.</w:t>
      </w:r>
    </w:p>
    <w:p>
      <w:pPr>
        <w:spacing w:after="0" w:line="143" w:lineRule="exact"/>
        <w:rPr>
          <w:sz w:val="20"/>
          <w:szCs w:val="20"/>
          <w:color w:val="auto"/>
        </w:rPr>
      </w:pPr>
    </w:p>
    <w:p>
      <w:pPr>
        <w:ind w:right="600" w:firstLine="324"/>
        <w:spacing w:after="0" w:line="282" w:lineRule="auto"/>
        <w:rPr>
          <w:sz w:val="20"/>
          <w:szCs w:val="20"/>
          <w:color w:val="auto"/>
        </w:rPr>
      </w:pPr>
      <w:r>
        <w:rPr>
          <w:rFonts w:ascii="Times New Roman" w:cs="Times New Roman" w:eastAsia="Times New Roman" w:hAnsi="Times New Roman"/>
          <w:sz w:val="18"/>
          <w:szCs w:val="18"/>
          <w:color w:val="auto"/>
        </w:rPr>
        <w:t>The requirements imposed by HIPAA are extensive, and the Company has taken and intends to continue to take steps to ensure its policies and procedures are in material compliance with the applicable provisions.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Regulations</w:t>
      </w:r>
    </w:p>
    <w:p>
      <w:pPr>
        <w:spacing w:after="0" w:line="187"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Food, Drug and Cosmetic Act. </w:t>
      </w:r>
      <w:r>
        <w:rPr>
          <w:rFonts w:ascii="Times New Roman" w:cs="Times New Roman" w:eastAsia="Times New Roman" w:hAnsi="Times New Roman"/>
          <w:sz w:val="18"/>
          <w:szCs w:val="18"/>
          <w:color w:val="auto"/>
        </w:rPr>
        <w:t>Certain provisions of the Food, Drug and Cosmetic Act (“FDCA”) govern the handling and distribution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pharmaceutical products. This law exempts certain pharmaceuticals and medical devices from federal labeling and packaging requirements as long as they are not adulterated or misbranded and are dispensed in accordance with and pursuant to a valid prescription. The Company believes it materially complies with all applicable requirements. The FDCA also governs interstate commerce for pharmaceutical products. The Company cannot predict the impact of any future FDCA regulations on its ability to ship drugs to different states from its pharmacies.</w:t>
      </w:r>
    </w:p>
    <w:p>
      <w:pPr>
        <w:spacing w:after="0" w:line="158" w:lineRule="exact"/>
        <w:rPr>
          <w:sz w:val="20"/>
          <w:szCs w:val="20"/>
          <w:color w:val="auto"/>
        </w:rPr>
      </w:pPr>
    </w:p>
    <w:p>
      <w:pPr>
        <w:jc w:val="both"/>
        <w:ind w:right="340" w:firstLine="324"/>
        <w:spacing w:after="0" w:line="261" w:lineRule="auto"/>
        <w:rPr>
          <w:sz w:val="20"/>
          <w:szCs w:val="20"/>
          <w:color w:val="auto"/>
        </w:rPr>
      </w:pPr>
      <w:r>
        <w:rPr>
          <w:rFonts w:ascii="Times New Roman" w:cs="Times New Roman" w:eastAsia="Times New Roman" w:hAnsi="Times New Roman"/>
          <w:sz w:val="18"/>
          <w:szCs w:val="18"/>
          <w:color w:val="auto"/>
        </w:rPr>
        <w:t>The Drug Quality and Security Act (“DQSA”) amended the FDCA to grant the Food and Drug Administration (“FDA”) authority to regulate the manufacturing of compounded pharmaceutical drugs. The Company materially complies with the PCAB Accreditation Standards for Sterile and Non-Sterile Pharmacy Compounding and pursues accreditation from quality associations. The Company believes it complies in all material respects with all applicable requirements of a non-outsourcing-facility pharmacy.</w:t>
      </w:r>
    </w:p>
    <w:p>
      <w:pPr>
        <w:spacing w:after="0" w:line="139"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The FDA also regulates certain medical devices, such as infusion pumps, the Company uses to provide its services. In recent years, the FDA has increased its oversight of infusion pumps, resulting in additional requirements around patient education and adverse event reporting. The Company believes it complies in all material respects with all applicable requirements and that its employees have the level of proficiency required to use these devices and provide training to its patients.</w:t>
      </w:r>
    </w:p>
    <w:p>
      <w:pPr>
        <w:spacing w:after="0" w:line="137"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i w:val="1"/>
          <w:iCs w:val="1"/>
          <w:color w:val="auto"/>
        </w:rPr>
        <w:t>Anti-Kickback Statute</w:t>
      </w:r>
      <w:r>
        <w:rPr>
          <w:rFonts w:ascii="Times New Roman" w:cs="Times New Roman" w:eastAsia="Times New Roman" w:hAnsi="Times New Roman"/>
          <w:sz w:val="18"/>
          <w:szCs w:val="18"/>
          <w:color w:val="auto"/>
        </w:rPr>
        <w:t>. The federal Anti-Kickback Statute prohibits individuals and entities from knowingly and willfully paying, offering, receiving,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soliciting money or anything else of value in order to induce the referral of patients or to induce a person to purchase, lease, order, arrange for, or recommend services or goods covered by Medicare, Medicaid, or other government healthcare programs. The Anti-Kickback Statute is broad and potentially covers many standard business arrangements. A number of states also have statutes and regulations that prohibit the same general types of conduct as those prohibited by the Anti-Kickback Statute described above. Violations can lead to significant criminal or civil penalties, including imprisonment. The Office of the Inspector General (“OIG”) could also seek Civil Monetary Penalties (“CMP”) or exclusion against individuals or entities who knowingly and willfully: (1) offer or pay remuneration, directly or indirectly, to induce referrals of government healthcare program business; or (2) solicit or receive remuneration, directly or indirectly, in return for referrals of government healthcare program business. The OIG of the U.S. Department of Health and Human Services (“HHS”) has published clarifying regulations that identify a limited number of safe harbors from criminal enforcement or civil administrative actions. The Company attempts to structure its business relationships to materially comply with these statutes and to satisfy an applicable safe harbor, where applicable. However, in situations where a business relationship does not fully satisfy the elements of a safe harbor, or where no safe harbor exists, the Company attempts to satisfy as many elements of an applicable or equivalent safe harbor as possible.</w:t>
      </w:r>
    </w:p>
    <w:p>
      <w:pPr>
        <w:spacing w:after="0" w:line="163"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i w:val="1"/>
          <w:iCs w:val="1"/>
          <w:color w:val="auto"/>
        </w:rPr>
        <w:t>False Claims Act</w:t>
      </w:r>
      <w:r>
        <w:rPr>
          <w:rFonts w:ascii="Times New Roman" w:cs="Times New Roman" w:eastAsia="Times New Roman" w:hAnsi="Times New Roman"/>
          <w:sz w:val="18"/>
          <w:szCs w:val="18"/>
          <w:color w:val="auto"/>
        </w:rPr>
        <w:t>. The Company is subject to state and federal laws that govern the submission of claims for reimbursement. These laws generally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prohibit an individual or entity from knowingly and willfully presenting a claim or causing a claim to be presented for payment from a federal healthcare program that is false or fraudulent. The standard for “knowing and willful” may include conduct that amounts to a reckless disregard for the accuracy of information presented to payers. Penalties under these statutes include substantial civil and criminal fines, exclusion from the Medicare or Medicaid programs and imprisonment. One of the most prominent of these laws is the federal False Claims Act, which may be enforced by the federal government directly or by a private plaintiff by filing a whistleblower lawsuit on the government’s behalf. Under the False Claims Act, the government and private plaintiffs, if any, may recover monetary penalties in the amount of $13,946 to $27,894 per false claim, as well as an amount equal to three times the amount of damages sustained by the government as a result of the false claim. A number of states, including states in which the Company operates, have adopted their own false claims statutes as well as statutes that allow individuals to bring whistleblower actions. The Company believes that it has procedures in place to ensure the material accuracy of its claims.</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Ethics in Patient Referrals Law (“Stark Law”)</w:t>
      </w:r>
    </w:p>
    <w:p>
      <w:pPr>
        <w:spacing w:after="0" w:line="189"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The Stark Law exempts certain business relationships that meet its exception requirements. However, unlike the Anti-Kickback Statute under which an activity may fall outside a safe harbor and still be lawful, a referral for certain Designated Health Services (“DHS”) that does not fall within an exception is strictly prohibited by the Stark Law. In addition to the Stark Law, many of the states in which the Company operates have comparable restrictions on the ability of physicians to refer patients for certain services to entities with which the Company has a financial relationship. Certain of these state statutes mirror the Stark Law while others may be more restrictive. The Company attempts to structure all of its business relationships with physicians to comply with the Stark Law and any applicable state self-referral laws.</w:t>
      </w:r>
    </w:p>
    <w:p>
      <w:pPr>
        <w:spacing w:after="0" w:line="160"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The federal Stark Law generally prohibits a physician from making referrals for certain DHS, reimbursable by Medicare or Medicaid, to entities with which the physician or an immediate family member has a financial relationship, unless an exception applies. A financial relationship is generally defined as an ownership, investment or compensation relationship. DHS includes outpatient pharmaceuticals, parenteral and enteral nutrition products, home health services, durable medical equipment, physical and occupational therapy services, and inpatient and outpatient hospital services. Among other sanctions, a CMP may be imposed for each bill or claim for a service a person knows or should know is for a service for which payment may not be made due to the Stark Law. Such persons or entities are also subject to exclusion from the Medicare and Medicaid programs. Any person or entity participating in a circumvention scheme to avoid the referral prohibitions is liable for CMPs, and additional fines may be imposed for failure to comply with reporting requirements regarding an entity’s ownership, investment and compensation arrangements for each day for which reporting is required to have been made under the Stark Law.</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 Resources</w:t>
      </w:r>
    </w:p>
    <w:p>
      <w:pPr>
        <w:spacing w:after="0" w:line="189"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The Company’s mission is to transform healthcare by providing innovative services that improve outcomes, reduce costs and deliver hope for patients and their families. The values we embody support each of our team members as they deliver life-changing, extraordinary care.</w:t>
      </w:r>
    </w:p>
    <w:p>
      <w:pPr>
        <w:spacing w:after="0" w:line="135" w:lineRule="exact"/>
        <w:rPr>
          <w:sz w:val="20"/>
          <w:szCs w:val="20"/>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auto"/>
        </w:rPr>
        <w:t>As of December 31, 2024, the Company employed 6,015 persons on a full-time basis and 2,073 persons on a part-time basis. The majority of its part-time employees are clinicians due to the nature and timing of the services the Company provides.</w:t>
      </w:r>
    </w:p>
    <w:p>
      <w:pPr>
        <w:spacing w:after="0" w:line="121" w:lineRule="exact"/>
        <w:rPr>
          <w:sz w:val="20"/>
          <w:szCs w:val="20"/>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auto"/>
        </w:rPr>
        <w:t>Attracting and retaining a highly skilled and diverse team to deliver extraordinary care is a top priority. The Company’s strategy includes four distinct areas to empower our people so that they remain focused on providing extraordinary care that changes lives:</w:t>
      </w:r>
    </w:p>
    <w:p>
      <w:pPr>
        <w:spacing w:after="0" w:line="117" w:lineRule="exact"/>
        <w:rPr>
          <w:sz w:val="20"/>
          <w:szCs w:val="20"/>
          <w:color w:val="auto"/>
        </w:rPr>
      </w:pPr>
    </w:p>
    <w:p>
      <w:pPr>
        <w:ind w:left="660" w:right="120" w:hanging="328"/>
        <w:spacing w:after="0" w:line="262" w:lineRule="auto"/>
        <w:tabs>
          <w:tab w:leader="none" w:pos="655"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Talent Development. </w:t>
      </w:r>
      <w:r>
        <w:rPr>
          <w:rFonts w:ascii="Times New Roman" w:cs="Times New Roman" w:eastAsia="Times New Roman" w:hAnsi="Times New Roman"/>
          <w:sz w:val="18"/>
          <w:szCs w:val="18"/>
          <w:color w:val="auto"/>
        </w:rPr>
        <w:t>The Company strives to empower our team members by giving them the tools and resources to strengthen and expand their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knowledge and skills and advance their careers through training, leadership development programs, continuing functional education and other professional development opportunities. The Company also focuses on performance management, 360 degree feedback, and succession planning through calibration assessments on each team leader’s potential, performance and readiness for advancement.</w:t>
      </w:r>
    </w:p>
    <w:p>
      <w:pPr>
        <w:spacing w:after="0" w:line="149" w:lineRule="exact"/>
        <w:rPr>
          <w:rFonts w:ascii="Times New Roman" w:cs="Times New Roman" w:eastAsia="Times New Roman" w:hAnsi="Times New Roman"/>
          <w:sz w:val="18"/>
          <w:szCs w:val="18"/>
          <w:b w:val="1"/>
          <w:bCs w:val="1"/>
          <w:color w:val="auto"/>
        </w:rPr>
      </w:pPr>
    </w:p>
    <w:p>
      <w:pPr>
        <w:ind w:left="660" w:right="40" w:hanging="328"/>
        <w:spacing w:after="0" w:line="259" w:lineRule="auto"/>
        <w:tabs>
          <w:tab w:leader="none" w:pos="655" w:val="left"/>
        </w:tabs>
        <w:numPr>
          <w:ilvl w:val="0"/>
          <w:numId w:val="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Employee Engagement. </w:t>
      </w:r>
      <w:r>
        <w:rPr>
          <w:rFonts w:ascii="Times New Roman" w:cs="Times New Roman" w:eastAsia="Times New Roman" w:hAnsi="Times New Roman"/>
          <w:sz w:val="18"/>
          <w:szCs w:val="18"/>
          <w:color w:val="auto"/>
        </w:rPr>
        <w:t>The Company believes that highly engaged team members deliver a better patient experience. The foundation of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engagement strategy is a culture that connects our team members to our mission and values while promoting a sense of community, while also aligning behind business priorities. Our approach to employee engagement is to cultivate our culture and build relationships across geographically distributed team members. The Company promotes employee engagement with engagement surveys, an internal social media platform, quarterly and annual peer recognition programs, and company newsletters.</w:t>
      </w:r>
    </w:p>
    <w:p>
      <w:pPr>
        <w:spacing w:after="0" w:line="138" w:lineRule="exact"/>
        <w:rPr>
          <w:rFonts w:ascii="Times New Roman" w:cs="Times New Roman" w:eastAsia="Times New Roman" w:hAnsi="Times New Roman"/>
          <w:sz w:val="18"/>
          <w:szCs w:val="18"/>
          <w:b w:val="1"/>
          <w:bCs w:val="1"/>
          <w:i w:val="1"/>
          <w:iCs w:val="1"/>
          <w:color w:val="auto"/>
        </w:rPr>
      </w:pPr>
    </w:p>
    <w:p>
      <w:pPr>
        <w:ind w:left="660" w:right="120" w:hanging="328"/>
        <w:spacing w:after="0" w:line="268" w:lineRule="auto"/>
        <w:tabs>
          <w:tab w:leader="none" w:pos="655" w:val="left"/>
        </w:tabs>
        <w:numPr>
          <w:ilvl w:val="0"/>
          <w:numId w:val="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Health and Well-being. </w:t>
      </w:r>
      <w:r>
        <w:rPr>
          <w:rFonts w:ascii="Times New Roman" w:cs="Times New Roman" w:eastAsia="Times New Roman" w:hAnsi="Times New Roman"/>
          <w:sz w:val="18"/>
          <w:szCs w:val="18"/>
          <w:color w:val="auto"/>
        </w:rPr>
        <w:t>The Company provides a holistic range of resources and programs to our team members to address each person’s unique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needs, including physical, mental and financial health and well-being with programs to support healthy lifestyles, specialized programs to help manage chronic conditions, behavioral health education, coaching, and counseling, and financial wellness resources.</w:t>
      </w:r>
    </w:p>
    <w:p>
      <w:pPr>
        <w:spacing w:after="0" w:line="116" w:lineRule="exact"/>
        <w:rPr>
          <w:rFonts w:ascii="Times New Roman" w:cs="Times New Roman" w:eastAsia="Times New Roman" w:hAnsi="Times New Roman"/>
          <w:sz w:val="18"/>
          <w:szCs w:val="18"/>
          <w:b w:val="1"/>
          <w:bCs w:val="1"/>
          <w:i w:val="1"/>
          <w:iCs w:val="1"/>
          <w:color w:val="auto"/>
        </w:rPr>
      </w:pPr>
    </w:p>
    <w:p>
      <w:pPr>
        <w:ind w:left="660" w:right="40" w:hanging="328"/>
        <w:spacing w:after="0" w:line="246"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Inclusion and Belonging. </w:t>
      </w:r>
      <w:r>
        <w:rPr>
          <w:rFonts w:ascii="Times New Roman" w:cs="Times New Roman" w:eastAsia="Times New Roman" w:hAnsi="Times New Roman"/>
          <w:sz w:val="18"/>
          <w:szCs w:val="18"/>
          <w:color w:val="auto"/>
        </w:rPr>
        <w:t>The Company believes that a workforce with a variety of backgrounds, experiences, and viewpoints makes us stronger,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more innovative and better able to serve our patients. The Company strives to foster an inclusive workplace where team members feel valued, respected, and empowered to contribute their unique perspectives. We assess the effectiveness of our inclusion efforts through qualitative and quantitative insights, ensuring that our workplace supports the development and success of all team members.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20" w:firstLine="324"/>
        <w:spacing w:after="0" w:line="281" w:lineRule="auto"/>
        <w:rPr>
          <w:sz w:val="20"/>
          <w:szCs w:val="20"/>
          <w:color w:val="auto"/>
        </w:rPr>
      </w:pPr>
      <w:r>
        <w:rPr>
          <w:rFonts w:ascii="Times New Roman" w:cs="Times New Roman" w:eastAsia="Times New Roman" w:hAnsi="Times New Roman"/>
          <w:sz w:val="17"/>
          <w:szCs w:val="17"/>
          <w:color w:val="auto"/>
        </w:rPr>
        <w:t>The Company relies on its ability to attract and retain nursing staff, pharmacists and other professionals who possess the skills, experience and licenses necessary to meet the requirements of their job responsibilities. The Company’s ability to attract and retain personnel depends on several factors, including the ability to provide them with engaging assignments and competitive salaries and benefits. The Company is committed to fostering a workplace where team members feel valued and supported through initiatives focused on professional development, employee engagement, and overall well-being.</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8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The Company’s corporate headquarters is located at 3000 Lakeside Drive, Suite 300N, Bannockburn, IL 60015. The Company maintains a website at www.optioncarehealth.com. The information contained on its website is not incorporated by reference into this Annual Report and should not be considered part of this Annual Report. The Company’s Annual Reports on Form 10-K, Quarterly Reports on Form 10-Q, Current Reports on Form 8-K, and Proxy Statements are available through its website at https://investors.optioncarehealth.com, free of charge, as soon as reasonably practicable after they are filed with or furnished to the SEC.</w:t>
      </w:r>
    </w:p>
    <w:p>
      <w:pPr>
        <w:spacing w:after="0" w:line="156" w:lineRule="exact"/>
        <w:rPr>
          <w:sz w:val="20"/>
          <w:szCs w:val="20"/>
          <w:color w:val="auto"/>
        </w:rPr>
      </w:pPr>
    </w:p>
    <w:p>
      <w:pPr>
        <w:ind w:right="200" w:firstLine="324"/>
        <w:spacing w:after="0" w:line="282" w:lineRule="auto"/>
        <w:rPr>
          <w:sz w:val="20"/>
          <w:szCs w:val="20"/>
          <w:color w:val="auto"/>
        </w:rPr>
      </w:pPr>
      <w:r>
        <w:rPr>
          <w:rFonts w:ascii="Times New Roman" w:cs="Times New Roman" w:eastAsia="Times New Roman" w:hAnsi="Times New Roman"/>
          <w:sz w:val="18"/>
          <w:szCs w:val="18"/>
          <w:color w:val="auto"/>
        </w:rPr>
        <w:t>The SEC maintains a website that contains reports, proxy and information statements, and other information regarding issuers that file electronically with the SEC at www.sec.gov.</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i w:val="1"/>
          <w:iCs w:val="1"/>
          <w:color w:val="auto"/>
        </w:rPr>
        <w:t>Risk Factors</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Investors should carefully consider the following Company-specific and general risk factors.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Company-Specific Risk Factors</w:t>
      </w:r>
    </w:p>
    <w:p>
      <w:pPr>
        <w:spacing w:after="0" w:line="185" w:lineRule="exact"/>
        <w:rPr>
          <w:sz w:val="20"/>
          <w:szCs w:val="20"/>
          <w:color w:val="auto"/>
        </w:rPr>
      </w:pPr>
    </w:p>
    <w:p>
      <w:pPr>
        <w:ind w:right="6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revenue and profitability will decline if the pharmaceutical industry undergoes certain changes, including limiting or discontinuing research, development, production and marketing of the pharmaceuticals that are compatible with the services we provide.</w:t>
      </w:r>
    </w:p>
    <w:p>
      <w:pPr>
        <w:spacing w:after="0" w:line="118"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Our business is highly dependent on the ability of pharmaceutical manufacturers to develop, supply and market pharmaceuticals that are compatible with the services we provide. Our revenue and profitability will decline if those companies were to sell pharmaceuticals directly to the public, fail to support existing pharmaceuticals or develop new pharmaceuticals with different administration requirements than our service offerings are currently equipped to handle. Our business could also be harmed if the pharmaceutical industry experiences any supply shortages, pharmaceutical recalls, changes in the FDA approval processes, or changes to how pharmaceutical manufacturers finance, promote or sell pharmaceutical products. The Company has experienced drug and supply shortages and has leveraged its relationships with direct manufacturers and distributors to ensure consistent supply and cost-effective procurement. A reduction in the supply of and market for pharmaceuticals that are compatible with the services we provide may have a material adverse effect on our financial condition and results of operations.</w:t>
      </w:r>
    </w:p>
    <w:p>
      <w:pPr>
        <w:spacing w:after="0" w:line="161" w:lineRule="exact"/>
        <w:rPr>
          <w:sz w:val="20"/>
          <w:szCs w:val="20"/>
          <w:color w:val="auto"/>
        </w:rPr>
      </w:pPr>
    </w:p>
    <w:p>
      <w:pPr>
        <w:ind w:right="36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lose relationships with managed care organizations (“MCOs”) and other non-governmental third-party payers, we could lose access to a significant number of patients and our revenue and profitability could decline.</w:t>
      </w:r>
    </w:p>
    <w:p>
      <w:pPr>
        <w:spacing w:after="0" w:line="118"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We are highly dependent on reimbursement from MCOs, government programs such as Medicare and Medicaid and commercial insurers (collectively, “Third-Party Payers”). For the year ended December 31, 2024, 88% of our revenue came from MCOs and other non-governmental payers, including Medicare Advantage plans, Managed Medicaid plans, pharmacy benefit managers (“PBMs”), and self-pay patients. Many payers seek to limit the number of providers that supply pharmaceuticals to their enrollees in order to build volume that justifies their discounted pricing. From time to time, payers with whom we have relationships require that we bid against our competitors to keep their business. As a result of this bidding process, we may not be retained, and even if we are retained, the prices at which we are able to retain the business may be reduced. The loss of a payer relationship could significantly reduce the number of patients we serve and have a material adverse effect on our revenue and net income, and a reduction in pricing could reduce our gross margins and net income.</w:t>
      </w:r>
    </w:p>
    <w:p>
      <w:pPr>
        <w:spacing w:after="0" w:line="14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The healthcare industry is highly competitive.</w:t>
      </w:r>
    </w:p>
    <w:p>
      <w:pPr>
        <w:spacing w:after="0" w:line="202"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The healthcare industry is highly competitive. We compete directly with national, regional and local healthcare providers. There are many other companies and individuals currently providing healthcare services that we provide, many of which have been in business longer and/or have substantially more resources. Other companies could enter the healthcare industry in the future and divert some or all of our business. We expect to continue to encounter competition in the future that could limit our ability to grow revenue and/or maintain acceptable pricing levels.</w:t>
      </w:r>
    </w:p>
    <w:p>
      <w:pPr>
        <w:spacing w:after="0" w:line="139" w:lineRule="exact"/>
        <w:rPr>
          <w:sz w:val="20"/>
          <w:szCs w:val="20"/>
          <w:color w:val="auto"/>
        </w:rPr>
      </w:pPr>
    </w:p>
    <w:p>
      <w:pPr>
        <w:ind w:right="380" w:firstLine="324"/>
        <w:spacing w:after="0" w:line="258" w:lineRule="auto"/>
        <w:rPr>
          <w:sz w:val="20"/>
          <w:szCs w:val="20"/>
          <w:color w:val="auto"/>
        </w:rPr>
      </w:pPr>
      <w:r>
        <w:rPr>
          <w:rFonts w:ascii="Times New Roman" w:cs="Times New Roman" w:eastAsia="Times New Roman" w:hAnsi="Times New Roman"/>
          <w:sz w:val="18"/>
          <w:szCs w:val="18"/>
          <w:color w:val="auto"/>
        </w:rPr>
        <w:t>Some of our competitors have vertically integrated business models with commercial payers or are under common control with, or owned by, pharmaceutical wholesalers and distributors, MCOs, PBMs or retail pharmacy chains and may be better positioned with respect to the cost-effective distribution of pharmaceuticals. In addition, some of our competitors may have secured long-term supply or distribution arrangements for prescription pharmaceuticals necessary to treat certain chronic disease states on price terms substantially more favorable than the terms currently available to us. Consequently, we may be less price competitive than some of our competitors with respect to certain pharmaceutical products.</w:t>
      </w:r>
    </w:p>
    <w:p>
      <w:pPr>
        <w:spacing w:after="0" w:line="143"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Accountable Care Organizations (“ACOs”) and other clinical integration models may result in lower reimbursement rates. Some of our competitors may negotiate exclusivity provisions with managed care plans or otherwise interfere with the ability of MCOs to contract with us. Increasing consolidation in the payer and supplier industries, including vertical integration efforts among insurers, providers, and suppliers, and cost-reduction strategies by large employer groups and their affiliates may limit our ability to negotiate favorable terms and conditions in our contracts and otherwise intensify competitive pressure. In addition, our competitive position could be adversely affected by any inability to obtain access to new biotech pharmaceutical products.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right="42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maintain relationships with existing patient referral sources, our business and consolidated financial condition, results of operations, and cash flows could be materially adversely affected.</w:t>
      </w:r>
    </w:p>
    <w:p>
      <w:pPr>
        <w:spacing w:after="0" w:line="118" w:lineRule="exact"/>
        <w:rPr>
          <w:sz w:val="20"/>
          <w:szCs w:val="20"/>
          <w:color w:val="auto"/>
        </w:rPr>
      </w:pPr>
    </w:p>
    <w:p>
      <w:pPr>
        <w:ind w:right="180" w:firstLine="324"/>
        <w:spacing w:after="0" w:line="256" w:lineRule="auto"/>
        <w:rPr>
          <w:sz w:val="20"/>
          <w:szCs w:val="20"/>
          <w:color w:val="auto"/>
        </w:rPr>
      </w:pPr>
      <w:r>
        <w:rPr>
          <w:rFonts w:ascii="Times New Roman" w:cs="Times New Roman" w:eastAsia="Times New Roman" w:hAnsi="Times New Roman"/>
          <w:sz w:val="18"/>
          <w:szCs w:val="18"/>
          <w:color w:val="auto"/>
        </w:rPr>
        <w:t>Our success depends on referrals from physicians, hospitals, and other sources in the communities we serve and on our ability to maintain good relationships with existing referral sources. Our referral sources are not contractually obligated to refer patients to us and may refer their patients to other providers. Our growth and profitability depend, in part, on our ability to establish and maintain close working relationships with these patient referral sources and to increase awareness and acceptance of the benefits of home infusion by our referral sources and their patients. Our loss of, or failure to maintain, existing relationships or our failure to develop new referral relationships could have a material adverse effect on our business and consolidated financial condition, results of operations, and cash flows.</w:t>
      </w:r>
    </w:p>
    <w:p>
      <w:pPr>
        <w:spacing w:after="0" w:line="1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Changes in industry pricing benchmarks could adversely affect our financial performance.</w:t>
      </w:r>
    </w:p>
    <w:p>
      <w:pPr>
        <w:spacing w:after="0" w:line="189"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Our contracts generally use certain published benchmarks to establish pricing for the reimbursement of prescription medications we dispense. These benchmarks include AWP, wholesale acquisition cost, ASP and average manufacturer price. Many of our contracts utilize the AWP benchmark. Publication of the AWP benchmark was expected to cease in 2011 as a result of the settlement of class-action lawsuits brought against First Databank and Medi-Span, third-party publishers of various pricing benchmarks. However, Medi-Span continues to publish the AWP benchmark and has indicated that it will continue to do so until a new benchmark is widely accepted. Several industry participants have explored establishing a new benchmark but there is not currently a viable generally accepted alternative to the AWP benchmark. Without a suitable pricing benchmark in place, many of our contracts may need to be modified, which could potentially change the economic structure of our agreements.</w:t>
      </w:r>
    </w:p>
    <w:p>
      <w:pPr>
        <w:spacing w:after="0" w:line="144" w:lineRule="exact"/>
        <w:rPr>
          <w:sz w:val="20"/>
          <w:szCs w:val="20"/>
          <w:color w:val="auto"/>
        </w:rPr>
      </w:pPr>
    </w:p>
    <w:p>
      <w:pPr>
        <w:ind w:right="6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our relationships with pharmaceutical suppliers, including changes in drug availability or pricing, could adversely affect our business and financial results.</w:t>
      </w:r>
    </w:p>
    <w:p>
      <w:pPr>
        <w:spacing w:after="0" w:line="132" w:lineRule="exact"/>
        <w:rPr>
          <w:sz w:val="20"/>
          <w:szCs w:val="20"/>
          <w:color w:val="auto"/>
        </w:rPr>
      </w:pPr>
    </w:p>
    <w:p>
      <w:pPr>
        <w:ind w:right="100" w:firstLine="324"/>
        <w:spacing w:after="0" w:line="255" w:lineRule="auto"/>
        <w:rPr>
          <w:sz w:val="20"/>
          <w:szCs w:val="20"/>
          <w:color w:val="auto"/>
        </w:rPr>
      </w:pPr>
      <w:r>
        <w:rPr>
          <w:rFonts w:ascii="Times New Roman" w:cs="Times New Roman" w:eastAsia="Times New Roman" w:hAnsi="Times New Roman"/>
          <w:sz w:val="18"/>
          <w:szCs w:val="18"/>
          <w:color w:val="auto"/>
        </w:rPr>
        <w:t>We have contractual relationships with pharmaceutical manufacturers to purchase the pharmaceuticals that we dispense. In order to have access to these pharmaceuticals, and to be able to participate in the launch of new pharmaceuticals, we must maintain a good working relationship with these manufacturers. Most of the manufacturers of the pharmaceuticals we sell have the right to cancel their supply contracts with us without cause and after giving only minimal notice. Any changes to these relationships, including, but not limited to, the loss of a manufacturer relationship, drug shortages or changes in pricing, could have an adverse effect on our business and financial results. For example, in October 2024, we received notice of a manufacturer’s intention to significantly reduce the spread at which we procure a certain therapy relative to drug reference prices beginning in early 2025, which is expected to negatively impact gross profit by approximately $60 million to $70 million dollars in 2025.</w:t>
      </w:r>
    </w:p>
    <w:p>
      <w:pPr>
        <w:spacing w:after="0" w:line="148"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Some pharmaceutical manufacturers attempt to limit the number of preferred distributors that may market certain of their pharmaceutical products. We cannot provide assurance that we will be selected and retained as a preferred distributor or that we can remain a preferred distributor to market these products. Although we believe we can effectively meet our suppliers’ requirements, we cannot provide assurance that we will be able to compete effectively with other providers to retain our position as a distributor of each of our core products. Our failure to retain our position as a distributor of each of our core products could have a material adverse effect on our financial condition and results of operations.</w:t>
      </w:r>
    </w:p>
    <w:p>
      <w:pPr>
        <w:spacing w:after="0" w:line="13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 disruption in pharmaceutical and medical supply could adversely impact our business.</w:t>
      </w:r>
    </w:p>
    <w:p>
      <w:pPr>
        <w:spacing w:after="0" w:line="202"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For the year ended December 31, 2024, approximately 58% of our pharmaceutical and medical supply purchases were from three vendors. Most of the pharmaceuticals that we purchase are available from multiple sources, and we believe they are available in sufficient quantities to meet our needs and the needs of our patients. We keep safety stock to ensure continuity of service for reasonable, but limited, periods of time. Should a supply disruption result in our inability to obtain especially high margin drugs and compound components necessary for patient care, our consolidated financial statements could be negatively impacted.</w:t>
      </w:r>
    </w:p>
    <w:p>
      <w:pPr>
        <w:spacing w:after="0" w:line="129" w:lineRule="exact"/>
        <w:rPr>
          <w:sz w:val="20"/>
          <w:szCs w:val="20"/>
          <w:color w:val="auto"/>
        </w:rPr>
      </w:pPr>
    </w:p>
    <w:p>
      <w:pPr>
        <w:ind w:right="120" w:firstLine="324"/>
        <w:spacing w:after="0" w:line="272" w:lineRule="auto"/>
        <w:rPr>
          <w:sz w:val="20"/>
          <w:szCs w:val="20"/>
          <w:color w:val="auto"/>
        </w:rPr>
      </w:pPr>
      <w:r>
        <w:rPr>
          <w:rFonts w:ascii="Times New Roman" w:cs="Times New Roman" w:eastAsia="Times New Roman" w:hAnsi="Times New Roman"/>
          <w:sz w:val="17"/>
          <w:szCs w:val="17"/>
          <w:color w:val="auto"/>
        </w:rPr>
        <w:t>In addition, there is currently significant uncertainty with respect to trade policies, treaties, tariffs and customs duties and taxes. If tariffs, trade restrictions or trade barriers are expanded, increased or interpreted by a court or governmental agency to apply to more of our products, then our exposure to future taxes and duties on such imported products and components could be significant and could have a material effect on our financial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right="20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shortage of qualified registered nursing staff, pharmacists and other professionals could adversely affect our ability to attract, train and retain qualified personnel and could increase operating costs.</w:t>
      </w:r>
    </w:p>
    <w:p>
      <w:pPr>
        <w:spacing w:after="0" w:line="118" w:lineRule="exact"/>
        <w:rPr>
          <w:sz w:val="20"/>
          <w:szCs w:val="20"/>
          <w:color w:val="auto"/>
        </w:rPr>
      </w:pPr>
    </w:p>
    <w:p>
      <w:pPr>
        <w:ind w:right="200" w:firstLine="324"/>
        <w:spacing w:after="0" w:line="258" w:lineRule="auto"/>
        <w:rPr>
          <w:sz w:val="20"/>
          <w:szCs w:val="20"/>
          <w:color w:val="auto"/>
        </w:rPr>
      </w:pPr>
      <w:r>
        <w:rPr>
          <w:rFonts w:ascii="Times New Roman" w:cs="Times New Roman" w:eastAsia="Times New Roman" w:hAnsi="Times New Roman"/>
          <w:sz w:val="18"/>
          <w:szCs w:val="18"/>
          <w:color w:val="auto"/>
        </w:rPr>
        <w:t>Our business relies on our ability to attract, train and retain nursing staff, pharmacists and other professionals who possess the skills, experience and licenses necessary to meet the requirements of their job responsibilities. From time to time, and particularly in recent years, there have been shortages of nursing staff, pharmacists and other professionals in certain local and regional markets. As a result, we are often required to compete for personnel with other healthcare systems and our competitors. Our ability to attract, train and retain personnel depends on several factors, including our ability to provide them with engaging assignments and competitive salaries and benefits. We may not be successful in any of these areas.</w:t>
      </w:r>
    </w:p>
    <w:p>
      <w:pPr>
        <w:spacing w:after="0" w:line="156"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In addition, where labor shortages arise in markets in which we operate, we have faced higher costs to attract personnel and we have had to provide them with more attractive benefit packages than originally anticipated or are being paid in other markets where such shortages do not exist at the time. In either case, such circumstances cause operating costs to increase and our profitability to decline. Finally, if we expand our operations into geographic areas where healthcare providers historically have unionized or unionization occurs in our existing geographic areas, negotiating collective bargaining agreements may have a negative effect on our ability to timely and successfully recruit qualified personnel and on our financial results. If we are unable to attract, train and retain nursing staff, pharmacists and other professionals, the quality of our services may decline and we could lose patients and referral sources, which could have a material adverse effect on our business and consolidated financial condition, results of operations and cash flows.</w:t>
      </w:r>
    </w:p>
    <w:p>
      <w:pPr>
        <w:spacing w:after="0" w:line="144" w:lineRule="exact"/>
        <w:rPr>
          <w:sz w:val="20"/>
          <w:szCs w:val="20"/>
          <w:color w:val="auto"/>
        </w:rPr>
      </w:pPr>
    </w:p>
    <w:p>
      <w:pPr>
        <w:ind w:right="68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Introduction of new drugs, accelerated adoption of existing lower margin drugs or withdrawal of existing drugs could adversely affect our revenues and profitability when prescribers prescribe these drugs for their patients or they are mandated by Third-Party Payers.</w:t>
      </w:r>
    </w:p>
    <w:p>
      <w:pPr>
        <w:spacing w:after="0" w:line="118"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The pharmaceutical industry pipeline of new drugs includes many drugs that over the long term may replace older, more expensive therapies. As a result of such older drugs losing patent protection and being replaced by generic substitutes, new and less expensive delivery methods (such as when an infusion or injectable drug is replaced with an oral drug) or additional products that are added to a therapeutic class, increase price competition among competing manufacturers’ products in that therapeutic category. In such cases, manufacturers have the ability to increase drug acquisition costs or lower the selling price of replaced products. These actions could negatively impact our revenues and/or profitability.</w:t>
      </w:r>
    </w:p>
    <w:p>
      <w:pPr>
        <w:spacing w:after="0" w:line="1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Failure to develop new services or adapt to changes and trends within the healthcare industry may adversely affect our business.</w:t>
      </w:r>
    </w:p>
    <w:p>
      <w:pPr>
        <w:spacing w:after="0" w:line="189"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We operate in a highly competitive environment. We develop new services from time to time to assist our clients. If we are unsuccessful in developing innovative services, our ability to attract new clients and retain existing clients may suffer.</w:t>
      </w:r>
    </w:p>
    <w:p>
      <w:pPr>
        <w:spacing w:after="0" w:line="121"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Technology, including the ability to capture and report outcomes, is also an important component of our business as we continue to utilize new and better channels to communicate and interact with our clients, members and business partners. If our competitors are more successful than us in employing new technology, our ability to attract new clients, retain existing clients and operate efficiently may suffer. Any significant shifts in the structure of the healthcare products and services industry in general could alter the industry dynamics and adversely affect our ability to attract or retain clients. Our failure to anticipate or appropriately adapt to changes in the industry could negatively impact our competitive position and adversely affect our business and results of operations.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future business conditions could cause business investments and/or recorded goodwill to become impaired, and our financial condition and results of operations could suffer if there is an impairment of goodwill.</w:t>
      </w:r>
    </w:p>
    <w:p>
      <w:pPr>
        <w:spacing w:after="0" w:line="118"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Our acquisitions resulted in significant goodwill reported on our financial statements. Goodwill results when the purchase price exceeds the fair value of the identifiable tangible and intangible assets and liabilities acquired. We may not realize the full value of this goodwill. As such, we evaluate on at least an annual basis whether events and circumstances indicate that all or some of the carrying value of goodwill is no longer recoverable, in which case we would recognize the unrecoverable goodwill as a charge against our earnings. The Company completes its goodwill impairment test annually in the fourth quarter on a qualitative basis. If the fair value is more likely than not less than the carrying value, a quantitative assessment will be performed. When evaluating goodwill for potential impairment on a quantitative basis, we compare the fair value of our reporting units to their respective carrying amounts. We estimate the fair value of our reporting units using the income approach. If the carrying amount of a reporting unit exceeds its estimated fair value, a goodwill impairment loss is recognized in an amount equal to the excess to the extent of the goodwill balance. The income approach requires us to estimate a number of factors for our reporting units, including projected future operating results, economic projections, anticipated future cash flows, and discount rates. The fair value determined using the income approach is then compared to marketplace fair value data from within a comparable industry grouping for reasonableness. Because of the significance of our goodwill, any future impairment could result in material non-cash charges to our results of operations, which could have an adverse effect on our financial condition and results of operations.</w:t>
      </w:r>
    </w:p>
    <w:p>
      <w:pPr>
        <w:spacing w:after="0" w:line="159" w:lineRule="exact"/>
        <w:rPr>
          <w:sz w:val="20"/>
          <w:szCs w:val="20"/>
          <w:color w:val="auto"/>
        </w:rPr>
      </w:pPr>
    </w:p>
    <w:p>
      <w:pPr>
        <w:ind w:right="24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significant change in, or noncompliance with, governmental regulations and other legal requirements could have a material adverse effect on our reputation and profitability.</w:t>
      </w:r>
    </w:p>
    <w:p>
      <w:pPr>
        <w:spacing w:after="0" w:line="118" w:lineRule="exact"/>
        <w:rPr>
          <w:sz w:val="20"/>
          <w:szCs w:val="20"/>
          <w:color w:val="auto"/>
        </w:rPr>
      </w:pPr>
    </w:p>
    <w:p>
      <w:pPr>
        <w:jc w:val="both"/>
        <w:ind w:right="280" w:firstLine="324"/>
        <w:spacing w:after="0" w:line="261" w:lineRule="auto"/>
        <w:rPr>
          <w:sz w:val="20"/>
          <w:szCs w:val="20"/>
          <w:color w:val="auto"/>
        </w:rPr>
      </w:pPr>
      <w:r>
        <w:rPr>
          <w:rFonts w:ascii="Times New Roman" w:cs="Times New Roman" w:eastAsia="Times New Roman" w:hAnsi="Times New Roman"/>
          <w:sz w:val="18"/>
          <w:szCs w:val="18"/>
          <w:color w:val="auto"/>
        </w:rPr>
        <w:t>We operate in complex, highly regulated environments and could be materially and adversely affected by changes to applicable legal requirements including related interpretations and enforcement practices, new legal requirements and/or any failure to comply with applicable regulations. Our home infusion and alternate site infusion businesses are subject to numerous federal, state and local regulations including licensing and other requirements for pharmacies and reimbursement arrangements.</w:t>
      </w:r>
    </w:p>
    <w:p>
      <w:pPr>
        <w:spacing w:after="0" w:line="139"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The federal and state statutes and regulations to which we are subject include, but are not limited to, laws requiring the registration and regulation of pharmacies; laws governing the dispensing of pharmaceuticals and controlled substances; laws regulating the protection of the environment and health and safety matters, including those governing exposure to, and the management and disposal of, hazardous substances; laws regarding food and drug safety, including those of the FDA and the DEA; applicable governmental payer regulations, including those applicable to Medicare and Medicaid; data privacy and security laws, including HIPAA and its associated regulations; federal and state fraud and abuse laws, including, but not limited to, the Anti-Kickback Statute and false claims laws; trade regulations, including those of the U.S. Federal Trade Commission (“FTC”), the U.S. Foreign Corrupt Practices Act (the “FCPA”) and similar anti-corruption laws in connection with the services provided by certain of our contractors; and consumer protection and safety laws, including those of the Consumer Product Safety Commission.</w:t>
      </w:r>
    </w:p>
    <w:p>
      <w:pPr>
        <w:spacing w:after="0" w:line="165"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We are required to hold valid DEA and state-level licenses, meet various security and operating standards and comply with federal and various state controlled substance acts and related regulations governing the sale, dispensing, disposal, holding and distribution of controlled substances. The DEA, the FDA and state regulatory authorities have broad enforcement powers, including the ability to seize or recall products and impose significant criminal, civil and administrative sanctions for violations of these laws and regulations.</w:t>
      </w:r>
    </w:p>
    <w:p>
      <w:pPr>
        <w:spacing w:after="0" w:line="139"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We use, disclose and otherwise process personally identifiable information, including health information, making us subject to HIPAA and other federal and state privacy and security regulations, and failure to comply with those regulations or to adequately secure the information we hold could result in significant liability or reputational harm and, in turn, could have a material adverse effect on our patient base and revenue.</w:t>
      </w:r>
    </w:p>
    <w:p>
      <w:pPr>
        <w:spacing w:after="0" w:line="135"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We are also governed by federal and state laws of general applicability, including laws regulating matters of working conditions, health and safety and equal employment opportunity and other labor and employment matters as well as employee benefits, competition, antitrust, taxation and escheatment matters. Material violations of any such laws could have a material adverse effect on our patient base and revenue. In addition, we could have significant exposure if we are found to have infringed another party’s intellectual property rights.</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Changes in laws, regulations and policies and the related interpretations and enforcement practices may alter the landscape in which we do business and may significantly affect our cost of doing business, the impact of which generally cannot be predicted. Such changes may require extensive system and operational changes, be difficult to implement, increase our operating costs and require significant capital expenditures. Ultimately, our noncompliance with applicable laws and regulations could result in the imposition of civil and criminal penalties that could adversely affect the continued operation of our business, including: suspension of payments from government programs; loss of required government certifications; loss of authorizations to participate in or exclusion from government programs, including the Medicare and Medicaid programs; loss of licenses; and significant fines or monetary penalties. Any failure to comply with applicable regulatory requirements could result in significant legal and financial exposure, damage our reputation, and have a material adverse effect on our business operations, financial condition and results of operations.</w:t>
      </w:r>
    </w:p>
    <w:p>
      <w:pPr>
        <w:spacing w:after="0" w:line="14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Federal actions and legislation may reduce reimbursement rates from governmental payers and adversely affect our results of operations.</w:t>
      </w:r>
    </w:p>
    <w:p>
      <w:pPr>
        <w:spacing w:after="0" w:line="202" w:lineRule="exact"/>
        <w:rPr>
          <w:sz w:val="20"/>
          <w:szCs w:val="20"/>
          <w:color w:val="auto"/>
        </w:rPr>
      </w:pPr>
    </w:p>
    <w:p>
      <w:pPr>
        <w:ind w:right="140" w:firstLine="324"/>
        <w:spacing w:after="0" w:line="252" w:lineRule="auto"/>
        <w:rPr>
          <w:sz w:val="20"/>
          <w:szCs w:val="20"/>
          <w:color w:val="auto"/>
        </w:rPr>
      </w:pPr>
      <w:r>
        <w:rPr>
          <w:rFonts w:ascii="Times New Roman" w:cs="Times New Roman" w:eastAsia="Times New Roman" w:hAnsi="Times New Roman"/>
          <w:sz w:val="18"/>
          <w:szCs w:val="18"/>
          <w:color w:val="auto"/>
        </w:rPr>
        <w:t>In recent years, Congress has passed legislation reducing payments to healthcare providers. The Budget Control Act of 2011, as amended, requires automatic spending reductions to reduce the federal deficit, including Medicare spending reductions of up to 2% per fiscal year that extend through 2027. The Center for Medicare &amp; Medicaid Services (“CMS”) began imposing a 2% reduction on Medicare claims on April 1, 2013. The Affordable Care Act provides for material reductions in the growth of Medicare program spending. The 21st Century Cures Act (the “Cures Act”) significantly reduced the amount paid by Medicare for drug costs, while delaying the implementation of a clinical services payment, although Congress also passed a temporary transitional service payment that took effect January 1, 2019. In addition, from time to time, CMS revises the reimbursement systems used to reimburse healthcare providers, which may result in reduced Medicare payments. Most recently, the Inflation Reduction Act of 2022 (the “IRA”) granted CMS the authority to negotiate drug prices under Medicare Part D, with price controls taking effect in 2026. In August 2024, CMS announced the results of its first round of drug price negotiations, which included a 66% reduction from 2023 list price for one therapy in our portfolio. The manufacturer of this therapy subsequently informed us in October 2024 of its intent to significantly reduce our procurement spread relative to drug reference prices beginning in early 2025. The direct and indirect impact IRA-mandated price negotiations and future CMS determinations is expected to negatively impact our results of operations.</w:t>
      </w:r>
    </w:p>
    <w:p>
      <w:pPr>
        <w:spacing w:after="0" w:line="2" w:lineRule="exact"/>
        <w:rPr>
          <w:sz w:val="20"/>
          <w:szCs w:val="20"/>
          <w:color w:val="auto"/>
        </w:rPr>
      </w:pPr>
    </w:p>
    <w:p>
      <w:pPr>
        <w:ind w:right="60" w:firstLine="324"/>
        <w:spacing w:after="0" w:line="252" w:lineRule="auto"/>
        <w:rPr>
          <w:sz w:val="20"/>
          <w:szCs w:val="20"/>
          <w:color w:val="auto"/>
        </w:rPr>
      </w:pPr>
      <w:r>
        <w:rPr>
          <w:rFonts w:ascii="Times New Roman" w:cs="Times New Roman" w:eastAsia="Times New Roman" w:hAnsi="Times New Roman"/>
          <w:sz w:val="18"/>
          <w:szCs w:val="18"/>
          <w:color w:val="auto"/>
        </w:rPr>
        <w:t>For the year ended December 31, 2024, 12% of our revenue was derived from reimbursement by direct federal and state programs such as Medicare and Medicaid. Reimbursement from these and other government programs is subject to statutory and regulatory requirements, administrative rulings, interpretations of policy, implementation of reimbursement procedures, retroactive payment adjustments, governmental funding restrictions and changes to or new legislation, all of which may materially affect the amount and timing of reimbursement payments to us. Changes to the way Medicare pays for our services, including mandatory payment reductions, such as sequestration, may reduce our revenue and profitability on services provided to Medicare patients and increase our working capital requirements. In addition, we are sensitive to possible changes in state Medicaid programs.</w:t>
      </w:r>
    </w:p>
    <w:p>
      <w:pPr>
        <w:spacing w:after="0" w:line="14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Because most states must operate with balanced budgets and because the Medicaid program is often a state’s largest program, some states have enacted or may consider enacting legislation designed to reduce their Medicaid expenditures. Further, many states have taken steps to reduce coverage and/or enroll Medicaid recipients in managed care programs. The current economic environment has increased the budgetary pressures on many states, and these budgetary pressures have resulted, and will likely continue to result, in decreased spending, or decreased spending growth, for Medicaid programs and the Children’s Health Insurance Program in many states.</w:t>
      </w:r>
    </w:p>
    <w:p>
      <w:pPr>
        <w:spacing w:after="0" w:line="143"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In some cases, Third-Party Payers rely on all or portions of Medicare payment systems to determine payment rates. Changes to government healthcare programs that reduce payments under these programs may negatively impact payments from Third-Party Payers. Current or future healthcare reform and deficit reduction efforts, changes in other laws or regulations affecting government healthcare programs, changes in the administration of government healthcare programs and changes in payment rates by Third-Party Payers could have a material, adverse effect on our financial position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Delays in reimbursement may adversely affect our liquidity, cash flows and results of operations.</w:t>
      </w:r>
    </w:p>
    <w:p>
      <w:pPr>
        <w:spacing w:after="0" w:line="175" w:lineRule="exact"/>
        <w:rPr>
          <w:sz w:val="20"/>
          <w:szCs w:val="20"/>
          <w:color w:val="auto"/>
        </w:rPr>
      </w:pPr>
    </w:p>
    <w:p>
      <w:pPr>
        <w:ind w:right="80" w:firstLine="324"/>
        <w:spacing w:after="0" w:line="238" w:lineRule="auto"/>
        <w:rPr>
          <w:sz w:val="20"/>
          <w:szCs w:val="20"/>
          <w:color w:val="auto"/>
        </w:rPr>
      </w:pPr>
      <w:r>
        <w:rPr>
          <w:rFonts w:ascii="Times New Roman" w:cs="Times New Roman" w:eastAsia="Times New Roman" w:hAnsi="Times New Roman"/>
          <w:sz w:val="18"/>
          <w:szCs w:val="18"/>
          <w:color w:val="auto"/>
        </w:rPr>
        <w:t>The reimbursement process for the services we provide is complex, resulting in delays between the time we bill for a service and receipt of payment that can be significant. Reimbursement and procedural issues often require us to resubmit claims multiple times and respond to multiple administrative requests before payment is remitted. The collection of accounts receivable is challenging and requires constant focus and involvement by management and ongoing enhancements to information systems and billing center operating procedures. While management believes that our controls and processes are satisfactory, there can be no assurance that collections of accounts receivable will continue at historical rates. The risks associated with third-party payers and the inability to collect outstanding accounts receivable could have a material adverse effect on our liquidity, cash flows and results of operations. For example, in the first quarter of 2024, Change Healthcare, a subsidiary of UnitedHealth Group, experienced a cybersecurity incident that disrupted its operations, causing us to disconnect from certain Change Healthcare applications until the end of the quarter, preventing us from processing claims for services and reducing our cash flows from operations in the first quarter of 2024. The majority of previously unprocessed claims were recognized in the second quarter of 2024. While we have substantially addressed the backlog and resumed normal billing operations as of the fourth quarter of 2024, we continue to evaluate the impact of the incident on our broader revenue cycle management processes.</w:t>
      </w:r>
    </w:p>
    <w:p>
      <w:pPr>
        <w:spacing w:after="0" w:line="20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pricing pressures and other risks involved with Third-Party Payers.</w:t>
      </w:r>
    </w:p>
    <w:p>
      <w:pPr>
        <w:spacing w:after="0" w:line="202"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Competition to provide healthcare services, efforts by traditional Third-Party Payers to contain or reduce healthcare costs, and the increasing influence of managed care payers such as HMOs, has resulted in reduced rates of reimbursement for home infusion and specialty pharmacy services. Changes in reimbursement policies of governmental Third-Party Payers, including policies relating to Medicare, Medicaid and other federal and state funded programs, could reduce the amounts reimbursed to our customers for our products and, in turn, the amount these customers would be willing to pay for our products and services, or could directly reduce the amounts payable to us by such payers. Pricing pressures by Third-Party Payers may continue, and these trends may adversely affect our business.</w:t>
      </w:r>
    </w:p>
    <w:p>
      <w:pPr>
        <w:spacing w:after="0" w:line="147"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Also, continued growth in managed care plans has pressured healthcare providers to find ways of becoming more cost competitive. MCOs have grown substantially in terms of the percentage of the population they cover and in terms of the portion of the healthcare economy they control. MCOs have continued to consolidate to enhance their ability to influence the delivery of healthcare services and to exert pressure to control healthcare costs. A rapid concentration of revenue derived from individual managed care payers could harm our business.</w:t>
      </w:r>
    </w:p>
    <w:p>
      <w:pPr>
        <w:spacing w:after="0" w:line="135" w:lineRule="exact"/>
        <w:rPr>
          <w:sz w:val="20"/>
          <w:szCs w:val="20"/>
          <w:color w:val="auto"/>
        </w:rPr>
      </w:pPr>
    </w:p>
    <w:p>
      <w:pPr>
        <w:ind w:right="12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periodic reviews and billing audits by governmental and private payers, which could result in adverse findings that may negatively impact our business.</w:t>
      </w:r>
    </w:p>
    <w:p>
      <w:pPr>
        <w:spacing w:after="0" w:line="132"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As a result of our participation in the Medicare and Medicaid programs, we are subject to various governmental reviews and audits to verify our compliance with these programs and applicable laws and regulations. We also are subject to audits under various government programs in which third-party firms engaged by CMS conduct extensive reviews of claims data and medical and other records to identify potential improper payments under the Medicare program. Third-Party Payers may also conduct audits. Disputes with payers can arise from these reviews. Payers can claim that payments based on certain billing practices or billing errors were made incorrectly. If billing errors are identified in the sample of reviewed claims, the billing error can be extrapolated to all claims filed, which could result in a larger overpayment than originally identified in the sample of reviewed claims. Our costs to respond to and defend claims, reviews and audits may be significant and could have a material adverse effect on our business and financial condition, results of operations and cash flows. Moreover, an adverse claim, review or audit could result in:</w:t>
      </w:r>
    </w:p>
    <w:p>
      <w:pPr>
        <w:spacing w:after="0" w:line="151"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required refunding or retroactive adjustment of amounts we have been paid by governmental payers or Third-Party Payers;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or federal agencies imposing fines, penalties and other sanctions on us;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or exclusion from the Medicare program, state programs, or one or more third-party payer networks; or</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damage to our business and reputation in various markets.</w:t>
      </w:r>
    </w:p>
    <w:p>
      <w:pPr>
        <w:spacing w:after="0" w:line="1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These results could have a material adverse effect on our business and financial condition, results of operations and cash flows.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right="38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any of our pharmacies fail to comply with the conditions of participation in the Medicare program, that pharmacy could be terminated from Medicare, which could adversely affect our consolidated financial statements.</w:t>
      </w:r>
    </w:p>
    <w:p>
      <w:pPr>
        <w:spacing w:after="0" w:line="118" w:lineRule="exact"/>
        <w:rPr>
          <w:sz w:val="20"/>
          <w:szCs w:val="20"/>
          <w:color w:val="auto"/>
        </w:rPr>
      </w:pPr>
    </w:p>
    <w:p>
      <w:pPr>
        <w:ind w:right="120" w:firstLine="324"/>
        <w:spacing w:after="0" w:line="258" w:lineRule="auto"/>
        <w:rPr>
          <w:sz w:val="20"/>
          <w:szCs w:val="20"/>
          <w:color w:val="auto"/>
        </w:rPr>
      </w:pPr>
      <w:r>
        <w:rPr>
          <w:rFonts w:ascii="Times New Roman" w:cs="Times New Roman" w:eastAsia="Times New Roman" w:hAnsi="Times New Roman"/>
          <w:sz w:val="18"/>
          <w:szCs w:val="18"/>
          <w:color w:val="auto"/>
        </w:rPr>
        <w:t>Our pharmacies must comply with the extensive conditions of participation in the Medicare program. If a pharmacy fails to meet any of the Medicare supplier standards, that pharmacy could be terminated from the Medicare program. We respond in the ordinary course to deficiency notices issued by surveyors, and none of our pharmacies has ever been terminated from the Medicare program for failure to comply with the Medicare supplier standards. Any termination of one or more of our pharmacies from the Medicare program for failure to satisfy the Medicare supplier standards could adversely affect our consolidated financial statements.</w:t>
      </w:r>
    </w:p>
    <w:p>
      <w:pPr>
        <w:spacing w:after="0" w:line="1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We cannot predict the impact of changing requirements on compounding pharmacies.</w:t>
      </w:r>
    </w:p>
    <w:p>
      <w:pPr>
        <w:spacing w:after="0" w:line="189" w:lineRule="exact"/>
        <w:rPr>
          <w:sz w:val="20"/>
          <w:szCs w:val="20"/>
          <w:color w:val="auto"/>
        </w:rPr>
      </w:pPr>
    </w:p>
    <w:p>
      <w:pPr>
        <w:ind w:right="20" w:firstLine="324"/>
        <w:spacing w:after="0" w:line="273" w:lineRule="auto"/>
        <w:rPr>
          <w:sz w:val="20"/>
          <w:szCs w:val="20"/>
          <w:color w:val="auto"/>
        </w:rPr>
      </w:pPr>
      <w:r>
        <w:rPr>
          <w:rFonts w:ascii="Times New Roman" w:cs="Times New Roman" w:eastAsia="Times New Roman" w:hAnsi="Times New Roman"/>
          <w:sz w:val="17"/>
          <w:szCs w:val="17"/>
          <w:color w:val="auto"/>
        </w:rPr>
        <w:t>The operation of compounding pharmacies are regulated by federal and state governmental agencies. We believe that our compounding is performed in safe environments, and we have clinically appropriate policies and procedures in place. We do not believe that our current compounding practices qualify us as an outsourcing facility because we only compound pursuant to a patient-specific prescription and do so in compliance with the applicable United States Pharmacopeia, Chapter 797 (“USP 797”) standards and applicable state pharmacy laws. Should state regulators or the FDA disagree, or should our business practices change to qualify us as an outsourcing facility, there is risk of regulatory action and/or increased resources required to comply with federal requirements imposed pursuant to the Drug Quality &amp; Safety Act (“DQSA”) on outsourcing facilities that could significantly increase our costs or otherwise affect our results of operations. Furthermore, we cannot predict the overall impact of increased scrutiny on compounding pharmacies.</w:t>
      </w:r>
    </w:p>
    <w:p>
      <w:pPr>
        <w:spacing w:after="0" w:line="131"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The (“DQSA”) amended the Federal Drug &amp; Cosmetic Act (“FDCA”) to grant the FDA additional authority to regulate and monitor the manufacturing of compounded pharmaceutical drugs. In 2013, Congress passed the DQSA, which creates a new category of compounding facilities called outsourcing facilities that are regulated by the FDA. The Company complies with all federal and state regulations, as well as all PCAB Accreditation Standards for Sterile and Non-Sterile Pharmacy Compounding, and pursues accreditation from quality associations. The Company believes it complies in all material respects with all applicable requirements of a non-outsourcing-facility pharmacy, as outlined in Section 503A of the FDCA. Title II of this measure, known as the Drug Supply Chain Security Act (“DSCSA”), established requirements in November 2013 to facilitate the tracing of prescription drug products through the pharmaceutical supply distribution chain. These requirements included a 10-year timeline culminating in the building of "an electronic, interoperable system to identify and trace certain prescription drugs as they are distributed in the United States.” The law’s track and trace requirements are applicable to manufacturers, wholesalers, re-packagers and dispensers (e.g., pharmacies) of prescription drugs. The Company is currently materially compliant with the DSCSA provisions currently in effect. As an eligible trading partner, the Company believes it is materially compliant with the additional provisions of DSCSA, which requires the electronic receipt and exchange of transaction information (with specific product identifiers for each package) and transaction statements. Please note that the FDA has issued an exemption from the enhanced drug distribution security requirements of section 582 of the FDCA for eligible trading partners until November 27, 2025. These regulatory measures, future DSCSA regulatory measures and the potential for increased DSCSA enforcement by the FDA could increase pharmacy costs. Noncompliance with these regulations could have an adverse impact on our reputation and profitability.</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Relating to Our Indebtedness</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Our existing indebtedness could adversely affect our business and growth prospects.</w:t>
      </w:r>
    </w:p>
    <w:p>
      <w:pPr>
        <w:spacing w:after="0" w:line="202"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As of December 31, 2024, we had $1,131.6 million of outstanding borrowings, including (i) $631.6 million under our First Lien Term Loan (as defined herein) and (ii) $500.0 million under our 4.375% Senior Unsecured Notes due 2029 (the “Senior Notes”). All obligations under the First Lien Term Loan are secured by first-priority perfected security interests in substantially all of our assets and the assets of our subsidiaries, subject to permitted liens and other exceptions. Our indebtedness, or any additional indebtedness we may incur, could require us to divert funds identified for other purposes for debt service and impair our liquidity position. If we cannot generate sufficient cash flow from operations to service our debt, we may need to refinance our debt, dispose of assets or issue equity to obtain necessary funds. We do not know whether we will be able to take any of these actions on a timely basis, on terms satisfactory to us or at all.</w:t>
      </w:r>
    </w:p>
    <w:p>
      <w:pPr>
        <w:spacing w:after="0" w:line="148" w:lineRule="exact"/>
        <w:rPr>
          <w:sz w:val="20"/>
          <w:szCs w:val="20"/>
          <w:color w:val="auto"/>
        </w:rPr>
      </w:pPr>
    </w:p>
    <w:p>
      <w:pPr>
        <w:ind w:right="660" w:firstLine="324"/>
        <w:spacing w:after="0" w:line="282" w:lineRule="auto"/>
        <w:rPr>
          <w:sz w:val="20"/>
          <w:szCs w:val="20"/>
          <w:color w:val="auto"/>
        </w:rPr>
      </w:pPr>
      <w:r>
        <w:rPr>
          <w:rFonts w:ascii="Times New Roman" w:cs="Times New Roman" w:eastAsia="Times New Roman" w:hAnsi="Times New Roman"/>
          <w:sz w:val="18"/>
          <w:szCs w:val="18"/>
          <w:color w:val="auto"/>
        </w:rPr>
        <w:t>Our indebtedness, the cash flow needed to satisfy our debt and the covenants contained in our credit agreements and indenture have important consequences, including but not limited to:</w:t>
      </w:r>
    </w:p>
    <w:p>
      <w:pPr>
        <w:spacing w:after="0" w:line="121" w:lineRule="exact"/>
        <w:rPr>
          <w:sz w:val="20"/>
          <w:szCs w:val="20"/>
          <w:color w:val="auto"/>
        </w:rPr>
      </w:pPr>
    </w:p>
    <w:p>
      <w:pPr>
        <w:ind w:left="660" w:right="40" w:hanging="328"/>
        <w:spacing w:after="0" w:line="261"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funds otherwise available for financing our capital expenditures by requiring us to dedicate a portion of our cash flows from operations to the repayment of debt and the interest on this debt;</w:t>
      </w: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ability to incur additional indebtedness;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ability to capitalize on significant business opportunities;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us more vulnerable to rising interest rates;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us more vulnerable in the event of a downturn in our business.</w:t>
      </w:r>
    </w:p>
    <w:p>
      <w:pPr>
        <w:spacing w:after="0" w:line="180"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Our level of indebtedness may place us at a competitive disadvantage to our competitors that are not as highly leveraged. Fluctuations in interest rates can increase borrowing costs. Increases in interest rates may directly impact the amount of interest we are required to pay and reduce earnings accordingly. In addition, developments in tax policy, such as the disallowance of tax deductions for interest paid on outstanding indebtedness, could have an adverse effect on our liquidity and our business, financial condition and results of operations. Further, our credit agreements and indenture contain customary affirmative and negative covenants and certain restrictions on operations that could impose operating and financial limitations and restrictions on us, including restrictions on our ability to enter into particular transactions and to engage in other actions that we may believe are advisable or necessary for our business. Our First Lien Term Loan is also subject to mandatory prepayments in certain circumstances and requires a prepayment of a certain percentage of our excess cash flow. This excess cash flow payment, and future required prepayments, will reduce our cash available for investment in our business.</w:t>
      </w:r>
    </w:p>
    <w:p>
      <w:pPr>
        <w:spacing w:after="0" w:line="148" w:lineRule="exact"/>
        <w:rPr>
          <w:sz w:val="20"/>
          <w:szCs w:val="20"/>
          <w:color w:val="auto"/>
        </w:rPr>
      </w:pPr>
    </w:p>
    <w:p>
      <w:pPr>
        <w:ind w:right="600" w:firstLine="324"/>
        <w:spacing w:after="0" w:line="266" w:lineRule="auto"/>
        <w:rPr>
          <w:sz w:val="20"/>
          <w:szCs w:val="20"/>
          <w:color w:val="auto"/>
        </w:rPr>
      </w:pPr>
      <w:r>
        <w:rPr>
          <w:rFonts w:ascii="Times New Roman" w:cs="Times New Roman" w:eastAsia="Times New Roman" w:hAnsi="Times New Roman"/>
          <w:sz w:val="18"/>
          <w:szCs w:val="18"/>
          <w:color w:val="auto"/>
        </w:rPr>
        <w:t>We expect to use cash flow from operations to meet current and future financial obligations, including funding our operations, debt service requirements and capital expenditures. The ability to make these payments depends on our financial and operating performance, which is subject to prevailing economic, industry and competitive conditions and to certain financial, business, economic and other factors beyond our control.</w:t>
      </w:r>
    </w:p>
    <w:p>
      <w:pPr>
        <w:spacing w:after="0" w:line="1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Despite our indebtedness, we may still incur significantly more debt, which could exacerbate the risks associated with our substantial leverage.</w:t>
      </w:r>
    </w:p>
    <w:p>
      <w:pPr>
        <w:spacing w:after="0" w:line="202"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We may incur additional indebtedness, including additional secured indebtedness, in the future, in connection with future acquisitions, strategic investments and strategic relationships. Although the financing documents governing our indebtedness contain covenants and restrictions on the incurrence of additional debt, these restrictions are subject to a number of qualifications and exceptions and, under certain circumstances, debt incurred in compliance with these restrictions, including secured debt, could be substantial. Adding additional debt to current debt levels could exacerbate the leverage-related risks described above.</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right="64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generate sufficient cash flow to service all of our indebtedness and may be forced to take other actions to satisfy our obligations under such indebtedness, which may not be successful.</w:t>
      </w:r>
    </w:p>
    <w:p>
      <w:pPr>
        <w:spacing w:after="0" w:line="118"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Our ability to make scheduled payments or to refinance outstanding debt obligations depends on our financial and operating performance, which will be affected by prevailing economic, industry and competitive conditions and by financial, business and other factors beyond our control. We may not be able to maintain a sufficient level of cash flow from operating activities to permit us to pay the principal, premium, if any, and interest on our indebtedness. Any failure to make payments of interest and principal on our outstanding indebtedness on a timely basis would likely result in a reduction of our credit rating, which would also harm our ability to incur additional indebtedness.</w:t>
      </w:r>
    </w:p>
    <w:p>
      <w:pPr>
        <w:spacing w:after="0" w:line="156"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If our cash flow and capital resources are insufficient to fund our debt service obligations, we may be required to reduce or delay capital expenditures, sell assets, seek additional capital or seek to restructure or refinance our indebtedness. Any refinancing of our indebtedness could be at higher interest rates and may require us to comply with more onerous covenants. These alternative measures may not be successful and may not permit us to meet our scheduled debt service obligations. In the absence of such cash flow and resources, we could face substantial liquidity problems and might be required to sell material assets or operations to attempt to meet our debt service obligations. The financing documents governing our First Lien Term Loan, Revolver Facility (as defined herein) and our Senior Notes restrict our ability to conduct asset sales and/or use the proceeds from asset sales. We may not be able to consummate these asset sales to raise capital or sell assets at prices and on terms that we believe are fair and any proceeds that we do receive may not be adequate to meet any debt service obligations then due. If we cannot meet our debt service obligations, the holders of our indebtedness may accelerate such indebtedness and, to the extent such indebtedness is secured, foreclose on our assets. In such an event, we may not have sufficient assets to repay all of our indebtedness.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Relating to Our Common Stock</w:t>
      </w:r>
    </w:p>
    <w:p>
      <w:pPr>
        <w:spacing w:after="0" w:line="185" w:lineRule="exact"/>
        <w:rPr>
          <w:sz w:val="20"/>
          <w:szCs w:val="20"/>
          <w:color w:val="auto"/>
        </w:rPr>
      </w:pPr>
    </w:p>
    <w:p>
      <w:pPr>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Provisions of our corporate governance documents could make an acquisition of us more difficult and may prevent attempts by our stockholders to replace or remove our current management, even if it is beneficial to our stockholders.</w:t>
      </w:r>
    </w:p>
    <w:p>
      <w:pPr>
        <w:spacing w:after="0" w:line="132"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Our third amended and restated certificate of incorporation contains provisions that could make it more difficult for a third party to acquire us, even if doing so might be beneficial to our stockholders. Among other things, these provisions:</w:t>
      </w:r>
    </w:p>
    <w:p>
      <w:pPr>
        <w:spacing w:after="0" w:line="121" w:lineRule="exact"/>
        <w:rPr>
          <w:sz w:val="20"/>
          <w:szCs w:val="20"/>
          <w:color w:val="auto"/>
        </w:rPr>
      </w:pPr>
    </w:p>
    <w:p>
      <w:pPr>
        <w:jc w:val="both"/>
        <w:ind w:left="660" w:right="140" w:hanging="328"/>
        <w:spacing w:after="0" w:line="257"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allow us to authorize the issuance of undesignated preferred stock, the terms of which may be established and the shares of which may be issued without stockholder approval, and which may include supermajority voting, special approval, dividend, or other rights or preferences superior to the rights of stockholders;</w:t>
      </w:r>
    </w:p>
    <w:p>
      <w:pPr>
        <w:spacing w:after="0" w:line="1" w:lineRule="exact"/>
        <w:rPr>
          <w:rFonts w:ascii="Times New Roman" w:cs="Times New Roman" w:eastAsia="Times New Roman" w:hAnsi="Times New Roman"/>
          <w:sz w:val="18"/>
          <w:szCs w:val="18"/>
          <w:color w:val="auto"/>
        </w:rPr>
      </w:pPr>
    </w:p>
    <w:p>
      <w:pPr>
        <w:ind w:left="660" w:right="100" w:hanging="328"/>
        <w:spacing w:after="0" w:line="250"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directors may be removed with or without cause only by the affirmative vote of holders of at least 66 2∕3% of the voting power of all the then-outstanding shares of our stock entitled to vote thereon, voting together as a single class;</w:t>
      </w: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stockholder action by written consent; and</w:t>
      </w:r>
    </w:p>
    <w:p>
      <w:pPr>
        <w:spacing w:after="0" w:line="9" w:lineRule="exact"/>
        <w:rPr>
          <w:rFonts w:ascii="Times New Roman" w:cs="Times New Roman" w:eastAsia="Times New Roman" w:hAnsi="Times New Roman"/>
          <w:sz w:val="18"/>
          <w:szCs w:val="18"/>
          <w:color w:val="auto"/>
        </w:rPr>
      </w:pPr>
    </w:p>
    <w:p>
      <w:pPr>
        <w:jc w:val="both"/>
        <w:ind w:left="660" w:right="440" w:hanging="328"/>
        <w:spacing w:after="0" w:line="255"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any amendment, alteration, rescission or repeal of our bylaws or certificate of incorporation by our stockholders will require the affirmative vote of the holders of at least 66 2∕3% of the voting power of all the then-outstanding shares of our stock entitled to vote thereon, voting together as a single class.</w:t>
      </w:r>
    </w:p>
    <w:p>
      <w:pPr>
        <w:spacing w:after="0" w:line="145"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These and other provisions in our certificate of incorporation, bylaws and Delaware law could make it more difficult for shareholders or potential acquirers to obtain control of our Board of Directors or initiate actions that are opposed by our then-current Board, including delaying or impeding a merger, tender offer or proxy contest involving the Company. The existence of these provisions could negatively affect the price of our common stock and limit opportunities to realize value in a corporate transaction.</w:t>
      </w:r>
    </w:p>
    <w:p>
      <w:pPr>
        <w:spacing w:after="0" w:line="153"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Moreover, Section 203 of the Delaware General Corporation Law (“DGCL”) may discourage, delay, or prevent a change of control of the Company. Section 203 of the DGCL imposes certain restrictions on mergers, business combinations, and other transactions between us and holders of 15% or more of our common stock.</w:t>
      </w:r>
    </w:p>
    <w:p>
      <w:pPr>
        <w:spacing w:after="0" w:line="131" w:lineRule="exact"/>
        <w:rPr>
          <w:sz w:val="20"/>
          <w:szCs w:val="20"/>
          <w:color w:val="auto"/>
        </w:rPr>
      </w:pPr>
    </w:p>
    <w:p>
      <w:pPr>
        <w:jc w:val="both"/>
        <w:ind w:right="80"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third amended and restated certificate of incorporation designates the Court of Chancery of the State of Delaware as the exclusive forum for certain litigation that may be initiated by our stockholders, which could limit our stockholders’ ability to obtain a favorable judicial forum for disputes with us.</w:t>
      </w:r>
    </w:p>
    <w:p>
      <w:pPr>
        <w:spacing w:after="0" w:line="134"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Pursuant to our third amended and restated certificate of incorporation, unless we consent in writing to the selection of an alternative forum, the Court of Chancery of the State of Delaware will be the sole and exclusive forum for (i) any derivative action or proceeding brought on our behalf, (ii) any action asserting a claim of breach of a fiduciary duty owed by any of our directors, officers, employees and stockholders to us or our stockholders, (iii) any action asserting a claim against us arising pursuant to any provision of the DGCL or as to which the DGCL confers jurisdiction on the Court of Chancery of the State of Delaware, our third amended and restated certificate of incorporation or our bylaws or (iv) any other action asserting a claim against us that is governed by the internal affairs doctrine; provided that, for the avoidance of doubt, the forum selection provision that identifies the Court of Chancery of the State of Delaware as the exclusive forum for certain litigation, including any “derivative action”, will not apply to suits to enforce a duty or liability created by the Exchange Act or any other claim for which the federal courts have exclusive jurisdiction. Our third amended and restated certificate of incorporation will further provide that any person or entity purchasing or otherwise acquiring any interest in shares of our capital stock is deemed to have notice of and consented to the provisions of our third amended and restated certificate of incorporation described above. The forum selection clause in our third amended and restated certificate of incorporation may have the effect of discouraging lawsuits against us or our directors and officers and may limit our stockholders’ ability to obtain a favorable judicial forum for disputes with us.</w:t>
      </w:r>
    </w:p>
    <w:p>
      <w:pPr>
        <w:spacing w:after="0" w:line="159" w:lineRule="exact"/>
        <w:rPr>
          <w:sz w:val="20"/>
          <w:szCs w:val="20"/>
          <w:color w:val="auto"/>
        </w:rPr>
      </w:pPr>
    </w:p>
    <w:p>
      <w:pPr>
        <w:ind w:right="4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issue shares of preferred stock in the future, which could make it difficult for another company to acquire us or could otherwise adversely affect holders of our common stock, which could depress the price of our common stock.</w:t>
      </w:r>
    </w:p>
    <w:p>
      <w:pPr>
        <w:spacing w:after="0" w:line="118"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Our third amended and restated certificate of incorporation authorizes us to issue one or more series of preferred stock. Our Board of Directors has the authority to determine the preferences, limitations and relative rights of the shares of preferred stock and to fix the number of shares constituting any series and the designation of such series, without any further vote or action by our stockholders. Our preferred stock could be issued with voting, liquidation, dividend and other rights superior to the rights of our common stock. The potential issuance of preferred stock may delay or prevent a change in control, discouraging bids for our common stock at a premium to the market price, and materially and adversely affecting the market price and the voting and other rights of the holders of our common stock.</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We cannot guarantee that our stock repurchase program will be fully implemented or that it will enhance long-term stockholder value.</w:t>
      </w:r>
    </w:p>
    <w:p>
      <w:pPr>
        <w:spacing w:after="0" w:line="18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We cannot guarantee that our stock repurchase program will be fully implemented or that it will enhance long-term stockholder value. In January 2025, the Board of Directors approved a new stock repurchase program authorizing the repurchase of up to $500 million of our common stock. The repurchase program does not have an expiration date, and we are not obligated to repurchase a specified number or dollar value of shares, on any particular timetable or at all. There can be no assurance that we will repurchase stock at favorable prices. The repurchase program may be suspended or terminated at any time and, even if fully implemented, may not enhance long-term stockholder value.</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General Risk Factors</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Pending and future litigation could subject us to significant monetary damages and/or require us to change our business practices.</w:t>
      </w:r>
    </w:p>
    <w:p>
      <w:pPr>
        <w:spacing w:after="0" w:line="202"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We employ pharmacists, dietitians, nurses and other healthcare professionals. We are subject to liability for negligent acts, omissions, or injuries occurring at any of our clinics or caused by any of our employees. We are subject to risks relating to asserted claims, litigation, and other proceedings in connection with our operations. We are facing, or may face, claims or become a party to a variety of legal actions that affect our business, including breach of contract actions, employment and employment discrimination-related suits, employee benefit claims, stockholder suits and other securities laws claims, and tort claims. Due to the nature of our business, we, through our employees and caregivers who provide services on our behalf, may be the subject of medical malpractice claims. A court could find these individuals should be considered our agents, and as a result, we could be held liable for their acts or omissions.</w:t>
      </w:r>
    </w:p>
    <w:p>
      <w:pPr>
        <w:spacing w:after="0" w:line="148"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 xml:space="preserve">We may incur substantial expenses in defending such claims or litigation, regardless of merit, and such claims or litigation could result in a significant diversion of the efforts of our management personnel. Successful claims against us may result in monetary liability or a material disruption in the conduct of our business. Similarly, if we settle such legal proceedings, it may affect how we operate our business. See Note 14,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of the consolidated financial statements included in Item 8 of this Annual Report for a description of material proceedings pending against the Company. We believe that these proceedings are without merit and, to the extent they are not already concluded, we intend to contest them vigorously. However, an adverse outcome in one or more of these proceedings may have a material adverse effect on our consolidated results of operations, consolidated financial position, and/or consolidated cash flow from operations, or may require us to make material changes to our business practices.</w:t>
      </w:r>
    </w:p>
    <w:p>
      <w:pPr>
        <w:spacing w:after="0" w:line="14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liability claims for damages and other expenses that are not covered by insurance.</w:t>
      </w:r>
    </w:p>
    <w:p>
      <w:pPr>
        <w:spacing w:after="0" w:line="202"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As a result of operating in the home infusion industry, our business is subject to inherent risk of claims, losses and potential lawsuits alleging incidents involving our employees that are likely to occur in a patient’s home. We maintain professional liability insurance to provide coverage to us and our subsidiaries against these risks. A successful product or professional liability claim in excess of our insurance coverage could harm our consolidated financial statements. Various aspects of our business may subject us to litigation and liability for damages. For example, a prescription drug dispensing error could result in a patient receiving the wrong amount of medication, which could lead to personal injury or death. Our business and consolidated financial statements could suffer if we pay damages or defense costs in connection with a claim that is outside the scope of any applicable contractual indemnity or insurance coverage.</w:t>
      </w:r>
    </w:p>
    <w:p>
      <w:pPr>
        <w:spacing w:after="0" w:line="148" w:lineRule="exact"/>
        <w:rPr>
          <w:sz w:val="20"/>
          <w:szCs w:val="20"/>
          <w:color w:val="auto"/>
        </w:rPr>
      </w:pPr>
    </w:p>
    <w:p>
      <w:pPr>
        <w:ind w:right="220" w:firstLine="324"/>
        <w:spacing w:after="0" w:line="256" w:lineRule="auto"/>
        <w:rPr>
          <w:sz w:val="20"/>
          <w:szCs w:val="20"/>
          <w:color w:val="auto"/>
        </w:rPr>
      </w:pPr>
      <w:r>
        <w:rPr>
          <w:rFonts w:ascii="Times New Roman" w:cs="Times New Roman" w:eastAsia="Times New Roman" w:hAnsi="Times New Roman"/>
          <w:sz w:val="18"/>
          <w:szCs w:val="18"/>
          <w:color w:val="auto"/>
        </w:rPr>
        <w:t>Our insurance coverage also includes property and business interruption liability, cyber liability, clinical trials liability, crime liability, auto liability, intercompany transit liability, workers’ compensation, employers’ liability, executive liability policies (employment practices liability, fiduciary liability, directors’ and officers’ liability), umbrella/excess liability and general liability with varying limits. We cannot assure that the insurance we maintain will satisfy claims made against us or that insurance coverage will continue to be available to us at commercially reasonable rates, in adequate amounts or on satisfactory terms or at all. Claims made against us will be subject to the terms, conditions and exclusions of the insurance policies we maintain. Any claims made against us, regardless of their merit or eventual outcome, could damage our reputation and business.</w:t>
      </w:r>
    </w:p>
    <w:p>
      <w:pPr>
        <w:spacing w:after="0" w:line="14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Pressures relating to downturns in the economy could adversely affect our business and consolidated financial statements.</w:t>
      </w:r>
    </w:p>
    <w:p>
      <w:pPr>
        <w:spacing w:after="0" w:line="202"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Medicare, and other federal and state payers, account for a portion of our revenues. During economic downturns and periods of stagnant or slow economic growth, federal and state budgets are typically negatively affected, resulting in reduced reimbursements or delayed payments by the federal and state government healthcare coverage programs in which we participate, including Medicare, Medicaid, and other federal or state assistance plans. Government programs could also slow or temporarily suspend payments, negatively impacting our cash flow and increasing our working capital needs and interest payments. We have seen, and believe we will continue to see, Medicare and state Medicaid programs institute measures aimed at controlling spending growth, including reductions in reimbursement rates.</w:t>
      </w:r>
    </w:p>
    <w:p>
      <w:pPr>
        <w:spacing w:after="0" w:line="147"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Higher unemployment rates and significant employment layoffs and downsizings may lead to lower numbers of patients enrolled in employer-provided plans. Adverse economic conditions could also cause employers to stop offering, or limit, healthcare coverage, or modify program designs, shifting more costs to the individual and exposing us to greater credit risk from patients or the discontinuance of therapy.</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right="100" w:firstLine="324"/>
        <w:spacing w:after="0" w:line="266" w:lineRule="auto"/>
        <w:rPr>
          <w:sz w:val="20"/>
          <w:szCs w:val="20"/>
          <w:color w:val="auto"/>
        </w:rPr>
      </w:pPr>
      <w:r>
        <w:rPr>
          <w:rFonts w:ascii="Times New Roman" w:cs="Times New Roman" w:eastAsia="Times New Roman" w:hAnsi="Times New Roman"/>
          <w:sz w:val="18"/>
          <w:szCs w:val="18"/>
          <w:color w:val="auto"/>
        </w:rPr>
        <w:t>General levels of inflation and specific inflationary pressures may impact areas such as labor, transportation and medical supplies and may persist due to events outside of our control, for example, potential pandemic events, supply chain disruptions, and the broader macroeconomic environment. The rise of inflation may adversely impact our business operations, financial condition and results of operations.</w:t>
      </w:r>
    </w:p>
    <w:p>
      <w:pPr>
        <w:spacing w:after="0" w:line="1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Acquisitions, strategic investments and strategic relationships involve certain risks.</w:t>
      </w:r>
    </w:p>
    <w:p>
      <w:pPr>
        <w:spacing w:after="0" w:line="202"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We may pursue acquisitions of strategic investments in, or strategic relationships with businesses and technologies. Acquisitions may entail numerous risks, including difficulties in assessing values for acquired businesses, intangible assets and technologies, difficulties in the assimilation of acquired operations and products, diversion of management’s attention from other business concerns, assumption of unknown material liabilities of acquired companies, amortization of acquired intangible assets that could reduce future reported earnings, and potential loss of clients or key employees of acquired companies. We may not be able to successfully integrate the operations, personnel, services or products that we have acquired or may acquire in the future. Strategic investments may also entail some of the risks described above. If these investments are unsuccessful, we may need to incur charges against earnings.</w:t>
      </w:r>
    </w:p>
    <w:p>
      <w:pPr>
        <w:spacing w:after="0" w:line="148"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We may also pursue a number of strategic relationships. These relationships may be important to our business and growth prospects. However, we may not be able to maintain these relationships or develop new strategic alliances.</w:t>
      </w:r>
    </w:p>
    <w:p>
      <w:pPr>
        <w:spacing w:after="0" w:line="117" w:lineRule="exact"/>
        <w:rPr>
          <w:sz w:val="20"/>
          <w:szCs w:val="20"/>
          <w:color w:val="auto"/>
        </w:rPr>
      </w:pPr>
    </w:p>
    <w:p>
      <w:pPr>
        <w:ind w:right="26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depends on our information systems. A cyber-attack, security breach or our inability to effectively integrate, manage and keep our information systems secure and operational could disrupt our operations.</w:t>
      </w:r>
    </w:p>
    <w:p>
      <w:pPr>
        <w:spacing w:after="0" w:line="172" w:lineRule="exact"/>
        <w:rPr>
          <w:sz w:val="20"/>
          <w:szCs w:val="20"/>
          <w:color w:val="auto"/>
        </w:rPr>
      </w:pPr>
    </w:p>
    <w:p>
      <w:pPr>
        <w:ind w:firstLine="324"/>
        <w:spacing w:after="0" w:line="237" w:lineRule="auto"/>
        <w:rPr>
          <w:sz w:val="20"/>
          <w:szCs w:val="20"/>
          <w:color w:val="auto"/>
        </w:rPr>
      </w:pPr>
      <w:r>
        <w:rPr>
          <w:rFonts w:ascii="Times New Roman" w:cs="Times New Roman" w:eastAsia="Times New Roman" w:hAnsi="Times New Roman"/>
          <w:sz w:val="18"/>
          <w:szCs w:val="18"/>
          <w:color w:val="auto"/>
        </w:rPr>
        <w:t>Cybersecurity refers to the combination of technologies, processes and procedures established to protect information technology systems and data from unauthorized access, attack, or damage. The Company relies on its information systems to provide security for processing, transmitting, and storing confidential information about patients, customers, and personnel, such as names, addresses and other individually identifiable information protected by HIPAA and other privacy laws. Cybersecurity risks could compromise our information and expose us to liability, which may harm our ability to operate effectively and may cause harm to our business and reputation. Cyber incidents can result from deliberate attacks or unintentional events. The regulatory environment surrounding information security and privacy is increasingly demanding, with the frequent imposition of new and changing requirements. Compliance with changes in privacy and information security laws and with rapidly evolving industry standards may result in the Company incurring significant expense due to increased investment in technology and the development of new operational processes.</w:t>
      </w:r>
    </w:p>
    <w:p>
      <w:pPr>
        <w:spacing w:after="0" w:line="5" w:lineRule="exact"/>
        <w:rPr>
          <w:sz w:val="20"/>
          <w:szCs w:val="20"/>
          <w:color w:val="auto"/>
        </w:rPr>
      </w:pPr>
    </w:p>
    <w:p>
      <w:pPr>
        <w:ind w:firstLine="324"/>
        <w:spacing w:after="0" w:line="234" w:lineRule="auto"/>
        <w:rPr>
          <w:sz w:val="20"/>
          <w:szCs w:val="20"/>
          <w:color w:val="auto"/>
        </w:rPr>
      </w:pPr>
      <w:r>
        <w:rPr>
          <w:rFonts w:ascii="Times New Roman" w:cs="Times New Roman" w:eastAsia="Times New Roman" w:hAnsi="Times New Roman"/>
          <w:sz w:val="18"/>
          <w:szCs w:val="18"/>
          <w:color w:val="auto"/>
        </w:rPr>
        <w:t>We may experience interruptions, delays and outages in service and availability from time to time, including infrastructure changes, human or software errors, upgrade disruptions and capacity constraints. We have not experienced any material known attacks on our information technology systems that compromised any confidential information. We maintain our information technology systems with safeguards against cyber-attacks including passive intrusion protection, firewalls and virus detection software. In addition, we provide our employees with extensive training on best ways to protect our patient information, including, among others, avoiding phishing emails and sharing access to sensitive information on a need-only basis. However, these safeguards do not ensure that a significant cyber-attack could not occur. Although we have taken steps to protect the security of our information technology systems and the data maintained in those systems, it is possible that our safety and security measures will not prevent the systems’ improper functioning or damage or the improper access or disclosure of personal health information or personally identifiable information such as in the event of cyber-attacks.</w:t>
      </w:r>
    </w:p>
    <w:p>
      <w:pPr>
        <w:spacing w:after="0" w:line="4" w:lineRule="exact"/>
        <w:rPr>
          <w:sz w:val="20"/>
          <w:szCs w:val="20"/>
          <w:color w:val="auto"/>
        </w:rPr>
      </w:pPr>
    </w:p>
    <w:p>
      <w:pPr>
        <w:ind w:right="120" w:firstLine="324"/>
        <w:spacing w:after="0" w:line="252" w:lineRule="auto"/>
        <w:rPr>
          <w:sz w:val="20"/>
          <w:szCs w:val="20"/>
          <w:color w:val="auto"/>
        </w:rPr>
      </w:pPr>
      <w:r>
        <w:rPr>
          <w:rFonts w:ascii="Times New Roman" w:cs="Times New Roman" w:eastAsia="Times New Roman" w:hAnsi="Times New Roman"/>
          <w:sz w:val="18"/>
          <w:szCs w:val="18"/>
          <w:color w:val="auto"/>
        </w:rPr>
        <w:t>Security breaches, including physical or electronic break-ins, computer viruses, attacks by hackers and similar breaches can create system disruptions or shutdowns or the unauthorized use or disclosure of confidential information. If personal information or protected health information is improperly accessed, tampered with or disclosed as a result of a security breach, we may incur significant costs to notify, and mitigate potential harm to the affected individuals, and we may be subject to sanctions and civil or criminal penalties if we are found to be in violation of the privacy or security rules under HIPAA or other federal or state laws protecting confidential personal information. In addition, a security breach of our information technology systems could damage our reputation, subject us to liability claims or regulatory penalties for compromised personal information and could have a materially adverse effect on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Our business is dependent on the services provided by third-party information technology vendors.</w:t>
      </w:r>
    </w:p>
    <w:p>
      <w:pPr>
        <w:spacing w:after="0" w:line="189"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Our information technology infrastructure includes hosting services provided by third parties. While we believe these third parties are high-performing organizations with secure platforms and customary certifications, they could suffer a security breach or business interruption, which in turn could impact our operations negatively. In addition, changes in pricing terms charged by our technology vendors may adversely affect our financial performance.</w:t>
      </w:r>
    </w:p>
    <w:p>
      <w:pPr>
        <w:spacing w:after="0" w:line="145" w:lineRule="exact"/>
        <w:rPr>
          <w:sz w:val="20"/>
          <w:szCs w:val="20"/>
          <w:color w:val="auto"/>
        </w:rPr>
      </w:pPr>
    </w:p>
    <w:p>
      <w:pPr>
        <w:ind w:right="60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use, and may continue to expand our use of, machine learning and artificial intelligence (“AI”) technologies to deliver our services and operate our business.</w:t>
      </w:r>
    </w:p>
    <w:p>
      <w:pPr>
        <w:spacing w:after="0" w:line="118" w:lineRule="exact"/>
        <w:rPr>
          <w:sz w:val="20"/>
          <w:szCs w:val="20"/>
          <w:color w:val="auto"/>
        </w:rPr>
      </w:pPr>
    </w:p>
    <w:p>
      <w:pPr>
        <w:ind w:right="100" w:firstLine="324"/>
        <w:spacing w:after="0" w:line="254" w:lineRule="auto"/>
        <w:rPr>
          <w:sz w:val="20"/>
          <w:szCs w:val="20"/>
          <w:color w:val="auto"/>
        </w:rPr>
      </w:pPr>
      <w:r>
        <w:rPr>
          <w:rFonts w:ascii="Times New Roman" w:cs="Times New Roman" w:eastAsia="Times New Roman" w:hAnsi="Times New Roman"/>
          <w:sz w:val="18"/>
          <w:szCs w:val="18"/>
          <w:color w:val="auto"/>
        </w:rPr>
        <w:t>If we fail to successfully integrate AI into our platform and business processes, or if we fail to keep pace with rapidly evolving AI technological developments, including attracting and retaining talented AI developers and programmers, we may face a competitive disadvantage. At the same time, the use or offering of AI technologies may result in new or expanded risks and liabilities, including enhanced government or regulatory scrutiny, litigation, compliance issues, ethical concerns, confidentiality, reputational harm and security risks. It is not possible to predict all of the risks related to the use of AI and changes in laws, rules, directives, and regulations governing the use of AI may adversely affect our ability to develop and use AI or subject us to legal liability. The cost of complying with laws and regulations governing AI could be significant and would increase our operating expenses, which could adversely affect our business, financial condition and results of operations. Further, market demand and acceptance of AI technologies are uncertain, and we may be unsuccessful in efforts to further incorporate AI into our processes.</w:t>
      </w:r>
    </w:p>
    <w:p>
      <w:pPr>
        <w:spacing w:after="0" w:line="147" w:lineRule="exact"/>
        <w:rPr>
          <w:sz w:val="20"/>
          <w:szCs w:val="20"/>
          <w:color w:val="auto"/>
        </w:rPr>
      </w:pPr>
    </w:p>
    <w:p>
      <w:pPr>
        <w:ind w:right="4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maintain effective internal control over our financial reporting could have an adverse effect on our ability to report our financial results on a timely and accurate basis.</w:t>
      </w:r>
    </w:p>
    <w:p>
      <w:pPr>
        <w:spacing w:after="0" w:line="132"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defined in Rule 13a-15(f) under the Exchange Act, and is required to evaluate the effectiveness of these controls and procedures on a periodic basis and publicly disclose the results of these evaluations and related matters in accordance with the requirements of Section 404 of the Sarbanes-Oxley Act of 2002. Effective internal control over financial reporting is necessary for us to provide reliable financial reports, to help mitigate the risk of fraud and to operate successfully. Any failure to implement and maintain effective internal controls could result in material weaknesses or material misstatements in our consolidated financial statements.</w:t>
      </w:r>
    </w:p>
    <w:p>
      <w:pPr>
        <w:spacing w:after="0" w:line="143" w:lineRule="exact"/>
        <w:rPr>
          <w:sz w:val="20"/>
          <w:szCs w:val="20"/>
          <w:color w:val="auto"/>
        </w:rPr>
      </w:pPr>
    </w:p>
    <w:p>
      <w:pPr>
        <w:ind w:right="260" w:firstLine="324"/>
        <w:spacing w:after="0" w:line="258" w:lineRule="auto"/>
        <w:rPr>
          <w:sz w:val="20"/>
          <w:szCs w:val="20"/>
          <w:color w:val="auto"/>
        </w:rPr>
      </w:pPr>
      <w:r>
        <w:rPr>
          <w:rFonts w:ascii="Times New Roman" w:cs="Times New Roman" w:eastAsia="Times New Roman" w:hAnsi="Times New Roman"/>
          <w:sz w:val="18"/>
          <w:szCs w:val="18"/>
          <w:color w:val="auto"/>
        </w:rPr>
        <w:t>If we fail to maintain effective internal control over financial reporting, or our independent registered public accounting firm is unable to provide us with an unqualified attestation report on our internal control, we may be required to take corrective measures or restate the affected historical financial statements. In addition, we may be subjected to investigations and/or sanctions by federal and state securities regulators and/or civil lawsuits by security holders. Any of the foregoing could also cause investors to lose confidence in our reported financial information and in us and would likely result in a decline in the market price of our stock and in our ability to raise additional financing if needed in the future.</w:t>
      </w:r>
    </w:p>
    <w:p>
      <w:pPr>
        <w:spacing w:after="0" w:line="13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Acts of God, such as major weather disturbances, could disrupt our business.</w:t>
      </w:r>
    </w:p>
    <w:p>
      <w:pPr>
        <w:spacing w:after="0" w:line="189" w:lineRule="exact"/>
        <w:rPr>
          <w:sz w:val="20"/>
          <w:szCs w:val="20"/>
          <w:color w:val="auto"/>
        </w:rPr>
      </w:pPr>
    </w:p>
    <w:p>
      <w:pPr>
        <w:ind w:right="20" w:firstLine="324"/>
        <w:spacing w:after="0" w:line="252" w:lineRule="auto"/>
        <w:rPr>
          <w:sz w:val="20"/>
          <w:szCs w:val="20"/>
          <w:color w:val="auto"/>
        </w:rPr>
      </w:pPr>
      <w:r>
        <w:rPr>
          <w:rFonts w:ascii="Times New Roman" w:cs="Times New Roman" w:eastAsia="Times New Roman" w:hAnsi="Times New Roman"/>
          <w:sz w:val="17"/>
          <w:szCs w:val="17"/>
          <w:color w:val="auto"/>
        </w:rPr>
        <w:t>Acts of God, such as major weather disturbances, natural disasters, or other force majeure events, could disrupt our operations, supply chain, and the services we provide to patient. Our business relies on a network of prescribers, providers, patients and facilities that can be negatively impacted by local weather disturbances and other force majeure events. For example, in anticipation of major weather events, patients with impaired health may be moved to alternate sites. After a major weather event, availability of electricity, clean water and transportation can impact our ability to provide service in patients’ homes. Additionally, such events could impact key suppliers or vendors, disrupting the services or materials they provide to us. Climate change, or legal, regulatory or market measures to address climate change, could adversely affect our business and results of operations. In addition, acts of God and other force majeure events may cause a reduction in our business or increased costs, such as increased costs in our operations as we incur overtime charges or redirect services to other locations, delays in our ability to work with payers, hospitals, physicians and other strategic partners on new business initiatives, and disruption to referral patterns as patients are moved out of facilities affected by such events or are unable to return to sites of service in patients’ homes.</w:t>
      </w: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i w:val="1"/>
          <w:iCs w:val="1"/>
          <w:color w:val="auto"/>
        </w:rPr>
        <w:t>Unresolved Staff Comments</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194"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1C.</w:t>
      </w:r>
      <w:r>
        <w:rPr>
          <w:sz w:val="20"/>
          <w:szCs w:val="20"/>
          <w:color w:val="auto"/>
        </w:rPr>
        <w:tab/>
      </w:r>
      <w:r>
        <w:rPr>
          <w:rFonts w:ascii="Times New Roman" w:cs="Times New Roman" w:eastAsia="Times New Roman" w:hAnsi="Times New Roman"/>
          <w:sz w:val="18"/>
          <w:szCs w:val="18"/>
          <w:b w:val="1"/>
          <w:bCs w:val="1"/>
          <w:i w:val="1"/>
          <w:iCs w:val="1"/>
          <w:color w:val="auto"/>
        </w:rPr>
        <w:t>Cybersecurity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Management and Strategy</w:t>
      </w:r>
    </w:p>
    <w:p>
      <w:pPr>
        <w:spacing w:after="0" w:line="18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We have developed and implemented a cybersecurity framework designed to identify, detect, protect, respond to and recover from risks stemming from threats to the security of our information, systems and network using a governance-led risk-based approach. The framework is informed, in part, by the National Institute of Standards and Technology (NIST) Cybersecurity Framework, although this does not necessarily mean that we meet all technical standards, specifications or requirements outlined in the NIST framework. Additionally, we maintain a Systems and Organization Controls (SOC) 2 Type 2 attestation.</w:t>
      </w:r>
    </w:p>
    <w:p>
      <w:pPr>
        <w:spacing w:after="0" w:line="156"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Our goal is to maintain an information technology infrastructure that implements physical, administrative, and technical controls. These controls are adjusted based on risk and designed to protect the confidentiality, integrity, and availability of our information systems, including the customer information, personal information, and proprietary information stored on our networks.</w:t>
      </w:r>
    </w:p>
    <w:p>
      <w:pPr>
        <w:spacing w:after="0" w:line="135" w:lineRule="exact"/>
        <w:rPr>
          <w:sz w:val="20"/>
          <w:szCs w:val="20"/>
          <w:color w:val="auto"/>
        </w:rPr>
      </w:pPr>
    </w:p>
    <w:p>
      <w:pPr>
        <w:jc w:val="both"/>
        <w:ind w:right="200" w:firstLine="324"/>
        <w:spacing w:after="0" w:line="266" w:lineRule="auto"/>
        <w:rPr>
          <w:sz w:val="20"/>
          <w:szCs w:val="20"/>
          <w:color w:val="auto"/>
        </w:rPr>
      </w:pPr>
      <w:r>
        <w:rPr>
          <w:rFonts w:ascii="Times New Roman" w:cs="Times New Roman" w:eastAsia="Times New Roman" w:hAnsi="Times New Roman"/>
          <w:sz w:val="18"/>
          <w:szCs w:val="18"/>
          <w:color w:val="auto"/>
        </w:rPr>
        <w:t>We have a cybersecurity incident response plan and dedicated teams to respond to cybersecurity incidents. When a cybersecurity incident occurs, we have cross-functional teams that are responsible for leading the initial assessment of priority and severity. Our information security team assists in taking any remedial action in response to an incident, and external experts may also be engaged as appropriate.</w:t>
      </w:r>
    </w:p>
    <w:p>
      <w:pPr>
        <w:spacing w:after="0" w:line="135"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Our overarching approach to cybersecurity risk management centers on governance, people, processes, and technology. We provide security awareness training to help employees understand their information protection and cybersecurity responsibilities. This includes mandatory annual cybersecurity training and monthly phishing simulations. We also perform periodic internal tabletops or simulation exercises involving technical experts, business and functional leaders, as well as separate exercises with select critical third-party service providers.</w:t>
      </w:r>
    </w:p>
    <w:p>
      <w:pPr>
        <w:spacing w:after="0" w:line="153"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We conduct third-party assessments of potential new vendors who process, store or transmit our data, which include a formal security review. This can include the review of documentation related to a vendor’s security attestations, such as SOC 2 Type 2 or HITRUST certifications.</w:t>
      </w:r>
    </w:p>
    <w:p>
      <w:pPr>
        <w:spacing w:after="0" w:line="121" w:lineRule="exact"/>
        <w:rPr>
          <w:sz w:val="20"/>
          <w:szCs w:val="20"/>
          <w:color w:val="auto"/>
        </w:rPr>
      </w:pPr>
    </w:p>
    <w:p>
      <w:pPr>
        <w:ind w:right="180" w:firstLine="324"/>
        <w:spacing w:after="0" w:line="266" w:lineRule="auto"/>
        <w:rPr>
          <w:sz w:val="20"/>
          <w:szCs w:val="20"/>
          <w:color w:val="auto"/>
        </w:rPr>
      </w:pPr>
      <w:r>
        <w:rPr>
          <w:rFonts w:ascii="Times New Roman" w:cs="Times New Roman" w:eastAsia="Times New Roman" w:hAnsi="Times New Roman"/>
          <w:sz w:val="18"/>
          <w:szCs w:val="18"/>
          <w:color w:val="auto"/>
        </w:rPr>
        <w:t>We leverage third-party cybersecurity companies to assess our cybersecurity program and procedures and reaffirm our compliance with SOC 2 standards as well as the HIPAA Security Rule. These assessments aid in continual improvement and help us identify and address risks from cybersecurity threats.</w:t>
      </w:r>
    </w:p>
    <w:p>
      <w:pPr>
        <w:spacing w:after="0" w:line="135" w:lineRule="exact"/>
        <w:rPr>
          <w:sz w:val="20"/>
          <w:szCs w:val="20"/>
          <w:color w:val="auto"/>
        </w:rPr>
      </w:pPr>
    </w:p>
    <w:p>
      <w:pPr>
        <w:jc w:val="both"/>
        <w:ind w:right="200" w:firstLine="324"/>
        <w:spacing w:after="0" w:line="289" w:lineRule="auto"/>
        <w:rPr>
          <w:sz w:val="20"/>
          <w:szCs w:val="20"/>
          <w:color w:val="auto"/>
        </w:rPr>
      </w:pPr>
      <w:r>
        <w:rPr>
          <w:rFonts w:ascii="Times New Roman" w:cs="Times New Roman" w:eastAsia="Times New Roman" w:hAnsi="Times New Roman"/>
          <w:sz w:val="17"/>
          <w:szCs w:val="17"/>
          <w:color w:val="auto"/>
        </w:rPr>
        <w:t>We also consider cybersecurity, along with our other top risks, within our enterprise risk management framework. This framework involves internal reporting at the business and enterprise levels, considering key risk indicators, trends and countermeasures. Our Senior Vice President, Chief Information Security Officer (CISO) serves on the Enterprise Risk Committee that assesses our enterprise-wide risks and oversees risk mitigation activities.</w:t>
      </w:r>
    </w:p>
    <w:p>
      <w:pPr>
        <w:spacing w:after="0" w:line="131"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We have not identified risks from known cybersecurity threats, including as a result of any prior cybersecurity incidents, that have materially affected us or our results of operations, cash flow or financial condition. However, the scope and impact of any future incident, or the identification of new information related to prior cybersecurity incidents, cannot be predicted. See “Item 1A. Risk Factors” for more information about our cybersecurity-related risks.</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Governance</w:t>
      </w:r>
    </w:p>
    <w:p>
      <w:pPr>
        <w:spacing w:after="0" w:line="189" w:lineRule="exact"/>
        <w:rPr>
          <w:sz w:val="20"/>
          <w:szCs w:val="20"/>
          <w:color w:val="auto"/>
        </w:rPr>
      </w:pPr>
    </w:p>
    <w:p>
      <w:pPr>
        <w:jc w:val="both"/>
        <w:ind w:right="20" w:firstLine="324"/>
        <w:spacing w:after="0" w:line="258" w:lineRule="auto"/>
        <w:rPr>
          <w:sz w:val="20"/>
          <w:szCs w:val="20"/>
          <w:color w:val="auto"/>
        </w:rPr>
      </w:pPr>
      <w:r>
        <w:rPr>
          <w:rFonts w:ascii="Times New Roman" w:cs="Times New Roman" w:eastAsia="Times New Roman" w:hAnsi="Times New Roman"/>
          <w:sz w:val="18"/>
          <w:szCs w:val="18"/>
          <w:color w:val="auto"/>
        </w:rPr>
        <w:t>The Quality and Compliance Committee of our Board of Directors provides board-level oversight of cybersecurity risk. As part of its oversight role, the Quality and Compliance Committee receives reports about our practices, programs, or notable threats or incidents related to cybersecurity throughout the year, including through periodic updates from our CISO and other leaders. The Quality and Compliance Committee provides regular reports to the full Board about these matters and other areas within its responsibility, and the CISO and other leaders provide updates regarding cybersecurity matters to the full Board as appropriate.</w:t>
      </w:r>
    </w:p>
    <w:p>
      <w:pPr>
        <w:spacing w:after="0" w:line="156"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Our CISO reports to our Chief Information Officer and leads our overall cybersecurity function. Our CISO has over 20 years of experience in various security roles, which include managing information security, developing cybersecurity strategy, and implementing cybersecurity programs. Our CISO collaborates with senior leaders and other members of our organization to identify and analyze cybersecurity risks and implement controls as appropriate and feasible to mitigate these risks. The CISO also supervises efforts to prevent, detect, mitigate and remediate cybersecurity risks and incidents through various means, including by collaborating with internal and external stakeholders. Our CISO is supported by a management-led Security Council, which consists of our Chief Executive Officer, Chief Financial Officer and other senior leaders throughout our organization, and which reviews and discusses our cybersecurity program as well as emerging cyber risks, threats, and industry trends, among other topics.</w:t>
      </w:r>
    </w:p>
    <w:p>
      <w:pPr>
        <w:spacing w:after="0" w:line="144"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8"/>
          <w:szCs w:val="18"/>
          <w:b w:val="1"/>
          <w:bCs w:val="1"/>
          <w:i w:val="1"/>
          <w:iCs w:val="1"/>
          <w:color w:val="auto"/>
        </w:rPr>
        <w:t>Properties</w:t>
      </w:r>
    </w:p>
    <w:p>
      <w:pPr>
        <w:spacing w:after="0" w:line="189"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We currently lease all of our properties from third parties under various lease terms expiring over periods extending through 2039, in addition to a number of non-material month-to-month leases. Our corporate headquarters is located at 3000 Lakeside Drive, Suite 300N, Bannockburn, IL 60015. Our other properties mainly consist of infusion pharmacies equipped with clean room and compounding capabilities. Some infusion pharmacies are co-located with an ambulatory infusion center where patients receive infusion treatments. As of December 31, 2024, we have 92 pharmacies and 93 stand-alone ambulatory infusion suites that support our infusion services business in 43 states.</w:t>
      </w:r>
    </w:p>
    <w:p>
      <w:pPr>
        <w:spacing w:after="0" w:line="152"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i w:val="1"/>
          <w:iCs w:val="1"/>
          <w:color w:val="auto"/>
        </w:rPr>
        <w:t>Legal Proceedings</w:t>
      </w:r>
    </w:p>
    <w:p>
      <w:pPr>
        <w:spacing w:after="0" w:line="187" w:lineRule="exact"/>
        <w:rPr>
          <w:sz w:val="20"/>
          <w:szCs w:val="20"/>
          <w:color w:val="auto"/>
        </w:rPr>
      </w:pPr>
    </w:p>
    <w:p>
      <w:pPr>
        <w:ind w:right="400" w:firstLine="369"/>
        <w:spacing w:after="0" w:line="284" w:lineRule="auto"/>
        <w:rPr>
          <w:sz w:val="20"/>
          <w:szCs w:val="20"/>
          <w:color w:val="auto"/>
        </w:rPr>
      </w:pPr>
      <w:r>
        <w:rPr>
          <w:rFonts w:ascii="Times New Roman" w:cs="Times New Roman" w:eastAsia="Times New Roman" w:hAnsi="Times New Roman"/>
          <w:sz w:val="18"/>
          <w:szCs w:val="18"/>
          <w:color w:val="auto"/>
        </w:rPr>
        <w:t xml:space="preserve">For a summary of material legal proceedings, if any, refer to Note 14,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of the consolidated financial statements included in Item 8 of this Annual Report.</w:t>
      </w:r>
    </w:p>
    <w:p>
      <w:pPr>
        <w:spacing w:after="0" w:line="116"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i w:val="1"/>
          <w:iCs w:val="1"/>
          <w:color w:val="auto"/>
        </w:rPr>
        <w:t>Mine Safety Disclosures</w:t>
      </w:r>
    </w:p>
    <w:p>
      <w:pPr>
        <w:spacing w:after="0" w:line="20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Item not applicable.</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18" w:right="4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8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i w:val="1"/>
          <w:iCs w:val="1"/>
          <w:color w:val="auto"/>
        </w:rPr>
        <w:t>Market for Registrant’s Common Equity, Related Stockholder Matters and Issuer Purchases of Equity Securities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Common Stock, par value $0.0001 per share, is traded on the Nasdaq Global Select Market under the symbol “OPCH”.</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 of Record</w:t>
      </w:r>
    </w:p>
    <w:p>
      <w:pPr>
        <w:spacing w:after="0" w:line="20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February 21, 2025, there were 76 stockholders of record of our Common Stock.</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have never paid cash dividends on our Common Stock and do not anticipate doing so in the foreseeable future.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See Item 12. “Security Ownership of Certain Beneficial Owners and Management and Related Stockholder Matters” of this Annual Report.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 of Unregistered Securities and Use of Proceeds</w:t>
      </w:r>
    </w:p>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Issuer Purchases of Equity Securities</w:t>
      </w:r>
    </w:p>
    <w:p>
      <w:pPr>
        <w:spacing w:after="0" w:line="189" w:lineRule="exact"/>
        <w:rPr>
          <w:sz w:val="20"/>
          <w:szCs w:val="20"/>
          <w:color w:val="auto"/>
        </w:rPr>
      </w:pPr>
    </w:p>
    <w:p>
      <w:pPr>
        <w:ind w:right="180" w:firstLine="324"/>
        <w:spacing w:after="0" w:line="266" w:lineRule="auto"/>
        <w:rPr>
          <w:sz w:val="20"/>
          <w:szCs w:val="20"/>
          <w:color w:val="auto"/>
        </w:rPr>
      </w:pPr>
      <w:r>
        <w:rPr>
          <w:rFonts w:ascii="Times New Roman" w:cs="Times New Roman" w:eastAsia="Times New Roman" w:hAnsi="Times New Roman"/>
          <w:sz w:val="18"/>
          <w:szCs w:val="18"/>
          <w:color w:val="auto"/>
        </w:rPr>
        <w:t>On February 20, 2023, the Company’s Board of Directors approved a share repurchase program of up to an aggregate $250 million of common stock of the Company. On December 6, 2023, the Company’s Board of Directors approved an increase to its stock repurchase program authorization from $250 million to $500 million. This program was completed in December 2024.</w:t>
      </w:r>
    </w:p>
    <w:p>
      <w:pPr>
        <w:spacing w:after="0" w:line="13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provides certain information with respect to the Company’s repurchases of common stock from October 1, 2024 through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2024:</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Total Number of Shares</w:t>
            </w:r>
          </w:p>
        </w:tc>
        <w:tc>
          <w:tcPr>
            <w:tcW w:w="100" w:type="dxa"/>
            <w:vAlign w:val="bottom"/>
          </w:tcPr>
          <w:p>
            <w:pPr>
              <w:spacing w:after="0"/>
              <w:rPr>
                <w:sz w:val="16"/>
                <w:szCs w:val="16"/>
                <w:color w:val="auto"/>
              </w:rPr>
            </w:pPr>
          </w:p>
        </w:tc>
        <w:tc>
          <w:tcPr>
            <w:tcW w:w="166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Approximate Dollar</w:t>
            </w:r>
          </w:p>
        </w:tc>
        <w:tc>
          <w:tcPr>
            <w:tcW w:w="0" w:type="dxa"/>
            <w:vAlign w:val="bottom"/>
          </w:tcPr>
          <w:p>
            <w:pPr>
              <w:spacing w:after="0"/>
              <w:rPr>
                <w:sz w:val="1"/>
                <w:szCs w:val="1"/>
                <w:color w:val="auto"/>
              </w:rPr>
            </w:pPr>
          </w:p>
        </w:tc>
      </w:tr>
      <w:tr>
        <w:trPr>
          <w:trHeight w:val="162"/>
        </w:trPr>
        <w:tc>
          <w:tcPr>
            <w:tcW w:w="3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tcPr>
          <w:p>
            <w:pPr>
              <w:jc w:val="center"/>
              <w:ind w:right="19"/>
              <w:spacing w:after="0" w:line="162" w:lineRule="exact"/>
              <w:rPr>
                <w:sz w:val="20"/>
                <w:szCs w:val="20"/>
                <w:color w:val="auto"/>
              </w:rPr>
            </w:pPr>
            <w:r>
              <w:rPr>
                <w:rFonts w:ascii="Times New Roman" w:cs="Times New Roman" w:eastAsia="Times New Roman" w:hAnsi="Times New Roman"/>
                <w:sz w:val="16"/>
                <w:szCs w:val="16"/>
                <w:b w:val="1"/>
                <w:bCs w:val="1"/>
                <w:color w:val="auto"/>
                <w:w w:val="99"/>
              </w:rPr>
              <w:t>Value of Shares That</w:t>
            </w:r>
          </w:p>
        </w:tc>
        <w:tc>
          <w:tcPr>
            <w:tcW w:w="0" w:type="dxa"/>
            <w:vAlign w:val="bottom"/>
          </w:tcPr>
          <w:p>
            <w:pPr>
              <w:spacing w:after="0"/>
              <w:rPr>
                <w:sz w:val="1"/>
                <w:szCs w:val="1"/>
                <w:color w:val="auto"/>
              </w:rPr>
            </w:pPr>
          </w:p>
        </w:tc>
      </w:tr>
      <w:tr>
        <w:trPr>
          <w:trHeight w:val="162"/>
        </w:trPr>
        <w:tc>
          <w:tcPr>
            <w:tcW w:w="3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Total Number of Shares</w:t>
            </w:r>
          </w:p>
        </w:tc>
        <w:tc>
          <w:tcPr>
            <w:tcW w:w="184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Average Price Paid per</w:t>
            </w:r>
          </w:p>
        </w:tc>
        <w:tc>
          <w:tcPr>
            <w:tcW w:w="1860" w:type="dxa"/>
            <w:vAlign w:val="bottom"/>
            <w:gridSpan w:val="2"/>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rPr>
              <w:t>Purchased as Part of</w:t>
            </w:r>
          </w:p>
        </w:tc>
        <w:tc>
          <w:tcPr>
            <w:tcW w:w="100" w:type="dxa"/>
            <w:vAlign w:val="bottom"/>
          </w:tcPr>
          <w:p>
            <w:pPr>
              <w:spacing w:after="0"/>
              <w:rPr>
                <w:sz w:val="14"/>
                <w:szCs w:val="14"/>
                <w:color w:val="auto"/>
              </w:rPr>
            </w:pPr>
          </w:p>
        </w:tc>
        <w:tc>
          <w:tcPr>
            <w:tcW w:w="1660" w:type="dxa"/>
            <w:vAlign w:val="bottom"/>
          </w:tcPr>
          <w:p>
            <w:pPr>
              <w:jc w:val="center"/>
              <w:ind w:right="19"/>
              <w:spacing w:after="0" w:line="162" w:lineRule="exact"/>
              <w:rPr>
                <w:sz w:val="20"/>
                <w:szCs w:val="20"/>
                <w:color w:val="auto"/>
              </w:rPr>
            </w:pPr>
            <w:r>
              <w:rPr>
                <w:rFonts w:ascii="Times New Roman" w:cs="Times New Roman" w:eastAsia="Times New Roman" w:hAnsi="Times New Roman"/>
                <w:sz w:val="16"/>
                <w:szCs w:val="16"/>
                <w:b w:val="1"/>
                <w:bCs w:val="1"/>
                <w:color w:val="auto"/>
                <w:w w:val="99"/>
              </w:rPr>
              <w:t>May Yet Be Purchased</w:t>
            </w:r>
          </w:p>
        </w:tc>
        <w:tc>
          <w:tcPr>
            <w:tcW w:w="0" w:type="dxa"/>
            <w:vAlign w:val="bottom"/>
          </w:tcPr>
          <w:p>
            <w:pPr>
              <w:spacing w:after="0"/>
              <w:rPr>
                <w:sz w:val="1"/>
                <w:szCs w:val="1"/>
                <w:color w:val="auto"/>
              </w:rPr>
            </w:pPr>
          </w:p>
        </w:tc>
      </w:tr>
      <w:tr>
        <w:trPr>
          <w:trHeight w:val="162"/>
        </w:trPr>
        <w:tc>
          <w:tcPr>
            <w:tcW w:w="39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1860" w:type="dxa"/>
            <w:vAlign w:val="bottom"/>
            <w:gridSpan w:val="2"/>
            <w:vMerge w:val="continue"/>
          </w:tcPr>
          <w:p>
            <w:pPr>
              <w:spacing w:after="0"/>
              <w:rPr>
                <w:sz w:val="14"/>
                <w:szCs w:val="14"/>
                <w:color w:val="auto"/>
              </w:rPr>
            </w:pPr>
          </w:p>
        </w:tc>
        <w:tc>
          <w:tcPr>
            <w:tcW w:w="1840" w:type="dxa"/>
            <w:vAlign w:val="bottom"/>
            <w:gridSpan w:val="3"/>
            <w:vMerge w:val="continue"/>
          </w:tcPr>
          <w:p>
            <w:pPr>
              <w:spacing w:after="0"/>
              <w:rPr>
                <w:sz w:val="14"/>
                <w:szCs w:val="14"/>
                <w:color w:val="auto"/>
              </w:rPr>
            </w:pPr>
          </w:p>
        </w:tc>
        <w:tc>
          <w:tcPr>
            <w:tcW w:w="186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Publicly Announced</w:t>
            </w:r>
          </w:p>
        </w:tc>
        <w:tc>
          <w:tcPr>
            <w:tcW w:w="100" w:type="dxa"/>
            <w:vAlign w:val="bottom"/>
          </w:tcPr>
          <w:p>
            <w:pPr>
              <w:spacing w:after="0"/>
              <w:rPr>
                <w:sz w:val="14"/>
                <w:szCs w:val="14"/>
                <w:color w:val="auto"/>
              </w:rPr>
            </w:pPr>
          </w:p>
        </w:tc>
        <w:tc>
          <w:tcPr>
            <w:tcW w:w="1660" w:type="dxa"/>
            <w:vAlign w:val="bottom"/>
          </w:tcPr>
          <w:p>
            <w:pPr>
              <w:jc w:val="center"/>
              <w:ind w:right="19"/>
              <w:spacing w:after="0" w:line="162" w:lineRule="exact"/>
              <w:rPr>
                <w:sz w:val="20"/>
                <w:szCs w:val="20"/>
                <w:color w:val="auto"/>
              </w:rPr>
            </w:pPr>
            <w:r>
              <w:rPr>
                <w:rFonts w:ascii="Times New Roman" w:cs="Times New Roman" w:eastAsia="Times New Roman" w:hAnsi="Times New Roman"/>
                <w:sz w:val="16"/>
                <w:szCs w:val="16"/>
                <w:b w:val="1"/>
                <w:bCs w:val="1"/>
                <w:color w:val="auto"/>
              </w:rPr>
              <w:t>Under the Plans or</w:t>
            </w:r>
          </w:p>
        </w:tc>
        <w:tc>
          <w:tcPr>
            <w:tcW w:w="0" w:type="dxa"/>
            <w:vAlign w:val="bottom"/>
          </w:tcPr>
          <w:p>
            <w:pPr>
              <w:spacing w:after="0"/>
              <w:rPr>
                <w:sz w:val="1"/>
                <w:szCs w:val="1"/>
                <w:color w:val="auto"/>
              </w:rPr>
            </w:pPr>
          </w:p>
        </w:tc>
      </w:tr>
      <w:tr>
        <w:trPr>
          <w:trHeight w:val="214"/>
        </w:trPr>
        <w:tc>
          <w:tcPr>
            <w:tcW w:w="3920" w:type="dxa"/>
            <w:vAlign w:val="bottom"/>
            <w:gridSpan w:val="2"/>
            <w:vMerge w:val="continue"/>
          </w:tcPr>
          <w:p>
            <w:pPr>
              <w:spacing w:after="0"/>
              <w:rPr>
                <w:sz w:val="18"/>
                <w:szCs w:val="18"/>
                <w:color w:val="auto"/>
              </w:rPr>
            </w:pPr>
          </w:p>
        </w:tc>
        <w:tc>
          <w:tcPr>
            <w:tcW w:w="18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Purchased</w:t>
            </w:r>
          </w:p>
        </w:tc>
        <w:tc>
          <w:tcPr>
            <w:tcW w:w="380" w:type="dxa"/>
            <w:vAlign w:val="bottom"/>
          </w:tcPr>
          <w:p>
            <w:pPr>
              <w:spacing w:after="0"/>
              <w:rPr>
                <w:sz w:val="18"/>
                <w:szCs w:val="18"/>
                <w:color w:val="auto"/>
              </w:rPr>
            </w:pPr>
          </w:p>
        </w:tc>
        <w:tc>
          <w:tcPr>
            <w:tcW w:w="1460" w:type="dxa"/>
            <w:vAlign w:val="bottom"/>
            <w:gridSpan w:val="2"/>
          </w:tcPr>
          <w:p>
            <w:pPr>
              <w:jc w:val="center"/>
              <w:ind w:right="500"/>
              <w:spacing w:after="0"/>
              <w:rPr>
                <w:sz w:val="20"/>
                <w:szCs w:val="20"/>
                <w:color w:val="auto"/>
              </w:rPr>
            </w:pPr>
            <w:r>
              <w:rPr>
                <w:rFonts w:ascii="Times New Roman" w:cs="Times New Roman" w:eastAsia="Times New Roman" w:hAnsi="Times New Roman"/>
                <w:sz w:val="16"/>
                <w:szCs w:val="16"/>
                <w:b w:val="1"/>
                <w:bCs w:val="1"/>
                <w:color w:val="auto"/>
                <w:w w:val="99"/>
              </w:rPr>
              <w:t>Share</w:t>
            </w:r>
          </w:p>
        </w:tc>
        <w:tc>
          <w:tcPr>
            <w:tcW w:w="18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Plans or Programs</w:t>
            </w:r>
          </w:p>
        </w:tc>
        <w:tc>
          <w:tcPr>
            <w:tcW w:w="100" w:type="dxa"/>
            <w:vAlign w:val="bottom"/>
          </w:tcPr>
          <w:p>
            <w:pPr>
              <w:spacing w:after="0"/>
              <w:rPr>
                <w:sz w:val="18"/>
                <w:szCs w:val="18"/>
                <w:color w:val="auto"/>
              </w:rPr>
            </w:pPr>
          </w:p>
        </w:tc>
        <w:tc>
          <w:tcPr>
            <w:tcW w:w="166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Programs</w:t>
            </w:r>
          </w:p>
        </w:tc>
        <w:tc>
          <w:tcPr>
            <w:tcW w:w="0" w:type="dxa"/>
            <w:vAlign w:val="bottom"/>
          </w:tcPr>
          <w:p>
            <w:pPr>
              <w:spacing w:after="0"/>
              <w:rPr>
                <w:sz w:val="1"/>
                <w:szCs w:val="1"/>
                <w:color w:val="auto"/>
              </w:rPr>
            </w:pPr>
          </w:p>
        </w:tc>
      </w:tr>
      <w:tr>
        <w:trPr>
          <w:trHeight w:val="211"/>
        </w:trPr>
        <w:tc>
          <w:tcPr>
            <w:tcW w:w="38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October 1, 2024 - October 31, 2024</w:t>
            </w:r>
          </w:p>
        </w:tc>
        <w:tc>
          <w:tcPr>
            <w:tcW w:w="100" w:type="dxa"/>
            <w:vAlign w:val="bottom"/>
            <w:tcBorders>
              <w:top w:val="single" w:sz="8" w:color="CCEEFF"/>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90,004,547</w:t>
            </w:r>
          </w:p>
        </w:tc>
        <w:tc>
          <w:tcPr>
            <w:tcW w:w="0" w:type="dxa"/>
            <w:vAlign w:val="bottom"/>
          </w:tcPr>
          <w:p>
            <w:pPr>
              <w:spacing w:after="0"/>
              <w:rPr>
                <w:sz w:val="1"/>
                <w:szCs w:val="1"/>
                <w:color w:val="auto"/>
              </w:rPr>
            </w:pPr>
          </w:p>
        </w:tc>
      </w:tr>
      <w:tr>
        <w:trPr>
          <w:trHeight w:val="213"/>
        </w:trPr>
        <w:tc>
          <w:tcPr>
            <w:tcW w:w="39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November 1, 2024 - November 30, 2024</w:t>
            </w: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1,862,546</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22.48</w:t>
            </w:r>
          </w:p>
        </w:tc>
        <w:tc>
          <w:tcPr>
            <w:tcW w:w="1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1,862,546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48,139,183</w:t>
            </w:r>
          </w:p>
        </w:tc>
        <w:tc>
          <w:tcPr>
            <w:tcW w:w="0" w:type="dxa"/>
            <w:vAlign w:val="bottom"/>
          </w:tcPr>
          <w:p>
            <w:pPr>
              <w:spacing w:after="0"/>
              <w:rPr>
                <w:sz w:val="1"/>
                <w:szCs w:val="1"/>
                <w:color w:val="auto"/>
              </w:rPr>
            </w:pPr>
          </w:p>
        </w:tc>
      </w:tr>
      <w:tr>
        <w:trPr>
          <w:trHeight w:val="219"/>
        </w:trPr>
        <w:tc>
          <w:tcPr>
            <w:tcW w:w="3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December 1, 2024 - December 31, 2024</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2,075,862</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23.19</w:t>
            </w:r>
          </w:p>
        </w:tc>
        <w:tc>
          <w:tcPr>
            <w:tcW w:w="100" w:type="dxa"/>
            <w:vAlign w:val="bottom"/>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2,075,862</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4"/>
        </w:trPr>
        <w:tc>
          <w:tcPr>
            <w:tcW w:w="3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3,938,408</w:t>
            </w:r>
          </w:p>
        </w:tc>
        <w:tc>
          <w:tcPr>
            <w:tcW w:w="120" w:type="dxa"/>
            <w:vAlign w:val="bottom"/>
          </w:tcPr>
          <w:p>
            <w:pPr>
              <w:spacing w:after="0"/>
              <w:rPr>
                <w:sz w:val="17"/>
                <w:szCs w:val="17"/>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22.85</w:t>
            </w:r>
          </w:p>
        </w:tc>
        <w:tc>
          <w:tcPr>
            <w:tcW w:w="10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3,938,408</w:t>
            </w:r>
          </w:p>
        </w:tc>
        <w:tc>
          <w:tcPr>
            <w:tcW w:w="1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bl>
    <w:p>
      <w:pPr>
        <w:spacing w:after="0" w:line="311" w:lineRule="exact"/>
        <w:rPr>
          <w:sz w:val="20"/>
          <w:szCs w:val="20"/>
          <w:color w:val="auto"/>
        </w:rPr>
      </w:pPr>
    </w:p>
    <w:p>
      <w:pPr>
        <w:ind w:right="280" w:firstLine="324"/>
        <w:spacing w:after="0" w:line="282" w:lineRule="auto"/>
        <w:rPr>
          <w:sz w:val="20"/>
          <w:szCs w:val="20"/>
          <w:color w:val="auto"/>
        </w:rPr>
      </w:pPr>
      <w:r>
        <w:rPr>
          <w:rFonts w:ascii="Times New Roman" w:cs="Times New Roman" w:eastAsia="Times New Roman" w:hAnsi="Times New Roman"/>
          <w:sz w:val="18"/>
          <w:szCs w:val="18"/>
          <w:color w:val="auto"/>
        </w:rPr>
        <w:t>In January 2025, the Board of Directors approved a new stock repurchase program authorizing the repurchase of up to $500 million of our common stock.</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Performance Graph</w:t>
      </w:r>
    </w:p>
    <w:p>
      <w:pPr>
        <w:spacing w:after="0" w:line="189" w:lineRule="exact"/>
        <w:rPr>
          <w:sz w:val="20"/>
          <w:szCs w:val="20"/>
          <w:color w:val="auto"/>
        </w:rPr>
      </w:pPr>
    </w:p>
    <w:p>
      <w:pPr>
        <w:ind w:right="320" w:firstLine="324"/>
        <w:spacing w:after="0" w:line="266" w:lineRule="auto"/>
        <w:rPr>
          <w:sz w:val="20"/>
          <w:szCs w:val="20"/>
          <w:color w:val="auto"/>
        </w:rPr>
      </w:pPr>
      <w:r>
        <w:rPr>
          <w:rFonts w:ascii="Times New Roman" w:cs="Times New Roman" w:eastAsia="Times New Roman" w:hAnsi="Times New Roman"/>
          <w:sz w:val="18"/>
          <w:szCs w:val="18"/>
          <w:color w:val="auto"/>
        </w:rPr>
        <w:t>The following graph compares the total cumulative returns of Option Care Health, the Nasdaq Composite Index and the S&amp;P Health Care Services Select Industry Index for the five-year period from December 31, 2019 through December 31, 2024. The graph shows the performance of a $100 investment in our Common Stock and each index as of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106045</wp:posOffset>
            </wp:positionV>
            <wp:extent cx="5863590" cy="36518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863590" cy="3651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$100 invested on December 31, 2019 in stock or index, including reinvestment of dividends.</w:t>
      </w:r>
    </w:p>
    <w:p>
      <w:pPr>
        <w:spacing w:after="0" w:line="228"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43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gridSpan w:val="5"/>
          </w:tcPr>
          <w:p>
            <w:pPr>
              <w:ind w:left="6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r>
      <w:tr>
        <w:trPr>
          <w:trHeight w:val="211"/>
        </w:trPr>
        <w:tc>
          <w:tcPr>
            <w:tcW w:w="43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2020</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11"/>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Option Care Health, Inc.</w:t>
            </w:r>
          </w:p>
        </w:tc>
        <w:tc>
          <w:tcPr>
            <w:tcW w:w="2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104.83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190.62</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201.68</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225.80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155.50</w:t>
            </w:r>
          </w:p>
        </w:tc>
      </w:tr>
      <w:tr>
        <w:trPr>
          <w:trHeight w:val="213"/>
        </w:trPr>
        <w:tc>
          <w:tcPr>
            <w:tcW w:w="4360" w:type="dxa"/>
            <w:vAlign w:val="bottom"/>
          </w:tcPr>
          <w:p>
            <w:pPr>
              <w:spacing w:after="0"/>
              <w:rPr>
                <w:sz w:val="20"/>
                <w:szCs w:val="20"/>
                <w:color w:val="auto"/>
              </w:rPr>
            </w:pPr>
            <w:r>
              <w:rPr>
                <w:rFonts w:ascii="Times New Roman" w:cs="Times New Roman" w:eastAsia="Times New Roman" w:hAnsi="Times New Roman"/>
                <w:sz w:val="16"/>
                <w:szCs w:val="16"/>
                <w:color w:val="auto"/>
              </w:rPr>
              <w:t>Nasdaq Composite Index</w:t>
            </w:r>
          </w:p>
        </w:tc>
        <w:tc>
          <w:tcPr>
            <w:tcW w:w="2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143.64</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174.36</w:t>
            </w:r>
          </w:p>
        </w:tc>
        <w:tc>
          <w:tcPr>
            <w:tcW w:w="120" w:type="dxa"/>
            <w:vAlign w:val="bottom"/>
          </w:tcPr>
          <w:p>
            <w:pPr>
              <w:spacing w:after="0"/>
              <w:rPr>
                <w:sz w:val="18"/>
                <w:szCs w:val="18"/>
                <w:color w:val="auto"/>
              </w:rPr>
            </w:pPr>
          </w:p>
        </w:tc>
        <w:tc>
          <w:tcPr>
            <w:tcW w:w="2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116.65</w:t>
            </w:r>
          </w:p>
        </w:tc>
        <w:tc>
          <w:tcPr>
            <w:tcW w:w="120" w:type="dxa"/>
            <w:vAlign w:val="bottom"/>
          </w:tcPr>
          <w:p>
            <w:pPr>
              <w:spacing w:after="0"/>
              <w:rPr>
                <w:sz w:val="18"/>
                <w:szCs w:val="18"/>
                <w:color w:val="auto"/>
              </w:rPr>
            </w:pPr>
          </w:p>
        </w:tc>
        <w:tc>
          <w:tcPr>
            <w:tcW w:w="2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167.30</w:t>
            </w:r>
          </w:p>
        </w:tc>
        <w:tc>
          <w:tcPr>
            <w:tcW w:w="120" w:type="dxa"/>
            <w:vAlign w:val="bottom"/>
          </w:tcPr>
          <w:p>
            <w:pPr>
              <w:spacing w:after="0"/>
              <w:rPr>
                <w:sz w:val="18"/>
                <w:szCs w:val="18"/>
                <w:color w:val="auto"/>
              </w:rPr>
            </w:pPr>
          </w:p>
        </w:tc>
        <w:tc>
          <w:tcPr>
            <w:tcW w:w="2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215.22</w:t>
            </w:r>
          </w:p>
        </w:tc>
      </w:tr>
      <w:tr>
        <w:trPr>
          <w:trHeight w:val="219"/>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S&amp;P Health Care Services Select Industry Index</w:t>
            </w:r>
          </w:p>
        </w:tc>
        <w:tc>
          <w:tcPr>
            <w:tcW w:w="2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133.00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145.57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116.36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121.70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123.45</w:t>
            </w: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8"/>
          <w:szCs w:val="18"/>
          <w:b w:val="1"/>
          <w:bCs w:val="1"/>
          <w:i w:val="1"/>
          <w:iCs w:val="1"/>
          <w:color w:val="auto"/>
        </w:rPr>
        <w:t>Reserved</w:t>
      </w:r>
    </w:p>
    <w:p>
      <w:pPr>
        <w:spacing w:after="0" w:line="18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i w:val="1"/>
          <w:iCs w:val="1"/>
          <w:color w:val="auto"/>
        </w:rPr>
        <w:t>Management’s Discussion and Analysis of Financial Condition and Results of Operations</w:t>
      </w:r>
    </w:p>
    <w:p>
      <w:pPr>
        <w:spacing w:after="0" w:line="202" w:lineRule="exact"/>
        <w:rPr>
          <w:sz w:val="20"/>
          <w:szCs w:val="20"/>
          <w:color w:val="auto"/>
        </w:rPr>
      </w:pPr>
    </w:p>
    <w:p>
      <w:pPr>
        <w:ind w:right="520" w:firstLine="324"/>
        <w:spacing w:after="0" w:line="266" w:lineRule="auto"/>
        <w:rPr>
          <w:sz w:val="20"/>
          <w:szCs w:val="20"/>
          <w:color w:val="auto"/>
        </w:rPr>
      </w:pPr>
      <w:r>
        <w:rPr>
          <w:rFonts w:ascii="Times New Roman" w:cs="Times New Roman" w:eastAsia="Times New Roman" w:hAnsi="Times New Roman"/>
          <w:sz w:val="18"/>
          <w:szCs w:val="18"/>
          <w:color w:val="auto"/>
        </w:rPr>
        <w:t>The following Management’s Discussion and Analysis of Financial Condition and Results of Operations is designed to assist the reader in understanding our consolidated financial statements, the changes in certain key items in those financial statements from year-to-year and the primary factors that accounted for those changes as well as how certain accounting principles affect our consolidated financial statements.</w:t>
      </w:r>
    </w:p>
    <w:p>
      <w:pPr>
        <w:spacing w:after="0" w:line="135" w:lineRule="exact"/>
        <w:rPr>
          <w:sz w:val="20"/>
          <w:szCs w:val="20"/>
          <w:color w:val="auto"/>
        </w:rPr>
      </w:pPr>
    </w:p>
    <w:p>
      <w:pPr>
        <w:ind w:right="360" w:firstLine="324"/>
        <w:spacing w:after="0" w:line="258" w:lineRule="auto"/>
        <w:rPr>
          <w:sz w:val="20"/>
          <w:szCs w:val="20"/>
          <w:color w:val="auto"/>
        </w:rPr>
      </w:pPr>
      <w:r>
        <w:rPr>
          <w:rFonts w:ascii="Times New Roman" w:cs="Times New Roman" w:eastAsia="Times New Roman" w:hAnsi="Times New Roman"/>
          <w:sz w:val="18"/>
          <w:szCs w:val="18"/>
          <w:color w:val="auto"/>
        </w:rPr>
        <w:t>Except for the historical information contained herein, the following discussion contains forward-looking statements that are subject to known and unknown risks, uncertainties and other factors that may cause our actual results to differ materially from those expressed or implied by such forward-looking statements. We discuss such risks, uncertainties and other factors throughout this Annual Report and specifically under the caption “Forward-Looking Statements” and in Item 1A. “Risk Factors” in this Annual Report. In addition, the following discussion of financial condition and results of operations should be read in conjunction with the consolidated financial statements and notes thereto appearing in Item 8 in this Annual Report.</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202" w:lineRule="exact"/>
        <w:rPr>
          <w:sz w:val="20"/>
          <w:szCs w:val="20"/>
          <w:color w:val="auto"/>
        </w:rPr>
      </w:pPr>
    </w:p>
    <w:p>
      <w:pPr>
        <w:ind w:right="200" w:firstLine="324"/>
        <w:spacing w:after="0" w:line="254" w:lineRule="auto"/>
        <w:rPr>
          <w:sz w:val="20"/>
          <w:szCs w:val="20"/>
          <w:color w:val="auto"/>
        </w:rPr>
      </w:pPr>
      <w:r>
        <w:rPr>
          <w:rFonts w:ascii="Times New Roman" w:cs="Times New Roman" w:eastAsia="Times New Roman" w:hAnsi="Times New Roman"/>
          <w:sz w:val="18"/>
          <w:szCs w:val="18"/>
          <w:color w:val="auto"/>
        </w:rPr>
        <w:t>Option Care Health and its wholly-owned subsidiaries provide infusion therapy and other ancillary healthcare services through a national network of 185 locations around the United States. The Company contracts with managed care organizations, third-party payers, hospitals, physicians, and other referral sources to provide pharmaceuticals and complex compounded solutions to patients for intravenous delivery in the patients’ homes or other non-hospital settings. Our services are provided in coordination with, and under the direction of, the patient’s physician. Our multidisciplinary team of clinicians, including pharmacists, nurses, dietitians and respiratory therapists, work with the physician to develop a plan of care suited to each patient’s specific needs. We provide home infusion services consisting of anti-infectives, nutrition support, therapies for neurological disorders and chronic inflammatory disorders, immunoglobulin therapy, and other therapies for chronic and acute conditions. The Company operates in one segment, infusion services.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Update on the Impact of the Change Healthcare Cybersecurity Incident</w:t>
      </w:r>
    </w:p>
    <w:p>
      <w:pPr>
        <w:spacing w:after="0" w:line="189"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As previously disclosed, on February 21, 2024, Change Healthcare, a subsidiary of UnitedHealth Group, experienced an incident in which a cybersecurity threat actor gained access to some of its information technology systems (“Change Healthcare Cybersecurity Incident”). Since the time of the system disruption, Option Care Health has worked continuously to find alternative processes to help maintain patient care and overall operations.</w:t>
      </w:r>
    </w:p>
    <w:p>
      <w:pPr>
        <w:spacing w:after="0" w:line="149"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As of December 31, 2024, the Company has not identified any compromise or unauthorized access of its systems or networks due to this third party incident. As of the end of the second quarter of 2024, the Company reconnected to key applications maintained by Change Healthcare and as of the end of the fourth quarter of 2024, the Company has fully recovered.</w:t>
      </w:r>
    </w:p>
    <w:p>
      <w:pPr>
        <w:spacing w:after="0" w:line="135"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During the fourth quarter of 2024, the Company did not experience a material financial impact from the Change Healthcare Cybersecurity Incident on the financial results as reported. The Company continues to maintain strong liquidity and, having resumed submission of all claims to payers, has determined that the Change Healthcare Cybersecurity Incident did not materially impact the Company, including its business operations, financial condition or results of operations.</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Composition of Results of Operations</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results of operations include the accounts of Option Care Health and our subsidiaries for the years ended December 31, 2024 and 2023.</w:t>
      </w:r>
    </w:p>
    <w:p>
      <w:pPr>
        <w:spacing w:after="0" w:line="19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Gross profit represents our net revenue less cost of revenue.</w:t>
      </w:r>
    </w:p>
    <w:p>
      <w:pPr>
        <w:spacing w:after="0" w:line="183" w:lineRule="exact"/>
        <w:rPr>
          <w:sz w:val="20"/>
          <w:szCs w:val="20"/>
          <w:color w:val="auto"/>
        </w:rPr>
      </w:pPr>
    </w:p>
    <w:p>
      <w:pPr>
        <w:ind w:right="160"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Net Revenue</w:t>
      </w:r>
      <w:r>
        <w:rPr>
          <w:rFonts w:ascii="Times New Roman" w:cs="Times New Roman" w:eastAsia="Times New Roman" w:hAnsi="Times New Roman"/>
          <w:sz w:val="18"/>
          <w:szCs w:val="18"/>
          <w:color w:val="auto"/>
        </w:rPr>
        <w:t>. Infusion and related healthcare services revenue is reported at the estimated net realizable amounts from third-party payers and patients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goods sold and services rendered. When pharmaceuticals are provided to a patient, revenue is recognized upon delivery of the goods. When nursing services are provided, revenue is recognized when the services are rendered.</w:t>
      </w:r>
    </w:p>
    <w:p>
      <w:pPr>
        <w:spacing w:after="0" w:line="148" w:lineRule="exact"/>
        <w:rPr>
          <w:sz w:val="20"/>
          <w:szCs w:val="20"/>
          <w:color w:val="auto"/>
        </w:rPr>
      </w:pPr>
    </w:p>
    <w:p>
      <w:pPr>
        <w:ind w:right="120" w:firstLine="324"/>
        <w:spacing w:after="0" w:line="281" w:lineRule="auto"/>
        <w:rPr>
          <w:sz w:val="20"/>
          <w:szCs w:val="20"/>
          <w:color w:val="auto"/>
        </w:rPr>
      </w:pPr>
      <w:r>
        <w:rPr>
          <w:rFonts w:ascii="Times New Roman" w:cs="Times New Roman" w:eastAsia="Times New Roman" w:hAnsi="Times New Roman"/>
          <w:sz w:val="17"/>
          <w:szCs w:val="17"/>
          <w:color w:val="auto"/>
        </w:rPr>
        <w:t>Due to the nature of the healthcare industry and the reimbursement environment in which the Company operates, certain estimates are required to record revenue and accounts receivable at their net realizable values at the time goods or services are provided. Inherent in these estimates is the risk that they will have to be revised or updated as additional information becomes available. Specifically, the complexity of many third-party billing arrangements and the uncertainty of reimbursement amounts for certain services from certain payers may result in adjustments to amounts originally recorded.</w:t>
      </w:r>
    </w:p>
    <w:p>
      <w:pPr>
        <w:spacing w:after="0" w:line="122"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Cost of Revenue. </w:t>
      </w:r>
      <w:r>
        <w:rPr>
          <w:rFonts w:ascii="Times New Roman" w:cs="Times New Roman" w:eastAsia="Times New Roman" w:hAnsi="Times New Roman"/>
          <w:sz w:val="18"/>
          <w:szCs w:val="18"/>
          <w:color w:val="auto"/>
        </w:rPr>
        <w:t>Cost of revenue consists of the actual cost of pharmaceuticals and other medical supplies dispensed to patients. In addition to product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costs, cost of revenue includes warehousing costs, purchasing costs, depreciation expense relating to revenue-generating assets, such as infusion pumps, shipping and handling costs, and wages and related costs for the pharmacists, nurses, and all other employees and contracted workers directly involved in providing service to the patient.</w:t>
      </w:r>
    </w:p>
    <w:p>
      <w:pPr>
        <w:spacing w:after="0" w:line="141" w:lineRule="exact"/>
        <w:rPr>
          <w:sz w:val="20"/>
          <w:szCs w:val="20"/>
          <w:color w:val="auto"/>
        </w:rPr>
      </w:pPr>
    </w:p>
    <w:p>
      <w:pPr>
        <w:ind w:right="300" w:firstLine="324"/>
        <w:spacing w:after="0" w:line="282" w:lineRule="auto"/>
        <w:rPr>
          <w:sz w:val="20"/>
          <w:szCs w:val="20"/>
          <w:color w:val="auto"/>
        </w:rPr>
      </w:pPr>
      <w:r>
        <w:rPr>
          <w:rFonts w:ascii="Times New Roman" w:cs="Times New Roman" w:eastAsia="Times New Roman" w:hAnsi="Times New Roman"/>
          <w:sz w:val="18"/>
          <w:szCs w:val="18"/>
          <w:color w:val="auto"/>
        </w:rPr>
        <w:t>The Company receives volume-based rebates and prompt payment discounts from some of its pharmaceutical and medical supplies vendors. These payments are recorded as a reduction of inventory and are accounted for as a reduction of cost of revenue when the related inventory is sold.</w:t>
      </w:r>
    </w:p>
    <w:p>
      <w:pPr>
        <w:spacing w:after="0" w:line="1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Operating Costs and Expenses</w:t>
      </w:r>
    </w:p>
    <w:p>
      <w:pPr>
        <w:spacing w:after="0" w:line="187" w:lineRule="exact"/>
        <w:rPr>
          <w:sz w:val="20"/>
          <w:szCs w:val="20"/>
          <w:color w:val="auto"/>
        </w:rPr>
      </w:pPr>
    </w:p>
    <w:p>
      <w:pPr>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Selling, General and Administrative Expenses</w:t>
      </w:r>
      <w:r>
        <w:rPr>
          <w:rFonts w:ascii="Times New Roman" w:cs="Times New Roman" w:eastAsia="Times New Roman" w:hAnsi="Times New Roman"/>
          <w:sz w:val="18"/>
          <w:szCs w:val="18"/>
          <w:color w:val="auto"/>
        </w:rPr>
        <w:t>. Selling, general and administrative expenses consist principally of salaries for administrative employees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directly and indirectly support the operations, occupancy costs, marketing expenditures, insurance, and professional fees.</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Depreciation and Amortization Expense. </w:t>
      </w:r>
      <w:r>
        <w:rPr>
          <w:rFonts w:ascii="Times New Roman" w:cs="Times New Roman" w:eastAsia="Times New Roman" w:hAnsi="Times New Roman"/>
          <w:sz w:val="18"/>
          <w:szCs w:val="18"/>
          <w:color w:val="auto"/>
        </w:rPr>
        <w:t>Depreciation within this caption relates to property and equipment and amortization relates to intangibles.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of revenue-generating assets, such as infusion pumps, is included in cost of revenue.</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w:t>
      </w:r>
    </w:p>
    <w:p>
      <w:pPr>
        <w:spacing w:after="0" w:line="187"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Interest Expense, Net</w:t>
      </w:r>
      <w:r>
        <w:rPr>
          <w:rFonts w:ascii="Times New Roman" w:cs="Times New Roman" w:eastAsia="Times New Roman" w:hAnsi="Times New Roman"/>
          <w:sz w:val="18"/>
          <w:szCs w:val="18"/>
          <w:color w:val="auto"/>
        </w:rPr>
        <w:t>. Interest expense consists principally of interest and fee payments on the Company’s outstanding borrowings under the ABL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Facility, First Lien Term Loan, Revolver Facility, Senior Notes, amortization of discount and deferred financing fees, payments associated with the interest rate cap, and interest income earned on cash and cash equivalents. Refer to the “Liquidity and Capital Resources” section below for further discussion of these outstanding borrowings.</w:t>
      </w:r>
    </w:p>
    <w:p>
      <w:pPr>
        <w:spacing w:after="0" w:line="153" w:lineRule="exact"/>
        <w:rPr>
          <w:sz w:val="20"/>
          <w:szCs w:val="20"/>
          <w:color w:val="auto"/>
        </w:rPr>
      </w:pPr>
    </w:p>
    <w:p>
      <w:pPr>
        <w:ind w:right="16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Equity in Earnings of Joint Ventures</w:t>
      </w:r>
      <w:r>
        <w:rPr>
          <w:rFonts w:ascii="Times New Roman" w:cs="Times New Roman" w:eastAsia="Times New Roman" w:hAnsi="Times New Roman"/>
          <w:sz w:val="18"/>
          <w:szCs w:val="18"/>
          <w:color w:val="auto"/>
        </w:rPr>
        <w:t>. Equity in earnings of joint ventures consists of our proportionate share of equity earnings or losses from equity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investments in two infusion joint ventures with health systems.</w:t>
      </w:r>
    </w:p>
    <w:p>
      <w:pPr>
        <w:spacing w:after="0" w:line="118" w:lineRule="exact"/>
        <w:rPr>
          <w:sz w:val="20"/>
          <w:szCs w:val="20"/>
          <w:color w:val="auto"/>
        </w:rPr>
      </w:pPr>
    </w:p>
    <w:p>
      <w:pPr>
        <w:ind w:right="80"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Other, Net</w:t>
      </w:r>
      <w:r>
        <w:rPr>
          <w:rFonts w:ascii="Times New Roman" w:cs="Times New Roman" w:eastAsia="Times New Roman" w:hAnsi="Times New Roman"/>
          <w:sz w:val="18"/>
          <w:szCs w:val="18"/>
          <w:color w:val="auto"/>
        </w:rPr>
        <w:t>. During the year ended December 31, 2024, other income (expense) primarily includes activity related to non-operating income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expenses. During the year ended December 31, 2023, other income (expense) primarily includes the termination fee, net of merger-related expenses, received on behalf of Amedisys, Inc. (“Amedisys”). On May 3, 2023, the Company entered into a definitive merger agreement (the “Amedisys Merger Agreement”) with Amedisys, a leading provider of healthcare in home health and hospice settings. On June 26, 2023, the Company entered into an agreement to terminate the Amedisys Merger Agreement (the “Mutual Termination Agreement”). Under the terms of the Mutual Termination Agreement, the Company received a payment of $106.0 million in cash on behalf of Amedisys (the “Termination Fee”).</w:t>
      </w:r>
    </w:p>
    <w:p>
      <w:pPr>
        <w:spacing w:after="0" w:line="142" w:lineRule="exact"/>
        <w:rPr>
          <w:sz w:val="20"/>
          <w:szCs w:val="20"/>
          <w:color w:val="auto"/>
        </w:rPr>
      </w:pPr>
    </w:p>
    <w:p>
      <w:pPr>
        <w:jc w:val="both"/>
        <w:ind w:right="14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Income Tax Expense</w:t>
      </w:r>
      <w:r>
        <w:rPr>
          <w:rFonts w:ascii="Times New Roman" w:cs="Times New Roman" w:eastAsia="Times New Roman" w:hAnsi="Times New Roman"/>
          <w:sz w:val="18"/>
          <w:szCs w:val="18"/>
          <w:color w:val="auto"/>
        </w:rPr>
        <w:t>. The Company is subject to taxation in the United States and various states. The Company’s income tax expense is reflective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current federal and state tax rates.</w:t>
      </w:r>
    </w:p>
    <w:p>
      <w:pPr>
        <w:spacing w:after="0" w:line="131" w:lineRule="exact"/>
        <w:rPr>
          <w:sz w:val="20"/>
          <w:szCs w:val="20"/>
          <w:color w:val="auto"/>
        </w:rPr>
      </w:pPr>
    </w:p>
    <w:p>
      <w:pPr>
        <w:jc w:val="both"/>
        <w:ind w:right="160"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Change in Unrealized (Loss) Gain on Cash Flow Hedge, Net of Income Tax Benefit (Expense)</w:t>
      </w:r>
      <w:r>
        <w:rPr>
          <w:rFonts w:ascii="Times New Roman" w:cs="Times New Roman" w:eastAsia="Times New Roman" w:hAnsi="Times New Roman"/>
          <w:sz w:val="18"/>
          <w:szCs w:val="18"/>
          <w:color w:val="auto"/>
        </w:rPr>
        <w:t>. Change in unrealized (loss) gain on cash flow hedge,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net of income tax benefit (expense), consists of the (loss) gain associated with the changes in the fair value of hedging instruments related to the interest rate cap, net of income taxes.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8" w:right="41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89"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The following table presents Option Care Health’s consolidated results of operations for the years ended December 31, 2024 and 2023 (in thousands, except for percentages). For a discussion of Option Care Health’s consolidated results of operations for the year ended December 31, 2023 compared to the year ended December 31, 2022, refer to Part II, Item 7. “Management’s Discussion and Analysis of Financial Condition and Results of Operations” in our 2023 Annual Report on Form 10-K filed with the Securities and Exchange Commission on February 22, 2024.</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3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980" w:type="dxa"/>
            <w:vAlign w:val="bottom"/>
            <w:tcBorders>
              <w:bottom w:val="single" w:sz="8" w:color="auto"/>
            </w:tcBorders>
            <w:gridSpan w:val="6"/>
          </w:tcPr>
          <w:p>
            <w:pPr>
              <w:jc w:val="right"/>
              <w:ind w:right="78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2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3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3"/>
          </w:tcPr>
          <w:p>
            <w:pPr>
              <w:jc w:val="right"/>
              <w:ind w:right="68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24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 of Revenue</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3"/>
          </w:tcPr>
          <w:p>
            <w:pPr>
              <w:jc w:val="right"/>
              <w:ind w:right="68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24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 of Revenue</w:t>
            </w:r>
          </w:p>
        </w:tc>
        <w:tc>
          <w:tcPr>
            <w:tcW w:w="0" w:type="dxa"/>
            <w:vAlign w:val="bottom"/>
          </w:tcPr>
          <w:p>
            <w:pPr>
              <w:spacing w:after="0"/>
              <w:rPr>
                <w:sz w:val="1"/>
                <w:szCs w:val="1"/>
                <w:color w:val="auto"/>
              </w:rPr>
            </w:pPr>
          </w:p>
        </w:tc>
      </w:tr>
      <w:tr>
        <w:trPr>
          <w:trHeight w:val="211"/>
        </w:trPr>
        <w:tc>
          <w:tcPr>
            <w:tcW w:w="5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REVENUE</w:t>
            </w: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4,998,202</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4,302,324</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0" w:type="dxa"/>
            <w:vAlign w:val="bottom"/>
          </w:tcPr>
          <w:p>
            <w:pPr>
              <w:spacing w:after="0"/>
              <w:rPr>
                <w:sz w:val="1"/>
                <w:szCs w:val="1"/>
                <w:color w:val="auto"/>
              </w:rPr>
            </w:pPr>
          </w:p>
        </w:tc>
      </w:tr>
      <w:tr>
        <w:trPr>
          <w:trHeight w:val="213"/>
        </w:trPr>
        <w:tc>
          <w:tcPr>
            <w:tcW w:w="5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COST OF REVENUE</w:t>
            </w: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3,985,209</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2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79.7 %</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3,321,101</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2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77.2 %</w:t>
            </w:r>
          </w:p>
        </w:tc>
        <w:tc>
          <w:tcPr>
            <w:tcW w:w="0" w:type="dxa"/>
            <w:vAlign w:val="bottom"/>
          </w:tcPr>
          <w:p>
            <w:pPr>
              <w:spacing w:after="0"/>
              <w:rPr>
                <w:sz w:val="1"/>
                <w:szCs w:val="1"/>
                <w:color w:val="auto"/>
              </w:rPr>
            </w:pPr>
          </w:p>
        </w:tc>
      </w:tr>
      <w:tr>
        <w:trPr>
          <w:trHeight w:val="212"/>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1,012,993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20.3 %</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981,223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22.8 %</w:t>
            </w:r>
          </w:p>
        </w:tc>
        <w:tc>
          <w:tcPr>
            <w:tcW w:w="0" w:type="dxa"/>
            <w:vAlign w:val="bottom"/>
          </w:tcPr>
          <w:p>
            <w:pPr>
              <w:spacing w:after="0"/>
              <w:rPr>
                <w:sz w:val="1"/>
                <w:szCs w:val="1"/>
                <w:color w:val="auto"/>
              </w:rPr>
            </w:pPr>
          </w:p>
        </w:tc>
      </w:tr>
      <w:tr>
        <w:trPr>
          <w:trHeight w:val="257"/>
        </w:trPr>
        <w:tc>
          <w:tcPr>
            <w:tcW w:w="53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COSTS AND EXPENSES:</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3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630,251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12.6 %</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607,427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14.1 %</w:t>
            </w:r>
          </w:p>
        </w:tc>
        <w:tc>
          <w:tcPr>
            <w:tcW w:w="0" w:type="dxa"/>
            <w:vAlign w:val="bottom"/>
          </w:tcPr>
          <w:p>
            <w:pPr>
              <w:spacing w:after="0"/>
              <w:rPr>
                <w:sz w:val="1"/>
                <w:szCs w:val="1"/>
                <w:color w:val="auto"/>
              </w:rPr>
            </w:pPr>
          </w:p>
        </w:tc>
      </w:tr>
      <w:tr>
        <w:trPr>
          <w:trHeight w:val="219"/>
        </w:trPr>
        <w:tc>
          <w:tcPr>
            <w:tcW w:w="5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Depreciation and amortization expense</w:t>
            </w: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60,909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1.2 %</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59,201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1.4 %</w:t>
            </w:r>
          </w:p>
        </w:tc>
        <w:tc>
          <w:tcPr>
            <w:tcW w:w="0" w:type="dxa"/>
            <w:vAlign w:val="bottom"/>
          </w:tcPr>
          <w:p>
            <w:pPr>
              <w:spacing w:after="0"/>
              <w:rPr>
                <w:sz w:val="1"/>
                <w:szCs w:val="1"/>
                <w:color w:val="auto"/>
              </w:rPr>
            </w:pPr>
          </w:p>
        </w:tc>
      </w:tr>
      <w:tr>
        <w:trPr>
          <w:trHeight w:val="207"/>
        </w:trPr>
        <w:tc>
          <w:tcPr>
            <w:tcW w:w="53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Total operating expenses</w:t>
            </w:r>
          </w:p>
        </w:tc>
        <w:tc>
          <w:tcPr>
            <w:tcW w:w="2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691,160</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12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13.8 %</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666,628</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12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15.5 %</w:t>
            </w:r>
          </w:p>
        </w:tc>
        <w:tc>
          <w:tcPr>
            <w:tcW w:w="0" w:type="dxa"/>
            <w:vAlign w:val="bottom"/>
          </w:tcPr>
          <w:p>
            <w:pPr>
              <w:spacing w:after="0"/>
              <w:rPr>
                <w:sz w:val="1"/>
                <w:szCs w:val="1"/>
                <w:color w:val="auto"/>
              </w:rPr>
            </w:pPr>
          </w:p>
        </w:tc>
      </w:tr>
      <w:tr>
        <w:trPr>
          <w:trHeight w:val="209"/>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INCOME</w:t>
            </w:r>
          </w:p>
        </w:tc>
        <w:tc>
          <w:tcPr>
            <w:tcW w:w="2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321,833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6.4 %</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314,595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7.3 %</w:t>
            </w:r>
          </w:p>
        </w:tc>
        <w:tc>
          <w:tcPr>
            <w:tcW w:w="0" w:type="dxa"/>
            <w:vAlign w:val="bottom"/>
          </w:tcPr>
          <w:p>
            <w:pPr>
              <w:spacing w:after="0"/>
              <w:rPr>
                <w:sz w:val="1"/>
                <w:szCs w:val="1"/>
                <w:color w:val="auto"/>
              </w:rPr>
            </w:pPr>
          </w:p>
        </w:tc>
      </w:tr>
      <w:tr>
        <w:trPr>
          <w:trHeight w:val="199"/>
        </w:trPr>
        <w:tc>
          <w:tcPr>
            <w:tcW w:w="5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 (EXPENSE):</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3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Interest expense, net</w:t>
            </w: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(49,029)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(51,248)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0" w:type="dxa"/>
            <w:vAlign w:val="bottom"/>
          </w:tcPr>
          <w:p>
            <w:pPr>
              <w:spacing w:after="0"/>
              <w:rPr>
                <w:sz w:val="1"/>
                <w:szCs w:val="1"/>
                <w:color w:val="auto"/>
              </w:rPr>
            </w:pPr>
          </w:p>
        </w:tc>
      </w:tr>
      <w:tr>
        <w:trPr>
          <w:trHeight w:val="219"/>
        </w:trPr>
        <w:tc>
          <w:tcPr>
            <w:tcW w:w="5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Equity in earnings of joint ventures</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5,964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5,530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0.1 %</w:t>
            </w:r>
          </w:p>
        </w:tc>
        <w:tc>
          <w:tcPr>
            <w:tcW w:w="0" w:type="dxa"/>
            <w:vAlign w:val="bottom"/>
          </w:tcPr>
          <w:p>
            <w:pPr>
              <w:spacing w:after="0"/>
              <w:rPr>
                <w:sz w:val="1"/>
                <w:szCs w:val="1"/>
                <w:color w:val="auto"/>
              </w:rPr>
            </w:pPr>
          </w:p>
        </w:tc>
      </w:tr>
      <w:tr>
        <w:trPr>
          <w:trHeight w:val="213"/>
        </w:trPr>
        <w:tc>
          <w:tcPr>
            <w:tcW w:w="53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net</w:t>
            </w: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4,831</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2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0.1 %</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89,865</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2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2.1 %</w:t>
            </w:r>
          </w:p>
        </w:tc>
        <w:tc>
          <w:tcPr>
            <w:tcW w:w="0" w:type="dxa"/>
            <w:vAlign w:val="bottom"/>
          </w:tcPr>
          <w:p>
            <w:pPr>
              <w:spacing w:after="0"/>
              <w:rPr>
                <w:sz w:val="1"/>
                <w:szCs w:val="1"/>
                <w:color w:val="auto"/>
              </w:rPr>
            </w:pPr>
          </w:p>
        </w:tc>
      </w:tr>
      <w:tr>
        <w:trPr>
          <w:trHeight w:val="209"/>
        </w:trPr>
        <w:tc>
          <w:tcPr>
            <w:tcW w:w="53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 other (expense) income</w:t>
            </w:r>
          </w:p>
        </w:tc>
        <w:tc>
          <w:tcPr>
            <w:tcW w:w="2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(38,234)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44,147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1.0 %</w:t>
            </w:r>
          </w:p>
        </w:tc>
        <w:tc>
          <w:tcPr>
            <w:tcW w:w="0" w:type="dxa"/>
            <w:vAlign w:val="bottom"/>
          </w:tcPr>
          <w:p>
            <w:pPr>
              <w:spacing w:after="0"/>
              <w:rPr>
                <w:sz w:val="1"/>
                <w:szCs w:val="1"/>
                <w:color w:val="auto"/>
              </w:rPr>
            </w:pPr>
          </w:p>
        </w:tc>
      </w:tr>
      <w:tr>
        <w:trPr>
          <w:trHeight w:val="199"/>
        </w:trPr>
        <w:tc>
          <w:tcPr>
            <w:tcW w:w="5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283,599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5.7 %</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358,742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8.3 %</w:t>
            </w:r>
          </w:p>
        </w:tc>
        <w:tc>
          <w:tcPr>
            <w:tcW w:w="0" w:type="dxa"/>
            <w:vAlign w:val="bottom"/>
          </w:tcPr>
          <w:p>
            <w:pPr>
              <w:spacing w:after="0"/>
              <w:rPr>
                <w:sz w:val="1"/>
                <w:szCs w:val="1"/>
                <w:color w:val="auto"/>
              </w:rPr>
            </w:pPr>
          </w:p>
        </w:tc>
      </w:tr>
      <w:tr>
        <w:trPr>
          <w:trHeight w:val="213"/>
        </w:trPr>
        <w:tc>
          <w:tcPr>
            <w:tcW w:w="5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71,776</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2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1.4 %</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91,652</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2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2.1 %</w:t>
            </w:r>
          </w:p>
        </w:tc>
        <w:tc>
          <w:tcPr>
            <w:tcW w:w="0" w:type="dxa"/>
            <w:vAlign w:val="bottom"/>
          </w:tcPr>
          <w:p>
            <w:pPr>
              <w:spacing w:after="0"/>
              <w:rPr>
                <w:sz w:val="1"/>
                <w:szCs w:val="1"/>
                <w:color w:val="auto"/>
              </w:rPr>
            </w:pPr>
          </w:p>
        </w:tc>
      </w:tr>
      <w:tr>
        <w:trPr>
          <w:trHeight w:val="237"/>
        </w:trPr>
        <w:tc>
          <w:tcPr>
            <w:tcW w:w="5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211,823</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4.2 %</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267,090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6.2 %</w:t>
            </w:r>
          </w:p>
        </w:tc>
        <w:tc>
          <w:tcPr>
            <w:tcW w:w="0" w:type="dxa"/>
            <w:vAlign w:val="bottom"/>
          </w:tcPr>
          <w:p>
            <w:pPr>
              <w:spacing w:after="0"/>
              <w:rPr>
                <w:sz w:val="1"/>
                <w:szCs w:val="1"/>
                <w:color w:val="auto"/>
              </w:rPr>
            </w:pP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(LOSS) INCOME, NET OF TAX:</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538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Change in unrealized (loss) gain on cash flow hedges, net of income tax benefit</w:t>
            </w:r>
          </w:p>
        </w:tc>
        <w:tc>
          <w:tcPr>
            <w:tcW w:w="24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(3,931)</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(6,181)</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0" w:type="dxa"/>
            <w:vAlign w:val="bottom"/>
          </w:tcPr>
          <w:p>
            <w:pPr>
              <w:spacing w:after="0"/>
              <w:rPr>
                <w:sz w:val="1"/>
                <w:szCs w:val="1"/>
                <w:color w:val="auto"/>
              </w:rPr>
            </w:pPr>
          </w:p>
        </w:tc>
      </w:tr>
      <w:tr>
        <w:trPr>
          <w:trHeight w:val="213"/>
        </w:trPr>
        <w:tc>
          <w:tcPr>
            <w:tcW w:w="5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(expense) of $1,284 and $2,158, respectively</w:t>
            </w: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240" w:type="dxa"/>
            <w:vAlign w:val="bottom"/>
            <w:tcBorders>
              <w:bottom w:val="single" w:sz="8" w:color="CCEEFF"/>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240" w:type="dxa"/>
            <w:vAlign w:val="bottom"/>
            <w:tcBorders>
              <w:bottom w:val="single" w:sz="8" w:color="CCEEFF"/>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(LOSS) INCOME</w:t>
            </w:r>
          </w:p>
        </w:tc>
        <w:tc>
          <w:tcPr>
            <w:tcW w:w="2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(3,931)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(6,181)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0" w:type="dxa"/>
            <w:vAlign w:val="bottom"/>
          </w:tcPr>
          <w:p>
            <w:pPr>
              <w:spacing w:after="0"/>
              <w:rPr>
                <w:sz w:val="1"/>
                <w:szCs w:val="1"/>
                <w:color w:val="auto"/>
              </w:rPr>
            </w:pPr>
          </w:p>
        </w:tc>
      </w:tr>
      <w:tr>
        <w:trPr>
          <w:trHeight w:val="212"/>
        </w:trPr>
        <w:tc>
          <w:tcPr>
            <w:tcW w:w="5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COMPREHENSIVE INCOME</w:t>
            </w: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207,892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4.2 %</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260,909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6.1 %</w:t>
            </w: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Year Ended December 31, 2024 Compared to Year Ended December 31, 2023</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selected consolidated comparative results of operations for the years ended December 31, 2024 and 2023:</w:t>
      </w:r>
    </w:p>
    <w:p>
      <w:pPr>
        <w:spacing w:after="0" w:line="37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80" w:type="dxa"/>
            <w:vAlign w:val="bottom"/>
            <w:gridSpan w:val="5"/>
          </w:tcPr>
          <w:p>
            <w:pPr>
              <w:ind w:left="48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740" w:type="dxa"/>
            <w:vAlign w:val="bottom"/>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top w:val="single" w:sz="8" w:color="auto"/>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580" w:type="dxa"/>
            <w:vAlign w:val="bottom"/>
            <w:tcBorders>
              <w:top w:val="single" w:sz="8" w:color="auto"/>
              <w:bottom w:val="single" w:sz="8" w:color="auto"/>
            </w:tcBorders>
            <w:gridSpan w:val="2"/>
          </w:tcPr>
          <w:p>
            <w:pPr>
              <w:ind w:left="660"/>
              <w:spacing w:after="0"/>
              <w:rPr>
                <w:sz w:val="20"/>
                <w:szCs w:val="20"/>
                <w:color w:val="auto"/>
              </w:rPr>
            </w:pPr>
            <w:r>
              <w:rPr>
                <w:rFonts w:ascii="Times New Roman" w:cs="Times New Roman" w:eastAsia="Times New Roman" w:hAnsi="Times New Roman"/>
                <w:sz w:val="16"/>
                <w:szCs w:val="16"/>
                <w:b w:val="1"/>
                <w:bCs w:val="1"/>
                <w:color w:val="auto"/>
              </w:rPr>
              <w:t>Variance</w:t>
            </w:r>
          </w:p>
        </w:tc>
        <w:tc>
          <w:tcPr>
            <w:tcW w:w="78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47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60" w:type="dxa"/>
            <w:vAlign w:val="bottom"/>
            <w:gridSpan w:val="6"/>
          </w:tcPr>
          <w:p>
            <w:pPr>
              <w:ind w:left="80"/>
              <w:spacing w:after="0"/>
              <w:rPr>
                <w:sz w:val="20"/>
                <w:szCs w:val="20"/>
                <w:color w:val="auto"/>
              </w:rPr>
            </w:pPr>
            <w:r>
              <w:rPr>
                <w:rFonts w:ascii="Times New Roman" w:cs="Times New Roman" w:eastAsia="Times New Roman" w:hAnsi="Times New Roman"/>
                <w:sz w:val="16"/>
                <w:szCs w:val="16"/>
                <w:b w:val="1"/>
                <w:bCs w:val="1"/>
                <w:color w:val="auto"/>
              </w:rPr>
              <w:t>(in thousands, except for percentages)</w:t>
            </w: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9"/>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revenue</w:t>
            </w:r>
          </w:p>
        </w:tc>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4,998,202</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4,302,324</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695,878</w:t>
            </w:r>
          </w:p>
        </w:tc>
        <w:tc>
          <w:tcPr>
            <w:tcW w:w="6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16.2 %</w:t>
            </w:r>
          </w:p>
        </w:tc>
        <w:tc>
          <w:tcPr>
            <w:tcW w:w="0" w:type="dxa"/>
            <w:vAlign w:val="bottom"/>
          </w:tcPr>
          <w:p>
            <w:pPr>
              <w:spacing w:after="0"/>
              <w:rPr>
                <w:sz w:val="1"/>
                <w:szCs w:val="1"/>
                <w:color w:val="auto"/>
              </w:rPr>
            </w:pPr>
          </w:p>
        </w:tc>
      </w:tr>
      <w:tr>
        <w:trPr>
          <w:trHeight w:val="213"/>
        </w:trPr>
        <w:tc>
          <w:tcPr>
            <w:tcW w:w="4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Cost of revenue</w:t>
            </w:r>
          </w:p>
        </w:tc>
        <w:tc>
          <w:tcPr>
            <w:tcW w:w="4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3,985,209</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3,321,101</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664,108</w:t>
            </w:r>
          </w:p>
        </w:tc>
        <w:tc>
          <w:tcPr>
            <w:tcW w:w="660" w:type="dxa"/>
            <w:vAlign w:val="bottom"/>
            <w:tcBorders>
              <w:bottom w:val="single" w:sz="8" w:color="CCEEFF"/>
            </w:tcBorders>
          </w:tcPr>
          <w:p>
            <w:pPr>
              <w:spacing w:after="0"/>
              <w:rPr>
                <w:sz w:val="18"/>
                <w:szCs w:val="18"/>
                <w:color w:val="auto"/>
              </w:rPr>
            </w:pPr>
          </w:p>
        </w:tc>
        <w:tc>
          <w:tcPr>
            <w:tcW w:w="7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20.0 %</w:t>
            </w:r>
          </w:p>
        </w:tc>
        <w:tc>
          <w:tcPr>
            <w:tcW w:w="0" w:type="dxa"/>
            <w:vAlign w:val="bottom"/>
          </w:tcPr>
          <w:p>
            <w:pPr>
              <w:spacing w:after="0"/>
              <w:rPr>
                <w:sz w:val="1"/>
                <w:szCs w:val="1"/>
                <w:color w:val="auto"/>
              </w:rPr>
            </w:pPr>
          </w:p>
        </w:tc>
      </w:tr>
      <w:tr>
        <w:trPr>
          <w:trHeight w:val="237"/>
        </w:trPr>
        <w:tc>
          <w:tcPr>
            <w:tcW w:w="4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1,012,993</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981,223</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31,770</w:t>
            </w:r>
          </w:p>
        </w:tc>
        <w:tc>
          <w:tcPr>
            <w:tcW w:w="6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3.2 %</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Gross profit margin</w:t>
            </w: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4740" w:type="dxa"/>
            <w:vAlign w:val="bottom"/>
            <w:vMerge w:val="continue"/>
          </w:tcPr>
          <w:p>
            <w:pPr>
              <w:spacing w:after="0"/>
              <w:rPr>
                <w:sz w:val="16"/>
                <w:szCs w:val="16"/>
                <w:color w:val="auto"/>
              </w:rPr>
            </w:pPr>
          </w:p>
        </w:tc>
        <w:tc>
          <w:tcPr>
            <w:tcW w:w="420" w:type="dxa"/>
            <w:vAlign w:val="bottom"/>
          </w:tcPr>
          <w:p>
            <w:pPr>
              <w:spacing w:after="0"/>
              <w:rPr>
                <w:sz w:val="16"/>
                <w:szCs w:val="16"/>
                <w:color w:val="auto"/>
              </w:rPr>
            </w:pPr>
          </w:p>
        </w:tc>
        <w:tc>
          <w:tcPr>
            <w:tcW w:w="13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20.3%</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22.8%</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76"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The increase in net revenue during the year ended December 31, 2024 was primarily driven by organic growth in the Company’s portfolio of therapies, consisting of acute revenue that had high single digits growth relative to the prior year while chronic revenue grew in the high teens. The increase in cost of revenue was primarily driven by the growth in revenue, therapy mix, and acute drug supply chain disruption, as well as the comparable impact of certain temporary favorable therapy procurement dynamics in the prior year. The decrease in gross profit margin was primarily due to the launch of certain new higher cost therapies included within chronic growth (including rare and orphan therapies) and to the same comparable impact of certain temporary favorable procurement dynamics in the prior year that did not continue into 2024. Additionally, the Company received notice of a manufacturer’s intention to significantly reduce the spread at which the Company procures a certain therapy relative to drug reference prices beginning in early 2025, which is expected to negatively impact gross profit by approximately $60 million to $70 million in 2025.</w:t>
      </w:r>
    </w:p>
    <w:p>
      <w:pPr>
        <w:spacing w:after="0" w:line="3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780" w:type="dxa"/>
            <w:vAlign w:val="bottom"/>
          </w:tcPr>
          <w:p>
            <w:pPr>
              <w:spacing w:after="0"/>
              <w:rPr>
                <w:sz w:val="18"/>
                <w:szCs w:val="18"/>
                <w:color w:val="auto"/>
              </w:rPr>
            </w:pPr>
          </w:p>
        </w:tc>
        <w:tc>
          <w:tcPr>
            <w:tcW w:w="2900" w:type="dxa"/>
            <w:vAlign w:val="bottom"/>
            <w:tcBorders>
              <w:bottom w:val="single" w:sz="8" w:color="auto"/>
            </w:tcBorders>
            <w:gridSpan w:val="4"/>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6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r>
      <w:tr>
        <w:trPr>
          <w:trHeight w:val="211"/>
        </w:trPr>
        <w:tc>
          <w:tcPr>
            <w:tcW w:w="4780" w:type="dxa"/>
            <w:vAlign w:val="bottom"/>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6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6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2"/>
          </w:tcPr>
          <w:p>
            <w:pPr>
              <w:ind w:left="620"/>
              <w:spacing w:after="0"/>
              <w:rPr>
                <w:sz w:val="20"/>
                <w:szCs w:val="20"/>
                <w:color w:val="auto"/>
              </w:rPr>
            </w:pPr>
            <w:r>
              <w:rPr>
                <w:rFonts w:ascii="Times New Roman" w:cs="Times New Roman" w:eastAsia="Times New Roman" w:hAnsi="Times New Roman"/>
                <w:sz w:val="16"/>
                <w:szCs w:val="16"/>
                <w:b w:val="1"/>
                <w:bCs w:val="1"/>
                <w:color w:val="auto"/>
              </w:rPr>
              <w:t>Variance</w:t>
            </w:r>
          </w:p>
        </w:tc>
        <w:tc>
          <w:tcPr>
            <w:tcW w:w="740" w:type="dxa"/>
            <w:vAlign w:val="bottom"/>
            <w:tcBorders>
              <w:bottom w:val="single" w:sz="8" w:color="auto"/>
            </w:tcBorders>
          </w:tcPr>
          <w:p>
            <w:pPr>
              <w:spacing w:after="0"/>
              <w:rPr>
                <w:sz w:val="18"/>
                <w:szCs w:val="18"/>
                <w:color w:val="auto"/>
              </w:rPr>
            </w:pPr>
          </w:p>
        </w:tc>
      </w:tr>
      <w:tr>
        <w:trPr>
          <w:trHeight w:val="249"/>
        </w:trPr>
        <w:tc>
          <w:tcPr>
            <w:tcW w:w="47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900" w:type="dxa"/>
            <w:vAlign w:val="bottom"/>
            <w:gridSpan w:val="6"/>
          </w:tcPr>
          <w:p>
            <w:pPr>
              <w:ind w:left="100"/>
              <w:spacing w:after="0"/>
              <w:rPr>
                <w:sz w:val="20"/>
                <w:szCs w:val="20"/>
                <w:color w:val="auto"/>
              </w:rPr>
            </w:pPr>
            <w:r>
              <w:rPr>
                <w:rFonts w:ascii="Times New Roman" w:cs="Times New Roman" w:eastAsia="Times New Roman" w:hAnsi="Times New Roman"/>
                <w:sz w:val="16"/>
                <w:szCs w:val="16"/>
                <w:b w:val="1"/>
                <w:bCs w:val="1"/>
                <w:color w:val="auto"/>
              </w:rPr>
              <w:t>(in thousands, except for percentages)</w:t>
            </w:r>
          </w:p>
        </w:tc>
        <w:tc>
          <w:tcPr>
            <w:tcW w:w="740" w:type="dxa"/>
            <w:vAlign w:val="bottom"/>
          </w:tcPr>
          <w:p>
            <w:pPr>
              <w:spacing w:after="0"/>
              <w:rPr>
                <w:sz w:val="21"/>
                <w:szCs w:val="21"/>
                <w:color w:val="auto"/>
              </w:rPr>
            </w:pPr>
          </w:p>
        </w:tc>
      </w:tr>
      <w:tr>
        <w:trPr>
          <w:trHeight w:val="219"/>
        </w:trPr>
        <w:tc>
          <w:tcPr>
            <w:tcW w:w="47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1080" w:type="dxa"/>
            <w:vAlign w:val="bottom"/>
            <w:shd w:val="clear" w:color="auto" w:fill="CCEEFF"/>
          </w:tcPr>
          <w:p>
            <w:pPr>
              <w:jc w:val="right"/>
              <w:ind w:right="899"/>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630,251</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89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607,427</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22,824</w:t>
            </w:r>
          </w:p>
        </w:tc>
        <w:tc>
          <w:tcPr>
            <w:tcW w:w="7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3.8 %</w:t>
            </w:r>
          </w:p>
        </w:tc>
      </w:tr>
      <w:tr>
        <w:trPr>
          <w:trHeight w:val="213"/>
        </w:trPr>
        <w:tc>
          <w:tcPr>
            <w:tcW w:w="478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6"/>
                <w:szCs w:val="16"/>
                <w:color w:val="auto"/>
              </w:rPr>
              <w:t>Depreciation and amortization expense</w:t>
            </w:r>
          </w:p>
        </w:tc>
        <w:tc>
          <w:tcPr>
            <w:tcW w:w="10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60,909</w:t>
            </w:r>
          </w:p>
        </w:tc>
        <w:tc>
          <w:tcPr>
            <w:tcW w:w="10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59,201</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1,708</w:t>
            </w:r>
          </w:p>
        </w:tc>
        <w:tc>
          <w:tcPr>
            <w:tcW w:w="700" w:type="dxa"/>
            <w:vAlign w:val="bottom"/>
            <w:tcBorders>
              <w:bottom w:val="single" w:sz="8" w:color="CCEEFF"/>
            </w:tcBorders>
          </w:tcPr>
          <w:p>
            <w:pPr>
              <w:spacing w:after="0"/>
              <w:rPr>
                <w:sz w:val="18"/>
                <w:szCs w:val="18"/>
                <w:color w:val="auto"/>
              </w:rPr>
            </w:pPr>
          </w:p>
        </w:tc>
        <w:tc>
          <w:tcPr>
            <w:tcW w:w="7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2.9 %</w:t>
            </w:r>
          </w:p>
        </w:tc>
      </w:tr>
      <w:tr>
        <w:trPr>
          <w:trHeight w:val="237"/>
        </w:trPr>
        <w:tc>
          <w:tcPr>
            <w:tcW w:w="47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operating expenses</w:t>
            </w:r>
          </w:p>
        </w:tc>
        <w:tc>
          <w:tcPr>
            <w:tcW w:w="1080" w:type="dxa"/>
            <w:vAlign w:val="bottom"/>
            <w:tcBorders>
              <w:bottom w:val="single" w:sz="8" w:color="auto"/>
            </w:tcBorders>
            <w:shd w:val="clear" w:color="auto" w:fill="CCEEFF"/>
          </w:tcPr>
          <w:p>
            <w:pPr>
              <w:jc w:val="right"/>
              <w:ind w:right="899"/>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691,160</w:t>
            </w:r>
          </w:p>
        </w:tc>
        <w:tc>
          <w:tcPr>
            <w:tcW w:w="1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ind w:right="89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666,628</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24,532</w:t>
            </w:r>
          </w:p>
        </w:tc>
        <w:tc>
          <w:tcPr>
            <w:tcW w:w="7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3.7 %</w:t>
            </w: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r>
    </w:tbl>
    <w:p>
      <w:pPr>
        <w:spacing w:after="0" w:line="157"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The increase in selling, general and administrative expenses during the year ended December 31, 2024 was primarily due to an increase in salaries, benefits, and general costs to support the business; however, these expenses have declined as a percentage of revenue to 12.6% for the year ended December 31, 2024 compared to 14.1% for the year ended December 31, 2023, due to the Company’s focus on leveraging existing infrastructure to control spending.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780" w:type="dxa"/>
            <w:vAlign w:val="bottom"/>
          </w:tcPr>
          <w:p>
            <w:pPr>
              <w:spacing w:after="0"/>
              <w:rPr>
                <w:sz w:val="18"/>
                <w:szCs w:val="18"/>
                <w:color w:val="auto"/>
              </w:rPr>
            </w:pPr>
          </w:p>
        </w:tc>
        <w:tc>
          <w:tcPr>
            <w:tcW w:w="2920" w:type="dxa"/>
            <w:vAlign w:val="bottom"/>
            <w:tcBorders>
              <w:bottom w:val="single" w:sz="8" w:color="auto"/>
            </w:tcBorders>
            <w:gridSpan w:val="4"/>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6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r>
      <w:tr>
        <w:trPr>
          <w:trHeight w:val="211"/>
        </w:trPr>
        <w:tc>
          <w:tcPr>
            <w:tcW w:w="4780" w:type="dxa"/>
            <w:vAlign w:val="bottom"/>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6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6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2"/>
          </w:tcPr>
          <w:p>
            <w:pPr>
              <w:ind w:left="660"/>
              <w:spacing w:after="0"/>
              <w:rPr>
                <w:sz w:val="20"/>
                <w:szCs w:val="20"/>
                <w:color w:val="auto"/>
              </w:rPr>
            </w:pPr>
            <w:r>
              <w:rPr>
                <w:rFonts w:ascii="Times New Roman" w:cs="Times New Roman" w:eastAsia="Times New Roman" w:hAnsi="Times New Roman"/>
                <w:sz w:val="16"/>
                <w:szCs w:val="16"/>
                <w:b w:val="1"/>
                <w:bCs w:val="1"/>
                <w:color w:val="auto"/>
              </w:rPr>
              <w:t>Variance</w:t>
            </w:r>
          </w:p>
        </w:tc>
        <w:tc>
          <w:tcPr>
            <w:tcW w:w="860" w:type="dxa"/>
            <w:vAlign w:val="bottom"/>
            <w:tcBorders>
              <w:bottom w:val="single" w:sz="8" w:color="auto"/>
            </w:tcBorders>
          </w:tcPr>
          <w:p>
            <w:pPr>
              <w:spacing w:after="0"/>
              <w:rPr>
                <w:sz w:val="18"/>
                <w:szCs w:val="18"/>
                <w:color w:val="auto"/>
              </w:rPr>
            </w:pPr>
          </w:p>
        </w:tc>
      </w:tr>
      <w:tr>
        <w:trPr>
          <w:trHeight w:val="249"/>
        </w:trPr>
        <w:tc>
          <w:tcPr>
            <w:tcW w:w="47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780" w:type="dxa"/>
            <w:vAlign w:val="bottom"/>
            <w:gridSpan w:val="6"/>
          </w:tcPr>
          <w:p>
            <w:pPr>
              <w:ind w:left="100"/>
              <w:spacing w:after="0"/>
              <w:rPr>
                <w:sz w:val="20"/>
                <w:szCs w:val="20"/>
                <w:color w:val="auto"/>
              </w:rPr>
            </w:pPr>
            <w:r>
              <w:rPr>
                <w:rFonts w:ascii="Times New Roman" w:cs="Times New Roman" w:eastAsia="Times New Roman" w:hAnsi="Times New Roman"/>
                <w:sz w:val="16"/>
                <w:szCs w:val="16"/>
                <w:b w:val="1"/>
                <w:bCs w:val="1"/>
                <w:color w:val="auto"/>
              </w:rPr>
              <w:t>(in thousands, except for percentages)</w:t>
            </w:r>
          </w:p>
        </w:tc>
        <w:tc>
          <w:tcPr>
            <w:tcW w:w="860" w:type="dxa"/>
            <w:vAlign w:val="bottom"/>
          </w:tcPr>
          <w:p>
            <w:pPr>
              <w:spacing w:after="0"/>
              <w:rPr>
                <w:sz w:val="21"/>
                <w:szCs w:val="21"/>
                <w:color w:val="auto"/>
              </w:rPr>
            </w:pPr>
          </w:p>
        </w:tc>
      </w:tr>
      <w:tr>
        <w:trPr>
          <w:trHeight w:val="219"/>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 net</w:t>
            </w:r>
          </w:p>
        </w:tc>
        <w:tc>
          <w:tcPr>
            <w:tcW w:w="1080" w:type="dxa"/>
            <w:vAlign w:val="bottom"/>
            <w:shd w:val="clear" w:color="auto" w:fill="CCEEFF"/>
          </w:tcPr>
          <w:p>
            <w:pPr>
              <w:jc w:val="right"/>
              <w:ind w:right="899"/>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(49,029)</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919"/>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(51,248)</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2,219</w:t>
            </w:r>
          </w:p>
        </w:tc>
        <w:tc>
          <w:tcPr>
            <w:tcW w:w="5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w:t>
            </w:r>
          </w:p>
        </w:tc>
      </w:tr>
      <w:tr>
        <w:trPr>
          <w:trHeight w:val="213"/>
        </w:trPr>
        <w:tc>
          <w:tcPr>
            <w:tcW w:w="4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Equity in earnings of joint ventures</w:t>
            </w:r>
          </w:p>
        </w:tc>
        <w:tc>
          <w:tcPr>
            <w:tcW w:w="10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5,964</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5,530</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434</w:t>
            </w:r>
          </w:p>
        </w:tc>
        <w:tc>
          <w:tcPr>
            <w:tcW w:w="5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7.8 %</w:t>
            </w:r>
          </w:p>
        </w:tc>
      </w:tr>
      <w:tr>
        <w:trPr>
          <w:trHeight w:val="216"/>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net</w:t>
            </w:r>
          </w:p>
        </w:tc>
        <w:tc>
          <w:tcPr>
            <w:tcW w:w="10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4,831</w:t>
            </w:r>
          </w:p>
        </w:tc>
        <w:tc>
          <w:tcPr>
            <w:tcW w:w="100" w:type="dxa"/>
            <w:vAlign w:val="bottom"/>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89,865</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(85,034)</w:t>
            </w:r>
          </w:p>
        </w:tc>
        <w:tc>
          <w:tcPr>
            <w:tcW w:w="5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(94.6)%</w:t>
            </w:r>
          </w:p>
        </w:tc>
      </w:tr>
      <w:tr>
        <w:trPr>
          <w:trHeight w:val="212"/>
        </w:trPr>
        <w:tc>
          <w:tcPr>
            <w:tcW w:w="47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 other (expense) income</w:t>
            </w:r>
          </w:p>
        </w:tc>
        <w:tc>
          <w:tcPr>
            <w:tcW w:w="1080" w:type="dxa"/>
            <w:vAlign w:val="bottom"/>
            <w:tcBorders>
              <w:bottom w:val="single" w:sz="8" w:color="auto"/>
            </w:tcBorders>
          </w:tcPr>
          <w:p>
            <w:pPr>
              <w:jc w:val="right"/>
              <w:ind w:right="899"/>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(38,234)</w:t>
            </w:r>
          </w:p>
        </w:tc>
        <w:tc>
          <w:tcPr>
            <w:tcW w:w="100" w:type="dxa"/>
            <w:vAlign w:val="bottom"/>
          </w:tcPr>
          <w:p>
            <w:pPr>
              <w:spacing w:after="0"/>
              <w:rPr>
                <w:sz w:val="18"/>
                <w:szCs w:val="18"/>
                <w:color w:val="auto"/>
              </w:rPr>
            </w:pPr>
          </w:p>
        </w:tc>
        <w:tc>
          <w:tcPr>
            <w:tcW w:w="1100" w:type="dxa"/>
            <w:vAlign w:val="bottom"/>
            <w:tcBorders>
              <w:bottom w:val="single" w:sz="8" w:color="auto"/>
            </w:tcBorders>
          </w:tcPr>
          <w:p>
            <w:pPr>
              <w:jc w:val="right"/>
              <w:ind w:right="919"/>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44,147</w:t>
            </w:r>
          </w:p>
        </w:tc>
        <w:tc>
          <w:tcPr>
            <w:tcW w:w="100" w:type="dxa"/>
            <w:vAlign w:val="bottom"/>
          </w:tcPr>
          <w:p>
            <w:pPr>
              <w:spacing w:after="0"/>
              <w:rPr>
                <w:sz w:val="18"/>
                <w:szCs w:val="18"/>
                <w:color w:val="auto"/>
              </w:rPr>
            </w:pPr>
          </w:p>
        </w:tc>
        <w:tc>
          <w:tcPr>
            <w:tcW w:w="44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(82,381)</w:t>
            </w:r>
          </w:p>
        </w:tc>
        <w:tc>
          <w:tcPr>
            <w:tcW w:w="5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(186.6)%</w:t>
            </w:r>
          </w:p>
        </w:tc>
      </w:tr>
      <w:tr>
        <w:trPr>
          <w:trHeight w:val="21"/>
        </w:trPr>
        <w:tc>
          <w:tcPr>
            <w:tcW w:w="47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bl>
    <w:p>
      <w:pPr>
        <w:spacing w:after="0" w:line="171"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 xml:space="preserve">The decrease in interest expense, net during the year ended December 31, 2024 was primarily attributable to additional interest income generated from our cash and cash equivalents, partially offset by an increase in the Company’s First Lien Term Loan principal balance, compared to the year ended December 31, 2023. See Note 11, </w:t>
      </w:r>
      <w:r>
        <w:rPr>
          <w:rFonts w:ascii="Times New Roman" w:cs="Times New Roman" w:eastAsia="Times New Roman" w:hAnsi="Times New Roman"/>
          <w:sz w:val="18"/>
          <w:szCs w:val="18"/>
          <w:i w:val="1"/>
          <w:iCs w:val="1"/>
          <w:color w:val="auto"/>
        </w:rPr>
        <w:t>Indebtedness</w:t>
      </w:r>
      <w:r>
        <w:rPr>
          <w:rFonts w:ascii="Times New Roman" w:cs="Times New Roman" w:eastAsia="Times New Roman" w:hAnsi="Times New Roman"/>
          <w:sz w:val="18"/>
          <w:szCs w:val="18"/>
          <w:color w:val="auto"/>
        </w:rPr>
        <w:t>, of the consolidated financial statements for further information.</w:t>
      </w:r>
    </w:p>
    <w:p>
      <w:pPr>
        <w:spacing w:after="0" w:line="135"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The decrease in other, net during the year ended December 31, 2024 was due to the $106.0 million payment received on behalf of Amedisys, under the terms of the Mutual Termination Agreement, net of merger-related expenses during the year ended December 31, 2023. There was no comparable activity during the year ended December 31, 2024.</w:t>
      </w:r>
    </w:p>
    <w:p>
      <w:pPr>
        <w:spacing w:after="0" w:line="32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231F20"/>
        </w:rPr>
        <w:t>Income Tax Expense</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780" w:type="dxa"/>
            <w:vAlign w:val="bottom"/>
          </w:tcPr>
          <w:p>
            <w:pPr>
              <w:spacing w:after="0"/>
              <w:rPr>
                <w:sz w:val="18"/>
                <w:szCs w:val="18"/>
                <w:color w:val="auto"/>
              </w:rPr>
            </w:pPr>
          </w:p>
        </w:tc>
        <w:tc>
          <w:tcPr>
            <w:tcW w:w="2940" w:type="dxa"/>
            <w:vAlign w:val="bottom"/>
            <w:tcBorders>
              <w:bottom w:val="single" w:sz="8" w:color="auto"/>
            </w:tcBorders>
            <w:gridSpan w:val="4"/>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6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r>
      <w:tr>
        <w:trPr>
          <w:trHeight w:val="211"/>
        </w:trPr>
        <w:tc>
          <w:tcPr>
            <w:tcW w:w="4780" w:type="dxa"/>
            <w:vAlign w:val="bottom"/>
          </w:tcPr>
          <w:p>
            <w:pPr>
              <w:spacing w:after="0"/>
              <w:rPr>
                <w:sz w:val="18"/>
                <w:szCs w:val="18"/>
                <w:color w:val="auto"/>
              </w:rPr>
            </w:pPr>
          </w:p>
        </w:tc>
        <w:tc>
          <w:tcPr>
            <w:tcW w:w="11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6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Variance</w:t>
            </w:r>
          </w:p>
        </w:tc>
        <w:tc>
          <w:tcPr>
            <w:tcW w:w="780" w:type="dxa"/>
            <w:vAlign w:val="bottom"/>
            <w:tcBorders>
              <w:bottom w:val="single" w:sz="8" w:color="auto"/>
            </w:tcBorders>
          </w:tcPr>
          <w:p>
            <w:pPr>
              <w:spacing w:after="0"/>
              <w:rPr>
                <w:sz w:val="18"/>
                <w:szCs w:val="18"/>
                <w:color w:val="auto"/>
              </w:rPr>
            </w:pPr>
          </w:p>
        </w:tc>
      </w:tr>
      <w:tr>
        <w:trPr>
          <w:trHeight w:val="249"/>
        </w:trPr>
        <w:tc>
          <w:tcPr>
            <w:tcW w:w="47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60" w:type="dxa"/>
            <w:vAlign w:val="bottom"/>
            <w:gridSpan w:val="5"/>
          </w:tcPr>
          <w:p>
            <w:pPr>
              <w:jc w:val="right"/>
              <w:ind w:right="1059"/>
              <w:spacing w:after="0"/>
              <w:rPr>
                <w:sz w:val="20"/>
                <w:szCs w:val="20"/>
                <w:color w:val="auto"/>
              </w:rPr>
            </w:pPr>
            <w:r>
              <w:rPr>
                <w:rFonts w:ascii="Times New Roman" w:cs="Times New Roman" w:eastAsia="Times New Roman" w:hAnsi="Times New Roman"/>
                <w:sz w:val="16"/>
                <w:szCs w:val="16"/>
                <w:b w:val="1"/>
                <w:bCs w:val="1"/>
                <w:color w:val="auto"/>
              </w:rPr>
              <w:t>(in thousands, except for percentages)</w:t>
            </w:r>
          </w:p>
        </w:tc>
        <w:tc>
          <w:tcPr>
            <w:tcW w:w="780" w:type="dxa"/>
            <w:vAlign w:val="bottom"/>
          </w:tcPr>
          <w:p>
            <w:pPr>
              <w:spacing w:after="0"/>
              <w:rPr>
                <w:sz w:val="21"/>
                <w:szCs w:val="21"/>
                <w:color w:val="auto"/>
              </w:rPr>
            </w:pPr>
          </w:p>
        </w:tc>
      </w:tr>
      <w:tr>
        <w:trPr>
          <w:trHeight w:val="219"/>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1120" w:type="dxa"/>
            <w:vAlign w:val="bottom"/>
            <w:shd w:val="clear" w:color="auto" w:fill="CCEEFF"/>
          </w:tcPr>
          <w:p>
            <w:pPr>
              <w:jc w:val="right"/>
              <w:ind w:right="93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71,776</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93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91,652</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shd w:val="clear" w:color="auto" w:fill="CCEEFF"/>
          </w:tcPr>
          <w:p>
            <w:pPr>
              <w:jc w:val="right"/>
              <w:ind w:right="619"/>
              <w:spacing w:after="0"/>
              <w:rPr>
                <w:sz w:val="20"/>
                <w:szCs w:val="20"/>
                <w:color w:val="auto"/>
              </w:rPr>
            </w:pPr>
            <w:r>
              <w:rPr>
                <w:rFonts w:ascii="Times New Roman" w:cs="Times New Roman" w:eastAsia="Times New Roman" w:hAnsi="Times New Roman"/>
                <w:sz w:val="16"/>
                <w:szCs w:val="16"/>
                <w:color w:val="auto"/>
              </w:rPr>
              <w:t>(19,876)</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21.7 %</w:t>
            </w:r>
          </w:p>
        </w:tc>
      </w:tr>
    </w:tbl>
    <w:p>
      <w:pPr>
        <w:spacing w:after="0" w:line="319"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The Company recorded income tax expense of $71.8 million and $91.7 million, which represents an effective tax rate of 25.3% and 25.5% for the years ended December 31, 2024 and 2023, respectively. The variance in the Company’s effective tax rate of 25.3% and 25.5% for the years ended December 31, 2024 and 2023, respectively, was primarily attributable to the difference in state taxes, various non-deductible expenses, and a change in state valuation allowance. The variance in the Company’s effective tax rate of 25.3% for the year ended December 31, 2024, compared to the federal statutory rate of 21%, was also primarily attributable to state taxes, various non-deductible expenses, and a change in state valuation allowance. The income tax expense for the year ended December 31, 2023 includes $21.8 million of tax expense related to the Termination Fee received, under the terms of the Mutual Termination Agreement, net of merger-related expenses, and the release of $5.8 million of state valuation allowance in September 2023.</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231F20"/>
        </w:rPr>
        <w:t>Net Income and Other Comprehensive (Loss) Income</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780" w:type="dxa"/>
            <w:vAlign w:val="bottom"/>
          </w:tcPr>
          <w:p>
            <w:pPr>
              <w:spacing w:after="0"/>
              <w:rPr>
                <w:sz w:val="18"/>
                <w:szCs w:val="18"/>
                <w:color w:val="auto"/>
              </w:rPr>
            </w:pPr>
          </w:p>
        </w:tc>
        <w:tc>
          <w:tcPr>
            <w:tcW w:w="2900" w:type="dxa"/>
            <w:vAlign w:val="bottom"/>
            <w:tcBorders>
              <w:bottom w:val="single" w:sz="8" w:color="auto"/>
            </w:tcBorders>
            <w:gridSpan w:val="4"/>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6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780" w:type="dxa"/>
            <w:vAlign w:val="bottom"/>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6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6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2"/>
          </w:tcPr>
          <w:p>
            <w:pPr>
              <w:ind w:left="660"/>
              <w:spacing w:after="0"/>
              <w:rPr>
                <w:sz w:val="20"/>
                <w:szCs w:val="20"/>
                <w:color w:val="auto"/>
              </w:rPr>
            </w:pPr>
            <w:r>
              <w:rPr>
                <w:rFonts w:ascii="Times New Roman" w:cs="Times New Roman" w:eastAsia="Times New Roman" w:hAnsi="Times New Roman"/>
                <w:sz w:val="16"/>
                <w:szCs w:val="16"/>
                <w:b w:val="1"/>
                <w:bCs w:val="1"/>
                <w:color w:val="auto"/>
              </w:rPr>
              <w:t>Variance</w:t>
            </w:r>
          </w:p>
        </w:tc>
        <w:tc>
          <w:tcPr>
            <w:tcW w:w="8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47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20" w:type="dxa"/>
            <w:vAlign w:val="bottom"/>
            <w:gridSpan w:val="6"/>
          </w:tcPr>
          <w:p>
            <w:pPr>
              <w:jc w:val="center"/>
              <w:ind w:right="1000"/>
              <w:spacing w:after="0"/>
              <w:rPr>
                <w:sz w:val="20"/>
                <w:szCs w:val="20"/>
                <w:color w:val="auto"/>
              </w:rPr>
            </w:pPr>
            <w:r>
              <w:rPr>
                <w:rFonts w:ascii="Times New Roman" w:cs="Times New Roman" w:eastAsia="Times New Roman" w:hAnsi="Times New Roman"/>
                <w:sz w:val="16"/>
                <w:szCs w:val="16"/>
                <w:b w:val="1"/>
                <w:bCs w:val="1"/>
                <w:color w:val="auto"/>
              </w:rPr>
              <w:t>(in thousands, except for percentages)</w:t>
            </w: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9"/>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080" w:type="dxa"/>
            <w:vAlign w:val="bottom"/>
            <w:shd w:val="clear" w:color="auto" w:fill="CCEEFF"/>
          </w:tcPr>
          <w:p>
            <w:pPr>
              <w:jc w:val="right"/>
              <w:ind w:right="899"/>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211,823</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89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267,090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(55,267)</w:t>
            </w:r>
          </w:p>
        </w:tc>
        <w:tc>
          <w:tcPr>
            <w:tcW w:w="6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w:t>
            </w:r>
          </w:p>
        </w:tc>
        <w:tc>
          <w:tcPr>
            <w:tcW w:w="0" w:type="dxa"/>
            <w:vAlign w:val="bottom"/>
          </w:tcPr>
          <w:p>
            <w:pPr>
              <w:spacing w:after="0"/>
              <w:rPr>
                <w:sz w:val="1"/>
                <w:szCs w:val="1"/>
                <w:color w:val="auto"/>
              </w:rPr>
            </w:pPr>
          </w:p>
        </w:tc>
      </w:tr>
      <w:tr>
        <w:trPr>
          <w:trHeight w:val="213"/>
        </w:trPr>
        <w:tc>
          <w:tcPr>
            <w:tcW w:w="4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(loss) income, net of tax:</w:t>
            </w:r>
          </w:p>
        </w:tc>
        <w:tc>
          <w:tcPr>
            <w:tcW w:w="10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4780" w:type="dxa"/>
            <w:vAlign w:val="bottom"/>
            <w:shd w:val="clear" w:color="auto" w:fill="CCEEFF"/>
          </w:tcPr>
          <w:p>
            <w:pPr>
              <w:ind w:left="140"/>
              <w:spacing w:after="0" w:line="165" w:lineRule="exact"/>
              <w:rPr>
                <w:sz w:val="20"/>
                <w:szCs w:val="20"/>
                <w:color w:val="auto"/>
              </w:rPr>
            </w:pPr>
            <w:r>
              <w:rPr>
                <w:rFonts w:ascii="Times New Roman" w:cs="Times New Roman" w:eastAsia="Times New Roman" w:hAnsi="Times New Roman"/>
                <w:sz w:val="16"/>
                <w:szCs w:val="16"/>
                <w:color w:val="auto"/>
              </w:rPr>
              <w:t>Change in unrealized (loss) gain on cash flow hedges, net of income</w:t>
            </w:r>
          </w:p>
        </w:tc>
        <w:tc>
          <w:tcPr>
            <w:tcW w:w="1080" w:type="dxa"/>
            <w:vAlign w:val="bottom"/>
            <w:shd w:val="clear" w:color="auto" w:fill="CCEEFF"/>
          </w:tcPr>
          <w:p>
            <w:pPr>
              <w:spacing w:after="0"/>
              <w:rPr>
                <w:sz w:val="14"/>
                <w:szCs w:val="14"/>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(3,931)</w:t>
            </w: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(6,181)</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2,250</w:t>
            </w:r>
          </w:p>
        </w:tc>
        <w:tc>
          <w:tcPr>
            <w:tcW w:w="62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(36.4)%</w:t>
            </w: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tax benefit (expense)</w:t>
            </w:r>
          </w:p>
        </w:tc>
        <w:tc>
          <w:tcPr>
            <w:tcW w:w="10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vMerge w:val="continue"/>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comprehensive (loss) income</w:t>
            </w:r>
          </w:p>
        </w:tc>
        <w:tc>
          <w:tcPr>
            <w:tcW w:w="10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(3,931)</w:t>
            </w:r>
          </w:p>
        </w:tc>
        <w:tc>
          <w:tcPr>
            <w:tcW w:w="10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(6,181)</w:t>
            </w: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2,250</w:t>
            </w:r>
          </w:p>
        </w:tc>
        <w:tc>
          <w:tcPr>
            <w:tcW w:w="620" w:type="dxa"/>
            <w:vAlign w:val="bottom"/>
            <w:tcBorders>
              <w:bottom w:val="single" w:sz="8" w:color="CCEEFF"/>
            </w:tcBorders>
          </w:tcPr>
          <w:p>
            <w:pPr>
              <w:spacing w:after="0"/>
              <w:rPr>
                <w:sz w:val="17"/>
                <w:szCs w:val="17"/>
                <w:color w:val="auto"/>
              </w:rPr>
            </w:pPr>
          </w:p>
        </w:tc>
        <w:tc>
          <w:tcPr>
            <w:tcW w:w="8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(36.4)%</w:t>
            </w:r>
          </w:p>
        </w:tc>
        <w:tc>
          <w:tcPr>
            <w:tcW w:w="0" w:type="dxa"/>
            <w:vAlign w:val="bottom"/>
          </w:tcPr>
          <w:p>
            <w:pPr>
              <w:spacing w:after="0"/>
              <w:rPr>
                <w:sz w:val="1"/>
                <w:szCs w:val="1"/>
                <w:color w:val="auto"/>
              </w:rPr>
            </w:pPr>
          </w:p>
        </w:tc>
      </w:tr>
      <w:tr>
        <w:trPr>
          <w:trHeight w:val="237"/>
        </w:trPr>
        <w:tc>
          <w:tcPr>
            <w:tcW w:w="4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comprehensive income</w:t>
            </w:r>
          </w:p>
        </w:tc>
        <w:tc>
          <w:tcPr>
            <w:tcW w:w="1080" w:type="dxa"/>
            <w:vAlign w:val="bottom"/>
            <w:tcBorders>
              <w:bottom w:val="single" w:sz="8" w:color="auto"/>
            </w:tcBorders>
            <w:shd w:val="clear" w:color="auto" w:fill="CCEEFF"/>
          </w:tcPr>
          <w:p>
            <w:pPr>
              <w:jc w:val="right"/>
              <w:ind w:right="899"/>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207,892</w:t>
            </w:r>
          </w:p>
        </w:tc>
        <w:tc>
          <w:tcPr>
            <w:tcW w:w="1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ind w:right="89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260,909</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(53,017)</w:t>
            </w:r>
          </w:p>
        </w:tc>
        <w:tc>
          <w:tcPr>
            <w:tcW w:w="6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w:t>
            </w: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The change in net income for the year ended December 31, 2024 was attributable to the $106.0 million payment received on behalf of Amedisys, under the terms of the Mutual Termination Agreement, net of merger-related expenses during the year ended December 31, 2023. There was no comparable activity during the year ended December 31, 2024.</w:t>
      </w:r>
    </w:p>
    <w:p>
      <w:pPr>
        <w:spacing w:after="0" w:line="135" w:lineRule="exact"/>
        <w:rPr>
          <w:sz w:val="20"/>
          <w:szCs w:val="20"/>
          <w:color w:val="auto"/>
        </w:rPr>
      </w:pPr>
    </w:p>
    <w:p>
      <w:pPr>
        <w:ind w:right="280" w:firstLine="324"/>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2024 and 2023, the change in unrealized (loss) gain on cash flow hedge, net of income tax benefit (expense) was related to the change in fair market value of the $300.0 million interest rate cap hedge executed in October 2021.</w:t>
      </w:r>
    </w:p>
    <w:p>
      <w:pPr>
        <w:spacing w:after="0" w:line="121" w:lineRule="exact"/>
        <w:rPr>
          <w:sz w:val="20"/>
          <w:szCs w:val="20"/>
          <w:color w:val="auto"/>
        </w:rPr>
      </w:pPr>
    </w:p>
    <w:p>
      <w:pPr>
        <w:ind w:right="400" w:firstLine="324"/>
        <w:spacing w:after="0" w:line="282" w:lineRule="auto"/>
        <w:rPr>
          <w:sz w:val="20"/>
          <w:szCs w:val="20"/>
          <w:color w:val="auto"/>
        </w:rPr>
      </w:pPr>
      <w:r>
        <w:rPr>
          <w:rFonts w:ascii="Times New Roman" w:cs="Times New Roman" w:eastAsia="Times New Roman" w:hAnsi="Times New Roman"/>
          <w:sz w:val="18"/>
          <w:szCs w:val="18"/>
          <w:color w:val="auto"/>
        </w:rPr>
        <w:t>Net comprehensive income decreased to $207.9 million for the year ended December 31, 2024, compared to net comprehensive income of $260.9 million for the year ended December 31, 2023, primarily as a result of the changes in net income discussed above.</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89"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For the years ended December 31, 2024 and 2023, the Company’s primary sources of liquidity were cash and cash equivalents of $412.6 million and $343.8 million, respectively. As of December 31, 2024, the Company had $395.9 million of borrowings available under its credit facilities (net of $4.1 million undrawn letters of credit issued and outstanding), described further below. During the year ended December 31, 2023, the Company’s positive cash flows from operations have enabled investments in pharmacy, infusion suites, and information technology infrastructure to support growth and create additional capacity in the future, as well as to pursue acquisitions and share repurchases.</w:t>
      </w:r>
    </w:p>
    <w:p>
      <w:pPr>
        <w:spacing w:after="0" w:line="156"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The Company’s primary uses of cash and cash equivalents include supporting our ongoing business activities, investment in capital expenditures in both facilities and technology, and the pursuit of acquisitions and share repurchases. Ongoing operating cash outflows are associated with procuring and dispensing drugs, personnel and other costs associated with servicing patients, as well as paying cash interest on outstanding debt and cash taxes. Ongoing investing cash flows are primarily associated with capital projects and business acquisitions, the improvement and maintenance of our pharmacy facilities and investment in our information technology systems. Ongoing financing cash flows are primarily associated with the quarterly principal payments on its outstanding debt, along with potential future share repurchases.</w:t>
      </w:r>
    </w:p>
    <w:p>
      <w:pPr>
        <w:spacing w:after="0" w:line="147"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Our business strategy includes the deployment of capital to pursue acquisitions that complement our existing operations. We continue to evaluate acquisition opportunities and view acquisitions as a key part of our growth strategy. The Company historically has funded its acquisitions with cash and cash equivalents with the exception of the Merger. The Company may require additional capital in excess of current availability in order to complete future acquisitions. It is impossible to predict the amount of capital that may be required for acquisitions, and there is no assurance that sufficient financing for these activities will be available on acceptable terms.</w:t>
      </w:r>
    </w:p>
    <w:p>
      <w:pPr>
        <w:spacing w:after="0" w:line="13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Short-Term and Long-Term Liquidity Requirements</w:t>
      </w:r>
    </w:p>
    <w:p>
      <w:pPr>
        <w:spacing w:after="0" w:line="202"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The Company’s ability to make principal and interest payments on any borrowings under our credit facilities and our ability to fund planned capital expenditures will depend on our ability to generate cash and cash equivalents in the future, which to a certain extent, is subject to general economic, financial, competitive, regulatory and other conditions. Based on our current level of operations and planned capital expenditures, we believe that our existing cash and cash equivalents balances and expected cash flows generated from operations will be sufficient to meet our operating requirements for at least the next 12 months and beyond. We may require additional borrowings under our credit facilities and alternative forms of financings or investments to achieve our longer-term strategic plans.</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Credit Facilities</w:t>
      </w:r>
    </w:p>
    <w:p>
      <w:pPr>
        <w:spacing w:after="0" w:line="189"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On May 8, 2024, the Company entered into the third amendment to the amended and restated First Lien Credit Agreement dated as of October 27, 2021 (the “Third Amendment”). The Third Amendment, among other things, (i) provides for an additional $50.0 million of incremental First Lien Term Loan indebtedness and (ii) reduces the interest rate on the First Lien Term Loan from Term Secured Overnight Financing Rate (“SOFR”) (including a credit spread adjustment) plus 2.75% to Term SOFR plus 2.25% and removes the credit spread adjustment with respect to such First Lien Term Loan.</w:t>
      </w:r>
    </w:p>
    <w:p>
      <w:pPr>
        <w:spacing w:after="0" w:line="153"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The principal balance of the First Lien Term Loan is repayable in quarterly installments of $1.6 million plus interest, with a final payment of all remaining outstanding principal due on October 27, 2028. The quarterly principal payments commenced in March 2022. Under the Third Amendment, interest on the First Lien Term Loan is payable monthly on either (i) SOFR (with a floor of 0.50% per annum) plus an applicable margin of 2.25% for Term SOFR Loans (as such term is defined in the Third Amendment); or (ii) a base rate determined in accordance with the Third Amendment, plus 1.25% for Base Rate Loans (as such term is defined in the Third Amendment).</w:t>
      </w:r>
    </w:p>
    <w:p>
      <w:pPr>
        <w:spacing w:after="0" w:line="143" w:lineRule="exact"/>
        <w:rPr>
          <w:sz w:val="20"/>
          <w:szCs w:val="20"/>
          <w:color w:val="auto"/>
        </w:rPr>
      </w:pPr>
    </w:p>
    <w:p>
      <w:pPr>
        <w:ind w:right="20" w:firstLine="324"/>
        <w:spacing w:after="0" w:line="269" w:lineRule="auto"/>
        <w:rPr>
          <w:sz w:val="20"/>
          <w:szCs w:val="20"/>
          <w:color w:val="auto"/>
        </w:rPr>
      </w:pPr>
      <w:r>
        <w:rPr>
          <w:rFonts w:ascii="Times New Roman" w:cs="Times New Roman" w:eastAsia="Times New Roman" w:hAnsi="Times New Roman"/>
          <w:sz w:val="17"/>
          <w:szCs w:val="17"/>
          <w:color w:val="auto"/>
        </w:rPr>
        <w:t>On December 7, 2023, the Company entered into the second amendment to the amended and restated First Lien Credit Agreement dated as of October 27, 2021 (the “Second Amendment”). The Second Amendment, among other things, provides for revolving credit commitments by the applicable Revolving Credit Lenders in an aggregate amount of $400.0 million (the “Revolver Facility”) pursuant to which such lenders have agreed to make Revolving Credit Loans to the Company. The Revolver Facility matures on the date that is the earlier of (i) December 7, 2028 and (ii) the date that is 91 days prior to the stated maturity date applicable to any Term B Loans. Borrowings under the Revolver Facility will bear interest at a rate equal to, at the option of the Company, either (i) the Term SOFR applicable thereto plus the Applicable Rate or (ii) the then-applicable Base Rate plus the Applicable Rate, which Applicable Rate shall be, subject to certain caveats thereto, as follows (i) until delivery of financial statements and related Compliance Certificate for the first full fiscal quarter ending after the effective date of the Second Amendment, (A) for Term SOFR Loans, 1.75%, or (B) for Base Rate Loans, 0.75% and (ii) thereafter, the Applicable Rate for Term SOFR Loans and Base Rate Loans, based upon the Total Net Leverage Ratio as set forth in the most recent Compliance Certificate received by the Administrative Agent pursuant to the terms of the Credit Agreement. As of December 31, 2024, the Company had $4.1 million of undrawn letters of credit issued and outstanding, resulting in net borrowing availability under the Revolver Facility of $395.9 million.</w:t>
      </w:r>
    </w:p>
    <w:p>
      <w:pPr>
        <w:spacing w:after="0" w:line="141"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Senior Notes bear interest at a rate of 4.375% per annum, which are payable semi-annually in arrears on October 31 and April 30 of each year, and which began on April 30, 2022. The Senior Notes mature on October 31, 2029.</w:t>
      </w:r>
    </w:p>
    <w:p>
      <w:pPr>
        <w:spacing w:after="0" w:line="135"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Interest payments over the course of long-term debt obligations total an estimated $271.1 million based on final maturity dates of the Company’s credit facilities. Interest payments are calculated based on current rates as of December 31, 2024. Actual payments are based on changes in SOFR and exclude the interest rate cap derivative instrument.</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Year Ended December 31, 2024 Compared to Year Ended December 31, 2023</w:t>
      </w:r>
    </w:p>
    <w:p>
      <w:pPr>
        <w:spacing w:after="0" w:line="202" w:lineRule="exact"/>
        <w:rPr>
          <w:sz w:val="20"/>
          <w:szCs w:val="20"/>
          <w:color w:val="auto"/>
        </w:rPr>
      </w:pPr>
    </w:p>
    <w:p>
      <w:pPr>
        <w:ind w:right="28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selected data from Option Care Health’s consolidated statements of cash flows for the years ended December 31, 2024 and 2023:</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740" w:type="dxa"/>
            <w:vAlign w:val="bottom"/>
          </w:tcPr>
          <w:p>
            <w:pPr>
              <w:spacing w:after="0"/>
              <w:rPr>
                <w:sz w:val="18"/>
                <w:szCs w:val="18"/>
                <w:color w:val="auto"/>
              </w:rPr>
            </w:pPr>
          </w:p>
        </w:tc>
        <w:tc>
          <w:tcPr>
            <w:tcW w:w="3740" w:type="dxa"/>
            <w:vAlign w:val="bottom"/>
            <w:gridSpan w:val="6"/>
          </w:tcPr>
          <w:p>
            <w:pPr>
              <w:ind w:left="92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32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1"/>
        </w:trPr>
        <w:tc>
          <w:tcPr>
            <w:tcW w:w="5740" w:type="dxa"/>
            <w:vAlign w:val="bottom"/>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68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500" w:type="dxa"/>
            <w:vAlign w:val="bottom"/>
            <w:tcBorders>
              <w:top w:val="single" w:sz="8" w:color="auto"/>
              <w:bottom w:val="single" w:sz="8" w:color="auto"/>
            </w:tcBorders>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440" w:type="dxa"/>
            <w:vAlign w:val="bottom"/>
            <w:tcBorders>
              <w:top w:val="single" w:sz="8" w:color="auto"/>
              <w:bottom w:val="single" w:sz="8" w:color="auto"/>
            </w:tcBorders>
          </w:tcPr>
          <w:p>
            <w:pPr>
              <w:ind w:left="240"/>
              <w:spacing w:after="0"/>
              <w:rPr>
                <w:sz w:val="20"/>
                <w:szCs w:val="20"/>
                <w:color w:val="auto"/>
              </w:rPr>
            </w:pPr>
            <w:r>
              <w:rPr>
                <w:rFonts w:ascii="Times New Roman" w:cs="Times New Roman" w:eastAsia="Times New Roman" w:hAnsi="Times New Roman"/>
                <w:sz w:val="16"/>
                <w:szCs w:val="16"/>
                <w:b w:val="1"/>
                <w:bCs w:val="1"/>
                <w:color w:val="auto"/>
              </w:rPr>
              <w:t>Variance</w:t>
            </w:r>
          </w:p>
        </w:tc>
      </w:tr>
      <w:tr>
        <w:trPr>
          <w:trHeight w:val="249"/>
        </w:trPr>
        <w:tc>
          <w:tcPr>
            <w:tcW w:w="57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2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32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219"/>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1080" w:type="dxa"/>
            <w:vAlign w:val="bottom"/>
            <w:shd w:val="clear" w:color="auto" w:fill="CCEEFF"/>
          </w:tcPr>
          <w:p>
            <w:pPr>
              <w:jc w:val="right"/>
              <w:ind w:right="89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323,392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371,295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shd w:val="clear" w:color="auto" w:fill="CCEEFF"/>
          </w:tcPr>
          <w:p>
            <w:pPr>
              <w:jc w:val="center"/>
              <w:ind w:left="759"/>
              <w:spacing w:after="0"/>
              <w:rPr>
                <w:sz w:val="20"/>
                <w:szCs w:val="20"/>
                <w:color w:val="auto"/>
              </w:rPr>
            </w:pPr>
            <w:r>
              <w:rPr>
                <w:rFonts w:ascii="Times New Roman" w:cs="Times New Roman" w:eastAsia="Times New Roman" w:hAnsi="Times New Roman"/>
                <w:sz w:val="16"/>
                <w:szCs w:val="16"/>
                <w:color w:val="auto"/>
              </w:rPr>
              <w:t>(47,903)</w:t>
            </w:r>
          </w:p>
        </w:tc>
      </w:tr>
      <w:tr>
        <w:trPr>
          <w:trHeight w:val="213"/>
        </w:trPr>
        <w:tc>
          <w:tcPr>
            <w:tcW w:w="5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10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(36,470)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(56,506)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tcPr>
          <w:p>
            <w:pPr>
              <w:jc w:val="center"/>
              <w:ind w:left="779"/>
              <w:spacing w:after="0"/>
              <w:rPr>
                <w:sz w:val="20"/>
                <w:szCs w:val="20"/>
                <w:color w:val="auto"/>
              </w:rPr>
            </w:pPr>
            <w:r>
              <w:rPr>
                <w:rFonts w:ascii="Times New Roman" w:cs="Times New Roman" w:eastAsia="Times New Roman" w:hAnsi="Times New Roman"/>
                <w:sz w:val="16"/>
                <w:szCs w:val="16"/>
                <w:color w:val="auto"/>
              </w:rPr>
              <w:t>20,036</w:t>
            </w:r>
          </w:p>
        </w:tc>
      </w:tr>
      <w:tr>
        <w:trPr>
          <w:trHeight w:val="219"/>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10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(218,206)</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(265,126)</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center"/>
              <w:ind w:left="779"/>
              <w:spacing w:after="0"/>
              <w:rPr>
                <w:sz w:val="20"/>
                <w:szCs w:val="20"/>
                <w:color w:val="auto"/>
              </w:rPr>
            </w:pPr>
            <w:r>
              <w:rPr>
                <w:rFonts w:ascii="Times New Roman" w:cs="Times New Roman" w:eastAsia="Times New Roman" w:hAnsi="Times New Roman"/>
                <w:sz w:val="16"/>
                <w:szCs w:val="16"/>
                <w:color w:val="auto"/>
              </w:rPr>
              <w:t>46,920</w:t>
            </w:r>
          </w:p>
        </w:tc>
      </w:tr>
      <w:tr>
        <w:trPr>
          <w:trHeight w:val="207"/>
        </w:trPr>
        <w:tc>
          <w:tcPr>
            <w:tcW w:w="5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increase in cash and cash equivalents</w:t>
            </w:r>
          </w:p>
        </w:tc>
        <w:tc>
          <w:tcPr>
            <w:tcW w:w="10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68,716</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49,663</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40" w:type="dxa"/>
            <w:vAlign w:val="bottom"/>
          </w:tcPr>
          <w:p>
            <w:pPr>
              <w:jc w:val="center"/>
              <w:ind w:left="779"/>
              <w:spacing w:after="0"/>
              <w:rPr>
                <w:sz w:val="20"/>
                <w:szCs w:val="20"/>
                <w:color w:val="auto"/>
              </w:rPr>
            </w:pPr>
            <w:r>
              <w:rPr>
                <w:rFonts w:ascii="Times New Roman" w:cs="Times New Roman" w:eastAsia="Times New Roman" w:hAnsi="Times New Roman"/>
                <w:sz w:val="16"/>
                <w:szCs w:val="16"/>
                <w:color w:val="auto"/>
              </w:rPr>
              <w:t>19,053</w:t>
            </w:r>
          </w:p>
        </w:tc>
      </w:tr>
      <w:tr>
        <w:trPr>
          <w:trHeight w:val="216"/>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 - beginning of period</w:t>
            </w:r>
          </w:p>
        </w:tc>
        <w:tc>
          <w:tcPr>
            <w:tcW w:w="10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343,849</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294,186</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center"/>
              <w:ind w:left="779"/>
              <w:spacing w:after="0"/>
              <w:rPr>
                <w:sz w:val="20"/>
                <w:szCs w:val="20"/>
                <w:color w:val="auto"/>
              </w:rPr>
            </w:pPr>
            <w:r>
              <w:rPr>
                <w:rFonts w:ascii="Times New Roman" w:cs="Times New Roman" w:eastAsia="Times New Roman" w:hAnsi="Times New Roman"/>
                <w:sz w:val="16"/>
                <w:szCs w:val="16"/>
                <w:color w:val="auto"/>
              </w:rPr>
              <w:t>49,663</w:t>
            </w:r>
          </w:p>
        </w:tc>
      </w:tr>
      <w:tr>
        <w:trPr>
          <w:trHeight w:val="212"/>
        </w:trPr>
        <w:tc>
          <w:tcPr>
            <w:tcW w:w="5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and cash equivalents - end of period</w:t>
            </w:r>
          </w:p>
        </w:tc>
        <w:tc>
          <w:tcPr>
            <w:tcW w:w="1080" w:type="dxa"/>
            <w:vAlign w:val="bottom"/>
            <w:tcBorders>
              <w:bottom w:val="single" w:sz="8" w:color="auto"/>
            </w:tcBorders>
          </w:tcPr>
          <w:p>
            <w:pPr>
              <w:jc w:val="right"/>
              <w:ind w:right="89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412,565</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343,849</w:t>
            </w:r>
          </w:p>
        </w:tc>
        <w:tc>
          <w:tcPr>
            <w:tcW w:w="12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bottom w:val="single" w:sz="8" w:color="auto"/>
            </w:tcBorders>
          </w:tcPr>
          <w:p>
            <w:pPr>
              <w:jc w:val="center"/>
              <w:ind w:left="779"/>
              <w:spacing w:after="0"/>
              <w:rPr>
                <w:sz w:val="20"/>
                <w:szCs w:val="20"/>
                <w:color w:val="auto"/>
              </w:rPr>
            </w:pPr>
            <w:r>
              <w:rPr>
                <w:rFonts w:ascii="Times New Roman" w:cs="Times New Roman" w:eastAsia="Times New Roman" w:hAnsi="Times New Roman"/>
                <w:sz w:val="16"/>
                <w:szCs w:val="16"/>
                <w:color w:val="auto"/>
              </w:rPr>
              <w:t>68,716</w:t>
            </w:r>
          </w:p>
        </w:tc>
      </w:tr>
      <w:tr>
        <w:trPr>
          <w:trHeight w:val="20"/>
        </w:trPr>
        <w:tc>
          <w:tcPr>
            <w:tcW w:w="57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Operating Activities</w:t>
      </w:r>
    </w:p>
    <w:p>
      <w:pPr>
        <w:spacing w:after="0" w:line="189"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The decrease in cash provided by operating activities during the year ended December 31, 2024 was primarily due to the $106.0 million payment received on behalf of Amedisys, under the terms of the Mutual Termination Agreement, net of merger-related expenses during the year ended December 31, 2023, changes in accounts receivable and accrued compensation and employee benefits. Additionally, changes in accounts payable and inventory were driven by organic growth in the Company as well as strategic supply chain purchases.</w:t>
      </w:r>
    </w:p>
    <w:p>
      <w:pPr>
        <w:spacing w:after="0" w:line="14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Investing Activities</w:t>
      </w:r>
    </w:p>
    <w:p>
      <w:pPr>
        <w:spacing w:after="0" w:line="189" w:lineRule="exact"/>
        <w:rPr>
          <w:sz w:val="20"/>
          <w:szCs w:val="20"/>
          <w:color w:val="auto"/>
        </w:rPr>
      </w:pPr>
    </w:p>
    <w:p>
      <w:pPr>
        <w:jc w:val="both"/>
        <w:ind w:right="40" w:firstLine="324"/>
        <w:spacing w:after="0" w:line="266" w:lineRule="auto"/>
        <w:rPr>
          <w:sz w:val="20"/>
          <w:szCs w:val="20"/>
          <w:color w:val="auto"/>
        </w:rPr>
      </w:pPr>
      <w:r>
        <w:rPr>
          <w:rFonts w:ascii="Times New Roman" w:cs="Times New Roman" w:eastAsia="Times New Roman" w:hAnsi="Times New Roman"/>
          <w:sz w:val="18"/>
          <w:szCs w:val="18"/>
          <w:color w:val="auto"/>
        </w:rPr>
        <w:t xml:space="preserve">The decrease in cash used in investing activities during the year ended December 31, 2024 was primarily due to prior year acquisition activity with no comparable activity during the year ended December 31, 2024. See Note 3, </w:t>
      </w:r>
      <w:r>
        <w:rPr>
          <w:rFonts w:ascii="Times New Roman" w:cs="Times New Roman" w:eastAsia="Times New Roman" w:hAnsi="Times New Roman"/>
          <w:sz w:val="18"/>
          <w:szCs w:val="18"/>
          <w:i w:val="1"/>
          <w:iCs w:val="1"/>
          <w:color w:val="auto"/>
        </w:rPr>
        <w:t>Business Acquisitions and Divestitures</w:t>
      </w:r>
      <w:r>
        <w:rPr>
          <w:rFonts w:ascii="Times New Roman" w:cs="Times New Roman" w:eastAsia="Times New Roman" w:hAnsi="Times New Roman"/>
          <w:sz w:val="18"/>
          <w:szCs w:val="18"/>
          <w:color w:val="auto"/>
        </w:rPr>
        <w:t>, of the consolidated financial statements for more information.</w:t>
      </w:r>
    </w:p>
    <w:p>
      <w:pPr>
        <w:spacing w:after="0" w:line="1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Financing Activities</w:t>
      </w:r>
    </w:p>
    <w:p>
      <w:pPr>
        <w:spacing w:after="0" w:line="202" w:lineRule="exact"/>
        <w:rPr>
          <w:sz w:val="20"/>
          <w:szCs w:val="20"/>
          <w:color w:val="auto"/>
        </w:rPr>
      </w:pPr>
    </w:p>
    <w:p>
      <w:pPr>
        <w:ind w:right="320" w:firstLine="324"/>
        <w:spacing w:after="0" w:line="261" w:lineRule="auto"/>
        <w:rPr>
          <w:sz w:val="20"/>
          <w:szCs w:val="20"/>
          <w:color w:val="auto"/>
        </w:rPr>
      </w:pPr>
      <w:r>
        <w:rPr>
          <w:rFonts w:ascii="Times New Roman" w:cs="Times New Roman" w:eastAsia="Times New Roman" w:hAnsi="Times New Roman"/>
          <w:sz w:val="18"/>
          <w:szCs w:val="18"/>
          <w:color w:val="auto"/>
        </w:rPr>
        <w:t>The decrease in cash used in financing activities was primarily related to the Company’s debt refinancing in May 2024, in which $50.0 million in proceeds from issuance of debt was received, which partially offset $250.0 million in repurchase of common stock during the year ended December 31, 2024, whereas the cash used in financing activities during the year ended December 31, 2023 was primarily related to the Company’s $250.0 million repurchase of common stock.</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89"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The Company prepares its consolidated financial statements in accordance with United States generally accepted accounting principles (“GAAP”), which require the Company to make estimates and assumptions. The Company evaluates its estimates and judgments on an ongoing basis. Estimates and judgments are based on historical experience and on various other factors that are believed to be reasonable under the circumstances, the results of which form the basis for making judgments about the carrying values of assets and liabilities at the date of the financial statements and the reported amounts of revenues and expenses for the period presented. The Company’s actual results may differ from these estimates, and different assumptions or conditions may yield different estimates.</w:t>
      </w:r>
    </w:p>
    <w:p>
      <w:pPr>
        <w:spacing w:after="0" w:line="160"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 xml:space="preserve">The following discussion is not intended to be a comprehensive list of all the accounting policies, estimates or judgments made in the preparation of our financial statements. A discussion of our significant accounting policies, including further discussion of the accounting policies described below, can be found in Note 2,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within the notes to the consolidated financial statements included in Item 8 of this Annual Report.</w:t>
      </w:r>
    </w:p>
    <w:p>
      <w:pPr>
        <w:spacing w:after="0" w:line="13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 and Accounts Receivable</w:t>
      </w:r>
    </w:p>
    <w:p>
      <w:pPr>
        <w:spacing w:after="0" w:line="189" w:lineRule="exact"/>
        <w:rPr>
          <w:sz w:val="20"/>
          <w:szCs w:val="20"/>
          <w:color w:val="auto"/>
        </w:rPr>
      </w:pPr>
    </w:p>
    <w:p>
      <w:pPr>
        <w:ind w:right="160" w:firstLine="324"/>
        <w:spacing w:after="0" w:line="266" w:lineRule="auto"/>
        <w:rPr>
          <w:sz w:val="20"/>
          <w:szCs w:val="20"/>
          <w:color w:val="auto"/>
        </w:rPr>
      </w:pPr>
      <w:r>
        <w:rPr>
          <w:rFonts w:ascii="Times New Roman" w:cs="Times New Roman" w:eastAsia="Times New Roman" w:hAnsi="Times New Roman"/>
          <w:sz w:val="18"/>
          <w:szCs w:val="18"/>
          <w:color w:val="auto"/>
        </w:rPr>
        <w:t>Net revenue is reported at the net realizable value amount that reflects the consideration the Company expects to receive in exchange for providing services. Revenues are from commercial payers, government payers, and patients for goods and services provided and are based on a gross price based on payer contracts, fee schedules, or other arrangements less any implicit price concessions.</w:t>
      </w:r>
    </w:p>
    <w:p>
      <w:pPr>
        <w:spacing w:after="0" w:line="149" w:lineRule="exact"/>
        <w:rPr>
          <w:sz w:val="20"/>
          <w:szCs w:val="20"/>
          <w:color w:val="auto"/>
        </w:rPr>
      </w:pPr>
    </w:p>
    <w:p>
      <w:pPr>
        <w:ind w:right="220" w:firstLine="324"/>
        <w:spacing w:after="0" w:line="266" w:lineRule="auto"/>
        <w:rPr>
          <w:sz w:val="20"/>
          <w:szCs w:val="20"/>
          <w:color w:val="auto"/>
        </w:rPr>
      </w:pPr>
      <w:r>
        <w:rPr>
          <w:rFonts w:ascii="Times New Roman" w:cs="Times New Roman" w:eastAsia="Times New Roman" w:hAnsi="Times New Roman"/>
          <w:sz w:val="18"/>
          <w:szCs w:val="18"/>
          <w:color w:val="auto"/>
        </w:rPr>
        <w:t>Due to the nature of the healthcare industry and the reimbursement environment in which the Company operates, certain estimates are required to record revenue and accounts receivable at their net realizable values at the time goods or services are provided. Inherent in these estimates is the risk that they will have to be revised or updated as additional information becomes available.</w:t>
      </w:r>
    </w:p>
    <w:p>
      <w:pPr>
        <w:spacing w:after="0" w:line="135" w:lineRule="exact"/>
        <w:rPr>
          <w:sz w:val="20"/>
          <w:szCs w:val="20"/>
          <w:color w:val="auto"/>
        </w:rPr>
      </w:pPr>
    </w:p>
    <w:p>
      <w:pPr>
        <w:jc w:val="both"/>
        <w:ind w:right="80" w:firstLine="324"/>
        <w:spacing w:after="0" w:line="261" w:lineRule="auto"/>
        <w:rPr>
          <w:sz w:val="20"/>
          <w:szCs w:val="20"/>
          <w:color w:val="auto"/>
        </w:rPr>
      </w:pPr>
      <w:r>
        <w:rPr>
          <w:rFonts w:ascii="Times New Roman" w:cs="Times New Roman" w:eastAsia="Times New Roman" w:hAnsi="Times New Roman"/>
          <w:sz w:val="18"/>
          <w:szCs w:val="18"/>
          <w:color w:val="auto"/>
        </w:rPr>
        <w:t>The Company assesses the expected consideration to be received at the time of patient acceptance based on the verification of the patient’s insurance coverage, historical information with the patient, similar patients, or the payer. Performance obligations are determined based on the nature of the services provided by the Company. The majority of the Company’s performance obligations are to provide infusion services to deliver medicine, nutrients, or fluids directly into the body.</w:t>
      </w:r>
    </w:p>
    <w:p>
      <w:pPr>
        <w:spacing w:after="0" w:line="139" w:lineRule="exact"/>
        <w:rPr>
          <w:sz w:val="20"/>
          <w:szCs w:val="20"/>
          <w:color w:val="auto"/>
        </w:rPr>
      </w:pPr>
    </w:p>
    <w:p>
      <w:pPr>
        <w:ind w:right="100" w:firstLine="324"/>
        <w:spacing w:after="0" w:line="256" w:lineRule="auto"/>
        <w:rPr>
          <w:sz w:val="20"/>
          <w:szCs w:val="20"/>
          <w:color w:val="auto"/>
        </w:rPr>
      </w:pPr>
      <w:r>
        <w:rPr>
          <w:rFonts w:ascii="Times New Roman" w:cs="Times New Roman" w:eastAsia="Times New Roman" w:hAnsi="Times New Roman"/>
          <w:sz w:val="18"/>
          <w:szCs w:val="18"/>
          <w:color w:val="auto"/>
        </w:rPr>
        <w:t xml:space="preserve">The Company provides a variety of infusion-related therapies to patients, which frequently include multiple deliverables of pharmaceutical drugs and related nursing services. After applying the criteria from Accounting Standards Codification (“ASC”) Topic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(“ASC 606”), the Company concluded that multiple performance obligations exist in its contracts with its customers. Revenue is allocated to each performance obligation based on relative standalone price, determined based on reimbursement rates established in the third-party payer contracts. Pharmaceutical drug revenue is recognized at the time the pharmaceutical drug is delivered to the patient, and nursing revenue is recognized on the date of service.</w:t>
      </w:r>
    </w:p>
    <w:p>
      <w:pPr>
        <w:spacing w:after="0" w:line="160" w:lineRule="exact"/>
        <w:rPr>
          <w:sz w:val="20"/>
          <w:szCs w:val="20"/>
          <w:color w:val="auto"/>
        </w:rPr>
      </w:pPr>
    </w:p>
    <w:p>
      <w:pPr>
        <w:ind w:right="240" w:firstLine="324"/>
        <w:spacing w:after="0" w:line="266" w:lineRule="auto"/>
        <w:rPr>
          <w:sz w:val="20"/>
          <w:szCs w:val="20"/>
          <w:color w:val="auto"/>
        </w:rPr>
      </w:pPr>
      <w:r>
        <w:rPr>
          <w:rFonts w:ascii="Times New Roman" w:cs="Times New Roman" w:eastAsia="Times New Roman" w:hAnsi="Times New Roman"/>
          <w:sz w:val="18"/>
          <w:szCs w:val="18"/>
          <w:color w:val="auto"/>
        </w:rPr>
        <w:t>The Company’s accounts receivable are reported at the net realizable value amount that reflects the consideration the Company expects to receive in exchange for providing services, which is inclusive of adjustments for price concessions. The majority of accounts receivable are due from private insurance carriers and governmental healthcare programs, such as Medicare and Medicaid.</w:t>
      </w:r>
    </w:p>
    <w:p>
      <w:pPr>
        <w:spacing w:after="0" w:line="135" w:lineRule="exact"/>
        <w:rPr>
          <w:sz w:val="20"/>
          <w:szCs w:val="20"/>
          <w:color w:val="auto"/>
        </w:rPr>
      </w:pPr>
    </w:p>
    <w:p>
      <w:pPr>
        <w:ind w:right="260" w:firstLine="324"/>
        <w:spacing w:after="0" w:line="282" w:lineRule="auto"/>
        <w:rPr>
          <w:sz w:val="20"/>
          <w:szCs w:val="20"/>
          <w:color w:val="auto"/>
        </w:rPr>
      </w:pPr>
      <w:r>
        <w:rPr>
          <w:rFonts w:ascii="Times New Roman" w:cs="Times New Roman" w:eastAsia="Times New Roman" w:hAnsi="Times New Roman"/>
          <w:sz w:val="18"/>
          <w:szCs w:val="18"/>
          <w:color w:val="auto"/>
        </w:rPr>
        <w:t>Price concessions may result from patient hardships, patient uncollectible accounts sent to collection agencies, lack of recovery due to not receiving prior authorization, differing interpretations of covered therapies in payer contracts, different pricing methodologies, or various other reasons.</w:t>
      </w:r>
    </w:p>
    <w:p>
      <w:pPr>
        <w:spacing w:after="0" w:line="121"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Included in accounts receivable are earned but unbilled gross receivables. Delays ranging from one day up to several weeks between the date of service and billing can occur due to delays in obtaining certain required payer-specific documentation from internal and external sources.</w:t>
      </w:r>
    </w:p>
    <w:p>
      <w:pPr>
        <w:spacing w:after="0" w:line="135"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After applying the criteria from ASC 606, an allowance for doubtful accounts is established only as a result of an adverse change in the payers’ ability to pay outstanding billings. As of December 31, 2024 and 2023, the Company had no allowance for doubtful accounts. The Company recorded an allowance for implicit price concessions based on its historical experience of additional revenue being recorded or revenue being written off when amounts received are greater than or less than the originally estimated net realizable value. The detailed assessments included, among other factors, current over/under payments which had not yet been applied to an account, historical contractual adjustments, and historical payments. Contractual allowance estimates are adjusted to actual amounts as cash is received and claims are settled.</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Business Acquisitions</w:t>
      </w:r>
    </w:p>
    <w:p>
      <w:pPr>
        <w:spacing w:after="0" w:line="187"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 xml:space="preserve">The Company accounts for business acquisitions in accordance with ASC Topic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xml:space="preserve"> (“ASC 805”), with assets and liabilities being recorded at their acquisition date fair values and goodwill being calculated as the purchase price in excess of the net identifiable assets. The application of ASC 805 requires management to make estimates and assumptions when determining the acquisition date fair values of acquired assets and assumed liabilities. Management’s estimates and assumptions include, but are not limited to, the future cash flows an asset is expected to generate and the weighted-average cost of capital. See Note 3, </w:t>
      </w:r>
      <w:r>
        <w:rPr>
          <w:rFonts w:ascii="Times New Roman" w:cs="Times New Roman" w:eastAsia="Times New Roman" w:hAnsi="Times New Roman"/>
          <w:sz w:val="18"/>
          <w:szCs w:val="18"/>
          <w:i w:val="1"/>
          <w:iCs w:val="1"/>
          <w:color w:val="auto"/>
        </w:rPr>
        <w:t>Business Acquisitions and Divestitures</w:t>
      </w:r>
      <w:r>
        <w:rPr>
          <w:rFonts w:ascii="Times New Roman" w:cs="Times New Roman" w:eastAsia="Times New Roman" w:hAnsi="Times New Roman"/>
          <w:sz w:val="18"/>
          <w:szCs w:val="18"/>
          <w:color w:val="auto"/>
        </w:rPr>
        <w:t>, for further discussion of business acquisitions.</w:t>
      </w:r>
    </w:p>
    <w:p>
      <w:pPr>
        <w:spacing w:after="0" w:line="154"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7A.</w:t>
      </w:r>
      <w:r>
        <w:rPr>
          <w:sz w:val="20"/>
          <w:szCs w:val="20"/>
          <w:color w:val="auto"/>
        </w:rPr>
        <w:tab/>
      </w:r>
      <w:r>
        <w:rPr>
          <w:rFonts w:ascii="Times New Roman" w:cs="Times New Roman" w:eastAsia="Times New Roman" w:hAnsi="Times New Roman"/>
          <w:sz w:val="17"/>
          <w:szCs w:val="17"/>
          <w:b w:val="1"/>
          <w:bCs w:val="1"/>
          <w:i w:val="1"/>
          <w:iCs w:val="1"/>
          <w:color w:val="auto"/>
        </w:rPr>
        <w:t>Quantitative and Qualitative Disclosures about Market Risk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148" w:lineRule="exact"/>
        <w:rPr>
          <w:sz w:val="20"/>
          <w:szCs w:val="20"/>
          <w:color w:val="auto"/>
        </w:rPr>
      </w:pPr>
    </w:p>
    <w:p>
      <w:pPr>
        <w:ind w:firstLine="324"/>
        <w:spacing w:after="0" w:line="231" w:lineRule="exact"/>
        <w:rPr>
          <w:sz w:val="20"/>
          <w:szCs w:val="20"/>
          <w:color w:val="auto"/>
        </w:rPr>
      </w:pPr>
      <w:r>
        <w:rPr>
          <w:rFonts w:ascii="Times New Roman" w:cs="Times New Roman" w:eastAsia="Times New Roman" w:hAnsi="Times New Roman"/>
          <w:sz w:val="18"/>
          <w:szCs w:val="18"/>
          <w:color w:val="auto"/>
        </w:rPr>
        <w:t>The Company’s primary market risk exposure is to changing SOFR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based interest rates. Interest rate risk is highly sensitive due to many factors, including U.S. monetary and tax policies, U.S. and international economic factors and other factors beyond our control. At December 31, 2024, we had outstanding debt of $631.6 million under our First Lien Term Loan with a variable interest rate component. See Note 11, </w:t>
      </w:r>
      <w:r>
        <w:rPr>
          <w:rFonts w:ascii="Times New Roman" w:cs="Times New Roman" w:eastAsia="Times New Roman" w:hAnsi="Times New Roman"/>
          <w:sz w:val="18"/>
          <w:szCs w:val="18"/>
          <w:i w:val="1"/>
          <w:iCs w:val="1"/>
          <w:color w:val="auto"/>
        </w:rPr>
        <w:t>Indebtedness</w:t>
      </w:r>
      <w:r>
        <w:rPr>
          <w:rFonts w:ascii="Times New Roman" w:cs="Times New Roman" w:eastAsia="Times New Roman" w:hAnsi="Times New Roman"/>
          <w:sz w:val="18"/>
          <w:szCs w:val="18"/>
          <w:color w:val="auto"/>
        </w:rPr>
        <w:t>, of the consolidated financial statements for more information.</w:t>
      </w:r>
    </w:p>
    <w:p>
      <w:pPr>
        <w:spacing w:after="0" w:line="173"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 xml:space="preserve">To reduce interest rate risk, the Company has utilized an interest rate derivative contract to hedge against fluctuations in SOFR rates on the First Lien Term Loan. In conjunction with the October 2021 debt refinancing, the Company entered into an interest rate cap hedge with a notional amount of $300.0 million for a five-year term, effective on November 30, 2021. See Note 12, </w:t>
      </w:r>
      <w:r>
        <w:rPr>
          <w:rFonts w:ascii="Times New Roman" w:cs="Times New Roman" w:eastAsia="Times New Roman" w:hAnsi="Times New Roman"/>
          <w:sz w:val="18"/>
          <w:szCs w:val="18"/>
          <w:i w:val="1"/>
          <w:iCs w:val="1"/>
          <w:color w:val="auto"/>
        </w:rPr>
        <w:t>Derivative Instruments</w:t>
      </w:r>
      <w:r>
        <w:rPr>
          <w:rFonts w:ascii="Times New Roman" w:cs="Times New Roman" w:eastAsia="Times New Roman" w:hAnsi="Times New Roman"/>
          <w:sz w:val="18"/>
          <w:szCs w:val="18"/>
          <w:color w:val="auto"/>
        </w:rPr>
        <w:t>, of the consolidated financial statements for more information.</w:t>
      </w:r>
    </w:p>
    <w:p>
      <w:pPr>
        <w:spacing w:after="0" w:line="139" w:lineRule="exact"/>
        <w:rPr>
          <w:sz w:val="20"/>
          <w:szCs w:val="20"/>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auto"/>
        </w:rPr>
        <w:t>A hypothetical 100-basis point increase or decrease in market interest rates associated with the unhedged variable-rate debt over a 12-month period would result in a change to interest expense of approximately $3.3 million.</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18" w:right="4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i w:val="1"/>
          <w:iCs w:val="1"/>
          <w:color w:val="auto"/>
        </w:rPr>
        <w:t>Financial Statements and Supplementary Data</w:t>
      </w:r>
    </w:p>
    <w:p>
      <w:pPr>
        <w:spacing w:after="0" w:line="185"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Option Care Health, Inc.:</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Opinion on the Consolidated Financial Statements</w:t>
      </w:r>
    </w:p>
    <w:p>
      <w:pPr>
        <w:spacing w:after="0" w:line="106" w:lineRule="exact"/>
        <w:rPr>
          <w:sz w:val="20"/>
          <w:szCs w:val="20"/>
          <w:color w:val="auto"/>
        </w:rPr>
      </w:pPr>
    </w:p>
    <w:p>
      <w:pPr>
        <w:ind w:right="140"/>
        <w:spacing w:after="0" w:line="277" w:lineRule="auto"/>
        <w:rPr>
          <w:sz w:val="20"/>
          <w:szCs w:val="20"/>
          <w:color w:val="auto"/>
        </w:rPr>
      </w:pPr>
      <w:r>
        <w:rPr>
          <w:rFonts w:ascii="Times New Roman" w:cs="Times New Roman" w:eastAsia="Times New Roman" w:hAnsi="Times New Roman"/>
          <w:sz w:val="17"/>
          <w:szCs w:val="17"/>
          <w:color w:val="auto"/>
        </w:rPr>
        <w:t>We have audited the accompanying consolidated balance sheets of Option Care Health, Inc. and subsidiaries (the Company) as of December 31, 2024 and 2023, the related consolidated statements of comprehensive income, stockholders’ equity, and cash flows for each of the years in the three-year period ended December 31, 2024, and the related notes (collectively, the consolidated financial statements). In our opinion, the consolidated financial statements present fairly, in all material respects, the financial position of the Company as of December 31, 2024 and 2023, and the results of its operations and its cash flows for each of the years in the three-year period ended December 31, 2024, in conformity with U.S. generally accepted accounting principles.</w:t>
      </w:r>
    </w:p>
    <w:p>
      <w:pPr>
        <w:spacing w:after="0" w:line="19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Company’s internal control over financial reporting as of December 31, 2024, based on criteria established in Internal Control – Integrated Framework (2013) issued by the Committee of Sponsoring Organizations of the Treadway Commission, and our report dated February 26, 2025 expressed an unqualified opinion on the effectiveness of the Company’s internal control over financial reporting.</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for Opinion</w:t>
      </w:r>
    </w:p>
    <w:p>
      <w:pPr>
        <w:spacing w:after="0" w:line="106"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these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07" w:lineRule="exact"/>
        <w:rPr>
          <w:sz w:val="20"/>
          <w:szCs w:val="20"/>
          <w:color w:val="auto"/>
        </w:rPr>
      </w:pPr>
    </w:p>
    <w:p>
      <w:pPr>
        <w:ind w:right="120"/>
        <w:spacing w:after="0" w:line="274" w:lineRule="auto"/>
        <w:rPr>
          <w:sz w:val="20"/>
          <w:szCs w:val="20"/>
          <w:color w:val="auto"/>
        </w:rPr>
      </w:pPr>
      <w:r>
        <w:rPr>
          <w:rFonts w:ascii="Times New Roman" w:cs="Times New Roman" w:eastAsia="Times New Roman" w:hAnsi="Times New Roman"/>
          <w:sz w:val="17"/>
          <w:szCs w:val="17"/>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Critical Audit Matter</w:t>
      </w:r>
    </w:p>
    <w:p>
      <w:pPr>
        <w:spacing w:after="0" w:line="92"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Sufficiency of audit evidence over the evaluation of transaction price adjustments</w:t>
      </w:r>
    </w:p>
    <w:p>
      <w:pPr>
        <w:spacing w:after="0" w:line="106"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As discussed in Notes 2 and 4 to the consolidated financial statements, net revenue is reported at the net realizable value amount that reflects the consideration the Company expects to receive in exchange for providing goods and services. Revenues are from commercial payers, government payers, and patients for infusion therapy and other ancillary health care services. The Company estimates the transaction price adjustments based on the verification of the patient’s insurance coverage, historical price concessions, and historical payments.</w:t>
      </w:r>
    </w:p>
    <w:p>
      <w:pPr>
        <w:spacing w:after="0" w:line="207"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We identified the sufficiency of audit evidence over the evaluation of transaction price adjustments as a critical audit matter. Complex auditor judgment was required to evaluate the sufficiency of audit evidence obtained due to the large volume of data and information technology (IT) applications utilized in the transaction price adjustment process to capture and aggregate the data.</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following are the primary procedures we performed to address this critical audit matter. We evaluated the design and tested the operating effectiveness of certain internal controls over the Company’s transaction price adjustment process, including general IT controls and IT application controls. We involved IT professionals with specialized skills and knowledge who assisted in the identification and testing of certain IT systems used by the Company for processing and recording of transaction price adjustments. We tested the relevance and reliability of the underlying data that served as the basis for the transaction price adjustments by agreeing a selection of certain data elements to underlying support. We assessed the sufficiency of audit evidence obtained related to transaction price adjustments by evaluating the cumulative results of the audit procedures.</w:t>
      </w: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 KPMG LLP</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2015.</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Chicago, Illinois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26, 2025</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OPTION CARE HEALTH,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 THOUSANDS, EXCEPT SHARES AND PER SHARE AMOUNTS)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600" w:type="dxa"/>
            <w:vAlign w:val="bottom"/>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3"/>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2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760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7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198"/>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ASSETS</w:t>
            </w:r>
          </w:p>
        </w:tc>
        <w:tc>
          <w:tcPr>
            <w:tcW w:w="10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10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040" w:type="dxa"/>
            <w:vAlign w:val="bottom"/>
            <w:shd w:val="clear" w:color="auto" w:fill="CCEEFF"/>
          </w:tcPr>
          <w:p>
            <w:pPr>
              <w:jc w:val="right"/>
              <w:ind w:right="85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412,565</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343,849</w:t>
            </w:r>
          </w:p>
        </w:tc>
        <w:tc>
          <w:tcPr>
            <w:tcW w:w="0" w:type="dxa"/>
            <w:vAlign w:val="bottom"/>
          </w:tcPr>
          <w:p>
            <w:pPr>
              <w:spacing w:after="0"/>
              <w:rPr>
                <w:sz w:val="1"/>
                <w:szCs w:val="1"/>
                <w:color w:val="auto"/>
              </w:rPr>
            </w:pPr>
          </w:p>
        </w:tc>
      </w:tr>
      <w:tr>
        <w:trPr>
          <w:trHeight w:val="213"/>
        </w:trPr>
        <w:tc>
          <w:tcPr>
            <w:tcW w:w="76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Accounts receivable, net</w:t>
            </w:r>
          </w:p>
        </w:tc>
        <w:tc>
          <w:tcPr>
            <w:tcW w:w="10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409,733</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377,658</w:t>
            </w: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Inventories</w:t>
            </w:r>
          </w:p>
        </w:tc>
        <w:tc>
          <w:tcPr>
            <w:tcW w:w="10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388,131</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274,004</w:t>
            </w:r>
          </w:p>
        </w:tc>
        <w:tc>
          <w:tcPr>
            <w:tcW w:w="0" w:type="dxa"/>
            <w:vAlign w:val="bottom"/>
          </w:tcPr>
          <w:p>
            <w:pPr>
              <w:spacing w:after="0"/>
              <w:rPr>
                <w:sz w:val="1"/>
                <w:szCs w:val="1"/>
                <w:color w:val="auto"/>
              </w:rPr>
            </w:pPr>
          </w:p>
        </w:tc>
      </w:tr>
      <w:tr>
        <w:trPr>
          <w:trHeight w:val="213"/>
        </w:trPr>
        <w:tc>
          <w:tcPr>
            <w:tcW w:w="76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10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112,198</w:t>
            </w:r>
          </w:p>
        </w:tc>
        <w:tc>
          <w:tcPr>
            <w:tcW w:w="12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98,744</w:t>
            </w:r>
          </w:p>
        </w:tc>
        <w:tc>
          <w:tcPr>
            <w:tcW w:w="0" w:type="dxa"/>
            <w:vAlign w:val="bottom"/>
          </w:tcPr>
          <w:p>
            <w:pPr>
              <w:spacing w:after="0"/>
              <w:rPr>
                <w:sz w:val="1"/>
                <w:szCs w:val="1"/>
                <w:color w:val="auto"/>
              </w:rPr>
            </w:pPr>
          </w:p>
        </w:tc>
      </w:tr>
      <w:tr>
        <w:trPr>
          <w:trHeight w:val="209"/>
        </w:trPr>
        <w:tc>
          <w:tcPr>
            <w:tcW w:w="7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current assets</w:t>
            </w:r>
          </w:p>
        </w:tc>
        <w:tc>
          <w:tcPr>
            <w:tcW w:w="10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1,322,627</w:t>
            </w:r>
          </w:p>
        </w:tc>
        <w:tc>
          <w:tcPr>
            <w:tcW w:w="12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1,094,255</w:t>
            </w:r>
          </w:p>
        </w:tc>
        <w:tc>
          <w:tcPr>
            <w:tcW w:w="0" w:type="dxa"/>
            <w:vAlign w:val="bottom"/>
          </w:tcPr>
          <w:p>
            <w:pPr>
              <w:spacing w:after="0"/>
              <w:rPr>
                <w:sz w:val="1"/>
                <w:szCs w:val="1"/>
                <w:color w:val="auto"/>
              </w:rPr>
            </w:pPr>
          </w:p>
        </w:tc>
      </w:tr>
      <w:tr>
        <w:trPr>
          <w:trHeight w:val="239"/>
        </w:trPr>
        <w:tc>
          <w:tcPr>
            <w:tcW w:w="76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NONCURRENT ASSETS:</w:t>
            </w:r>
          </w:p>
        </w:tc>
        <w:tc>
          <w:tcPr>
            <w:tcW w:w="10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6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10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127,367</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120,630</w:t>
            </w: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Operating lease right-of-use asset</w:t>
            </w:r>
          </w:p>
        </w:tc>
        <w:tc>
          <w:tcPr>
            <w:tcW w:w="10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86,528</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84,159</w:t>
            </w:r>
          </w:p>
        </w:tc>
        <w:tc>
          <w:tcPr>
            <w:tcW w:w="0" w:type="dxa"/>
            <w:vAlign w:val="bottom"/>
          </w:tcPr>
          <w:p>
            <w:pPr>
              <w:spacing w:after="0"/>
              <w:rPr>
                <w:sz w:val="1"/>
                <w:szCs w:val="1"/>
                <w:color w:val="auto"/>
              </w:rPr>
            </w:pPr>
          </w:p>
        </w:tc>
      </w:tr>
      <w:tr>
        <w:trPr>
          <w:trHeight w:val="213"/>
        </w:trPr>
        <w:tc>
          <w:tcPr>
            <w:tcW w:w="76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Intangible assets, net</w:t>
            </w:r>
          </w:p>
        </w:tc>
        <w:tc>
          <w:tcPr>
            <w:tcW w:w="10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16,993</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20,092</w:t>
            </w: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Referral sources, net</w:t>
            </w:r>
          </w:p>
        </w:tc>
        <w:tc>
          <w:tcPr>
            <w:tcW w:w="10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284,017</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315,304</w:t>
            </w:r>
          </w:p>
        </w:tc>
        <w:tc>
          <w:tcPr>
            <w:tcW w:w="0" w:type="dxa"/>
            <w:vAlign w:val="bottom"/>
          </w:tcPr>
          <w:p>
            <w:pPr>
              <w:spacing w:after="0"/>
              <w:rPr>
                <w:sz w:val="1"/>
                <w:szCs w:val="1"/>
                <w:color w:val="auto"/>
              </w:rPr>
            </w:pPr>
          </w:p>
        </w:tc>
      </w:tr>
      <w:tr>
        <w:trPr>
          <w:trHeight w:val="213"/>
        </w:trPr>
        <w:tc>
          <w:tcPr>
            <w:tcW w:w="76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Goodwill</w:t>
            </w:r>
          </w:p>
        </w:tc>
        <w:tc>
          <w:tcPr>
            <w:tcW w:w="10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1,540,246</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1,540,246</w:t>
            </w: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noncurrent assets</w:t>
            </w:r>
          </w:p>
        </w:tc>
        <w:tc>
          <w:tcPr>
            <w:tcW w:w="104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43,965</w:t>
            </w:r>
          </w:p>
        </w:tc>
        <w:tc>
          <w:tcPr>
            <w:tcW w:w="12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42,349</w:t>
            </w:r>
          </w:p>
        </w:tc>
        <w:tc>
          <w:tcPr>
            <w:tcW w:w="0" w:type="dxa"/>
            <w:vAlign w:val="bottom"/>
          </w:tcPr>
          <w:p>
            <w:pPr>
              <w:spacing w:after="0"/>
              <w:rPr>
                <w:sz w:val="1"/>
                <w:szCs w:val="1"/>
                <w:color w:val="auto"/>
              </w:rPr>
            </w:pPr>
          </w:p>
        </w:tc>
      </w:tr>
      <w:tr>
        <w:trPr>
          <w:trHeight w:val="207"/>
        </w:trPr>
        <w:tc>
          <w:tcPr>
            <w:tcW w:w="76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Total noncurrent assets</w:t>
            </w:r>
          </w:p>
        </w:tc>
        <w:tc>
          <w:tcPr>
            <w:tcW w:w="10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2,099,116</w:t>
            </w:r>
          </w:p>
        </w:tc>
        <w:tc>
          <w:tcPr>
            <w:tcW w:w="120" w:type="dxa"/>
            <w:vAlign w:val="bottom"/>
            <w:tcBorders>
              <w:bottom w:val="single" w:sz="8" w:color="CCEEFF"/>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2,122,780</w:t>
            </w:r>
          </w:p>
        </w:tc>
        <w:tc>
          <w:tcPr>
            <w:tcW w:w="0" w:type="dxa"/>
            <w:vAlign w:val="bottom"/>
          </w:tcPr>
          <w:p>
            <w:pPr>
              <w:spacing w:after="0"/>
              <w:rPr>
                <w:sz w:val="1"/>
                <w:szCs w:val="1"/>
                <w:color w:val="auto"/>
              </w:rPr>
            </w:pPr>
          </w:p>
        </w:tc>
      </w:tr>
      <w:tr>
        <w:trPr>
          <w:trHeight w:val="237"/>
        </w:trPr>
        <w:tc>
          <w:tcPr>
            <w:tcW w:w="7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ASSETS</w:t>
            </w:r>
          </w:p>
        </w:tc>
        <w:tc>
          <w:tcPr>
            <w:tcW w:w="1040" w:type="dxa"/>
            <w:vAlign w:val="bottom"/>
            <w:tcBorders>
              <w:bottom w:val="single" w:sz="8" w:color="auto"/>
            </w:tcBorders>
            <w:shd w:val="clear" w:color="auto" w:fill="CCEEFF"/>
          </w:tcPr>
          <w:p>
            <w:pPr>
              <w:jc w:val="right"/>
              <w:ind w:right="85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3,421,743</w:t>
            </w:r>
          </w:p>
        </w:tc>
        <w:tc>
          <w:tcPr>
            <w:tcW w:w="1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ind w:right="3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3,217,035</w:t>
            </w:r>
          </w:p>
        </w:tc>
        <w:tc>
          <w:tcPr>
            <w:tcW w:w="0" w:type="dxa"/>
            <w:vAlign w:val="bottom"/>
          </w:tcPr>
          <w:p>
            <w:pPr>
              <w:spacing w:after="0"/>
              <w:rPr>
                <w:sz w:val="1"/>
                <w:szCs w:val="1"/>
                <w:color w:val="auto"/>
              </w:rPr>
            </w:pP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6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LIABILITIES AND STOCKHOLDERS’ EQUITY</w:t>
            </w:r>
          </w:p>
        </w:tc>
        <w:tc>
          <w:tcPr>
            <w:tcW w:w="10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10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Accounts payable</w:t>
            </w:r>
          </w:p>
        </w:tc>
        <w:tc>
          <w:tcPr>
            <w:tcW w:w="1040" w:type="dxa"/>
            <w:vAlign w:val="bottom"/>
            <w:shd w:val="clear" w:color="auto" w:fill="CCEEFF"/>
          </w:tcPr>
          <w:p>
            <w:pPr>
              <w:jc w:val="right"/>
              <w:ind w:right="85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610,779</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426,513</w:t>
            </w:r>
          </w:p>
        </w:tc>
        <w:tc>
          <w:tcPr>
            <w:tcW w:w="0" w:type="dxa"/>
            <w:vAlign w:val="bottom"/>
          </w:tcPr>
          <w:p>
            <w:pPr>
              <w:spacing w:after="0"/>
              <w:rPr>
                <w:sz w:val="1"/>
                <w:szCs w:val="1"/>
                <w:color w:val="auto"/>
              </w:rPr>
            </w:pPr>
          </w:p>
        </w:tc>
      </w:tr>
      <w:tr>
        <w:trPr>
          <w:trHeight w:val="213"/>
        </w:trPr>
        <w:tc>
          <w:tcPr>
            <w:tcW w:w="76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Accrued compensation and employee benefits</w:t>
            </w:r>
          </w:p>
        </w:tc>
        <w:tc>
          <w:tcPr>
            <w:tcW w:w="10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63,028</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92,508</w:t>
            </w: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10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77,783</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75,010</w:t>
            </w:r>
          </w:p>
        </w:tc>
        <w:tc>
          <w:tcPr>
            <w:tcW w:w="0" w:type="dxa"/>
            <w:vAlign w:val="bottom"/>
          </w:tcPr>
          <w:p>
            <w:pPr>
              <w:spacing w:after="0"/>
              <w:rPr>
                <w:sz w:val="1"/>
                <w:szCs w:val="1"/>
                <w:color w:val="auto"/>
              </w:rPr>
            </w:pPr>
          </w:p>
        </w:tc>
      </w:tr>
      <w:tr>
        <w:trPr>
          <w:trHeight w:val="213"/>
        </w:trPr>
        <w:tc>
          <w:tcPr>
            <w:tcW w:w="76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Current portion of operating lease liability</w:t>
            </w:r>
          </w:p>
        </w:tc>
        <w:tc>
          <w:tcPr>
            <w:tcW w:w="10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22,044</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18,278</w:t>
            </w: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Current portion of long-term debt</w:t>
            </w:r>
          </w:p>
        </w:tc>
        <w:tc>
          <w:tcPr>
            <w:tcW w:w="104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6,512</w:t>
            </w:r>
          </w:p>
        </w:tc>
        <w:tc>
          <w:tcPr>
            <w:tcW w:w="12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6,000</w:t>
            </w:r>
          </w:p>
        </w:tc>
        <w:tc>
          <w:tcPr>
            <w:tcW w:w="0" w:type="dxa"/>
            <w:vAlign w:val="bottom"/>
          </w:tcPr>
          <w:p>
            <w:pPr>
              <w:spacing w:after="0"/>
              <w:rPr>
                <w:sz w:val="1"/>
                <w:szCs w:val="1"/>
                <w:color w:val="auto"/>
              </w:rPr>
            </w:pPr>
          </w:p>
        </w:tc>
      </w:tr>
      <w:tr>
        <w:trPr>
          <w:trHeight w:val="207"/>
        </w:trPr>
        <w:tc>
          <w:tcPr>
            <w:tcW w:w="76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10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780,146</w:t>
            </w:r>
          </w:p>
        </w:tc>
        <w:tc>
          <w:tcPr>
            <w:tcW w:w="120" w:type="dxa"/>
            <w:vAlign w:val="bottom"/>
            <w:tcBorders>
              <w:bottom w:val="single" w:sz="8" w:color="CCEEFF"/>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618,309</w:t>
            </w:r>
          </w:p>
        </w:tc>
        <w:tc>
          <w:tcPr>
            <w:tcW w:w="0" w:type="dxa"/>
            <w:vAlign w:val="bottom"/>
          </w:tcPr>
          <w:p>
            <w:pPr>
              <w:spacing w:after="0"/>
              <w:rPr>
                <w:sz w:val="1"/>
                <w:szCs w:val="1"/>
                <w:color w:val="auto"/>
              </w:rPr>
            </w:pPr>
          </w:p>
        </w:tc>
      </w:tr>
      <w:tr>
        <w:trPr>
          <w:trHeight w:val="239"/>
        </w:trPr>
        <w:tc>
          <w:tcPr>
            <w:tcW w:w="76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7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NONCURRENT LIABILITIES:</w:t>
            </w:r>
          </w:p>
        </w:tc>
        <w:tc>
          <w:tcPr>
            <w:tcW w:w="10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Long-term debt, net of discount, deferred financing costs and current portion</w:t>
            </w:r>
          </w:p>
        </w:tc>
        <w:tc>
          <w:tcPr>
            <w:tcW w:w="10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1,104,641</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1,056,650</w:t>
            </w:r>
          </w:p>
        </w:tc>
        <w:tc>
          <w:tcPr>
            <w:tcW w:w="0" w:type="dxa"/>
            <w:vAlign w:val="bottom"/>
          </w:tcPr>
          <w:p>
            <w:pPr>
              <w:spacing w:after="0"/>
              <w:rPr>
                <w:sz w:val="1"/>
                <w:szCs w:val="1"/>
                <w:color w:val="auto"/>
              </w:rPr>
            </w:pPr>
          </w:p>
        </w:tc>
      </w:tr>
      <w:tr>
        <w:trPr>
          <w:trHeight w:val="213"/>
        </w:trPr>
        <w:tc>
          <w:tcPr>
            <w:tcW w:w="76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Operating lease liability, net of current portion</w:t>
            </w:r>
          </w:p>
        </w:tc>
        <w:tc>
          <w:tcPr>
            <w:tcW w:w="10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84,776</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85,484</w:t>
            </w: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Deferred income taxes</w:t>
            </w:r>
          </w:p>
        </w:tc>
        <w:tc>
          <w:tcPr>
            <w:tcW w:w="10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47,576</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34,920</w:t>
            </w:r>
          </w:p>
        </w:tc>
        <w:tc>
          <w:tcPr>
            <w:tcW w:w="0" w:type="dxa"/>
            <w:vAlign w:val="bottom"/>
          </w:tcPr>
          <w:p>
            <w:pPr>
              <w:spacing w:after="0"/>
              <w:rPr>
                <w:sz w:val="1"/>
                <w:szCs w:val="1"/>
                <w:color w:val="auto"/>
              </w:rPr>
            </w:pPr>
          </w:p>
        </w:tc>
      </w:tr>
      <w:tr>
        <w:trPr>
          <w:trHeight w:val="213"/>
        </w:trPr>
        <w:tc>
          <w:tcPr>
            <w:tcW w:w="76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10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366</w:t>
            </w:r>
          </w:p>
        </w:tc>
        <w:tc>
          <w:tcPr>
            <w:tcW w:w="12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7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noncurrent liabilities</w:t>
            </w:r>
          </w:p>
        </w:tc>
        <w:tc>
          <w:tcPr>
            <w:tcW w:w="10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1,237,359</w:t>
            </w:r>
          </w:p>
        </w:tc>
        <w:tc>
          <w:tcPr>
            <w:tcW w:w="12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1,177,054</w:t>
            </w:r>
          </w:p>
        </w:tc>
        <w:tc>
          <w:tcPr>
            <w:tcW w:w="0" w:type="dxa"/>
            <w:vAlign w:val="bottom"/>
          </w:tcPr>
          <w:p>
            <w:pPr>
              <w:spacing w:after="0"/>
              <w:rPr>
                <w:sz w:val="1"/>
                <w:szCs w:val="1"/>
                <w:color w:val="auto"/>
              </w:rPr>
            </w:pPr>
          </w:p>
        </w:tc>
      </w:tr>
      <w:tr>
        <w:trPr>
          <w:trHeight w:val="207"/>
        </w:trPr>
        <w:tc>
          <w:tcPr>
            <w:tcW w:w="76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Total liabilities</w:t>
            </w:r>
          </w:p>
        </w:tc>
        <w:tc>
          <w:tcPr>
            <w:tcW w:w="10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2,017,505</w:t>
            </w:r>
          </w:p>
        </w:tc>
        <w:tc>
          <w:tcPr>
            <w:tcW w:w="120" w:type="dxa"/>
            <w:vAlign w:val="bottom"/>
            <w:tcBorders>
              <w:bottom w:val="single" w:sz="8" w:color="CCEEFF"/>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1,795,363</w:t>
            </w:r>
          </w:p>
        </w:tc>
        <w:tc>
          <w:tcPr>
            <w:tcW w:w="0" w:type="dxa"/>
            <w:vAlign w:val="bottom"/>
          </w:tcPr>
          <w:p>
            <w:pPr>
              <w:spacing w:after="0"/>
              <w:rPr>
                <w:sz w:val="1"/>
                <w:szCs w:val="1"/>
                <w:color w:val="auto"/>
              </w:rPr>
            </w:pPr>
          </w:p>
        </w:tc>
      </w:tr>
      <w:tr>
        <w:trPr>
          <w:trHeight w:val="239"/>
        </w:trPr>
        <w:tc>
          <w:tcPr>
            <w:tcW w:w="76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7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STOCKHOLDERS’ EQUITY:</w:t>
            </w:r>
          </w:p>
        </w:tc>
        <w:tc>
          <w:tcPr>
            <w:tcW w:w="10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7600" w:type="dxa"/>
            <w:vAlign w:val="bottom"/>
            <w:shd w:val="clear" w:color="auto" w:fill="CCEEFF"/>
          </w:tcPr>
          <w:p>
            <w:pPr>
              <w:ind w:left="140"/>
              <w:spacing w:after="0" w:line="165" w:lineRule="exact"/>
              <w:rPr>
                <w:sz w:val="20"/>
                <w:szCs w:val="20"/>
                <w:color w:val="auto"/>
              </w:rPr>
            </w:pPr>
            <w:r>
              <w:rPr>
                <w:rFonts w:ascii="Times New Roman" w:cs="Times New Roman" w:eastAsia="Times New Roman" w:hAnsi="Times New Roman"/>
                <w:sz w:val="16"/>
                <w:szCs w:val="16"/>
                <w:color w:val="auto"/>
              </w:rPr>
              <w:t>Preferred stock; $0.0001 par value; 12,500,000 shares authorized, no shares outstanding as of December 31, 2024</w:t>
            </w:r>
          </w:p>
        </w:tc>
        <w:tc>
          <w:tcPr>
            <w:tcW w:w="104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and 2023, respectively.</w:t>
            </w:r>
          </w:p>
        </w:tc>
        <w:tc>
          <w:tcPr>
            <w:tcW w:w="104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760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Common stock; $0.0001 par value: 250,000,000 shares authorized, 183,846,725 shares issued and 166,261,112</w:t>
            </w:r>
          </w:p>
        </w:tc>
        <w:tc>
          <w:tcPr>
            <w:tcW w:w="10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0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shares outstanding as of December 31, 2024; 182,905,559 shares issued and 174,575,537 shares outstanding as of</w:t>
            </w:r>
          </w:p>
        </w:tc>
        <w:tc>
          <w:tcPr>
            <w:tcW w:w="104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0" w:type="dxa"/>
            <w:vAlign w:val="bottom"/>
          </w:tcPr>
          <w:p>
            <w:pPr>
              <w:spacing w:after="0"/>
              <w:rPr>
                <w:sz w:val="1"/>
                <w:szCs w:val="1"/>
                <w:color w:val="auto"/>
              </w:rPr>
            </w:pPr>
          </w:p>
        </w:tc>
      </w:tr>
      <w:tr>
        <w:trPr>
          <w:trHeight w:val="213"/>
        </w:trPr>
        <w:tc>
          <w:tcPr>
            <w:tcW w:w="76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December 31, 2023.</w:t>
            </w:r>
          </w:p>
        </w:tc>
        <w:tc>
          <w:tcPr>
            <w:tcW w:w="104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7600" w:type="dxa"/>
            <w:vAlign w:val="bottom"/>
            <w:shd w:val="clear" w:color="auto" w:fill="CCEEFF"/>
          </w:tcPr>
          <w:p>
            <w:pPr>
              <w:ind w:left="140"/>
              <w:spacing w:after="0" w:line="165" w:lineRule="exact"/>
              <w:rPr>
                <w:sz w:val="20"/>
                <w:szCs w:val="20"/>
                <w:color w:val="auto"/>
              </w:rPr>
            </w:pPr>
            <w:r>
              <w:rPr>
                <w:rFonts w:ascii="Times New Roman" w:cs="Times New Roman" w:eastAsia="Times New Roman" w:hAnsi="Times New Roman"/>
                <w:sz w:val="16"/>
                <w:szCs w:val="16"/>
                <w:color w:val="auto"/>
              </w:rPr>
              <w:t>Treasury stock; 17,585,613 and 8,330,022 shares outstanding, at cost, as of December 31, 2024 and 2023,</w:t>
            </w:r>
          </w:p>
        </w:tc>
        <w:tc>
          <w:tcPr>
            <w:tcW w:w="104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(507,598)</w:t>
            </w: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(255,107)</w:t>
            </w: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respectively.</w:t>
            </w:r>
          </w:p>
        </w:tc>
        <w:tc>
          <w:tcPr>
            <w:tcW w:w="104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6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Paid-in capital</w:t>
            </w:r>
          </w:p>
        </w:tc>
        <w:tc>
          <w:tcPr>
            <w:tcW w:w="10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1,231,435</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1,204,270</w:t>
            </w: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Retained earnings</w:t>
            </w:r>
          </w:p>
        </w:tc>
        <w:tc>
          <w:tcPr>
            <w:tcW w:w="10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669,336</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457,513</w:t>
            </w:r>
          </w:p>
        </w:tc>
        <w:tc>
          <w:tcPr>
            <w:tcW w:w="0" w:type="dxa"/>
            <w:vAlign w:val="bottom"/>
          </w:tcPr>
          <w:p>
            <w:pPr>
              <w:spacing w:after="0"/>
              <w:rPr>
                <w:sz w:val="1"/>
                <w:szCs w:val="1"/>
                <w:color w:val="auto"/>
              </w:rPr>
            </w:pPr>
          </w:p>
        </w:tc>
      </w:tr>
      <w:tr>
        <w:trPr>
          <w:trHeight w:val="213"/>
        </w:trPr>
        <w:tc>
          <w:tcPr>
            <w:tcW w:w="76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Accumulated other comprehensive income</w:t>
            </w:r>
          </w:p>
        </w:tc>
        <w:tc>
          <w:tcPr>
            <w:tcW w:w="10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11,047</w:t>
            </w:r>
          </w:p>
        </w:tc>
        <w:tc>
          <w:tcPr>
            <w:tcW w:w="12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14,978</w:t>
            </w:r>
          </w:p>
        </w:tc>
        <w:tc>
          <w:tcPr>
            <w:tcW w:w="0" w:type="dxa"/>
            <w:vAlign w:val="bottom"/>
          </w:tcPr>
          <w:p>
            <w:pPr>
              <w:spacing w:after="0"/>
              <w:rPr>
                <w:sz w:val="1"/>
                <w:szCs w:val="1"/>
                <w:color w:val="auto"/>
              </w:rPr>
            </w:pPr>
          </w:p>
        </w:tc>
      </w:tr>
      <w:tr>
        <w:trPr>
          <w:trHeight w:val="209"/>
        </w:trPr>
        <w:tc>
          <w:tcPr>
            <w:tcW w:w="7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10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1,404,238</w:t>
            </w:r>
          </w:p>
        </w:tc>
        <w:tc>
          <w:tcPr>
            <w:tcW w:w="12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1,421,672</w:t>
            </w:r>
          </w:p>
        </w:tc>
        <w:tc>
          <w:tcPr>
            <w:tcW w:w="0" w:type="dxa"/>
            <w:vAlign w:val="bottom"/>
          </w:tcPr>
          <w:p>
            <w:pPr>
              <w:spacing w:after="0"/>
              <w:rPr>
                <w:sz w:val="1"/>
                <w:szCs w:val="1"/>
                <w:color w:val="auto"/>
              </w:rPr>
            </w:pPr>
          </w:p>
        </w:tc>
      </w:tr>
      <w:tr>
        <w:trPr>
          <w:trHeight w:val="212"/>
        </w:trPr>
        <w:tc>
          <w:tcPr>
            <w:tcW w:w="7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1040" w:type="dxa"/>
            <w:vAlign w:val="bottom"/>
            <w:tcBorders>
              <w:bottom w:val="single" w:sz="8" w:color="auto"/>
            </w:tcBorders>
          </w:tcPr>
          <w:p>
            <w:pPr>
              <w:jc w:val="right"/>
              <w:ind w:right="85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3,421,743</w:t>
            </w:r>
          </w:p>
        </w:tc>
        <w:tc>
          <w:tcPr>
            <w:tcW w:w="120" w:type="dxa"/>
            <w:vAlign w:val="bottom"/>
          </w:tcPr>
          <w:p>
            <w:pPr>
              <w:spacing w:after="0"/>
              <w:rPr>
                <w:sz w:val="18"/>
                <w:szCs w:val="18"/>
                <w:color w:val="auto"/>
              </w:rPr>
            </w:pPr>
          </w:p>
        </w:tc>
        <w:tc>
          <w:tcPr>
            <w:tcW w:w="56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3,217,035</w:t>
            </w:r>
          </w:p>
        </w:tc>
        <w:tc>
          <w:tcPr>
            <w:tcW w:w="0" w:type="dxa"/>
            <w:vAlign w:val="bottom"/>
          </w:tcPr>
          <w:p>
            <w:pPr>
              <w:spacing w:after="0"/>
              <w:rPr>
                <w:sz w:val="1"/>
                <w:szCs w:val="1"/>
                <w:color w:val="auto"/>
              </w:rPr>
            </w:pPr>
          </w:p>
        </w:tc>
      </w:tr>
      <w:tr>
        <w:trPr>
          <w:trHeight w:val="21"/>
        </w:trPr>
        <w:tc>
          <w:tcPr>
            <w:tcW w:w="76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accompanying notes to consolidated financial statements are an integral part of these statements.</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46" w:name="page47"/>
    <w:bookmarkEnd w:id="4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OPTION CARE HEALTH,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740" w:type="dxa"/>
            <w:vAlign w:val="bottom"/>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gridSpan w:val="4"/>
          </w:tcPr>
          <w:p>
            <w:pPr>
              <w:ind w:left="10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74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7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2022</w:t>
            </w:r>
          </w:p>
        </w:tc>
        <w:tc>
          <w:tcPr>
            <w:tcW w:w="0" w:type="dxa"/>
            <w:vAlign w:val="bottom"/>
          </w:tcPr>
          <w:p>
            <w:pPr>
              <w:spacing w:after="0"/>
              <w:rPr>
                <w:sz w:val="1"/>
                <w:szCs w:val="1"/>
                <w:color w:val="auto"/>
              </w:rPr>
            </w:pPr>
          </w:p>
        </w:tc>
      </w:tr>
      <w:tr>
        <w:trPr>
          <w:trHeight w:val="211"/>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REVENUE</w:t>
            </w:r>
          </w:p>
        </w:tc>
        <w:tc>
          <w:tcPr>
            <w:tcW w:w="1040" w:type="dxa"/>
            <w:vAlign w:val="bottom"/>
            <w:shd w:val="clear" w:color="auto" w:fill="CCEEFF"/>
          </w:tcPr>
          <w:p>
            <w:pPr>
              <w:jc w:val="right"/>
              <w:ind w:right="85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4,998,202</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4,302,324</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3,944,735</w:t>
            </w:r>
          </w:p>
        </w:tc>
        <w:tc>
          <w:tcPr>
            <w:tcW w:w="0" w:type="dxa"/>
            <w:vAlign w:val="bottom"/>
          </w:tcPr>
          <w:p>
            <w:pPr>
              <w:spacing w:after="0"/>
              <w:rPr>
                <w:sz w:val="1"/>
                <w:szCs w:val="1"/>
                <w:color w:val="auto"/>
              </w:rPr>
            </w:pPr>
          </w:p>
        </w:tc>
      </w:tr>
      <w:tr>
        <w:trPr>
          <w:trHeight w:val="213"/>
        </w:trPr>
        <w:tc>
          <w:tcPr>
            <w:tcW w:w="5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COST OF REVENUE</w:t>
            </w:r>
          </w:p>
        </w:tc>
        <w:tc>
          <w:tcPr>
            <w:tcW w:w="10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3,985,209</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3,321,101</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3,077,817</w:t>
            </w:r>
          </w:p>
        </w:tc>
        <w:tc>
          <w:tcPr>
            <w:tcW w:w="0" w:type="dxa"/>
            <w:vAlign w:val="bottom"/>
          </w:tcPr>
          <w:p>
            <w:pPr>
              <w:spacing w:after="0"/>
              <w:rPr>
                <w:sz w:val="1"/>
                <w:szCs w:val="1"/>
                <w:color w:val="auto"/>
              </w:rPr>
            </w:pPr>
          </w:p>
        </w:tc>
      </w:tr>
      <w:tr>
        <w:trPr>
          <w:trHeight w:val="212"/>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10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1,012,993</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981,223</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866,918</w:t>
            </w:r>
          </w:p>
        </w:tc>
        <w:tc>
          <w:tcPr>
            <w:tcW w:w="0" w:type="dxa"/>
            <w:vAlign w:val="bottom"/>
          </w:tcPr>
          <w:p>
            <w:pPr>
              <w:spacing w:after="0"/>
              <w:rPr>
                <w:sz w:val="1"/>
                <w:szCs w:val="1"/>
                <w:color w:val="auto"/>
              </w:rPr>
            </w:pPr>
          </w:p>
        </w:tc>
      </w:tr>
      <w:tr>
        <w:trPr>
          <w:trHeight w:val="257"/>
        </w:trPr>
        <w:tc>
          <w:tcPr>
            <w:tcW w:w="57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COSTS AND EXPENSES:</w:t>
            </w:r>
          </w:p>
        </w:tc>
        <w:tc>
          <w:tcPr>
            <w:tcW w:w="10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10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630,251</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607,427</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566,122</w:t>
            </w:r>
          </w:p>
        </w:tc>
        <w:tc>
          <w:tcPr>
            <w:tcW w:w="0" w:type="dxa"/>
            <w:vAlign w:val="bottom"/>
          </w:tcPr>
          <w:p>
            <w:pPr>
              <w:spacing w:after="0"/>
              <w:rPr>
                <w:sz w:val="1"/>
                <w:szCs w:val="1"/>
                <w:color w:val="auto"/>
              </w:rPr>
            </w:pPr>
          </w:p>
        </w:tc>
      </w:tr>
      <w:tr>
        <w:trPr>
          <w:trHeight w:val="219"/>
        </w:trPr>
        <w:tc>
          <w:tcPr>
            <w:tcW w:w="5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Depreciation and amortization expense</w:t>
            </w:r>
          </w:p>
        </w:tc>
        <w:tc>
          <w:tcPr>
            <w:tcW w:w="104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60,909</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59,201</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60,565</w:t>
            </w:r>
          </w:p>
        </w:tc>
        <w:tc>
          <w:tcPr>
            <w:tcW w:w="0" w:type="dxa"/>
            <w:vAlign w:val="bottom"/>
          </w:tcPr>
          <w:p>
            <w:pPr>
              <w:spacing w:after="0"/>
              <w:rPr>
                <w:sz w:val="1"/>
                <w:szCs w:val="1"/>
                <w:color w:val="auto"/>
              </w:rPr>
            </w:pPr>
          </w:p>
        </w:tc>
      </w:tr>
      <w:tr>
        <w:trPr>
          <w:trHeight w:val="207"/>
        </w:trPr>
        <w:tc>
          <w:tcPr>
            <w:tcW w:w="57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Total operating expenses</w:t>
            </w:r>
          </w:p>
        </w:tc>
        <w:tc>
          <w:tcPr>
            <w:tcW w:w="10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691,160</w:t>
            </w:r>
          </w:p>
        </w:tc>
        <w:tc>
          <w:tcPr>
            <w:tcW w:w="1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666,628</w:t>
            </w:r>
          </w:p>
        </w:tc>
        <w:tc>
          <w:tcPr>
            <w:tcW w:w="12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626,687</w:t>
            </w:r>
          </w:p>
        </w:tc>
        <w:tc>
          <w:tcPr>
            <w:tcW w:w="0" w:type="dxa"/>
            <w:vAlign w:val="bottom"/>
          </w:tcPr>
          <w:p>
            <w:pPr>
              <w:spacing w:after="0"/>
              <w:rPr>
                <w:sz w:val="1"/>
                <w:szCs w:val="1"/>
                <w:color w:val="auto"/>
              </w:rPr>
            </w:pPr>
          </w:p>
        </w:tc>
      </w:tr>
      <w:tr>
        <w:trPr>
          <w:trHeight w:val="209"/>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INCOME</w:t>
            </w:r>
          </w:p>
        </w:tc>
        <w:tc>
          <w:tcPr>
            <w:tcW w:w="10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321,833</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314,595</w:t>
            </w:r>
          </w:p>
        </w:tc>
        <w:tc>
          <w:tcPr>
            <w:tcW w:w="1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240,231</w:t>
            </w:r>
          </w:p>
        </w:tc>
        <w:tc>
          <w:tcPr>
            <w:tcW w:w="0" w:type="dxa"/>
            <w:vAlign w:val="bottom"/>
          </w:tcPr>
          <w:p>
            <w:pPr>
              <w:spacing w:after="0"/>
              <w:rPr>
                <w:sz w:val="1"/>
                <w:szCs w:val="1"/>
                <w:color w:val="auto"/>
              </w:rPr>
            </w:pPr>
          </w:p>
        </w:tc>
      </w:tr>
      <w:tr>
        <w:trPr>
          <w:trHeight w:val="199"/>
        </w:trPr>
        <w:tc>
          <w:tcPr>
            <w:tcW w:w="57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 (EXPENSE):</w:t>
            </w:r>
          </w:p>
        </w:tc>
        <w:tc>
          <w:tcPr>
            <w:tcW w:w="10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Interest expense, net</w:t>
            </w:r>
          </w:p>
        </w:tc>
        <w:tc>
          <w:tcPr>
            <w:tcW w:w="10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(49,029)</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(51,248)</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(53,806)</w:t>
            </w:r>
          </w:p>
        </w:tc>
        <w:tc>
          <w:tcPr>
            <w:tcW w:w="0" w:type="dxa"/>
            <w:vAlign w:val="bottom"/>
          </w:tcPr>
          <w:p>
            <w:pPr>
              <w:spacing w:after="0"/>
              <w:rPr>
                <w:sz w:val="1"/>
                <w:szCs w:val="1"/>
                <w:color w:val="auto"/>
              </w:rPr>
            </w:pPr>
          </w:p>
        </w:tc>
      </w:tr>
      <w:tr>
        <w:trPr>
          <w:trHeight w:val="219"/>
        </w:trPr>
        <w:tc>
          <w:tcPr>
            <w:tcW w:w="5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Equity in earnings of joint ventures</w:t>
            </w:r>
          </w:p>
        </w:tc>
        <w:tc>
          <w:tcPr>
            <w:tcW w:w="10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5,964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5,530</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5,125</w:t>
            </w:r>
          </w:p>
        </w:tc>
        <w:tc>
          <w:tcPr>
            <w:tcW w:w="0" w:type="dxa"/>
            <w:vAlign w:val="bottom"/>
          </w:tcPr>
          <w:p>
            <w:pPr>
              <w:spacing w:after="0"/>
              <w:rPr>
                <w:sz w:val="1"/>
                <w:szCs w:val="1"/>
                <w:color w:val="auto"/>
              </w:rPr>
            </w:pPr>
          </w:p>
        </w:tc>
      </w:tr>
      <w:tr>
        <w:trPr>
          <w:trHeight w:val="213"/>
        </w:trPr>
        <w:tc>
          <w:tcPr>
            <w:tcW w:w="57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net</w:t>
            </w:r>
          </w:p>
        </w:tc>
        <w:tc>
          <w:tcPr>
            <w:tcW w:w="10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4,831</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89,865</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14,218</w:t>
            </w:r>
          </w:p>
        </w:tc>
        <w:tc>
          <w:tcPr>
            <w:tcW w:w="0" w:type="dxa"/>
            <w:vAlign w:val="bottom"/>
          </w:tcPr>
          <w:p>
            <w:pPr>
              <w:spacing w:after="0"/>
              <w:rPr>
                <w:sz w:val="1"/>
                <w:szCs w:val="1"/>
                <w:color w:val="auto"/>
              </w:rPr>
            </w:pPr>
          </w:p>
        </w:tc>
      </w:tr>
      <w:tr>
        <w:trPr>
          <w:trHeight w:val="209"/>
        </w:trPr>
        <w:tc>
          <w:tcPr>
            <w:tcW w:w="57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 other (expense) income</w:t>
            </w:r>
          </w:p>
        </w:tc>
        <w:tc>
          <w:tcPr>
            <w:tcW w:w="10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(38,234)</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44,147</w:t>
            </w:r>
          </w:p>
        </w:tc>
        <w:tc>
          <w:tcPr>
            <w:tcW w:w="1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(34,463)</w:t>
            </w:r>
          </w:p>
        </w:tc>
        <w:tc>
          <w:tcPr>
            <w:tcW w:w="0" w:type="dxa"/>
            <w:vAlign w:val="bottom"/>
          </w:tcPr>
          <w:p>
            <w:pPr>
              <w:spacing w:after="0"/>
              <w:rPr>
                <w:sz w:val="1"/>
                <w:szCs w:val="1"/>
                <w:color w:val="auto"/>
              </w:rPr>
            </w:pPr>
          </w:p>
        </w:tc>
      </w:tr>
      <w:tr>
        <w:trPr>
          <w:trHeight w:val="199"/>
        </w:trPr>
        <w:tc>
          <w:tcPr>
            <w:tcW w:w="57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10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283,599</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358,742</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205,768</w:t>
            </w:r>
          </w:p>
        </w:tc>
        <w:tc>
          <w:tcPr>
            <w:tcW w:w="0" w:type="dxa"/>
            <w:vAlign w:val="bottom"/>
          </w:tcPr>
          <w:p>
            <w:pPr>
              <w:spacing w:after="0"/>
              <w:rPr>
                <w:sz w:val="1"/>
                <w:szCs w:val="1"/>
                <w:color w:val="auto"/>
              </w:rPr>
            </w:pPr>
          </w:p>
        </w:tc>
      </w:tr>
      <w:tr>
        <w:trPr>
          <w:trHeight w:val="213"/>
        </w:trPr>
        <w:tc>
          <w:tcPr>
            <w:tcW w:w="5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10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71,776</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91,652</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55,212</w:t>
            </w:r>
          </w:p>
        </w:tc>
        <w:tc>
          <w:tcPr>
            <w:tcW w:w="0" w:type="dxa"/>
            <w:vAlign w:val="bottom"/>
          </w:tcPr>
          <w:p>
            <w:pPr>
              <w:spacing w:after="0"/>
              <w:rPr>
                <w:sz w:val="1"/>
                <w:szCs w:val="1"/>
                <w:color w:val="auto"/>
              </w:rPr>
            </w:pPr>
          </w:p>
        </w:tc>
      </w:tr>
      <w:tr>
        <w:trPr>
          <w:trHeight w:val="237"/>
        </w:trPr>
        <w:tc>
          <w:tcPr>
            <w:tcW w:w="5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040" w:type="dxa"/>
            <w:vAlign w:val="bottom"/>
            <w:tcBorders>
              <w:bottom w:val="single" w:sz="8" w:color="auto"/>
            </w:tcBorders>
            <w:shd w:val="clear" w:color="auto" w:fill="CCEEFF"/>
          </w:tcPr>
          <w:p>
            <w:pPr>
              <w:jc w:val="right"/>
              <w:ind w:right="85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211,823</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267,090</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150,556</w:t>
            </w:r>
          </w:p>
        </w:tc>
        <w:tc>
          <w:tcPr>
            <w:tcW w:w="0" w:type="dxa"/>
            <w:vAlign w:val="bottom"/>
          </w:tcPr>
          <w:p>
            <w:pPr>
              <w:spacing w:after="0"/>
              <w:rPr>
                <w:sz w:val="1"/>
                <w:szCs w:val="1"/>
                <w:color w:val="auto"/>
              </w:rPr>
            </w:pP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7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(LOSS) INCOME, NET OF TAX:</w:t>
            </w:r>
          </w:p>
        </w:tc>
        <w:tc>
          <w:tcPr>
            <w:tcW w:w="10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574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Change in unrealized (loss) gain on cash flow hedges, net of income tax benefit</w:t>
            </w:r>
          </w:p>
        </w:tc>
        <w:tc>
          <w:tcPr>
            <w:tcW w:w="1040" w:type="dxa"/>
            <w:vAlign w:val="bottom"/>
            <w:vMerge w:val="restart"/>
          </w:tcPr>
          <w:p>
            <w:pPr>
              <w:jc w:val="right"/>
              <w:ind w:right="85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(3,931)</w:t>
            </w:r>
          </w:p>
        </w:tc>
        <w:tc>
          <w:tcPr>
            <w:tcW w:w="520" w:type="dxa"/>
            <w:vAlign w:val="bottom"/>
            <w:gridSpan w:val="2"/>
            <w:vMerge w:val="restart"/>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(6,181)</w:t>
            </w:r>
          </w:p>
        </w:tc>
        <w:tc>
          <w:tcPr>
            <w:tcW w:w="120" w:type="dxa"/>
            <w:vAlign w:val="bottom"/>
          </w:tcPr>
          <w:p>
            <w:pPr>
              <w:spacing w:after="0"/>
              <w:rPr>
                <w:sz w:val="14"/>
                <w:szCs w:val="14"/>
                <w:color w:val="auto"/>
              </w:rPr>
            </w:pPr>
          </w:p>
        </w:tc>
        <w:tc>
          <w:tcPr>
            <w:tcW w:w="400" w:type="dxa"/>
            <w:vAlign w:val="bottom"/>
            <w:vMerge w:val="restart"/>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21,610</w:t>
            </w:r>
          </w:p>
        </w:tc>
        <w:tc>
          <w:tcPr>
            <w:tcW w:w="0" w:type="dxa"/>
            <w:vAlign w:val="bottom"/>
          </w:tcPr>
          <w:p>
            <w:pPr>
              <w:spacing w:after="0"/>
              <w:rPr>
                <w:sz w:val="1"/>
                <w:szCs w:val="1"/>
                <w:color w:val="auto"/>
              </w:rPr>
            </w:pPr>
          </w:p>
        </w:tc>
      </w:tr>
      <w:tr>
        <w:trPr>
          <w:trHeight w:val="213"/>
        </w:trPr>
        <w:tc>
          <w:tcPr>
            <w:tcW w:w="5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(expense) of $1,284, $2,158 and $(7,259), respectively</w:t>
            </w:r>
          </w:p>
        </w:tc>
        <w:tc>
          <w:tcPr>
            <w:tcW w:w="1040" w:type="dxa"/>
            <w:vAlign w:val="bottom"/>
            <w:vMerge w:val="continue"/>
          </w:tcPr>
          <w:p>
            <w:pPr>
              <w:spacing w:after="0"/>
              <w:rPr>
                <w:sz w:val="18"/>
                <w:szCs w:val="18"/>
                <w:color w:val="auto"/>
              </w:rPr>
            </w:pPr>
          </w:p>
        </w:tc>
        <w:tc>
          <w:tcPr>
            <w:tcW w:w="720" w:type="dxa"/>
            <w:vAlign w:val="bottom"/>
            <w:vMerge w:val="continue"/>
          </w:tcPr>
          <w:p>
            <w:pPr>
              <w:spacing w:after="0"/>
              <w:rPr>
                <w:sz w:val="18"/>
                <w:szCs w:val="18"/>
                <w:color w:val="auto"/>
              </w:rPr>
            </w:pPr>
          </w:p>
        </w:tc>
        <w:tc>
          <w:tcPr>
            <w:tcW w:w="520" w:type="dxa"/>
            <w:vAlign w:val="bottom"/>
            <w:gridSpan w:val="2"/>
            <w:vMerge w:val="continue"/>
          </w:tcPr>
          <w:p>
            <w:pPr>
              <w:spacing w:after="0"/>
              <w:rPr>
                <w:sz w:val="18"/>
                <w:szCs w:val="18"/>
                <w:color w:val="auto"/>
              </w:rPr>
            </w:pPr>
          </w:p>
        </w:tc>
        <w:tc>
          <w:tcPr>
            <w:tcW w:w="13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vMerge w:val="continue"/>
          </w:tcPr>
          <w:p>
            <w:pPr>
              <w:spacing w:after="0"/>
              <w:rPr>
                <w:sz w:val="18"/>
                <w:szCs w:val="18"/>
                <w:color w:val="auto"/>
              </w:rPr>
            </w:pPr>
          </w:p>
        </w:tc>
        <w:tc>
          <w:tcPr>
            <w:tcW w:w="13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(LOSS) INCOME</w:t>
            </w:r>
          </w:p>
        </w:tc>
        <w:tc>
          <w:tcPr>
            <w:tcW w:w="104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(3,931)</w:t>
            </w:r>
          </w:p>
        </w:tc>
        <w:tc>
          <w:tcPr>
            <w:tcW w:w="1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(6,181)</w:t>
            </w:r>
          </w:p>
        </w:tc>
        <w:tc>
          <w:tcPr>
            <w:tcW w:w="1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21,610</w:t>
            </w:r>
          </w:p>
        </w:tc>
        <w:tc>
          <w:tcPr>
            <w:tcW w:w="0" w:type="dxa"/>
            <w:vAlign w:val="bottom"/>
          </w:tcPr>
          <w:p>
            <w:pPr>
              <w:spacing w:after="0"/>
              <w:rPr>
                <w:sz w:val="1"/>
                <w:szCs w:val="1"/>
                <w:color w:val="auto"/>
              </w:rPr>
            </w:pPr>
          </w:p>
        </w:tc>
      </w:tr>
      <w:tr>
        <w:trPr>
          <w:trHeight w:val="210"/>
        </w:trPr>
        <w:tc>
          <w:tcPr>
            <w:tcW w:w="5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COMPREHENSIVE INCOME</w:t>
            </w:r>
          </w:p>
        </w:tc>
        <w:tc>
          <w:tcPr>
            <w:tcW w:w="1040" w:type="dxa"/>
            <w:vAlign w:val="bottom"/>
            <w:tcBorders>
              <w:bottom w:val="single" w:sz="8" w:color="auto"/>
            </w:tcBorders>
          </w:tcPr>
          <w:p>
            <w:pPr>
              <w:jc w:val="right"/>
              <w:ind w:right="85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207,892</w:t>
            </w:r>
          </w:p>
        </w:tc>
        <w:tc>
          <w:tcPr>
            <w:tcW w:w="100" w:type="dxa"/>
            <w:vAlign w:val="bottom"/>
          </w:tcPr>
          <w:p>
            <w:pPr>
              <w:spacing w:after="0"/>
              <w:rPr>
                <w:sz w:val="18"/>
                <w:szCs w:val="18"/>
                <w:color w:val="auto"/>
              </w:rPr>
            </w:pPr>
          </w:p>
        </w:tc>
        <w:tc>
          <w:tcPr>
            <w:tcW w:w="4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260,909</w:t>
            </w:r>
          </w:p>
        </w:tc>
        <w:tc>
          <w:tcPr>
            <w:tcW w:w="120" w:type="dxa"/>
            <w:vAlign w:val="bottom"/>
          </w:tcPr>
          <w:p>
            <w:pPr>
              <w:spacing w:after="0"/>
              <w:rPr>
                <w:sz w:val="18"/>
                <w:szCs w:val="18"/>
                <w:color w:val="auto"/>
              </w:rPr>
            </w:pPr>
          </w:p>
        </w:tc>
        <w:tc>
          <w:tcPr>
            <w:tcW w:w="4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172,166</w:t>
            </w:r>
          </w:p>
        </w:tc>
        <w:tc>
          <w:tcPr>
            <w:tcW w:w="0" w:type="dxa"/>
            <w:vAlign w:val="bottom"/>
          </w:tcPr>
          <w:p>
            <w:pPr>
              <w:spacing w:after="0"/>
              <w:rPr>
                <w:sz w:val="1"/>
                <w:szCs w:val="1"/>
                <w:color w:val="auto"/>
              </w:rPr>
            </w:pPr>
          </w:p>
        </w:tc>
      </w:tr>
      <w:tr>
        <w:trPr>
          <w:trHeight w:val="20"/>
        </w:trPr>
        <w:tc>
          <w:tcPr>
            <w:tcW w:w="574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7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EARNINGS PER COMMON SHARE:</w:t>
            </w:r>
          </w:p>
        </w:tc>
        <w:tc>
          <w:tcPr>
            <w:tcW w:w="10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57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Earnings per share, basic</w:t>
            </w:r>
          </w:p>
        </w:tc>
        <w:tc>
          <w:tcPr>
            <w:tcW w:w="1040" w:type="dxa"/>
            <w:vAlign w:val="bottom"/>
            <w:tcBorders>
              <w:bottom w:val="single" w:sz="8" w:color="auto"/>
            </w:tcBorders>
            <w:shd w:val="clear" w:color="auto" w:fill="CCEEFF"/>
          </w:tcPr>
          <w:p>
            <w:pPr>
              <w:jc w:val="right"/>
              <w:ind w:right="85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0.83</w:t>
            </w: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Earnings per share, diluted</w:t>
            </w:r>
          </w:p>
        </w:tc>
        <w:tc>
          <w:tcPr>
            <w:tcW w:w="1040" w:type="dxa"/>
            <w:vAlign w:val="bottom"/>
            <w:tcBorders>
              <w:top w:val="single" w:sz="8" w:color="auto"/>
              <w:bottom w:val="single" w:sz="8" w:color="auto"/>
            </w:tcBorders>
          </w:tcPr>
          <w:p>
            <w:pPr>
              <w:jc w:val="right"/>
              <w:ind w:right="85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1.23</w:t>
            </w:r>
          </w:p>
        </w:tc>
        <w:tc>
          <w:tcPr>
            <w:tcW w:w="100" w:type="dxa"/>
            <w:vAlign w:val="bottom"/>
          </w:tcPr>
          <w:p>
            <w:pPr>
              <w:spacing w:after="0"/>
              <w:rPr>
                <w:sz w:val="16"/>
                <w:szCs w:val="16"/>
                <w:color w:val="auto"/>
              </w:rPr>
            </w:pPr>
          </w:p>
        </w:tc>
        <w:tc>
          <w:tcPr>
            <w:tcW w:w="420" w:type="dxa"/>
            <w:vAlign w:val="bottom"/>
            <w:tcBorders>
              <w:top w:val="single" w:sz="8" w:color="auto"/>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1.48</w:t>
            </w:r>
          </w:p>
        </w:tc>
        <w:tc>
          <w:tcPr>
            <w:tcW w:w="120" w:type="dxa"/>
            <w:vAlign w:val="bottom"/>
          </w:tcPr>
          <w:p>
            <w:pPr>
              <w:spacing w:after="0"/>
              <w:rPr>
                <w:sz w:val="16"/>
                <w:szCs w:val="16"/>
                <w:color w:val="auto"/>
              </w:rPr>
            </w:pPr>
          </w:p>
        </w:tc>
        <w:tc>
          <w:tcPr>
            <w:tcW w:w="400" w:type="dxa"/>
            <w:vAlign w:val="bottom"/>
            <w:tcBorders>
              <w:top w:val="single" w:sz="8" w:color="auto"/>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0.83</w:t>
            </w:r>
          </w:p>
        </w:tc>
        <w:tc>
          <w:tcPr>
            <w:tcW w:w="0" w:type="dxa"/>
            <w:vAlign w:val="bottom"/>
          </w:tcPr>
          <w:p>
            <w:pPr>
              <w:spacing w:after="0"/>
              <w:rPr>
                <w:sz w:val="1"/>
                <w:szCs w:val="1"/>
                <w:color w:val="auto"/>
              </w:rPr>
            </w:pPr>
          </w:p>
        </w:tc>
      </w:tr>
      <w:tr>
        <w:trPr>
          <w:trHeight w:val="20"/>
        </w:trPr>
        <w:tc>
          <w:tcPr>
            <w:tcW w:w="574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7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Weighted average common shares outstanding, basic</w:t>
            </w:r>
          </w:p>
        </w:tc>
        <w:tc>
          <w:tcPr>
            <w:tcW w:w="10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171,567</w:t>
            </w:r>
          </w:p>
        </w:tc>
        <w:tc>
          <w:tcPr>
            <w:tcW w:w="1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178,973</w:t>
            </w:r>
          </w:p>
        </w:tc>
        <w:tc>
          <w:tcPr>
            <w:tcW w:w="1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181,105</w:t>
            </w:r>
          </w:p>
        </w:tc>
        <w:tc>
          <w:tcPr>
            <w:tcW w:w="0" w:type="dxa"/>
            <w:vAlign w:val="bottom"/>
          </w:tcPr>
          <w:p>
            <w:pPr>
              <w:spacing w:after="0"/>
              <w:rPr>
                <w:sz w:val="1"/>
                <w:szCs w:val="1"/>
                <w:color w:val="auto"/>
              </w:rPr>
            </w:pPr>
          </w:p>
        </w:tc>
      </w:tr>
      <w:tr>
        <w:trPr>
          <w:trHeight w:val="20"/>
        </w:trPr>
        <w:tc>
          <w:tcPr>
            <w:tcW w:w="574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5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 average common shares outstanding, diluted</w:t>
            </w:r>
          </w:p>
        </w:tc>
        <w:tc>
          <w:tcPr>
            <w:tcW w:w="104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172,845</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180,375</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182,075</w:t>
            </w:r>
          </w:p>
        </w:tc>
        <w:tc>
          <w:tcPr>
            <w:tcW w:w="0" w:type="dxa"/>
            <w:vAlign w:val="bottom"/>
          </w:tcPr>
          <w:p>
            <w:pPr>
              <w:spacing w:after="0"/>
              <w:rPr>
                <w:sz w:val="1"/>
                <w:szCs w:val="1"/>
                <w:color w:val="auto"/>
              </w:rPr>
            </w:pP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accompanying notes to consolidated financial statements are an integral part of these statements.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OPTION CARE HEALTH,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9"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5720" w:type="dxa"/>
            <w:vAlign w:val="bottom"/>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4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r>
      <w:tr>
        <w:trPr>
          <w:trHeight w:val="211"/>
        </w:trPr>
        <w:tc>
          <w:tcPr>
            <w:tcW w:w="572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6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198"/>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10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r>
      <w:tr>
        <w:trPr>
          <w:trHeight w:val="213"/>
        </w:trPr>
        <w:tc>
          <w:tcPr>
            <w:tcW w:w="57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income</w:t>
            </w:r>
          </w:p>
        </w:tc>
        <w:tc>
          <w:tcPr>
            <w:tcW w:w="1080" w:type="dxa"/>
            <w:vAlign w:val="bottom"/>
          </w:tcPr>
          <w:p>
            <w:pPr>
              <w:jc w:val="right"/>
              <w:ind w:right="89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211,823</w:t>
            </w:r>
          </w:p>
        </w:tc>
        <w:tc>
          <w:tcPr>
            <w:tcW w:w="520" w:type="dxa"/>
            <w:vAlign w:val="bottom"/>
            <w:gridSpan w:val="2"/>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267,090</w:t>
            </w:r>
          </w:p>
        </w:tc>
        <w:tc>
          <w:tcPr>
            <w:tcW w:w="12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150,556</w:t>
            </w:r>
          </w:p>
        </w:tc>
      </w:tr>
      <w:tr>
        <w:trPr>
          <w:trHeight w:val="219"/>
        </w:trPr>
        <w:tc>
          <w:tcPr>
            <w:tcW w:w="5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operations:</w:t>
            </w: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13"/>
        </w:trPr>
        <w:tc>
          <w:tcPr>
            <w:tcW w:w="57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Depreciation and amortization expense</w:t>
            </w:r>
          </w:p>
        </w:tc>
        <w:tc>
          <w:tcPr>
            <w:tcW w:w="10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63,498</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62,200</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65,434</w:t>
            </w:r>
          </w:p>
        </w:tc>
      </w:tr>
      <w:tr>
        <w:trPr>
          <w:trHeight w:val="219"/>
        </w:trPr>
        <w:tc>
          <w:tcPr>
            <w:tcW w:w="5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Non-cash operating lease costs</w:t>
            </w: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22,581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18,533</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19,713</w:t>
            </w:r>
          </w:p>
        </w:tc>
      </w:tr>
      <w:tr>
        <w:trPr>
          <w:trHeight w:val="213"/>
        </w:trPr>
        <w:tc>
          <w:tcPr>
            <w:tcW w:w="57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Deferred income taxes - net</w:t>
            </w:r>
          </w:p>
        </w:tc>
        <w:tc>
          <w:tcPr>
            <w:tcW w:w="10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12,656</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12,766</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49,187</w:t>
            </w:r>
          </w:p>
        </w:tc>
      </w:tr>
      <w:tr>
        <w:trPr>
          <w:trHeight w:val="219"/>
        </w:trPr>
        <w:tc>
          <w:tcPr>
            <w:tcW w:w="5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Gain on sale of assets</w:t>
            </w: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(9,403)</w:t>
            </w:r>
          </w:p>
        </w:tc>
      </w:tr>
      <w:tr>
        <w:trPr>
          <w:trHeight w:val="213"/>
        </w:trPr>
        <w:tc>
          <w:tcPr>
            <w:tcW w:w="57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Loss on extinguishment of debt</w:t>
            </w:r>
          </w:p>
        </w:tc>
        <w:tc>
          <w:tcPr>
            <w:tcW w:w="10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377</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5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Amortization of deferred financing costs</w:t>
            </w: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4,628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4,446</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4,304</w:t>
            </w:r>
          </w:p>
        </w:tc>
      </w:tr>
      <w:tr>
        <w:trPr>
          <w:trHeight w:val="213"/>
        </w:trPr>
        <w:tc>
          <w:tcPr>
            <w:tcW w:w="57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Equity in earnings of joint ventures</w:t>
            </w:r>
          </w:p>
        </w:tc>
        <w:tc>
          <w:tcPr>
            <w:tcW w:w="10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(5,964)</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(5,530)</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(5,125)</w:t>
            </w:r>
          </w:p>
        </w:tc>
      </w:tr>
      <w:tr>
        <w:trPr>
          <w:trHeight w:val="219"/>
        </w:trPr>
        <w:tc>
          <w:tcPr>
            <w:tcW w:w="5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Stock-based incentive compensation expense</w:t>
            </w: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36,143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30,479</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16,783</w:t>
            </w:r>
          </w:p>
        </w:tc>
      </w:tr>
      <w:tr>
        <w:trPr>
          <w:trHeight w:val="213"/>
        </w:trPr>
        <w:tc>
          <w:tcPr>
            <w:tcW w:w="57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Distribution from equity method investments</w:t>
            </w:r>
          </w:p>
        </w:tc>
        <w:tc>
          <w:tcPr>
            <w:tcW w:w="10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2,400</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4,000</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5,875</w:t>
            </w:r>
          </w:p>
        </w:tc>
      </w:tr>
      <w:tr>
        <w:trPr>
          <w:trHeight w:val="219"/>
        </w:trPr>
        <w:tc>
          <w:tcPr>
            <w:tcW w:w="5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adjustments</w:t>
            </w: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(1,244)</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57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10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9"/>
        </w:trPr>
        <w:tc>
          <w:tcPr>
            <w:tcW w:w="5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Accounts receivable, net</w:t>
            </w: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(32,075)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(36,889)</w:t>
            </w:r>
          </w:p>
        </w:tc>
      </w:tr>
      <w:tr>
        <w:trPr>
          <w:trHeight w:val="213"/>
        </w:trPr>
        <w:tc>
          <w:tcPr>
            <w:tcW w:w="57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Inventories</w:t>
            </w:r>
          </w:p>
        </w:tc>
        <w:tc>
          <w:tcPr>
            <w:tcW w:w="10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(114,127)</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(51,000)</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(41,010)</w:t>
            </w:r>
          </w:p>
        </w:tc>
      </w:tr>
      <w:tr>
        <w:trPr>
          <w:trHeight w:val="219"/>
        </w:trPr>
        <w:tc>
          <w:tcPr>
            <w:tcW w:w="5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(15,601)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(6,290)</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(16,798)</w:t>
            </w:r>
          </w:p>
        </w:tc>
      </w:tr>
      <w:tr>
        <w:trPr>
          <w:trHeight w:val="213"/>
        </w:trPr>
        <w:tc>
          <w:tcPr>
            <w:tcW w:w="57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Accounts payable</w:t>
            </w:r>
          </w:p>
        </w:tc>
        <w:tc>
          <w:tcPr>
            <w:tcW w:w="10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183,395</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47,703</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98,885</w:t>
            </w:r>
          </w:p>
        </w:tc>
      </w:tr>
      <w:tr>
        <w:trPr>
          <w:trHeight w:val="219"/>
        </w:trPr>
        <w:tc>
          <w:tcPr>
            <w:tcW w:w="5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Accrued compensation and employee benefits</w:t>
            </w: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(29,480)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15,546</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(7,770)</w:t>
            </w:r>
          </w:p>
        </w:tc>
      </w:tr>
      <w:tr>
        <w:trPr>
          <w:trHeight w:val="213"/>
        </w:trPr>
        <w:tc>
          <w:tcPr>
            <w:tcW w:w="57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10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6,133</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(1,727)</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10,535</w:t>
            </w:r>
          </w:p>
        </w:tc>
      </w:tr>
      <w:tr>
        <w:trPr>
          <w:trHeight w:val="219"/>
        </w:trPr>
        <w:tc>
          <w:tcPr>
            <w:tcW w:w="5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(21,911)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(17,529)</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(21,395)</w:t>
            </w:r>
          </w:p>
        </w:tc>
      </w:tr>
      <w:tr>
        <w:trPr>
          <w:trHeight w:val="213"/>
        </w:trPr>
        <w:tc>
          <w:tcPr>
            <w:tcW w:w="57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Other noncurrent assets and liabilities</w:t>
            </w:r>
          </w:p>
        </w:tc>
        <w:tc>
          <w:tcPr>
            <w:tcW w:w="10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3,420</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(8,372)</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(15,335)</w:t>
            </w:r>
          </w:p>
        </w:tc>
      </w:tr>
      <w:tr>
        <w:trPr>
          <w:trHeight w:val="209"/>
        </w:trPr>
        <w:tc>
          <w:tcPr>
            <w:tcW w:w="57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10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323,392</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371,295</w:t>
            </w:r>
          </w:p>
        </w:tc>
        <w:tc>
          <w:tcPr>
            <w:tcW w:w="1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267,547</w:t>
            </w:r>
          </w:p>
        </w:tc>
      </w:tr>
      <w:tr>
        <w:trPr>
          <w:trHeight w:val="239"/>
        </w:trPr>
        <w:tc>
          <w:tcPr>
            <w:tcW w:w="57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16"/>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FLOWS FROM INVESTING ACTIVITIES:</w:t>
            </w:r>
          </w:p>
        </w:tc>
        <w:tc>
          <w:tcPr>
            <w:tcW w:w="10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13"/>
        </w:trPr>
        <w:tc>
          <w:tcPr>
            <w:tcW w:w="57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Acquisition of property and equipment</w:t>
            </w:r>
          </w:p>
        </w:tc>
        <w:tc>
          <w:tcPr>
            <w:tcW w:w="10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(35,606)</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(41,866)</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(35,358)</w:t>
            </w:r>
          </w:p>
        </w:tc>
      </w:tr>
      <w:tr>
        <w:trPr>
          <w:trHeight w:val="219"/>
        </w:trPr>
        <w:tc>
          <w:tcPr>
            <w:tcW w:w="5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Proceeds from sale of assets</w:t>
            </w: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3,743</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14,670</w:t>
            </w:r>
          </w:p>
        </w:tc>
      </w:tr>
      <w:tr>
        <w:trPr>
          <w:trHeight w:val="213"/>
        </w:trPr>
        <w:tc>
          <w:tcPr>
            <w:tcW w:w="57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Business acquisitions, net of cash acquired</w:t>
            </w:r>
          </w:p>
        </w:tc>
        <w:tc>
          <w:tcPr>
            <w:tcW w:w="10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(12,494)</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(87,364)</w:t>
            </w:r>
          </w:p>
        </w:tc>
      </w:tr>
      <w:tr>
        <w:trPr>
          <w:trHeight w:val="219"/>
        </w:trPr>
        <w:tc>
          <w:tcPr>
            <w:tcW w:w="5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investing activities</w:t>
            </w:r>
          </w:p>
        </w:tc>
        <w:tc>
          <w:tcPr>
            <w:tcW w:w="10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(864)</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(5,889)</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7"/>
        </w:trPr>
        <w:tc>
          <w:tcPr>
            <w:tcW w:w="572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10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(36,470)</w:t>
            </w:r>
          </w:p>
        </w:tc>
        <w:tc>
          <w:tcPr>
            <w:tcW w:w="1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(56,506)</w:t>
            </w:r>
          </w:p>
        </w:tc>
        <w:tc>
          <w:tcPr>
            <w:tcW w:w="12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(108,052)</w:t>
            </w:r>
          </w:p>
        </w:tc>
      </w:tr>
      <w:tr>
        <w:trPr>
          <w:trHeight w:val="239"/>
        </w:trPr>
        <w:tc>
          <w:tcPr>
            <w:tcW w:w="57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r>
      <w:tr>
        <w:trPr>
          <w:trHeight w:val="213"/>
        </w:trPr>
        <w:tc>
          <w:tcPr>
            <w:tcW w:w="5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FLOWS FROM FINANCING ACTIVITIES:</w:t>
            </w:r>
          </w:p>
        </w:tc>
        <w:tc>
          <w:tcPr>
            <w:tcW w:w="10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9"/>
        </w:trPr>
        <w:tc>
          <w:tcPr>
            <w:tcW w:w="5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Stock-based compensation tax withholdings</w:t>
            </w: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(12,382)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(3,115)</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352</w:t>
            </w:r>
          </w:p>
        </w:tc>
      </w:tr>
      <w:tr>
        <w:trPr>
          <w:trHeight w:val="213"/>
        </w:trPr>
        <w:tc>
          <w:tcPr>
            <w:tcW w:w="57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Purchase of company stock and related excise taxes</w:t>
            </w:r>
          </w:p>
        </w:tc>
        <w:tc>
          <w:tcPr>
            <w:tcW w:w="10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(252,726)</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(250,261)</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5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Proceeds from warrant exercises</w:t>
            </w: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20,916</w:t>
            </w:r>
          </w:p>
        </w:tc>
      </w:tr>
      <w:tr>
        <w:trPr>
          <w:trHeight w:val="213"/>
        </w:trPr>
        <w:tc>
          <w:tcPr>
            <w:tcW w:w="57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Proceeds from issuance of debt</w:t>
            </w:r>
          </w:p>
        </w:tc>
        <w:tc>
          <w:tcPr>
            <w:tcW w:w="10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49,959</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5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Repayments of debt principal</w:t>
            </w: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(6,384)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(6,000)</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(6,000)</w:t>
            </w:r>
          </w:p>
        </w:tc>
      </w:tr>
      <w:tr>
        <w:trPr>
          <w:trHeight w:val="213"/>
        </w:trPr>
        <w:tc>
          <w:tcPr>
            <w:tcW w:w="57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Deferred financing costs</w:t>
            </w:r>
          </w:p>
        </w:tc>
        <w:tc>
          <w:tcPr>
            <w:tcW w:w="10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5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financing activities</w:t>
            </w:r>
          </w:p>
        </w:tc>
        <w:tc>
          <w:tcPr>
            <w:tcW w:w="10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3,404</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(5,750)</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7"/>
        </w:trPr>
        <w:tc>
          <w:tcPr>
            <w:tcW w:w="572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6"/>
                <w:szCs w:val="16"/>
                <w:color w:val="auto"/>
              </w:rPr>
              <w:t>Net cash (used in) provided by financing activities</w:t>
            </w:r>
          </w:p>
        </w:tc>
        <w:tc>
          <w:tcPr>
            <w:tcW w:w="10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(218,206)</w:t>
            </w:r>
          </w:p>
        </w:tc>
        <w:tc>
          <w:tcPr>
            <w:tcW w:w="1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(265,126)</w:t>
            </w:r>
          </w:p>
        </w:tc>
        <w:tc>
          <w:tcPr>
            <w:tcW w:w="12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15,268</w:t>
            </w:r>
          </w:p>
        </w:tc>
      </w:tr>
      <w:tr>
        <w:trPr>
          <w:trHeight w:val="199"/>
        </w:trPr>
        <w:tc>
          <w:tcPr>
            <w:tcW w:w="57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r>
      <w:tr>
        <w:trPr>
          <w:trHeight w:val="213"/>
        </w:trPr>
        <w:tc>
          <w:tcPr>
            <w:tcW w:w="5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INCREASE IN CASH AND CASH EQUIVALENTS</w:t>
            </w:r>
          </w:p>
        </w:tc>
        <w:tc>
          <w:tcPr>
            <w:tcW w:w="10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68,716</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49,663</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174,763</w:t>
            </w:r>
          </w:p>
        </w:tc>
      </w:tr>
      <w:tr>
        <w:trPr>
          <w:trHeight w:val="219"/>
        </w:trPr>
        <w:tc>
          <w:tcPr>
            <w:tcW w:w="5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Cash and cash equivalents - beginning of the period</w:t>
            </w:r>
          </w:p>
        </w:tc>
        <w:tc>
          <w:tcPr>
            <w:tcW w:w="10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343,849</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294,186</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119,423</w:t>
            </w:r>
          </w:p>
        </w:tc>
      </w:tr>
      <w:tr>
        <w:trPr>
          <w:trHeight w:val="209"/>
        </w:trPr>
        <w:tc>
          <w:tcPr>
            <w:tcW w:w="5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AND CASH EQUIVALENTS - END OF PERIOD</w:t>
            </w:r>
          </w:p>
        </w:tc>
        <w:tc>
          <w:tcPr>
            <w:tcW w:w="1080" w:type="dxa"/>
            <w:vAlign w:val="bottom"/>
            <w:tcBorders>
              <w:bottom w:val="single" w:sz="8" w:color="auto"/>
            </w:tcBorders>
          </w:tcPr>
          <w:p>
            <w:pPr>
              <w:jc w:val="right"/>
              <w:ind w:right="89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412,565</w:t>
            </w:r>
          </w:p>
        </w:tc>
        <w:tc>
          <w:tcPr>
            <w:tcW w:w="100" w:type="dxa"/>
            <w:vAlign w:val="bottom"/>
          </w:tcPr>
          <w:p>
            <w:pPr>
              <w:spacing w:after="0"/>
              <w:rPr>
                <w:sz w:val="18"/>
                <w:szCs w:val="18"/>
                <w:color w:val="auto"/>
              </w:rPr>
            </w:pPr>
          </w:p>
        </w:tc>
        <w:tc>
          <w:tcPr>
            <w:tcW w:w="4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343,849</w:t>
            </w:r>
          </w:p>
        </w:tc>
        <w:tc>
          <w:tcPr>
            <w:tcW w:w="120" w:type="dxa"/>
            <w:vAlign w:val="bottom"/>
          </w:tcPr>
          <w:p>
            <w:pPr>
              <w:spacing w:after="0"/>
              <w:rPr>
                <w:sz w:val="18"/>
                <w:szCs w:val="18"/>
                <w:color w:val="auto"/>
              </w:rPr>
            </w:pPr>
          </w:p>
        </w:tc>
        <w:tc>
          <w:tcPr>
            <w:tcW w:w="4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294,186</w:t>
            </w:r>
          </w:p>
        </w:tc>
      </w:tr>
      <w:tr>
        <w:trPr>
          <w:trHeight w:val="20"/>
        </w:trPr>
        <w:tc>
          <w:tcPr>
            <w:tcW w:w="572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24"/>
        </w:trPr>
        <w:tc>
          <w:tcPr>
            <w:tcW w:w="57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13"/>
        </w:trPr>
        <w:tc>
          <w:tcPr>
            <w:tcW w:w="5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Supplemental disclosure of cash flows information:</w:t>
            </w:r>
          </w:p>
        </w:tc>
        <w:tc>
          <w:tcPr>
            <w:tcW w:w="10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9"/>
        </w:trPr>
        <w:tc>
          <w:tcPr>
            <w:tcW w:w="5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Cash paid for interest</w:t>
            </w:r>
          </w:p>
        </w:tc>
        <w:tc>
          <w:tcPr>
            <w:tcW w:w="1080" w:type="dxa"/>
            <w:vAlign w:val="bottom"/>
            <w:shd w:val="clear" w:color="auto" w:fill="CCEEFF"/>
          </w:tcPr>
          <w:p>
            <w:pPr>
              <w:jc w:val="right"/>
              <w:ind w:right="89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71,553</w:t>
            </w:r>
          </w:p>
        </w:tc>
        <w:tc>
          <w:tcPr>
            <w:tcW w:w="520" w:type="dxa"/>
            <w:vAlign w:val="bottom"/>
            <w:gridSpan w:val="2"/>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69,804</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50,372</w:t>
            </w:r>
          </w:p>
        </w:tc>
      </w:tr>
      <w:tr>
        <w:trPr>
          <w:trHeight w:val="213"/>
        </w:trPr>
        <w:tc>
          <w:tcPr>
            <w:tcW w:w="57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Cash paid for income taxes</w:t>
            </w:r>
          </w:p>
        </w:tc>
        <w:tc>
          <w:tcPr>
            <w:tcW w:w="1080" w:type="dxa"/>
            <w:vAlign w:val="bottom"/>
          </w:tcPr>
          <w:p>
            <w:pPr>
              <w:jc w:val="right"/>
              <w:ind w:right="89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64,522</w:t>
            </w:r>
          </w:p>
        </w:tc>
        <w:tc>
          <w:tcPr>
            <w:tcW w:w="520" w:type="dxa"/>
            <w:vAlign w:val="bottom"/>
            <w:gridSpan w:val="2"/>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75,241</w:t>
            </w:r>
          </w:p>
        </w:tc>
        <w:tc>
          <w:tcPr>
            <w:tcW w:w="12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13,438</w:t>
            </w:r>
          </w:p>
        </w:tc>
      </w:tr>
      <w:tr>
        <w:trPr>
          <w:trHeight w:val="219"/>
        </w:trPr>
        <w:tc>
          <w:tcPr>
            <w:tcW w:w="5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Cash paid for operating leases</w:t>
            </w:r>
          </w:p>
        </w:tc>
        <w:tc>
          <w:tcPr>
            <w:tcW w:w="1080" w:type="dxa"/>
            <w:vAlign w:val="bottom"/>
            <w:shd w:val="clear" w:color="auto" w:fill="CCEEFF"/>
          </w:tcPr>
          <w:p>
            <w:pPr>
              <w:jc w:val="right"/>
              <w:ind w:right="89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28,505</w:t>
            </w:r>
          </w:p>
        </w:tc>
        <w:tc>
          <w:tcPr>
            <w:tcW w:w="520" w:type="dxa"/>
            <w:vAlign w:val="bottom"/>
            <w:gridSpan w:val="2"/>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27,391</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25,311</w:t>
            </w: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accompanying notes to consolidated financial statements are an integral part of these statements.</w:t>
      </w:r>
    </w:p>
    <w:p>
      <w:pPr>
        <w:sectPr>
          <w:pgSz w:w="11900" w:h="16838" w:orient="portrait"/>
          <w:cols w:equalWidth="0" w:num="1">
            <w:col w:w="11220"/>
          </w:cols>
          <w:pgMar w:left="320" w:top="118" w:right="359" w:bottom="1440" w:gutter="0" w:footer="0" w:header="0"/>
        </w:sectPr>
      </w:pPr>
    </w:p>
    <w:p>
      <w:pPr>
        <w:spacing w:after="0" w:line="3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type w:val="continuous"/>
        </w:sectPr>
      </w:pPr>
    </w:p>
    <w:bookmarkStart w:id="48" w:name="page49"/>
    <w:bookmarkEnd w:id="4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OPTION CARE HEALTH,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90"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2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Accumulated</w:t>
            </w:r>
          </w:p>
        </w:tc>
        <w:tc>
          <w:tcPr>
            <w:tcW w:w="220" w:type="dxa"/>
            <w:vAlign w:val="bottom"/>
          </w:tcPr>
          <w:p>
            <w:pPr>
              <w:spacing w:after="0"/>
              <w:rPr>
                <w:sz w:val="16"/>
                <w:szCs w:val="16"/>
                <w:color w:val="auto"/>
              </w:rPr>
            </w:pPr>
          </w:p>
        </w:tc>
        <w:tc>
          <w:tcPr>
            <w:tcW w:w="900" w:type="dxa"/>
            <w:vAlign w:val="bottom"/>
            <w:vMerge w:val="restart"/>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0" w:type="dxa"/>
            <w:vAlign w:val="bottom"/>
          </w:tcPr>
          <w:p>
            <w:pPr>
              <w:spacing w:after="0"/>
              <w:rPr>
                <w:sz w:val="1"/>
                <w:szCs w:val="1"/>
                <w:color w:val="auto"/>
              </w:rPr>
            </w:pPr>
          </w:p>
        </w:tc>
      </w:tr>
      <w:tr>
        <w:trPr>
          <w:trHeight w:val="162"/>
        </w:trPr>
        <w:tc>
          <w:tcPr>
            <w:tcW w:w="2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Preferred</w:t>
            </w:r>
          </w:p>
        </w:tc>
        <w:tc>
          <w:tcPr>
            <w:tcW w:w="4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Retained</w:t>
            </w:r>
          </w:p>
        </w:tc>
        <w:tc>
          <w:tcPr>
            <w:tcW w:w="100" w:type="dxa"/>
            <w:vAlign w:val="bottom"/>
          </w:tcPr>
          <w:p>
            <w:pPr>
              <w:spacing w:after="0"/>
              <w:rPr>
                <w:sz w:val="14"/>
                <w:szCs w:val="14"/>
                <w:color w:val="auto"/>
              </w:rPr>
            </w:pPr>
          </w:p>
        </w:tc>
        <w:tc>
          <w:tcPr>
            <w:tcW w:w="1120" w:type="dxa"/>
            <w:vAlign w:val="bottom"/>
            <w:gridSpan w:val="2"/>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Other</w:t>
            </w:r>
          </w:p>
        </w:tc>
        <w:tc>
          <w:tcPr>
            <w:tcW w:w="22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22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20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Treasury Stock</w:t>
            </w:r>
          </w:p>
        </w:tc>
        <w:tc>
          <w:tcPr>
            <w:tcW w:w="122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Paid-in Capital</w:t>
            </w:r>
          </w:p>
        </w:tc>
        <w:tc>
          <w:tcPr>
            <w:tcW w:w="16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220" w:type="dxa"/>
            <w:vAlign w:val="bottom"/>
            <w:gridSpan w:val="3"/>
          </w:tcPr>
          <w:p>
            <w:pPr>
              <w:ind w:left="20"/>
              <w:spacing w:after="0" w:line="162" w:lineRule="exact"/>
              <w:rPr>
                <w:sz w:val="20"/>
                <w:szCs w:val="20"/>
                <w:color w:val="auto"/>
              </w:rPr>
            </w:pPr>
            <w:r>
              <w:rPr>
                <w:rFonts w:ascii="Times New Roman" w:cs="Times New Roman" w:eastAsia="Times New Roman" w:hAnsi="Times New Roman"/>
                <w:sz w:val="16"/>
                <w:szCs w:val="16"/>
                <w:b w:val="1"/>
                <w:bCs w:val="1"/>
                <w:color w:val="auto"/>
              </w:rPr>
              <w:t>Comprehensive</w:t>
            </w:r>
          </w:p>
        </w:tc>
        <w:tc>
          <w:tcPr>
            <w:tcW w:w="1120" w:type="dxa"/>
            <w:vAlign w:val="bottom"/>
            <w:gridSpan w:val="2"/>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Stockholders’</w:t>
            </w:r>
          </w:p>
        </w:tc>
        <w:tc>
          <w:tcPr>
            <w:tcW w:w="0" w:type="dxa"/>
            <w:vAlign w:val="bottom"/>
          </w:tcPr>
          <w:p>
            <w:pPr>
              <w:spacing w:after="0"/>
              <w:rPr>
                <w:sz w:val="1"/>
                <w:szCs w:val="1"/>
                <w:color w:val="auto"/>
              </w:rPr>
            </w:pPr>
          </w:p>
        </w:tc>
      </w:tr>
      <w:tr>
        <w:trPr>
          <w:trHeight w:val="214"/>
        </w:trPr>
        <w:tc>
          <w:tcPr>
            <w:tcW w:w="2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Stock</w:t>
            </w:r>
          </w:p>
        </w:tc>
        <w:tc>
          <w:tcPr>
            <w:tcW w:w="1220" w:type="dxa"/>
            <w:vAlign w:val="bottom"/>
            <w:gridSpan w:val="3"/>
            <w:vMerge w:val="continue"/>
          </w:tcPr>
          <w:p>
            <w:pPr>
              <w:spacing w:after="0"/>
              <w:rPr>
                <w:sz w:val="18"/>
                <w:szCs w:val="18"/>
                <w:color w:val="auto"/>
              </w:rPr>
            </w:pPr>
          </w:p>
        </w:tc>
        <w:tc>
          <w:tcPr>
            <w:tcW w:w="1200" w:type="dxa"/>
            <w:vAlign w:val="bottom"/>
            <w:gridSpan w:val="3"/>
            <w:vMerge w:val="continue"/>
          </w:tcPr>
          <w:p>
            <w:pPr>
              <w:spacing w:after="0"/>
              <w:rPr>
                <w:sz w:val="18"/>
                <w:szCs w:val="18"/>
                <w:color w:val="auto"/>
              </w:rPr>
            </w:pPr>
          </w:p>
        </w:tc>
        <w:tc>
          <w:tcPr>
            <w:tcW w:w="1220" w:type="dxa"/>
            <w:vAlign w:val="bottom"/>
            <w:gridSpan w:val="3"/>
            <w:vMerge w:val="continue"/>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122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Income (Loss)</w:t>
            </w:r>
          </w:p>
        </w:tc>
        <w:tc>
          <w:tcPr>
            <w:tcW w:w="220" w:type="dxa"/>
            <w:vAlign w:val="bottom"/>
          </w:tcPr>
          <w:p>
            <w:pPr>
              <w:spacing w:after="0"/>
              <w:rPr>
                <w:sz w:val="18"/>
                <w:szCs w:val="18"/>
                <w:color w:val="auto"/>
              </w:rPr>
            </w:pPr>
          </w:p>
        </w:tc>
        <w:tc>
          <w:tcPr>
            <w:tcW w:w="900" w:type="dxa"/>
            <w:vAlign w:val="bottom"/>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0" w:type="dxa"/>
            <w:vAlign w:val="bottom"/>
          </w:tcPr>
          <w:p>
            <w:pPr>
              <w:spacing w:after="0"/>
              <w:rPr>
                <w:sz w:val="1"/>
                <w:szCs w:val="1"/>
                <w:color w:val="auto"/>
              </w:rPr>
            </w:pPr>
          </w:p>
        </w:tc>
      </w:tr>
      <w:tr>
        <w:trPr>
          <w:trHeight w:val="211"/>
        </w:trPr>
        <w:tc>
          <w:tcPr>
            <w:tcW w:w="27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 December 31, 2021</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(2,403)</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1,138,855</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39,867</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(451)</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1,175,886</w:t>
            </w:r>
          </w:p>
        </w:tc>
        <w:tc>
          <w:tcPr>
            <w:tcW w:w="0" w:type="dxa"/>
            <w:vAlign w:val="bottom"/>
          </w:tcPr>
          <w:p>
            <w:pPr>
              <w:spacing w:after="0"/>
              <w:rPr>
                <w:sz w:val="1"/>
                <w:szCs w:val="1"/>
                <w:color w:val="auto"/>
              </w:rPr>
            </w:pPr>
          </w:p>
        </w:tc>
      </w:tr>
      <w:tr>
        <w:trPr>
          <w:trHeight w:val="213"/>
        </w:trPr>
        <w:tc>
          <w:tcPr>
            <w:tcW w:w="27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Stock-based incentive compensation</w:t>
            </w:r>
          </w:p>
        </w:tc>
        <w:tc>
          <w:tcPr>
            <w:tcW w:w="160" w:type="dxa"/>
            <w:vAlign w:val="bottom"/>
          </w:tcPr>
          <w:p>
            <w:pPr>
              <w:spacing w:after="0"/>
              <w:rPr>
                <w:sz w:val="18"/>
                <w:szCs w:val="18"/>
                <w:color w:val="auto"/>
              </w:rPr>
            </w:pPr>
          </w:p>
        </w:tc>
        <w:tc>
          <w:tcPr>
            <w:tcW w:w="1060" w:type="dxa"/>
            <w:vAlign w:val="bottom"/>
            <w:gridSpan w:val="2"/>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940" w:type="dxa"/>
            <w:vAlign w:val="bottom"/>
            <w:gridSpan w:val="2"/>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16,783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16,783</w:t>
            </w:r>
          </w:p>
        </w:tc>
        <w:tc>
          <w:tcPr>
            <w:tcW w:w="0" w:type="dxa"/>
            <w:vAlign w:val="bottom"/>
          </w:tcPr>
          <w:p>
            <w:pPr>
              <w:spacing w:after="0"/>
              <w:rPr>
                <w:sz w:val="1"/>
                <w:szCs w:val="1"/>
                <w:color w:val="auto"/>
              </w:rPr>
            </w:pPr>
          </w:p>
        </w:tc>
      </w:tr>
      <w:tr>
        <w:trPr>
          <w:trHeight w:val="165"/>
        </w:trPr>
        <w:tc>
          <w:tcPr>
            <w:tcW w:w="2760" w:type="dxa"/>
            <w:vAlign w:val="bottom"/>
            <w:shd w:val="clear" w:color="auto" w:fill="CCEEFF"/>
          </w:tcPr>
          <w:p>
            <w:pPr>
              <w:ind w:left="100"/>
              <w:spacing w:after="0" w:line="165" w:lineRule="exact"/>
              <w:rPr>
                <w:sz w:val="20"/>
                <w:szCs w:val="20"/>
                <w:color w:val="auto"/>
              </w:rPr>
            </w:pPr>
            <w:r>
              <w:rPr>
                <w:rFonts w:ascii="Times New Roman" w:cs="Times New Roman" w:eastAsia="Times New Roman" w:hAnsi="Times New Roman"/>
                <w:sz w:val="16"/>
                <w:szCs w:val="16"/>
                <w:color w:val="auto"/>
              </w:rPr>
              <w:t>Exercise of stock options, vesting of</w:t>
            </w:r>
          </w:p>
        </w:tc>
        <w:tc>
          <w:tcPr>
            <w:tcW w:w="1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60" w:type="dxa"/>
            <w:vAlign w:val="bottom"/>
            <w:shd w:val="clear" w:color="auto" w:fill="CCEEFF"/>
          </w:tcPr>
          <w:p>
            <w:pPr>
              <w:ind w:left="100"/>
              <w:spacing w:after="0" w:line="162" w:lineRule="exact"/>
              <w:rPr>
                <w:sz w:val="20"/>
                <w:szCs w:val="20"/>
                <w:color w:val="auto"/>
              </w:rPr>
            </w:pPr>
            <w:r>
              <w:rPr>
                <w:rFonts w:ascii="Times New Roman" w:cs="Times New Roman" w:eastAsia="Times New Roman" w:hAnsi="Times New Roman"/>
                <w:sz w:val="16"/>
                <w:szCs w:val="16"/>
                <w:color w:val="auto"/>
              </w:rPr>
              <w:t>restricted stock, and related tax</w:t>
            </w:r>
          </w:p>
        </w:tc>
        <w:tc>
          <w:tcPr>
            <w:tcW w:w="160" w:type="dxa"/>
            <w:vAlign w:val="bottom"/>
            <w:shd w:val="clear" w:color="auto" w:fill="CCEEFF"/>
          </w:tcPr>
          <w:p>
            <w:pPr>
              <w:spacing w:after="0"/>
              <w:rPr>
                <w:sz w:val="14"/>
                <w:szCs w:val="14"/>
                <w:color w:val="auto"/>
              </w:rPr>
            </w:pPr>
          </w:p>
        </w:tc>
        <w:tc>
          <w:tcPr>
            <w:tcW w:w="1060" w:type="dxa"/>
            <w:vAlign w:val="bottom"/>
            <w:gridSpan w:val="2"/>
            <w:vMerge w:val="restart"/>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shd w:val="clear" w:color="auto" w:fill="CCEEFF"/>
          </w:tcPr>
          <w:p>
            <w:pPr>
              <w:spacing w:after="0"/>
              <w:rPr>
                <w:sz w:val="14"/>
                <w:szCs w:val="14"/>
                <w:color w:val="auto"/>
              </w:rPr>
            </w:pPr>
          </w:p>
        </w:tc>
        <w:tc>
          <w:tcPr>
            <w:tcW w:w="7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4"/>
                <w:szCs w:val="14"/>
                <w:color w:val="auto"/>
              </w:rPr>
            </w:pPr>
          </w:p>
        </w:tc>
        <w:tc>
          <w:tcPr>
            <w:tcW w:w="940" w:type="dxa"/>
            <w:vAlign w:val="bottom"/>
            <w:gridSpan w:val="2"/>
            <w:vMerge w:val="restart"/>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352</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11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352</w:t>
            </w:r>
          </w:p>
        </w:tc>
        <w:tc>
          <w:tcPr>
            <w:tcW w:w="0" w:type="dxa"/>
            <w:vAlign w:val="bottom"/>
          </w:tcPr>
          <w:p>
            <w:pPr>
              <w:spacing w:after="0"/>
              <w:rPr>
                <w:sz w:val="1"/>
                <w:szCs w:val="1"/>
                <w:color w:val="auto"/>
              </w:rPr>
            </w:pPr>
          </w:p>
        </w:tc>
      </w:tr>
      <w:tr>
        <w:trPr>
          <w:trHeight w:val="216"/>
        </w:trPr>
        <w:tc>
          <w:tcPr>
            <w:tcW w:w="27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withholdings</w:t>
            </w:r>
          </w:p>
        </w:tc>
        <w:tc>
          <w:tcPr>
            <w:tcW w:w="160" w:type="dxa"/>
            <w:vAlign w:val="bottom"/>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40" w:type="dxa"/>
            <w:vAlign w:val="bottom"/>
            <w:gridSpan w:val="2"/>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7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Exercise of warrants</w:t>
            </w:r>
          </w:p>
        </w:tc>
        <w:tc>
          <w:tcPr>
            <w:tcW w:w="160" w:type="dxa"/>
            <w:vAlign w:val="bottom"/>
          </w:tcPr>
          <w:p>
            <w:pPr>
              <w:spacing w:after="0"/>
              <w:rPr>
                <w:sz w:val="18"/>
                <w:szCs w:val="18"/>
                <w:color w:val="auto"/>
              </w:rPr>
            </w:pPr>
          </w:p>
        </w:tc>
        <w:tc>
          <w:tcPr>
            <w:tcW w:w="1060" w:type="dxa"/>
            <w:vAlign w:val="bottom"/>
            <w:gridSpan w:val="2"/>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940" w:type="dxa"/>
            <w:vAlign w:val="bottom"/>
            <w:gridSpan w:val="2"/>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20,916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20,916</w:t>
            </w:r>
          </w:p>
        </w:tc>
        <w:tc>
          <w:tcPr>
            <w:tcW w:w="0" w:type="dxa"/>
            <w:vAlign w:val="bottom"/>
          </w:tcPr>
          <w:p>
            <w:pPr>
              <w:spacing w:after="0"/>
              <w:rPr>
                <w:sz w:val="1"/>
                <w:szCs w:val="1"/>
                <w:color w:val="auto"/>
              </w:rPr>
            </w:pPr>
          </w:p>
        </w:tc>
      </w:tr>
      <w:tr>
        <w:trPr>
          <w:trHeight w:val="219"/>
        </w:trPr>
        <w:tc>
          <w:tcPr>
            <w:tcW w:w="27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Net income</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150,556</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150,556</w:t>
            </w:r>
          </w:p>
        </w:tc>
        <w:tc>
          <w:tcPr>
            <w:tcW w:w="0" w:type="dxa"/>
            <w:vAlign w:val="bottom"/>
          </w:tcPr>
          <w:p>
            <w:pPr>
              <w:spacing w:after="0"/>
              <w:rPr>
                <w:sz w:val="1"/>
                <w:szCs w:val="1"/>
                <w:color w:val="auto"/>
              </w:rPr>
            </w:pPr>
          </w:p>
        </w:tc>
      </w:tr>
      <w:tr>
        <w:trPr>
          <w:trHeight w:val="213"/>
        </w:trPr>
        <w:tc>
          <w:tcPr>
            <w:tcW w:w="27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160" w:type="dxa"/>
            <w:vAlign w:val="bottom"/>
          </w:tcPr>
          <w:p>
            <w:pPr>
              <w:spacing w:after="0"/>
              <w:rPr>
                <w:sz w:val="18"/>
                <w:szCs w:val="18"/>
                <w:color w:val="auto"/>
              </w:rPr>
            </w:pPr>
          </w:p>
        </w:tc>
        <w:tc>
          <w:tcPr>
            <w:tcW w:w="1060" w:type="dxa"/>
            <w:vAlign w:val="bottom"/>
            <w:gridSpan w:val="2"/>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940" w:type="dxa"/>
            <w:vAlign w:val="bottom"/>
            <w:gridSpan w:val="2"/>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21,610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21,610</w:t>
            </w:r>
          </w:p>
        </w:tc>
        <w:tc>
          <w:tcPr>
            <w:tcW w:w="0" w:type="dxa"/>
            <w:vAlign w:val="bottom"/>
          </w:tcPr>
          <w:p>
            <w:pPr>
              <w:spacing w:after="0"/>
              <w:rPr>
                <w:sz w:val="1"/>
                <w:szCs w:val="1"/>
                <w:color w:val="auto"/>
              </w:rPr>
            </w:pPr>
          </w:p>
        </w:tc>
      </w:tr>
      <w:tr>
        <w:trPr>
          <w:trHeight w:val="212"/>
        </w:trPr>
        <w:tc>
          <w:tcPr>
            <w:tcW w:w="27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 December 31, 2022</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(2,403)</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1,176,906</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190,423</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21,159</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1,386,103</w:t>
            </w:r>
          </w:p>
        </w:tc>
        <w:tc>
          <w:tcPr>
            <w:tcW w:w="0" w:type="dxa"/>
            <w:vAlign w:val="bottom"/>
          </w:tcPr>
          <w:p>
            <w:pPr>
              <w:spacing w:after="0"/>
              <w:rPr>
                <w:sz w:val="1"/>
                <w:szCs w:val="1"/>
                <w:color w:val="auto"/>
              </w:rPr>
            </w:pPr>
          </w:p>
        </w:tc>
      </w:tr>
      <w:tr>
        <w:trPr>
          <w:trHeight w:val="213"/>
        </w:trPr>
        <w:tc>
          <w:tcPr>
            <w:tcW w:w="27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Stock-based incentive compensation</w:t>
            </w:r>
          </w:p>
        </w:tc>
        <w:tc>
          <w:tcPr>
            <w:tcW w:w="160" w:type="dxa"/>
            <w:vAlign w:val="bottom"/>
          </w:tcPr>
          <w:p>
            <w:pPr>
              <w:spacing w:after="0"/>
              <w:rPr>
                <w:sz w:val="18"/>
                <w:szCs w:val="18"/>
                <w:color w:val="auto"/>
              </w:rPr>
            </w:pPr>
          </w:p>
        </w:tc>
        <w:tc>
          <w:tcPr>
            <w:tcW w:w="1060" w:type="dxa"/>
            <w:vAlign w:val="bottom"/>
            <w:gridSpan w:val="2"/>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940" w:type="dxa"/>
            <w:vAlign w:val="bottom"/>
            <w:gridSpan w:val="2"/>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30,479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30,479</w:t>
            </w:r>
          </w:p>
        </w:tc>
        <w:tc>
          <w:tcPr>
            <w:tcW w:w="0" w:type="dxa"/>
            <w:vAlign w:val="bottom"/>
          </w:tcPr>
          <w:p>
            <w:pPr>
              <w:spacing w:after="0"/>
              <w:rPr>
                <w:sz w:val="1"/>
                <w:szCs w:val="1"/>
                <w:color w:val="auto"/>
              </w:rPr>
            </w:pPr>
          </w:p>
        </w:tc>
      </w:tr>
      <w:tr>
        <w:trPr>
          <w:trHeight w:val="165"/>
        </w:trPr>
        <w:tc>
          <w:tcPr>
            <w:tcW w:w="2760" w:type="dxa"/>
            <w:vAlign w:val="bottom"/>
            <w:shd w:val="clear" w:color="auto" w:fill="CCEEFF"/>
          </w:tcPr>
          <w:p>
            <w:pPr>
              <w:ind w:left="100"/>
              <w:spacing w:after="0" w:line="165" w:lineRule="exact"/>
              <w:rPr>
                <w:sz w:val="20"/>
                <w:szCs w:val="20"/>
                <w:color w:val="auto"/>
              </w:rPr>
            </w:pPr>
            <w:r>
              <w:rPr>
                <w:rFonts w:ascii="Times New Roman" w:cs="Times New Roman" w:eastAsia="Times New Roman" w:hAnsi="Times New Roman"/>
                <w:sz w:val="16"/>
                <w:szCs w:val="16"/>
                <w:color w:val="auto"/>
              </w:rPr>
              <w:t>Exercise of stock options, vesting of</w:t>
            </w:r>
          </w:p>
        </w:tc>
        <w:tc>
          <w:tcPr>
            <w:tcW w:w="1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60" w:type="dxa"/>
            <w:vAlign w:val="bottom"/>
            <w:shd w:val="clear" w:color="auto" w:fill="CCEEFF"/>
          </w:tcPr>
          <w:p>
            <w:pPr>
              <w:ind w:left="100"/>
              <w:spacing w:after="0" w:line="162" w:lineRule="exact"/>
              <w:rPr>
                <w:sz w:val="20"/>
                <w:szCs w:val="20"/>
                <w:color w:val="auto"/>
              </w:rPr>
            </w:pPr>
            <w:r>
              <w:rPr>
                <w:rFonts w:ascii="Times New Roman" w:cs="Times New Roman" w:eastAsia="Times New Roman" w:hAnsi="Times New Roman"/>
                <w:sz w:val="16"/>
                <w:szCs w:val="16"/>
                <w:color w:val="auto"/>
              </w:rPr>
              <w:t>restricted stock, and related tax</w:t>
            </w:r>
          </w:p>
        </w:tc>
        <w:tc>
          <w:tcPr>
            <w:tcW w:w="160" w:type="dxa"/>
            <w:vAlign w:val="bottom"/>
            <w:shd w:val="clear" w:color="auto" w:fill="CCEEFF"/>
          </w:tcPr>
          <w:p>
            <w:pPr>
              <w:spacing w:after="0"/>
              <w:rPr>
                <w:sz w:val="14"/>
                <w:szCs w:val="14"/>
                <w:color w:val="auto"/>
              </w:rPr>
            </w:pPr>
          </w:p>
        </w:tc>
        <w:tc>
          <w:tcPr>
            <w:tcW w:w="1060" w:type="dxa"/>
            <w:vAlign w:val="bottom"/>
            <w:gridSpan w:val="2"/>
            <w:vMerge w:val="restart"/>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shd w:val="clear" w:color="auto" w:fill="CCEEFF"/>
          </w:tcPr>
          <w:p>
            <w:pPr>
              <w:spacing w:after="0"/>
              <w:rPr>
                <w:sz w:val="14"/>
                <w:szCs w:val="14"/>
                <w:color w:val="auto"/>
              </w:rPr>
            </w:pPr>
          </w:p>
        </w:tc>
        <w:tc>
          <w:tcPr>
            <w:tcW w:w="7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4"/>
                <w:szCs w:val="14"/>
                <w:color w:val="auto"/>
              </w:rPr>
            </w:pPr>
          </w:p>
        </w:tc>
        <w:tc>
          <w:tcPr>
            <w:tcW w:w="940" w:type="dxa"/>
            <w:vAlign w:val="bottom"/>
            <w:gridSpan w:val="2"/>
            <w:vMerge w:val="restart"/>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(3,115)</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11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(3,115)</w:t>
            </w:r>
          </w:p>
        </w:tc>
        <w:tc>
          <w:tcPr>
            <w:tcW w:w="0" w:type="dxa"/>
            <w:vAlign w:val="bottom"/>
          </w:tcPr>
          <w:p>
            <w:pPr>
              <w:spacing w:after="0"/>
              <w:rPr>
                <w:sz w:val="1"/>
                <w:szCs w:val="1"/>
                <w:color w:val="auto"/>
              </w:rPr>
            </w:pPr>
          </w:p>
        </w:tc>
      </w:tr>
      <w:tr>
        <w:trPr>
          <w:trHeight w:val="216"/>
        </w:trPr>
        <w:tc>
          <w:tcPr>
            <w:tcW w:w="27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withholdings</w:t>
            </w:r>
          </w:p>
        </w:tc>
        <w:tc>
          <w:tcPr>
            <w:tcW w:w="160" w:type="dxa"/>
            <w:vAlign w:val="bottom"/>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40" w:type="dxa"/>
            <w:vAlign w:val="bottom"/>
            <w:gridSpan w:val="2"/>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760" w:type="dxa"/>
            <w:vAlign w:val="bottom"/>
          </w:tcPr>
          <w:p>
            <w:pPr>
              <w:ind w:left="100"/>
              <w:spacing w:after="0" w:line="162" w:lineRule="exact"/>
              <w:rPr>
                <w:sz w:val="20"/>
                <w:szCs w:val="20"/>
                <w:color w:val="auto"/>
              </w:rPr>
            </w:pPr>
            <w:r>
              <w:rPr>
                <w:rFonts w:ascii="Times New Roman" w:cs="Times New Roman" w:eastAsia="Times New Roman" w:hAnsi="Times New Roman"/>
                <w:sz w:val="16"/>
                <w:szCs w:val="16"/>
                <w:color w:val="auto"/>
              </w:rPr>
              <w:t>Purchase of company stock, and related</w:t>
            </w:r>
          </w:p>
        </w:tc>
        <w:tc>
          <w:tcPr>
            <w:tcW w:w="160" w:type="dxa"/>
            <w:vAlign w:val="bottom"/>
          </w:tcPr>
          <w:p>
            <w:pPr>
              <w:spacing w:after="0"/>
              <w:rPr>
                <w:sz w:val="14"/>
                <w:szCs w:val="14"/>
                <w:color w:val="auto"/>
              </w:rPr>
            </w:pPr>
          </w:p>
        </w:tc>
        <w:tc>
          <w:tcPr>
            <w:tcW w:w="1060" w:type="dxa"/>
            <w:vAlign w:val="bottom"/>
            <w:gridSpan w:val="2"/>
            <w:vMerge w:val="restart"/>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14"/>
                <w:szCs w:val="14"/>
                <w:color w:val="auto"/>
              </w:rPr>
            </w:pPr>
          </w:p>
        </w:tc>
        <w:tc>
          <w:tcPr>
            <w:tcW w:w="7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(252,704)</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10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11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(252,704)</w:t>
            </w:r>
          </w:p>
        </w:tc>
        <w:tc>
          <w:tcPr>
            <w:tcW w:w="0" w:type="dxa"/>
            <w:vAlign w:val="bottom"/>
          </w:tcPr>
          <w:p>
            <w:pPr>
              <w:spacing w:after="0"/>
              <w:rPr>
                <w:sz w:val="1"/>
                <w:szCs w:val="1"/>
                <w:color w:val="auto"/>
              </w:rPr>
            </w:pPr>
          </w:p>
        </w:tc>
      </w:tr>
      <w:tr>
        <w:trPr>
          <w:trHeight w:val="213"/>
        </w:trPr>
        <w:tc>
          <w:tcPr>
            <w:tcW w:w="27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tax effects</w:t>
            </w:r>
          </w:p>
        </w:tc>
        <w:tc>
          <w:tcPr>
            <w:tcW w:w="16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480" w:type="dxa"/>
            <w:vAlign w:val="bottom"/>
          </w:tcPr>
          <w:p>
            <w:pPr>
              <w:spacing w:after="0"/>
              <w:rPr>
                <w:sz w:val="18"/>
                <w:szCs w:val="18"/>
                <w:color w:val="auto"/>
              </w:rPr>
            </w:pPr>
          </w:p>
        </w:tc>
        <w:tc>
          <w:tcPr>
            <w:tcW w:w="74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7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Net income</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267,090</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267,090</w:t>
            </w:r>
          </w:p>
        </w:tc>
        <w:tc>
          <w:tcPr>
            <w:tcW w:w="0" w:type="dxa"/>
            <w:vAlign w:val="bottom"/>
          </w:tcPr>
          <w:p>
            <w:pPr>
              <w:spacing w:after="0"/>
              <w:rPr>
                <w:sz w:val="1"/>
                <w:szCs w:val="1"/>
                <w:color w:val="auto"/>
              </w:rPr>
            </w:pPr>
          </w:p>
        </w:tc>
      </w:tr>
      <w:tr>
        <w:trPr>
          <w:trHeight w:val="213"/>
        </w:trPr>
        <w:tc>
          <w:tcPr>
            <w:tcW w:w="27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Other comprehensive loss</w:t>
            </w:r>
          </w:p>
        </w:tc>
        <w:tc>
          <w:tcPr>
            <w:tcW w:w="160" w:type="dxa"/>
            <w:vAlign w:val="bottom"/>
          </w:tcPr>
          <w:p>
            <w:pPr>
              <w:spacing w:after="0"/>
              <w:rPr>
                <w:sz w:val="18"/>
                <w:szCs w:val="18"/>
                <w:color w:val="auto"/>
              </w:rPr>
            </w:pPr>
          </w:p>
        </w:tc>
        <w:tc>
          <w:tcPr>
            <w:tcW w:w="1060" w:type="dxa"/>
            <w:vAlign w:val="bottom"/>
            <w:gridSpan w:val="2"/>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940" w:type="dxa"/>
            <w:vAlign w:val="bottom"/>
            <w:gridSpan w:val="2"/>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(6,181)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(6,181)</w:t>
            </w:r>
          </w:p>
        </w:tc>
        <w:tc>
          <w:tcPr>
            <w:tcW w:w="0" w:type="dxa"/>
            <w:vAlign w:val="bottom"/>
          </w:tcPr>
          <w:p>
            <w:pPr>
              <w:spacing w:after="0"/>
              <w:rPr>
                <w:sz w:val="1"/>
                <w:szCs w:val="1"/>
                <w:color w:val="auto"/>
              </w:rPr>
            </w:pPr>
          </w:p>
        </w:tc>
      </w:tr>
      <w:tr>
        <w:trPr>
          <w:trHeight w:val="212"/>
        </w:trPr>
        <w:tc>
          <w:tcPr>
            <w:tcW w:w="27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 December 31, 2023</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(255,107)</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1,204,270</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457,513</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14,978</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1,421,672</w:t>
            </w:r>
          </w:p>
        </w:tc>
        <w:tc>
          <w:tcPr>
            <w:tcW w:w="0" w:type="dxa"/>
            <w:vAlign w:val="bottom"/>
          </w:tcPr>
          <w:p>
            <w:pPr>
              <w:spacing w:after="0"/>
              <w:rPr>
                <w:sz w:val="1"/>
                <w:szCs w:val="1"/>
                <w:color w:val="auto"/>
              </w:rPr>
            </w:pPr>
          </w:p>
        </w:tc>
      </w:tr>
      <w:tr>
        <w:trPr>
          <w:trHeight w:val="213"/>
        </w:trPr>
        <w:tc>
          <w:tcPr>
            <w:tcW w:w="27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Stock-based incentive compensation</w:t>
            </w:r>
          </w:p>
        </w:tc>
        <w:tc>
          <w:tcPr>
            <w:tcW w:w="160" w:type="dxa"/>
            <w:vAlign w:val="bottom"/>
          </w:tcPr>
          <w:p>
            <w:pPr>
              <w:spacing w:after="0"/>
              <w:rPr>
                <w:sz w:val="18"/>
                <w:szCs w:val="18"/>
                <w:color w:val="auto"/>
              </w:rPr>
            </w:pPr>
          </w:p>
        </w:tc>
        <w:tc>
          <w:tcPr>
            <w:tcW w:w="1060" w:type="dxa"/>
            <w:vAlign w:val="bottom"/>
            <w:gridSpan w:val="2"/>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940" w:type="dxa"/>
            <w:vAlign w:val="bottom"/>
            <w:gridSpan w:val="2"/>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36,143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36,143</w:t>
            </w:r>
          </w:p>
        </w:tc>
        <w:tc>
          <w:tcPr>
            <w:tcW w:w="0" w:type="dxa"/>
            <w:vAlign w:val="bottom"/>
          </w:tcPr>
          <w:p>
            <w:pPr>
              <w:spacing w:after="0"/>
              <w:rPr>
                <w:sz w:val="1"/>
                <w:szCs w:val="1"/>
                <w:color w:val="auto"/>
              </w:rPr>
            </w:pPr>
          </w:p>
        </w:tc>
      </w:tr>
      <w:tr>
        <w:trPr>
          <w:trHeight w:val="165"/>
        </w:trPr>
        <w:tc>
          <w:tcPr>
            <w:tcW w:w="2760" w:type="dxa"/>
            <w:vAlign w:val="bottom"/>
            <w:shd w:val="clear" w:color="auto" w:fill="CCEEFF"/>
          </w:tcPr>
          <w:p>
            <w:pPr>
              <w:ind w:left="100"/>
              <w:spacing w:after="0" w:line="165" w:lineRule="exact"/>
              <w:rPr>
                <w:sz w:val="20"/>
                <w:szCs w:val="20"/>
                <w:color w:val="auto"/>
              </w:rPr>
            </w:pPr>
            <w:r>
              <w:rPr>
                <w:rFonts w:ascii="Times New Roman" w:cs="Times New Roman" w:eastAsia="Times New Roman" w:hAnsi="Times New Roman"/>
                <w:sz w:val="16"/>
                <w:szCs w:val="16"/>
                <w:color w:val="auto"/>
              </w:rPr>
              <w:t>Exercise of stock options, vesting of</w:t>
            </w:r>
          </w:p>
        </w:tc>
        <w:tc>
          <w:tcPr>
            <w:tcW w:w="1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60" w:type="dxa"/>
            <w:vAlign w:val="bottom"/>
            <w:shd w:val="clear" w:color="auto" w:fill="CCEEFF"/>
          </w:tcPr>
          <w:p>
            <w:pPr>
              <w:ind w:left="100"/>
              <w:spacing w:after="0" w:line="162" w:lineRule="exact"/>
              <w:rPr>
                <w:sz w:val="20"/>
                <w:szCs w:val="20"/>
                <w:color w:val="auto"/>
              </w:rPr>
            </w:pPr>
            <w:r>
              <w:rPr>
                <w:rFonts w:ascii="Times New Roman" w:cs="Times New Roman" w:eastAsia="Times New Roman" w:hAnsi="Times New Roman"/>
                <w:sz w:val="16"/>
                <w:szCs w:val="16"/>
                <w:color w:val="auto"/>
              </w:rPr>
              <w:t>restricted stock, and related tax</w:t>
            </w:r>
          </w:p>
        </w:tc>
        <w:tc>
          <w:tcPr>
            <w:tcW w:w="160" w:type="dxa"/>
            <w:vAlign w:val="bottom"/>
            <w:shd w:val="clear" w:color="auto" w:fill="CCEEFF"/>
          </w:tcPr>
          <w:p>
            <w:pPr>
              <w:spacing w:after="0"/>
              <w:rPr>
                <w:sz w:val="14"/>
                <w:szCs w:val="14"/>
                <w:color w:val="auto"/>
              </w:rPr>
            </w:pPr>
          </w:p>
        </w:tc>
        <w:tc>
          <w:tcPr>
            <w:tcW w:w="1060" w:type="dxa"/>
            <w:vAlign w:val="bottom"/>
            <w:gridSpan w:val="2"/>
            <w:vMerge w:val="restart"/>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shd w:val="clear" w:color="auto" w:fill="CCEEFF"/>
          </w:tcPr>
          <w:p>
            <w:pPr>
              <w:spacing w:after="0"/>
              <w:rPr>
                <w:sz w:val="14"/>
                <w:szCs w:val="14"/>
                <w:color w:val="auto"/>
              </w:rPr>
            </w:pPr>
          </w:p>
        </w:tc>
        <w:tc>
          <w:tcPr>
            <w:tcW w:w="7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4"/>
                <w:szCs w:val="14"/>
                <w:color w:val="auto"/>
              </w:rPr>
            </w:pPr>
          </w:p>
        </w:tc>
        <w:tc>
          <w:tcPr>
            <w:tcW w:w="940" w:type="dxa"/>
            <w:vAlign w:val="bottom"/>
            <w:gridSpan w:val="2"/>
            <w:vMerge w:val="restart"/>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(8,978)</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11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(8,978)</w:t>
            </w:r>
          </w:p>
        </w:tc>
        <w:tc>
          <w:tcPr>
            <w:tcW w:w="0" w:type="dxa"/>
            <w:vAlign w:val="bottom"/>
          </w:tcPr>
          <w:p>
            <w:pPr>
              <w:spacing w:after="0"/>
              <w:rPr>
                <w:sz w:val="1"/>
                <w:szCs w:val="1"/>
                <w:color w:val="auto"/>
              </w:rPr>
            </w:pPr>
          </w:p>
        </w:tc>
      </w:tr>
      <w:tr>
        <w:trPr>
          <w:trHeight w:val="216"/>
        </w:trPr>
        <w:tc>
          <w:tcPr>
            <w:tcW w:w="27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withholdings</w:t>
            </w:r>
          </w:p>
        </w:tc>
        <w:tc>
          <w:tcPr>
            <w:tcW w:w="160" w:type="dxa"/>
            <w:vAlign w:val="bottom"/>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40" w:type="dxa"/>
            <w:vAlign w:val="bottom"/>
            <w:gridSpan w:val="2"/>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760" w:type="dxa"/>
            <w:vAlign w:val="bottom"/>
          </w:tcPr>
          <w:p>
            <w:pPr>
              <w:ind w:left="100"/>
              <w:spacing w:after="0" w:line="162" w:lineRule="exact"/>
              <w:rPr>
                <w:sz w:val="20"/>
                <w:szCs w:val="20"/>
                <w:color w:val="auto"/>
              </w:rPr>
            </w:pPr>
            <w:r>
              <w:rPr>
                <w:rFonts w:ascii="Times New Roman" w:cs="Times New Roman" w:eastAsia="Times New Roman" w:hAnsi="Times New Roman"/>
                <w:sz w:val="16"/>
                <w:szCs w:val="16"/>
                <w:color w:val="auto"/>
              </w:rPr>
              <w:t>Purchase of company stock, and related</w:t>
            </w:r>
          </w:p>
        </w:tc>
        <w:tc>
          <w:tcPr>
            <w:tcW w:w="160" w:type="dxa"/>
            <w:vAlign w:val="bottom"/>
          </w:tcPr>
          <w:p>
            <w:pPr>
              <w:spacing w:after="0"/>
              <w:rPr>
                <w:sz w:val="14"/>
                <w:szCs w:val="14"/>
                <w:color w:val="auto"/>
              </w:rPr>
            </w:pPr>
          </w:p>
        </w:tc>
        <w:tc>
          <w:tcPr>
            <w:tcW w:w="1060" w:type="dxa"/>
            <w:vAlign w:val="bottom"/>
            <w:gridSpan w:val="2"/>
            <w:vMerge w:val="restart"/>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14"/>
                <w:szCs w:val="14"/>
                <w:color w:val="auto"/>
              </w:rPr>
            </w:pPr>
          </w:p>
        </w:tc>
        <w:tc>
          <w:tcPr>
            <w:tcW w:w="7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(252,491)</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10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11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(252,491)</w:t>
            </w:r>
          </w:p>
        </w:tc>
        <w:tc>
          <w:tcPr>
            <w:tcW w:w="0" w:type="dxa"/>
            <w:vAlign w:val="bottom"/>
          </w:tcPr>
          <w:p>
            <w:pPr>
              <w:spacing w:after="0"/>
              <w:rPr>
                <w:sz w:val="1"/>
                <w:szCs w:val="1"/>
                <w:color w:val="auto"/>
              </w:rPr>
            </w:pPr>
          </w:p>
        </w:tc>
      </w:tr>
      <w:tr>
        <w:trPr>
          <w:trHeight w:val="213"/>
        </w:trPr>
        <w:tc>
          <w:tcPr>
            <w:tcW w:w="27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tax effects</w:t>
            </w:r>
          </w:p>
        </w:tc>
        <w:tc>
          <w:tcPr>
            <w:tcW w:w="16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480" w:type="dxa"/>
            <w:vAlign w:val="bottom"/>
          </w:tcPr>
          <w:p>
            <w:pPr>
              <w:spacing w:after="0"/>
              <w:rPr>
                <w:sz w:val="18"/>
                <w:szCs w:val="18"/>
                <w:color w:val="auto"/>
              </w:rPr>
            </w:pPr>
          </w:p>
        </w:tc>
        <w:tc>
          <w:tcPr>
            <w:tcW w:w="74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7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Net income</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211,823</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211,823</w:t>
            </w:r>
          </w:p>
        </w:tc>
        <w:tc>
          <w:tcPr>
            <w:tcW w:w="0" w:type="dxa"/>
            <w:vAlign w:val="bottom"/>
          </w:tcPr>
          <w:p>
            <w:pPr>
              <w:spacing w:after="0"/>
              <w:rPr>
                <w:sz w:val="1"/>
                <w:szCs w:val="1"/>
                <w:color w:val="auto"/>
              </w:rPr>
            </w:pPr>
          </w:p>
        </w:tc>
      </w:tr>
      <w:tr>
        <w:trPr>
          <w:trHeight w:val="213"/>
        </w:trPr>
        <w:tc>
          <w:tcPr>
            <w:tcW w:w="27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Other comprehensive loss</w:t>
            </w:r>
          </w:p>
        </w:tc>
        <w:tc>
          <w:tcPr>
            <w:tcW w:w="160" w:type="dxa"/>
            <w:vAlign w:val="bottom"/>
          </w:tcPr>
          <w:p>
            <w:pPr>
              <w:spacing w:after="0"/>
              <w:rPr>
                <w:sz w:val="18"/>
                <w:szCs w:val="18"/>
                <w:color w:val="auto"/>
              </w:rPr>
            </w:pPr>
          </w:p>
        </w:tc>
        <w:tc>
          <w:tcPr>
            <w:tcW w:w="1060" w:type="dxa"/>
            <w:vAlign w:val="bottom"/>
            <w:gridSpan w:val="2"/>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940" w:type="dxa"/>
            <w:vAlign w:val="bottom"/>
            <w:gridSpan w:val="2"/>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(3,931)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(3,931)</w:t>
            </w:r>
          </w:p>
        </w:tc>
        <w:tc>
          <w:tcPr>
            <w:tcW w:w="0" w:type="dxa"/>
            <w:vAlign w:val="bottom"/>
          </w:tcPr>
          <w:p>
            <w:pPr>
              <w:spacing w:after="0"/>
              <w:rPr>
                <w:sz w:val="1"/>
                <w:szCs w:val="1"/>
                <w:color w:val="auto"/>
              </w:rPr>
            </w:pPr>
          </w:p>
        </w:tc>
      </w:tr>
      <w:tr>
        <w:trPr>
          <w:trHeight w:val="237"/>
        </w:trPr>
        <w:tc>
          <w:tcPr>
            <w:tcW w:w="27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 December 31, 2024</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4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(507,598)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1,231,435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669,336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11,047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1,404,238</w:t>
            </w:r>
          </w:p>
        </w:tc>
        <w:tc>
          <w:tcPr>
            <w:tcW w:w="0" w:type="dxa"/>
            <w:vAlign w:val="bottom"/>
          </w:tcPr>
          <w:p>
            <w:pPr>
              <w:spacing w:after="0"/>
              <w:rPr>
                <w:sz w:val="1"/>
                <w:szCs w:val="1"/>
                <w:color w:val="auto"/>
              </w:rPr>
            </w:pPr>
          </w:p>
        </w:tc>
      </w:tr>
      <w:tr>
        <w:trPr>
          <w:trHeight w:val="20"/>
        </w:trPr>
        <w:tc>
          <w:tcPr>
            <w:tcW w:w="27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accompanying notes to consolidated financial statements are an integral part of these statements.</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OPTION CARE HEALTH,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NATURE OF OPERATIONS AND PRESENTATION OF FINANCIAL STATEMENTS</w:t>
      </w:r>
    </w:p>
    <w:p>
      <w:pPr>
        <w:spacing w:after="0" w:line="198" w:lineRule="exact"/>
        <w:rPr>
          <w:sz w:val="20"/>
          <w:szCs w:val="20"/>
          <w:color w:val="auto"/>
        </w:rPr>
      </w:pPr>
    </w:p>
    <w:p>
      <w:pPr>
        <w:ind w:right="140" w:firstLine="324"/>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Corporate Organization and Business </w:t>
      </w:r>
      <w:r>
        <w:rPr>
          <w:rFonts w:ascii="Times New Roman" w:cs="Times New Roman" w:eastAsia="Times New Roman" w:hAnsi="Times New Roman"/>
          <w:sz w:val="18"/>
          <w:szCs w:val="18"/>
          <w:color w:val="auto"/>
        </w:rPr>
        <w:t>— The Company’s stock is listed on the Nasdaq Global Select Market as of December 31, 2024. During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year ended December 31, 2023, HC Group Holdings I, LLC. (“HC I”), a former affiliated shareholder, completed sales of 23,771,926 shares of its Option Care common stock which resulted in the full divestment by HC 1 at that time. In addition, the Company repurchased 2,475,166 shares from HC I on March 3, 2023 under the Company’s share repurchase program. See Note 16, </w:t>
      </w:r>
      <w:r>
        <w:rPr>
          <w:rFonts w:ascii="Times New Roman" w:cs="Times New Roman" w:eastAsia="Times New Roman" w:hAnsi="Times New Roman"/>
          <w:sz w:val="18"/>
          <w:szCs w:val="18"/>
          <w:i w:val="1"/>
          <w:iCs w:val="1"/>
          <w:color w:val="auto"/>
        </w:rPr>
        <w:t>Stockholders’ Equity</w:t>
      </w:r>
      <w:r>
        <w:rPr>
          <w:rFonts w:ascii="Times New Roman" w:cs="Times New Roman" w:eastAsia="Times New Roman" w:hAnsi="Times New Roman"/>
          <w:sz w:val="18"/>
          <w:szCs w:val="18"/>
          <w:color w:val="auto"/>
        </w:rPr>
        <w:t>, for further discussion of the Company’s share repurchase program.</w:t>
      </w:r>
    </w:p>
    <w:p>
      <w:pPr>
        <w:spacing w:after="0" w:line="143"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Option Care Health, and its wholly-owned subsidiaries, provides infusion therapy and other ancillary healthcare services through a national network of 92 full service pharmacies and 93 stand-alone ambulatory infusion sites. The Company contracts with managed care organizations, third-party payers, hospitals, physicians, and other referral sources to provide pharmaceuticals and complex compounded solutions to patients for intravenous delivery in the patients’ homes or other nonhospital settings. The Company operates in one segment, infusion services.</w:t>
      </w:r>
    </w:p>
    <w:p>
      <w:pPr>
        <w:spacing w:after="0" w:line="135" w:lineRule="exact"/>
        <w:rPr>
          <w:sz w:val="20"/>
          <w:szCs w:val="20"/>
          <w:color w:val="auto"/>
        </w:rPr>
      </w:pPr>
    </w:p>
    <w:p>
      <w:pPr>
        <w:ind w:right="120" w:firstLine="324"/>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Basis of Presentation </w:t>
      </w:r>
      <w:r>
        <w:rPr>
          <w:rFonts w:ascii="Times New Roman" w:cs="Times New Roman" w:eastAsia="Times New Roman" w:hAnsi="Times New Roman"/>
          <w:sz w:val="18"/>
          <w:szCs w:val="18"/>
          <w:color w:val="auto"/>
        </w:rPr>
        <w:t>— The accompanying consolidated financial statements have been prepared in conformity with generally accepted accounting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principles (“GAAP”) in the United States. GAAP requires management to make certain estimates and assumptions in determining assets, liabilities, revenue, expenses, and related disclosures. Actual amounts could differ materially from those estimates.</w:t>
      </w:r>
    </w:p>
    <w:p>
      <w:pPr>
        <w:spacing w:after="0" w:line="144" w:lineRule="exact"/>
        <w:rPr>
          <w:sz w:val="20"/>
          <w:szCs w:val="20"/>
          <w:color w:val="auto"/>
        </w:rPr>
      </w:pPr>
    </w:p>
    <w:p>
      <w:pPr>
        <w:ind w:right="900"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Principles of Consolidation </w:t>
      </w:r>
      <w:r>
        <w:rPr>
          <w:rFonts w:ascii="Times New Roman" w:cs="Times New Roman" w:eastAsia="Times New Roman" w:hAnsi="Times New Roman"/>
          <w:sz w:val="18"/>
          <w:szCs w:val="18"/>
          <w:color w:val="auto"/>
        </w:rPr>
        <w:t>— The Company’s consolidated financial statements include the accounts of Option Care Health, Inc. and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subsidiaries. All intercompany transactions and balances are eliminated in consolidation.</w:t>
      </w:r>
    </w:p>
    <w:p>
      <w:pPr>
        <w:spacing w:after="0" w:line="118" w:lineRule="exact"/>
        <w:rPr>
          <w:sz w:val="20"/>
          <w:szCs w:val="20"/>
          <w:color w:val="auto"/>
        </w:rPr>
      </w:pPr>
    </w:p>
    <w:p>
      <w:pPr>
        <w:ind w:right="520" w:firstLine="324"/>
        <w:spacing w:after="0" w:line="261" w:lineRule="auto"/>
        <w:rPr>
          <w:sz w:val="20"/>
          <w:szCs w:val="20"/>
          <w:color w:val="auto"/>
        </w:rPr>
      </w:pPr>
      <w:r>
        <w:rPr>
          <w:rFonts w:ascii="Times New Roman" w:cs="Times New Roman" w:eastAsia="Times New Roman" w:hAnsi="Times New Roman"/>
          <w:sz w:val="18"/>
          <w:szCs w:val="18"/>
          <w:color w:val="auto"/>
        </w:rPr>
        <w:t xml:space="preserve">The Company has investments in companies that are 50% owned and are accounted for as equity-method investments. The Company’s share of earnings from equity-method investments is included in the line entitled “Equity in earnings of joint ventures” in the consolidated statements of comprehensive income. See “Equity-Method Investments” within Note 2,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for further discussion of the Company’s equity-method investments.</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198" w:lineRule="exact"/>
        <w:rPr>
          <w:sz w:val="20"/>
          <w:szCs w:val="20"/>
          <w:color w:val="auto"/>
        </w:rPr>
      </w:pPr>
    </w:p>
    <w:p>
      <w:pPr>
        <w:ind w:right="420"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Cash and Cash Equivalents </w:t>
      </w:r>
      <w:r>
        <w:rPr>
          <w:rFonts w:ascii="Times New Roman" w:cs="Times New Roman" w:eastAsia="Times New Roman" w:hAnsi="Times New Roman"/>
          <w:sz w:val="18"/>
          <w:szCs w:val="18"/>
          <w:color w:val="auto"/>
        </w:rPr>
        <w:t>— The Company considers all highly liquid investments with original maturities of three months or less to be cash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equivalents. As of December 31, 2024 and 2023, cash equivalents consisted of money market funds.</w:t>
      </w:r>
    </w:p>
    <w:p>
      <w:pPr>
        <w:spacing w:after="0" w:line="114" w:lineRule="exact"/>
        <w:rPr>
          <w:sz w:val="20"/>
          <w:szCs w:val="20"/>
          <w:color w:val="auto"/>
        </w:rPr>
      </w:pPr>
    </w:p>
    <w:p>
      <w:pPr>
        <w:jc w:val="both"/>
        <w:ind w:right="560" w:firstLine="324"/>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Accounts Receivable </w:t>
      </w:r>
      <w:r>
        <w:rPr>
          <w:rFonts w:ascii="Times New Roman" w:cs="Times New Roman" w:eastAsia="Times New Roman" w:hAnsi="Times New Roman"/>
          <w:sz w:val="18"/>
          <w:szCs w:val="18"/>
          <w:color w:val="auto"/>
        </w:rPr>
        <w:t>— The Company’s accounts receivable are reported at the net realizable value amount that reflects the consideration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expects to receive in exchange for providing services, which is inclusive of adjustments for price concessions. The majority of accounts receivable are due from private insurance carriers and governmental healthcare programs, such as Medicare and Medicaid.</w:t>
      </w:r>
    </w:p>
    <w:p>
      <w:pPr>
        <w:spacing w:after="0" w:line="134" w:lineRule="exact"/>
        <w:rPr>
          <w:sz w:val="20"/>
          <w:szCs w:val="20"/>
          <w:color w:val="auto"/>
        </w:rPr>
      </w:pPr>
    </w:p>
    <w:p>
      <w:pPr>
        <w:ind w:right="160" w:firstLine="324"/>
        <w:spacing w:after="0" w:line="256" w:lineRule="auto"/>
        <w:rPr>
          <w:sz w:val="20"/>
          <w:szCs w:val="20"/>
          <w:color w:val="auto"/>
        </w:rPr>
      </w:pPr>
      <w:r>
        <w:rPr>
          <w:rFonts w:ascii="Times New Roman" w:cs="Times New Roman" w:eastAsia="Times New Roman" w:hAnsi="Times New Roman"/>
          <w:sz w:val="18"/>
          <w:szCs w:val="18"/>
          <w:color w:val="auto"/>
        </w:rPr>
        <w:t xml:space="preserve">Price concessions may result from patient hardships, patient uncollectible accounts sent to collection agencies, lack of recovery due to not receiving prior authorization, differing interpretations of covered therapies in payer contracts, different pricing methodologies, or various other reasons. In accordance with Financial Accounting Standards Board (“FASB”) Accounting Standards Codification (“ASC”) Topic 606, </w:t>
      </w:r>
      <w:r>
        <w:rPr>
          <w:rFonts w:ascii="Times New Roman" w:cs="Times New Roman" w:eastAsia="Times New Roman" w:hAnsi="Times New Roman"/>
          <w:sz w:val="18"/>
          <w:szCs w:val="18"/>
          <w:i w:val="1"/>
          <w:iCs w:val="1"/>
          <w:color w:val="auto"/>
        </w:rPr>
        <w:t>Revenue from Contracts with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Customers </w:t>
      </w:r>
      <w:r>
        <w:rPr>
          <w:rFonts w:ascii="Times New Roman" w:cs="Times New Roman" w:eastAsia="Times New Roman" w:hAnsi="Times New Roman"/>
          <w:sz w:val="18"/>
          <w:szCs w:val="18"/>
          <w:color w:val="auto"/>
        </w:rPr>
        <w:t>(“ASC 606”), an allowance for doubtful accounts is established only as a result of an adverse change in the Company’s payers’ ability to pay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outstanding billings. In addition, the company assesses if there have been any changes to historical credit losses to determine if an allowance for credit losses is needed. The Company had an immaterial allowance for doubtful accounts and credit losses as of December 31, 2024 and 2023.</w:t>
      </w:r>
    </w:p>
    <w:p>
      <w:pPr>
        <w:spacing w:after="0" w:line="160"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Included in accounts receivable are earned but unbilled gross receivables of $105.3 million and $89.1 million as of December 31, 2024 and 2023, respectively. Delays ranging from one day up to several weeks between the date of service and billing can occur due to delays in obtaining certain required payer-specific documentation from internal and external sources.</w:t>
      </w:r>
    </w:p>
    <w:p>
      <w:pPr>
        <w:spacing w:after="0" w:line="13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i w:val="1"/>
          <w:iCs w:val="1"/>
          <w:color w:val="auto"/>
        </w:rPr>
        <w:t>Revenue Recognition</w:t>
      </w:r>
      <w:r>
        <w:rPr>
          <w:rFonts w:ascii="Times New Roman" w:cs="Times New Roman" w:eastAsia="Times New Roman" w:hAnsi="Times New Roman"/>
          <w:sz w:val="18"/>
          <w:szCs w:val="18"/>
          <w:color w:val="auto"/>
        </w:rPr>
        <w:t xml:space="preserve"> for a further discussion of the Company’s revenue recognition policy.</w:t>
      </w:r>
    </w:p>
    <w:p>
      <w:pPr>
        <w:spacing w:after="0" w:line="146" w:lineRule="exact"/>
        <w:rPr>
          <w:sz w:val="20"/>
          <w:szCs w:val="20"/>
          <w:color w:val="auto"/>
        </w:rPr>
      </w:pPr>
    </w:p>
    <w:p>
      <w:pPr>
        <w:ind w:right="280" w:firstLine="324"/>
        <w:spacing w:after="0" w:line="245" w:lineRule="exact"/>
        <w:rPr>
          <w:sz w:val="20"/>
          <w:szCs w:val="20"/>
          <w:color w:val="auto"/>
        </w:rPr>
      </w:pPr>
      <w:r>
        <w:rPr>
          <w:rFonts w:ascii="Times New Roman" w:cs="Times New Roman" w:eastAsia="Times New Roman" w:hAnsi="Times New Roman"/>
          <w:sz w:val="18"/>
          <w:szCs w:val="18"/>
          <w:b w:val="1"/>
          <w:bCs w:val="1"/>
          <w:color w:val="auto"/>
        </w:rPr>
        <w:t xml:space="preserve">Inventories </w:t>
      </w:r>
      <w:r>
        <w:rPr>
          <w:rFonts w:ascii="Times New Roman" w:cs="Times New Roman" w:eastAsia="Times New Roman" w:hAnsi="Times New Roman"/>
          <w:sz w:val="18"/>
          <w:szCs w:val="18"/>
          <w:color w:val="auto"/>
        </w:rPr>
        <w:t>— Inventories, which consist primarily of pharmaceuticals, is stated at the lower of first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in, first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out cost or net realizable value basis,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which the Company believes is reflective of the physical flow of inventories.</w:t>
      </w:r>
    </w:p>
    <w:p>
      <w:pPr>
        <w:spacing w:after="0" w:line="168" w:lineRule="exact"/>
        <w:rPr>
          <w:sz w:val="20"/>
          <w:szCs w:val="20"/>
          <w:color w:val="auto"/>
        </w:rPr>
      </w:pPr>
    </w:p>
    <w:p>
      <w:pPr>
        <w:ind w:right="180"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Prepaid Expenses and Other Current Assets </w:t>
      </w:r>
      <w:r>
        <w:rPr>
          <w:rFonts w:ascii="Times New Roman" w:cs="Times New Roman" w:eastAsia="Times New Roman" w:hAnsi="Times New Roman"/>
          <w:sz w:val="18"/>
          <w:szCs w:val="18"/>
          <w:color w:val="auto"/>
        </w:rPr>
        <w:t>— Included in prepaid expenses and other current assets are rebates receivable from pharmaceutical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medical supply manufacturers of $54.4 million and $52.0 million for the years ended December 31, 2024 and 2023, respectively.</w:t>
      </w:r>
    </w:p>
    <w:p>
      <w:pPr>
        <w:spacing w:after="0" w:line="114" w:lineRule="exact"/>
        <w:rPr>
          <w:sz w:val="20"/>
          <w:szCs w:val="20"/>
          <w:color w:val="auto"/>
        </w:rPr>
      </w:pPr>
    </w:p>
    <w:p>
      <w:pPr>
        <w:ind w:firstLine="324"/>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Leases </w:t>
      </w:r>
      <w:r>
        <w:rPr>
          <w:rFonts w:ascii="Times New Roman" w:cs="Times New Roman" w:eastAsia="Times New Roman" w:hAnsi="Times New Roman"/>
          <w:sz w:val="18"/>
          <w:szCs w:val="18"/>
          <w:color w:val="auto"/>
        </w:rPr>
        <w:t>— The Company has lease agreements for facilities, warehouses, office space and property and equipment. At the inception of a contract,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determines if the contract is a lease or contains an embedded lease arrangement. Operating leases are included in the operating lease right-of-use asset (“ROU asset”) and operating lease liabilities in the consolidated financial statements.</w:t>
      </w:r>
    </w:p>
    <w:p>
      <w:pPr>
        <w:spacing w:after="0" w:line="134" w:lineRule="exact"/>
        <w:rPr>
          <w:sz w:val="20"/>
          <w:szCs w:val="20"/>
          <w:color w:val="auto"/>
        </w:rPr>
      </w:pPr>
    </w:p>
    <w:p>
      <w:pPr>
        <w:ind w:right="60" w:firstLine="324"/>
        <w:spacing w:after="0" w:line="272" w:lineRule="auto"/>
        <w:rPr>
          <w:sz w:val="20"/>
          <w:szCs w:val="20"/>
          <w:color w:val="auto"/>
        </w:rPr>
      </w:pPr>
      <w:r>
        <w:rPr>
          <w:rFonts w:ascii="Times New Roman" w:cs="Times New Roman" w:eastAsia="Times New Roman" w:hAnsi="Times New Roman"/>
          <w:sz w:val="17"/>
          <w:szCs w:val="17"/>
          <w:color w:val="auto"/>
        </w:rPr>
        <w:t>ROU assets, which represent the Company’s right to use the leased assets, and operating lease liabilities, which represent the present value of unpaid lease payments, are both recognized by the Company at the lease commencement date. The Company utilizes its estimated incremental borrowing rate at the lease commencement date to determine the present value of unpaid lease obligations. The rates are estimated primarily using a methodology dependent on the Company’s financial condition, creditworthiness, and availability of certain observable data. In particular, the Company considers its actual cost of borrowing for collateralized loans and its credit rating, along with the corporate bond yield curve in estimating its incremental borrowing rates. ROU assets are recorded as the amount of operating lease liability, adjusted for prepayments, accrued lease payments, initial direct costs, lease incentives, and impairment of the ROU asset. Tenant improvement allowances used to fund leasehold improvements are recognized when earned and reduce the related ROU asset. Tenant improvement allowances are recognized through the ROU asset as a reduction of expense over the term of the lease.</w:t>
      </w:r>
    </w:p>
    <w:p>
      <w:pPr>
        <w:spacing w:after="0" w:line="145"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Leases may contain rent escalations; however, the Company recognizes the lease expense on a straight-line basis over the expected lease term. The Company reviews the terms of any lease renewal options to determine if it is reasonably certain that the renewal options will be exercised. The Company has determined that the expected lease term is typically the minimum non-cancelable period of the lease.</w:t>
      </w:r>
    </w:p>
    <w:p>
      <w:pPr>
        <w:spacing w:after="0" w:line="135"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 xml:space="preserve">The Company has lease agreements that contain both lease and non-lease components which the Company has elected to account for as a single lease component for all asset classes. Leases with an initial term of 12 months or less are not recorded on the consolidated balance sheet and are expensed on a straight-line basis over the term of the lease. The Company’s lease agreements do not contain any material residual value guarantees or material restrictive covenants. See Note 8,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for further discussion of leases.</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8" w:right="41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right="80" w:firstLine="324"/>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Goodwill, Intangible Assets, Property and Equipment, and Referral Sources </w:t>
      </w:r>
      <w:r>
        <w:rPr>
          <w:rFonts w:ascii="Times New Roman" w:cs="Times New Roman" w:eastAsia="Times New Roman" w:hAnsi="Times New Roman"/>
          <w:sz w:val="18"/>
          <w:szCs w:val="18"/>
          <w:color w:val="auto"/>
        </w:rPr>
        <w:t>— Goodwill represents the excess of the purchase price over the fair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value of assets acquired and liabilities assumed. The Company accounts for goodwill under ASC Topic 350, </w:t>
      </w:r>
      <w:r>
        <w:rPr>
          <w:rFonts w:ascii="Times New Roman" w:cs="Times New Roman" w:eastAsia="Times New Roman" w:hAnsi="Times New Roman"/>
          <w:sz w:val="18"/>
          <w:szCs w:val="18"/>
          <w:i w:val="1"/>
          <w:iCs w:val="1"/>
          <w:color w:val="auto"/>
        </w:rPr>
        <w:t>Intangibles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Goodwill and Other.</w:t>
      </w:r>
      <w:r>
        <w:rPr>
          <w:rFonts w:ascii="Times New Roman" w:cs="Times New Roman" w:eastAsia="Times New Roman" w:hAnsi="Times New Roman"/>
          <w:sz w:val="18"/>
          <w:szCs w:val="18"/>
          <w:color w:val="auto"/>
        </w:rPr>
        <w:t xml:space="preserve"> The Company tests goodwill for impairment annually, or more frequently whenever events or circumstances indicate that impairment may exist. Goodwill is stated at cost less accumulated impairment losses. The Company completes its goodwill impairment test annually in the fourth quarter on a qualitative basis. See Note 10, </w:t>
      </w:r>
      <w:r>
        <w:rPr>
          <w:rFonts w:ascii="Times New Roman" w:cs="Times New Roman" w:eastAsia="Times New Roman" w:hAnsi="Times New Roman"/>
          <w:sz w:val="18"/>
          <w:szCs w:val="18"/>
          <w:i w:val="1"/>
          <w:iCs w:val="1"/>
          <w:color w:val="auto"/>
        </w:rPr>
        <w:t>Goodwill and Other Intangible Assets</w:t>
      </w:r>
      <w:r>
        <w:rPr>
          <w:rFonts w:ascii="Times New Roman" w:cs="Times New Roman" w:eastAsia="Times New Roman" w:hAnsi="Times New Roman"/>
          <w:sz w:val="18"/>
          <w:szCs w:val="18"/>
          <w:color w:val="auto"/>
        </w:rPr>
        <w:t>, for further discussion of the Company’s goodwill and other intangible assets.</w:t>
      </w:r>
    </w:p>
    <w:p>
      <w:pPr>
        <w:spacing w:after="0" w:line="102" w:lineRule="exact"/>
        <w:rPr>
          <w:sz w:val="20"/>
          <w:szCs w:val="20"/>
          <w:color w:val="auto"/>
        </w:rPr>
      </w:pPr>
    </w:p>
    <w:p>
      <w:pPr>
        <w:ind w:right="240" w:firstLine="324"/>
        <w:spacing w:after="0" w:line="245" w:lineRule="exact"/>
        <w:rPr>
          <w:sz w:val="20"/>
          <w:szCs w:val="20"/>
          <w:color w:val="auto"/>
        </w:rPr>
      </w:pPr>
      <w:r>
        <w:rPr>
          <w:rFonts w:ascii="Times New Roman" w:cs="Times New Roman" w:eastAsia="Times New Roman" w:hAnsi="Times New Roman"/>
          <w:sz w:val="18"/>
          <w:szCs w:val="18"/>
          <w:color w:val="auto"/>
        </w:rPr>
        <w:t>Intangible assets arising from the Company’s acquisitions are amortized on a straight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line basis over the estimated useful life of each asset. Referral sources have a useful life of fifteen to twenty years. Trademarks/names have a useful life ranging from two to fifteen years. The useful lives for other amortizable intangible assets range from approximately two to nine years. The Company does not have any indefinite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lived intangible assets.</w:t>
      </w:r>
    </w:p>
    <w:p>
      <w:pPr>
        <w:spacing w:after="0" w:line="143" w:lineRule="exact"/>
        <w:rPr>
          <w:sz w:val="20"/>
          <w:szCs w:val="20"/>
          <w:color w:val="auto"/>
        </w:rPr>
      </w:pPr>
    </w:p>
    <w:p>
      <w:pPr>
        <w:ind w:right="40" w:firstLine="324"/>
        <w:spacing w:after="0" w:line="219" w:lineRule="exact"/>
        <w:rPr>
          <w:sz w:val="20"/>
          <w:szCs w:val="20"/>
          <w:color w:val="auto"/>
        </w:rPr>
      </w:pPr>
      <w:r>
        <w:rPr>
          <w:rFonts w:ascii="Times New Roman" w:cs="Times New Roman" w:eastAsia="Times New Roman" w:hAnsi="Times New Roman"/>
          <w:sz w:val="18"/>
          <w:szCs w:val="18"/>
          <w:color w:val="auto"/>
        </w:rPr>
        <w:t>Property and equipment is recorded at cost, net of accumulated depreciation. Depreciation on owned property and equipment is provided for on a straight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line basis over the estimated useful lives of owned assets. Leasehold improvements are amortized over the estimated useful life of the property or over the term of the lease, whichever is shorter. Estimated useful lives are seven years for infusion pumps and three to thirteen years for equipment. Major repairs, which extend the useful life of an asset, are capitalized in the property and equipment accounts. Routine maintenance and repairs are expensed as incurred. Computer software is included in property and equipment and consists of purchased software and internally-developed software. The Company capitalizes application-stage development costs for significant internally-developed software projects. Once the software is ready for its intended use, these costs are amortized on a straight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line basis over the software’s estimated useful life, generally five years. Costs recognized in the preliminary project phase and the post-implementation phase, as well as maintenance and training costs, are expensed as incurred.</w:t>
      </w:r>
    </w:p>
    <w:p>
      <w:pPr>
        <w:spacing w:after="0" w:line="117" w:lineRule="exact"/>
        <w:rPr>
          <w:sz w:val="20"/>
          <w:szCs w:val="20"/>
          <w:color w:val="auto"/>
        </w:rPr>
      </w:pPr>
    </w:p>
    <w:p>
      <w:pPr>
        <w:ind w:firstLine="324"/>
        <w:spacing w:after="0" w:line="231" w:lineRule="exact"/>
        <w:rPr>
          <w:sz w:val="20"/>
          <w:szCs w:val="20"/>
          <w:color w:val="auto"/>
        </w:rPr>
      </w:pPr>
      <w:r>
        <w:rPr>
          <w:rFonts w:ascii="Times New Roman" w:cs="Times New Roman" w:eastAsia="Times New Roman" w:hAnsi="Times New Roman"/>
          <w:sz w:val="18"/>
          <w:szCs w:val="18"/>
          <w:color w:val="auto"/>
        </w:rPr>
        <w:t>The Company assesses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lived assets for impairment whenever events or circumstances indicate that a certain asset or asset group may be impaired. If circumstances require that a long-lived asset or asset group be tested for possible impairment, the Company first compares undiscounted cash flows expected to be generated by that asset or asset group to its carrying amount. If the carrying amount of the long-lived asset or asset group is not recoverable on an undiscounted cash flows basis, an impairment is recognized to the extent that the carrying amount exceeds its fair value.</w:t>
      </w:r>
    </w:p>
    <w:p>
      <w:pPr>
        <w:spacing w:after="0" w:line="155"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Equity-Method Investments </w:t>
      </w:r>
      <w:r>
        <w:rPr>
          <w:rFonts w:ascii="Times New Roman" w:cs="Times New Roman" w:eastAsia="Times New Roman" w:hAnsi="Times New Roman"/>
          <w:sz w:val="18"/>
          <w:szCs w:val="18"/>
          <w:color w:val="auto"/>
        </w:rPr>
        <w:t>— The Company’s investments in certain unconsolidated entities are accounted for under the equity method.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balance of these investments is included in other noncurrent assets in the accompanying consolidated balance sheets. As of December 31, 2024 and 2023, the balance of the investments was $24.5 million and $20.9 million, respectively. The investments are increased to reflect the Company’s capital contributions and equity in earnings of the investees. The investments are decreased to reflect the Company’s equity in losses of the investees and for distributions received that are not in excess of the carrying amount of the investments. The Company’s proportionate share of earnings or losses of the investees is recorded in equity in earnings of joint ventures in the accompanying consolidated statements of comprehensive income. The Company’s proportionate share of earnings was $6.0 million, $5.5 million and $5.1 million for the years ended December 31, 2024, 2023 and 2022, respectively. Distributions from the investees are treated as cash inflows from operating activities in the consolidated statements of cash flows. During the years ended December 31, 2024, 2023 and 2022, the Company received distributions from the investees of $2.4 million, $4.0 million and $5.9 million, respectively. See Note 17, </w:t>
      </w:r>
      <w:r>
        <w:rPr>
          <w:rFonts w:ascii="Times New Roman" w:cs="Times New Roman" w:eastAsia="Times New Roman" w:hAnsi="Times New Roman"/>
          <w:sz w:val="18"/>
          <w:szCs w:val="18"/>
          <w:i w:val="1"/>
          <w:iCs w:val="1"/>
          <w:color w:val="auto"/>
        </w:rPr>
        <w:t>Related-Party Transactions</w:t>
      </w:r>
      <w:r>
        <w:rPr>
          <w:rFonts w:ascii="Times New Roman" w:cs="Times New Roman" w:eastAsia="Times New Roman" w:hAnsi="Times New Roman"/>
          <w:sz w:val="18"/>
          <w:szCs w:val="18"/>
          <w:color w:val="auto"/>
        </w:rPr>
        <w:t>, for discussion of related-party transactions with these investees.</w:t>
      </w:r>
    </w:p>
    <w:p>
      <w:pPr>
        <w:spacing w:after="0" w:line="158" w:lineRule="exact"/>
        <w:rPr>
          <w:sz w:val="20"/>
          <w:szCs w:val="20"/>
          <w:color w:val="auto"/>
        </w:rPr>
      </w:pPr>
    </w:p>
    <w:p>
      <w:pPr>
        <w:ind w:right="40" w:firstLine="324"/>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Hedging Instruments </w:t>
      </w:r>
      <w:r>
        <w:rPr>
          <w:rFonts w:ascii="Times New Roman" w:cs="Times New Roman" w:eastAsia="Times New Roman" w:hAnsi="Times New Roman"/>
          <w:sz w:val="18"/>
          <w:szCs w:val="18"/>
          <w:color w:val="auto"/>
        </w:rPr>
        <w:t>— The Company uses derivative financial instruments to limit its exposure to increases in the interest rate of its variable rate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debt instruments. The derivative financial instruments are recognized on the consolidated balance sheets at fair value. See Note 12, </w:t>
      </w:r>
      <w:r>
        <w:rPr>
          <w:rFonts w:ascii="Times New Roman" w:cs="Times New Roman" w:eastAsia="Times New Roman" w:hAnsi="Times New Roman"/>
          <w:sz w:val="18"/>
          <w:szCs w:val="18"/>
          <w:i w:val="1"/>
          <w:iCs w:val="1"/>
          <w:color w:val="auto"/>
        </w:rPr>
        <w:t>Derivative Instruments,</w:t>
      </w:r>
      <w:r>
        <w:rPr>
          <w:rFonts w:ascii="Times New Roman" w:cs="Times New Roman" w:eastAsia="Times New Roman" w:hAnsi="Times New Roman"/>
          <w:sz w:val="18"/>
          <w:szCs w:val="18"/>
          <w:color w:val="auto"/>
        </w:rPr>
        <w:t xml:space="preserve"> for additional information.</w:t>
      </w:r>
    </w:p>
    <w:p>
      <w:pPr>
        <w:spacing w:after="0" w:line="134" w:lineRule="exact"/>
        <w:rPr>
          <w:sz w:val="20"/>
          <w:szCs w:val="20"/>
          <w:color w:val="auto"/>
        </w:rPr>
      </w:pPr>
    </w:p>
    <w:p>
      <w:pPr>
        <w:ind w:right="220" w:firstLine="324"/>
        <w:spacing w:after="0" w:line="266" w:lineRule="auto"/>
        <w:rPr>
          <w:sz w:val="20"/>
          <w:szCs w:val="20"/>
          <w:color w:val="auto"/>
        </w:rPr>
      </w:pPr>
      <w:r>
        <w:rPr>
          <w:rFonts w:ascii="Times New Roman" w:cs="Times New Roman" w:eastAsia="Times New Roman" w:hAnsi="Times New Roman"/>
          <w:sz w:val="18"/>
          <w:szCs w:val="18"/>
          <w:color w:val="auto"/>
        </w:rPr>
        <w:t>At inception of the hedge, the Company designated the derivative instruments as a hedge of the cash flows related to the interest on the variable rate debt. For all instruments designated as hedges, the Company documents the hedging relationships and its risk management objective of the hedging relationship. For all hedging instruments, the terms of the hedge perfectly offset the hedged expected cash flows.</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ind w:right="160" w:firstLine="324"/>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Revenue Recognition </w:t>
      </w:r>
      <w:r>
        <w:rPr>
          <w:rFonts w:ascii="Times New Roman" w:cs="Times New Roman" w:eastAsia="Times New Roman" w:hAnsi="Times New Roman"/>
          <w:sz w:val="18"/>
          <w:szCs w:val="18"/>
          <w:color w:val="auto"/>
        </w:rPr>
        <w:t>— Net revenue is reported at the net realizable value amount that reflects the consideration the Company expects to receive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exchange for providing goods and services. Revenues are from government payers, commercial payers, and patients for goods and services provided and are based on a gross price based on payer contracts, fee schedules, or other arrangements less any implicit price concessions.</w:t>
      </w:r>
    </w:p>
    <w:p>
      <w:pPr>
        <w:spacing w:after="0" w:line="134" w:lineRule="exact"/>
        <w:rPr>
          <w:sz w:val="20"/>
          <w:szCs w:val="20"/>
          <w:color w:val="auto"/>
        </w:rPr>
      </w:pPr>
    </w:p>
    <w:p>
      <w:pPr>
        <w:ind w:right="220" w:firstLine="324"/>
        <w:spacing w:after="0" w:line="266" w:lineRule="auto"/>
        <w:rPr>
          <w:sz w:val="20"/>
          <w:szCs w:val="20"/>
          <w:color w:val="auto"/>
        </w:rPr>
      </w:pPr>
      <w:r>
        <w:rPr>
          <w:rFonts w:ascii="Times New Roman" w:cs="Times New Roman" w:eastAsia="Times New Roman" w:hAnsi="Times New Roman"/>
          <w:sz w:val="18"/>
          <w:szCs w:val="18"/>
          <w:color w:val="auto"/>
        </w:rPr>
        <w:t>Due to the nature of the healthcare industry and the reimbursement environment in which the Company operates, certain estimates are required to record revenue and accounts receivable at their net realizable values at the time goods or services are provided. Inherent in these estimates is the risk that they will have to be revised or updated as additional information becomes available.</w:t>
      </w:r>
    </w:p>
    <w:p>
      <w:pPr>
        <w:spacing w:after="0" w:line="149" w:lineRule="exact"/>
        <w:rPr>
          <w:sz w:val="20"/>
          <w:szCs w:val="20"/>
          <w:color w:val="auto"/>
        </w:rPr>
      </w:pPr>
    </w:p>
    <w:p>
      <w:pPr>
        <w:jc w:val="both"/>
        <w:ind w:right="80" w:firstLine="324"/>
        <w:spacing w:after="0" w:line="261" w:lineRule="auto"/>
        <w:rPr>
          <w:sz w:val="20"/>
          <w:szCs w:val="20"/>
          <w:color w:val="auto"/>
        </w:rPr>
      </w:pPr>
      <w:r>
        <w:rPr>
          <w:rFonts w:ascii="Times New Roman" w:cs="Times New Roman" w:eastAsia="Times New Roman" w:hAnsi="Times New Roman"/>
          <w:sz w:val="18"/>
          <w:szCs w:val="18"/>
          <w:color w:val="auto"/>
        </w:rPr>
        <w:t>The Company assesses the expected consideration to be received at the time of patient acceptance, based on the verification of the patient’s insurance coverage, historical information with the patient, similar patients, or the payer. Performance obligations are determined based on the nature of the services provided by the Company. The majority of the Company’s performance obligations are to provide infusion services to deliver medicine, nutrients, or fluids directly into the body.</w:t>
      </w:r>
    </w:p>
    <w:p>
      <w:pPr>
        <w:spacing w:after="0" w:line="13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The Company provides a variety of infusion-related therapies to patients, which frequently include multiple deliverables of pharmaceutical drugs and related nursing services. After applying the criteria from ASC 606, the Company concluded that multiple performance obligations exist in its contracts with its customers. Revenue is allocated to each performance obligation based on relative standalone price, determined based on reimbursement rates established in the third-party payer contracts. Pharmaceutical drug revenue is recognized at the time the pharmaceutical drug is delivered to the patient, and nursing revenue is recognized on the date of service.</w:t>
      </w:r>
    </w:p>
    <w:p>
      <w:pPr>
        <w:spacing w:after="0" w:line="143"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 xml:space="preserve">The Company's outstanding performance obligations relate to contracts with a duration of less than one year. Therefore, the Company has elected to apply the practical expedient provided by ASC 606 and is not required to disclose the aggregate amount of the transaction price allocated to performance obligations that are unsatisfied or partially unsatisfied at the end of the reporting period. Any unsatisfied or partially unsatisfied performance obligations at the end of a reporting period are generally completed prior to the patient being discharged. See Note 4, </w:t>
      </w:r>
      <w:r>
        <w:rPr>
          <w:rFonts w:ascii="Times New Roman" w:cs="Times New Roman" w:eastAsia="Times New Roman" w:hAnsi="Times New Roman"/>
          <w:sz w:val="18"/>
          <w:szCs w:val="18"/>
          <w:i w:val="1"/>
          <w:iCs w:val="1"/>
          <w:color w:val="auto"/>
        </w:rPr>
        <w:t>Revenue</w:t>
      </w:r>
      <w:r>
        <w:rPr>
          <w:rFonts w:ascii="Times New Roman" w:cs="Times New Roman" w:eastAsia="Times New Roman" w:hAnsi="Times New Roman"/>
          <w:sz w:val="18"/>
          <w:szCs w:val="18"/>
          <w:color w:val="auto"/>
        </w:rPr>
        <w:t xml:space="preserve"> for a further discussion of revenue.</w:t>
      </w:r>
    </w:p>
    <w:p>
      <w:pPr>
        <w:spacing w:after="0" w:line="149" w:lineRule="exact"/>
        <w:rPr>
          <w:sz w:val="20"/>
          <w:szCs w:val="20"/>
          <w:color w:val="auto"/>
        </w:rPr>
      </w:pPr>
    </w:p>
    <w:p>
      <w:pPr>
        <w:jc w:val="both"/>
        <w:ind w:right="20" w:firstLine="324"/>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Cost of Revenue </w:t>
      </w:r>
      <w:r>
        <w:rPr>
          <w:rFonts w:ascii="Times New Roman" w:cs="Times New Roman" w:eastAsia="Times New Roman" w:hAnsi="Times New Roman"/>
          <w:sz w:val="18"/>
          <w:szCs w:val="18"/>
          <w:color w:val="auto"/>
        </w:rPr>
        <w:t>— Cost of revenue consists of the actual cost of pharmaceuticals and other medical supplies dispensed to patients, as well as all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costs directly related to the production of revenue. These costs include warehousing costs, purchasing costs, freight costs, cash discounts, wages and related costs for pharmacists and nurses, along with depreciation expense relating to revenue-generating assets, such as infusion pumps.</w:t>
      </w:r>
    </w:p>
    <w:p>
      <w:pPr>
        <w:spacing w:after="0" w:line="134" w:lineRule="exact"/>
        <w:rPr>
          <w:sz w:val="20"/>
          <w:szCs w:val="20"/>
          <w:color w:val="auto"/>
        </w:rPr>
      </w:pPr>
    </w:p>
    <w:p>
      <w:pPr>
        <w:ind w:right="260" w:firstLine="324"/>
        <w:spacing w:after="0" w:line="282" w:lineRule="auto"/>
        <w:rPr>
          <w:sz w:val="20"/>
          <w:szCs w:val="20"/>
          <w:color w:val="auto"/>
        </w:rPr>
      </w:pPr>
      <w:r>
        <w:rPr>
          <w:rFonts w:ascii="Times New Roman" w:cs="Times New Roman" w:eastAsia="Times New Roman" w:hAnsi="Times New Roman"/>
          <w:sz w:val="18"/>
          <w:szCs w:val="18"/>
          <w:color w:val="auto"/>
        </w:rPr>
        <w:t>The Company also receives rebates from pharmaceutical and medical supply manufacturers. Rebates are generally volume-based incentives and are recorded as a reduction of inventory and are accounted for as a reduction of cost of goods sold when the related inventory is sold.</w:t>
      </w:r>
    </w:p>
    <w:p>
      <w:pPr>
        <w:spacing w:after="0" w:line="117" w:lineRule="exact"/>
        <w:rPr>
          <w:sz w:val="20"/>
          <w:szCs w:val="20"/>
          <w:color w:val="auto"/>
        </w:rPr>
      </w:pPr>
    </w:p>
    <w:p>
      <w:pPr>
        <w:ind w:right="720" w:firstLine="324"/>
        <w:spacing w:after="0" w:line="317" w:lineRule="auto"/>
        <w:rPr>
          <w:sz w:val="20"/>
          <w:szCs w:val="20"/>
          <w:color w:val="auto"/>
        </w:rPr>
      </w:pPr>
      <w:r>
        <w:rPr>
          <w:rFonts w:ascii="Times New Roman" w:cs="Times New Roman" w:eastAsia="Times New Roman" w:hAnsi="Times New Roman"/>
          <w:sz w:val="17"/>
          <w:szCs w:val="17"/>
          <w:b w:val="1"/>
          <w:bCs w:val="1"/>
          <w:color w:val="auto"/>
        </w:rPr>
        <w:t xml:space="preserve">Selling, General and Administrative Expenses </w:t>
      </w:r>
      <w:r>
        <w:rPr>
          <w:rFonts w:ascii="Times New Roman" w:cs="Times New Roman" w:eastAsia="Times New Roman" w:hAnsi="Times New Roman"/>
          <w:sz w:val="17"/>
          <w:szCs w:val="17"/>
          <w:color w:val="auto"/>
        </w:rPr>
        <w:t>— Selling, general and administrative expenses mainly consist of salaries for administrative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employees that directly and indirectly support the operations, occupancy costs, marketing expenditures, insurance, and professional fees.</w:t>
      </w:r>
    </w:p>
    <w:p>
      <w:pPr>
        <w:spacing w:after="0" w:line="105"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Stock Based Incentive Compensation </w:t>
      </w:r>
      <w:r>
        <w:rPr>
          <w:rFonts w:ascii="Times New Roman" w:cs="Times New Roman" w:eastAsia="Times New Roman" w:hAnsi="Times New Roman"/>
          <w:sz w:val="18"/>
          <w:szCs w:val="18"/>
          <w:color w:val="auto"/>
        </w:rPr>
        <w:t>— The Company accounts for stock-based incentive compensation expense in accordance with ASC Topic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718, </w:t>
      </w:r>
      <w:r>
        <w:rPr>
          <w:rFonts w:ascii="Times New Roman" w:cs="Times New Roman" w:eastAsia="Times New Roman" w:hAnsi="Times New Roman"/>
          <w:sz w:val="18"/>
          <w:szCs w:val="18"/>
          <w:i w:val="1"/>
          <w:iCs w:val="1"/>
          <w:color w:val="auto"/>
        </w:rPr>
        <w:t>Compensation-Stock Compensation</w:t>
      </w:r>
      <w:r>
        <w:rPr>
          <w:rFonts w:ascii="Times New Roman" w:cs="Times New Roman" w:eastAsia="Times New Roman" w:hAnsi="Times New Roman"/>
          <w:sz w:val="18"/>
          <w:szCs w:val="18"/>
          <w:color w:val="auto"/>
        </w:rPr>
        <w:t xml:space="preserve"> (“ASC 718”). Stock-based incentive compensation expense is based on the grant date fair value. The Company estimates the fair value of stock option awards using a Black-Scholes option pricing model and the fair value of restricted stock unit awards using the closing price of the Company’s common stock on the grant date. For awards with a service-based vesting condition, the Company recognizes expense on a straight-line basis over the service period of the award. For awards with performance-based vesting conditions, the Company will recognize expense when it is probable that the performance-based conditions will be met. When the Company determines that it is probable that the performance-based conditions will be met, a cumulative catch-up of expense will be recorded as if the award had been vesting on a straight-line basis from the award date. The award will continue to be expensed on a straight-line basis through the remainder of the vesting period and will be updated if the Company determines that there has been a change in the probability of achieving the performance-based conditions. The Company records the impact of forfeited awards in the period in which the forfeiture occurs.</w:t>
      </w:r>
    </w:p>
    <w:p>
      <w:pPr>
        <w:spacing w:after="0" w:line="145" w:lineRule="exact"/>
        <w:rPr>
          <w:sz w:val="20"/>
          <w:szCs w:val="20"/>
          <w:color w:val="auto"/>
        </w:rPr>
      </w:pPr>
    </w:p>
    <w:p>
      <w:pPr>
        <w:ind w:right="120" w:firstLine="324"/>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Business Acquisitions </w:t>
      </w:r>
      <w:r>
        <w:rPr>
          <w:rFonts w:ascii="Times New Roman" w:cs="Times New Roman" w:eastAsia="Times New Roman" w:hAnsi="Times New Roman"/>
          <w:sz w:val="18"/>
          <w:szCs w:val="18"/>
          <w:color w:val="auto"/>
        </w:rPr>
        <w:t>— The Company accounts for business acquisitions in accordance with ASC Topic 805,</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with assets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and liabilities being recorded at their acquisition date fair value and goodwill being calculated as the purchase price in excess of the net identifiable assets. See Note 3, </w:t>
      </w:r>
      <w:r>
        <w:rPr>
          <w:rFonts w:ascii="Times New Roman" w:cs="Times New Roman" w:eastAsia="Times New Roman" w:hAnsi="Times New Roman"/>
          <w:sz w:val="18"/>
          <w:szCs w:val="18"/>
          <w:i w:val="1"/>
          <w:iCs w:val="1"/>
          <w:color w:val="auto"/>
        </w:rPr>
        <w:t>Business Acquisitions and Divestitures</w:t>
      </w:r>
      <w:r>
        <w:rPr>
          <w:rFonts w:ascii="Times New Roman" w:cs="Times New Roman" w:eastAsia="Times New Roman" w:hAnsi="Times New Roman"/>
          <w:sz w:val="18"/>
          <w:szCs w:val="18"/>
          <w:color w:val="auto"/>
        </w:rPr>
        <w:t>, for further discussion of the Company’s business acquisitions.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right="140" w:firstLine="324"/>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Income Taxes </w:t>
      </w:r>
      <w:r>
        <w:rPr>
          <w:rFonts w:ascii="Times New Roman" w:cs="Times New Roman" w:eastAsia="Times New Roman" w:hAnsi="Times New Roman"/>
          <w:sz w:val="18"/>
          <w:szCs w:val="18"/>
          <w:color w:val="auto"/>
        </w:rPr>
        <w:t>— The Company accounts for income taxes using the asset and liability method. Deferred tax assets and liabilities are reported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book-tax basis differences and are measured based on currently enacted tax laws using rates expected to apply to taxable income in the years in which the differences are expected to reverse. The effect of a change in tax rate on deferred taxes is recognized in income tax expense in the period that includes the enactment date of the change.</w:t>
      </w:r>
    </w:p>
    <w:p>
      <w:pPr>
        <w:spacing w:after="0" w:line="140"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In assessing the realizability of deferred tax assets, management considers whether it is more likely than not that some portion or all of the deferred tax assets will not be realized. Valuation allowances are established when necessary to reduce deferred tax assets to the amounts more likely than not to be realized.</w:t>
      </w:r>
    </w:p>
    <w:p>
      <w:pPr>
        <w:spacing w:after="0" w:line="149" w:lineRule="exact"/>
        <w:rPr>
          <w:sz w:val="20"/>
          <w:szCs w:val="20"/>
          <w:color w:val="auto"/>
        </w:rPr>
      </w:pPr>
    </w:p>
    <w:p>
      <w:pPr>
        <w:ind w:right="200" w:firstLine="324"/>
        <w:spacing w:after="0" w:line="261" w:lineRule="auto"/>
        <w:rPr>
          <w:sz w:val="20"/>
          <w:szCs w:val="20"/>
          <w:color w:val="auto"/>
        </w:rPr>
      </w:pPr>
      <w:r>
        <w:rPr>
          <w:rFonts w:ascii="Times New Roman" w:cs="Times New Roman" w:eastAsia="Times New Roman" w:hAnsi="Times New Roman"/>
          <w:sz w:val="18"/>
          <w:szCs w:val="18"/>
          <w:color w:val="auto"/>
        </w:rPr>
        <w:t>The Company recognizes income tax positions that are more likely than not to be sustained on their technical merits. The Company measures recognized income tax positions at the maximum benefit that is more likely than not, based on cumulative probability, realizable upon final settlement of the position. Interest and penalties related to unrecognized tax benefits are reported in income tax expense (benefit). Tax related interest and penalties are classified as a component of income tax expense (benefit).</w:t>
      </w:r>
    </w:p>
    <w:p>
      <w:pPr>
        <w:spacing w:after="0" w:line="135" w:lineRule="exact"/>
        <w:rPr>
          <w:sz w:val="20"/>
          <w:szCs w:val="20"/>
          <w:color w:val="auto"/>
        </w:rPr>
      </w:pPr>
    </w:p>
    <w:p>
      <w:pPr>
        <w:ind w:firstLine="324"/>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Concentrations of Business Risk </w:t>
      </w:r>
      <w:r>
        <w:rPr>
          <w:rFonts w:ascii="Times New Roman" w:cs="Times New Roman" w:eastAsia="Times New Roman" w:hAnsi="Times New Roman"/>
          <w:sz w:val="18"/>
          <w:szCs w:val="18"/>
          <w:color w:val="auto"/>
        </w:rPr>
        <w:t>— The Company generates revenue from managed care contracts and other agreements with commercial third-party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payers. Revenue related to the Company’s largest payer was approximately 15%, 14% and 14% for the years ended December 31, 2024, 2023 and 2022, respectively. There were no other managed care contracts that represent greater than 10% of revenue for the years presented.</w:t>
      </w:r>
    </w:p>
    <w:p>
      <w:pPr>
        <w:spacing w:after="0" w:line="134"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For the years ended December 31, 2024, 2023 and 2022, approximately 12%, 12% and 12%, respectively, of the Company’s revenue was reimbursable through direct government healthcare programs such as Medicare and Medicaid. As of December 31, 2024 and 2023, approximately 11% and 12%, respectively, of the Company’s accounts receivable was related to these programs. Governmental programs pay for services based on fee schedules and rates that are determined by the related governmental agency. Laws and regulations pertaining to government programs are complex and subject to interpretation. As a result, there is at least a reasonable possibility that recorded estimates will change in the near term.</w:t>
      </w:r>
    </w:p>
    <w:p>
      <w:pPr>
        <w:spacing w:after="0" w:line="156"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The Company does not require its patients nor other payers to carry collateral for any amounts owed for goods or services provided. Other than as discussed above, concentrations of credit risk relating to trade accounts receivable is limited due to the Company’s diversity of patients and payers. Further, the Company generally does not provide charity care; however, Option Care Health offers a financial assistance program for patients that meet certain defined hardship criteria.</w:t>
      </w:r>
    </w:p>
    <w:p>
      <w:pPr>
        <w:spacing w:after="0" w:line="139"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For the year ended December 31, 2024, approximately 58% of the Company’s pharmaceutical and medical supply purchases were from three vendors. For the years ended December 31, 2023 and 2022, approximately 72% and 73%, respectively, of the Company’s pharmaceutical and medical supply purchases were from four vendors. Although there are a limited number of suppliers, the Company believes that other vendors could provide similar products on comparable terms. However, a change in suppliers could cause delays in service delivery and possible losses in revenue or decreased gross profit, which could adversely affect the Company’s financial condition or operating results.</w:t>
      </w:r>
    </w:p>
    <w:p>
      <w:pPr>
        <w:spacing w:after="0" w:line="13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Fair Value Measurements </w:t>
      </w:r>
      <w:r>
        <w:rPr>
          <w:rFonts w:ascii="Times New Roman" w:cs="Times New Roman" w:eastAsia="Times New Roman" w:hAnsi="Times New Roman"/>
          <w:sz w:val="18"/>
          <w:szCs w:val="18"/>
          <w:color w:val="auto"/>
        </w:rPr>
        <w:t>— The fair value measurement accounting standard, ASC Topic 820,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(“ASC 820”), provides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framework for measuring fair value and defines fair value as the price that would be received to sell an asset or paid to transfer a liability. Fair value is a market-based measurement that should be determined using assumptions that market participants would use in pricing an asset or liability. The standard establishes a valuation hierarchy for inputs used in measuring fair value that maximizes the use of observable inputs and minimizes the use of unobservable inputs by requiring that the most observable inputs be used when available. Observable inputs are inputs market participants would use in valuing the asset or liability developed based on independent market data sources. Unobservable inputs are inputs that reflect the Company’s assumptions about the factors market participants would use in valuing the asset or liability developed based upon the best information available. The valuation hierarchy is composed of three categories. The categorization within the valuation hierarchy is based on the lowest level of input that is significant to the fair value measurement. The categories within the valuation hierarchy are described as follows:</w:t>
      </w:r>
    </w:p>
    <w:p>
      <w:pPr>
        <w:spacing w:after="0" w:line="165"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Inputs to the fair value measurement are quoted prices in active markets for identical assets or liabilities.</w:t>
      </w:r>
    </w:p>
    <w:p>
      <w:pPr>
        <w:spacing w:after="0" w:line="27" w:lineRule="exact"/>
        <w:rPr>
          <w:rFonts w:ascii="Times New Roman" w:cs="Times New Roman" w:eastAsia="Times New Roman" w:hAnsi="Times New Roman"/>
          <w:sz w:val="18"/>
          <w:szCs w:val="18"/>
          <w:color w:val="auto"/>
        </w:rPr>
      </w:pPr>
    </w:p>
    <w:p>
      <w:pPr>
        <w:ind w:left="660" w:right="40" w:hanging="328"/>
        <w:spacing w:after="0" w:line="250"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Inputs to the fair value measurement include quoted prices in active markets for similar assets or liabilities, quoted prices for identical or similar assets or liabilities in markets that are not active, and inputs other than quoted prices that are observable for the asset or liability, either directly or indirectly.</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Inputs to the fair value measurement are unobservable inputs or valuation techniques.</w:t>
      </w:r>
    </w:p>
    <w:p>
      <w:pPr>
        <w:spacing w:after="0" w:line="166"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While the Company believes its valuation methods are appropriate and consistent with other market participants, the use of different methodologies or assumptions to determine the fair value of certain financial instruments could result in a different fair value measurement at the reporting date.</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right="80" w:firstLine="324"/>
        <w:spacing w:after="0" w:line="278" w:lineRule="auto"/>
        <w:rPr>
          <w:sz w:val="20"/>
          <w:szCs w:val="20"/>
          <w:color w:val="auto"/>
        </w:rPr>
      </w:pPr>
      <w:r>
        <w:rPr>
          <w:rFonts w:ascii="Times New Roman" w:cs="Times New Roman" w:eastAsia="Times New Roman" w:hAnsi="Times New Roman"/>
          <w:sz w:val="17"/>
          <w:szCs w:val="17"/>
          <w:b w:val="1"/>
          <w:bCs w:val="1"/>
          <w:color w:val="auto"/>
        </w:rPr>
        <w:t xml:space="preserve">Recently Issued Accounting Pronouncements </w:t>
      </w:r>
      <w:r>
        <w:rPr>
          <w:rFonts w:ascii="Times New Roman" w:cs="Times New Roman" w:eastAsia="Times New Roman" w:hAnsi="Times New Roman"/>
          <w:sz w:val="17"/>
          <w:szCs w:val="17"/>
          <w:color w:val="auto"/>
        </w:rPr>
        <w:t>— In November 2024, the FASB issued ASU 2024-03,</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i w:val="1"/>
          <w:iCs w:val="1"/>
          <w:color w:val="auto"/>
        </w:rPr>
        <w:t>Income Statement - Reporting Comprehensive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i w:val="1"/>
          <w:iCs w:val="1"/>
          <w:color w:val="auto"/>
        </w:rPr>
        <w:t>Income - Expense Disaggregation Disclosures (Subtopic 220-40): Disaggregation of Income Statement Expenses</w:t>
      </w:r>
      <w:r>
        <w:rPr>
          <w:rFonts w:ascii="Times New Roman" w:cs="Times New Roman" w:eastAsia="Times New Roman" w:hAnsi="Times New Roman"/>
          <w:sz w:val="17"/>
          <w:szCs w:val="17"/>
          <w:color w:val="auto"/>
        </w:rPr>
        <w:t>. This ASU improves the disclosures</w:t>
      </w:r>
    </w:p>
    <w:p>
      <w:pPr>
        <w:spacing w:after="0" w:line="1" w:lineRule="exact"/>
        <w:rPr>
          <w:sz w:val="20"/>
          <w:szCs w:val="20"/>
          <w:color w:val="auto"/>
        </w:rPr>
      </w:pPr>
    </w:p>
    <w:p>
      <w:pPr>
        <w:ind w:right="60"/>
        <w:spacing w:after="0" w:line="251" w:lineRule="auto"/>
        <w:rPr>
          <w:sz w:val="20"/>
          <w:szCs w:val="20"/>
          <w:color w:val="auto"/>
        </w:rPr>
      </w:pPr>
      <w:r>
        <w:rPr>
          <w:rFonts w:ascii="Times New Roman" w:cs="Times New Roman" w:eastAsia="Times New Roman" w:hAnsi="Times New Roman"/>
          <w:sz w:val="18"/>
          <w:szCs w:val="18"/>
          <w:color w:val="auto"/>
        </w:rPr>
        <w:t>around a public business entity’s expenses and address requests from investors for more detailed information about the types of expenses (including purchases of inventory, employee compensation, depreciation, amortization, and depletion) in commonly presented expense captions (such as cost of sales, SG&amp;A, and research and development). The amendments in this ASU do not change or remove current presentation requirements or current expense disclosure requirements. However, the amendments affect where this information appears in the notes to financial statements because entities are required to include certain current disclosures in the same tabular format disclosure as the other disaggregation requirements in the amendments. The Company is required to adopt this ASU for annual reporting periods beginning after December 15, 2026, and interim reporting periods beginning after December 15, 2027, with early adoption permitted. The Company is currently evaluating the impact of this ASU on its results of operations, cash flows, financial position, and disclosures.</w:t>
      </w:r>
    </w:p>
    <w:p>
      <w:pPr>
        <w:spacing w:after="0" w:line="151"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This ASU addresses investor requests for more transparency about income tax information through improvements to income tax disclosures primarily related to the rate reconciliation and income taxes paid information. The ASU improves the transparency of income tax disclosures by requiring consistent categories and greater disaggregation of information in the rate reconciliation and income taxes paid disaggregated by jurisdiction. The ASU allows investors to better assess, in their capital allocation decisions, how an entity’s worldwide operations and related tax risks and tax planning and operational opportunities affect its income tax rate and prospects for future cash flows. This ASU also improves the effectiveness and comparability of disclosures by adding disclosures of pretax income (loss) and income tax expense (benefit) to be consistent with U.S. Securities and Exchange Commission (“SEC”) Regulation S-X and removing disclosures that no longer are considered cost beneficial or relevant. The Company is required to adopt this ASU for annual periods beginning after December 15, 2024, with early adoption permitted. The Company is currently evaluating the impact of this ASU on its results of operations, cash flows, financial position, and disclosures.</w:t>
      </w:r>
    </w:p>
    <w:p>
      <w:pPr>
        <w:spacing w:after="0" w:line="145" w:lineRule="exact"/>
        <w:rPr>
          <w:sz w:val="20"/>
          <w:szCs w:val="20"/>
          <w:color w:val="auto"/>
        </w:rPr>
      </w:pPr>
    </w:p>
    <w:p>
      <w:pPr>
        <w:ind w:firstLine="324"/>
        <w:spacing w:after="0" w:line="237" w:lineRule="auto"/>
        <w:rPr>
          <w:sz w:val="20"/>
          <w:szCs w:val="20"/>
          <w:color w:val="auto"/>
        </w:rPr>
      </w:pPr>
      <w:r>
        <w:rPr>
          <w:rFonts w:ascii="Times New Roman" w:cs="Times New Roman" w:eastAsia="Times New Roman" w:hAnsi="Times New Roman"/>
          <w:sz w:val="18"/>
          <w:szCs w:val="18"/>
          <w:color w:val="auto"/>
        </w:rPr>
        <w:t xml:space="preserve">In November 2023, the FASB issued ASU 2023-07, </w:t>
      </w:r>
      <w:r>
        <w:rPr>
          <w:rFonts w:ascii="Times New Roman" w:cs="Times New Roman" w:eastAsia="Times New Roman" w:hAnsi="Times New Roman"/>
          <w:sz w:val="18"/>
          <w:szCs w:val="18"/>
          <w:i w:val="1"/>
          <w:iCs w:val="1"/>
          <w:color w:val="auto"/>
        </w:rPr>
        <w:t>Segment Reporting (Topic 280): Improvements to Reportable Segment Disclosures</w:t>
      </w:r>
      <w:r>
        <w:rPr>
          <w:rFonts w:ascii="Times New Roman" w:cs="Times New Roman" w:eastAsia="Times New Roman" w:hAnsi="Times New Roman"/>
          <w:sz w:val="18"/>
          <w:szCs w:val="18"/>
          <w:color w:val="auto"/>
        </w:rPr>
        <w:t xml:space="preserve">. This ASU improves the disclosures about a public entity’s reportable segments and addresses requests from investors for additional, more detailed information about a reportable segment’s expenses. The ASU improves financial reporting by requiring disclosure of incremental segment information on an annual and interim basis for all public entities, including those public entities that have a single reportable segment, to enable investors to develop more decision-useful financial analyses. The Company is required to adopt this ASU for fiscal years beginning after December 15, 2023, and interim periods within fiscal years beginning after December 15, 2024, with early adoption permitted. This ASU was adopted during the year ended December 31, 2024 and applied retrospectively to all prior periods presented in the financial statements. The adoption did not have any material impact on the Company’s results of operations, cash flows, financial position, or disclosures. See Note 18, </w:t>
      </w:r>
      <w:r>
        <w:rPr>
          <w:rFonts w:ascii="Times New Roman" w:cs="Times New Roman" w:eastAsia="Times New Roman" w:hAnsi="Times New Roman"/>
          <w:sz w:val="18"/>
          <w:szCs w:val="18"/>
          <w:i w:val="1"/>
          <w:iCs w:val="1"/>
          <w:color w:val="auto"/>
        </w:rPr>
        <w:t>Segment Reporting</w:t>
      </w:r>
      <w:r>
        <w:rPr>
          <w:rFonts w:ascii="Times New Roman" w:cs="Times New Roman" w:eastAsia="Times New Roman" w:hAnsi="Times New Roman"/>
          <w:sz w:val="18"/>
          <w:szCs w:val="18"/>
          <w:color w:val="auto"/>
        </w:rPr>
        <w:t>, for further discussion.</w:t>
      </w:r>
    </w:p>
    <w:p>
      <w:pPr>
        <w:spacing w:after="0" w:line="228"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 xml:space="preserve">In October 2023, the FASB issued ASU 2023-06, </w:t>
      </w:r>
      <w:r>
        <w:rPr>
          <w:rFonts w:ascii="Times New Roman" w:cs="Times New Roman" w:eastAsia="Times New Roman" w:hAnsi="Times New Roman"/>
          <w:sz w:val="18"/>
          <w:szCs w:val="18"/>
          <w:i w:val="1"/>
          <w:iCs w:val="1"/>
          <w:color w:val="auto"/>
        </w:rPr>
        <w:t>Disclosure Improvements: Codification Amendments in Response to the SEC’s Disclosure Update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Simplification Initiative</w:t>
      </w:r>
      <w:r>
        <w:rPr>
          <w:rFonts w:ascii="Times New Roman" w:cs="Times New Roman" w:eastAsia="Times New Roman" w:hAnsi="Times New Roman"/>
          <w:sz w:val="18"/>
          <w:szCs w:val="18"/>
          <w:color w:val="auto"/>
        </w:rPr>
        <w:t>. This ASU is the result of the Board’s decision to incorporate into the Codification 14 disclosures referred by the SEC.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ASU represents changes to clarify or improve disclosure and presentation requirements of a variety of Topics. Many of the amendments allow users to more easily compare entities subject to the SEC’s existing disclosures with those entities that were not previously subject to the SEC’s requirements. Also, the amendments align the requirements in the Codification with the SEC’s regulations. The effective date for each amendment will be the date on which the SEC’s removal of that related disclosure from Regulation S-X or Regulation S-K becomes effective, with early adoption permitted. If by June 30, 2027, the SEC has not removed the applicable requirement from Regulation S-X or Regulation S-K, the pending content of the related amendment will be removed from the Codification and will not become effective. The Company is currently evaluating the impact of this ASU on its results of operations, cash flows, financial position, and disclosures.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BUSINESS ACQUISITIONS AND DIVESTITURES</w:t>
      </w:r>
    </w:p>
    <w:p>
      <w:pPr>
        <w:spacing w:after="0" w:line="198" w:lineRule="exact"/>
        <w:rPr>
          <w:sz w:val="20"/>
          <w:szCs w:val="20"/>
          <w:color w:val="auto"/>
        </w:rPr>
      </w:pPr>
    </w:p>
    <w:p>
      <w:pPr>
        <w:ind w:right="540" w:firstLine="324"/>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Amedisys, Inc. — </w:t>
      </w:r>
      <w:r>
        <w:rPr>
          <w:rFonts w:ascii="Times New Roman" w:cs="Times New Roman" w:eastAsia="Times New Roman" w:hAnsi="Times New Roman"/>
          <w:sz w:val="18"/>
          <w:szCs w:val="18"/>
          <w:color w:val="auto"/>
        </w:rPr>
        <w:t>On May 3, 2023, the Company entered into a definitive merger agreement with Amedisys. Under the terms of the merger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the Company would issue new shares of its common stock to Amedisys stockholders, which would result in the Company’s stockholders holding approximately 64.5% of the combined company.</w:t>
      </w:r>
    </w:p>
    <w:p>
      <w:pPr>
        <w:spacing w:after="0" w:line="134"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On June 26, 2023, the Company entered into an agreement to terminate the Amedisys Merger Agreement. Under the terms of the Mutual Termination Agreement, the Company received a payment of $106.0 million in cash on behalf of Amedisys. The Termination Fee is included in Other, net in the consolidated statements of comprehensive income and in Net cash provided by operating activities in the consolidated statements of cash flows.</w:t>
      </w:r>
    </w:p>
    <w:p>
      <w:pPr>
        <w:spacing w:after="0" w:line="135" w:lineRule="exact"/>
        <w:rPr>
          <w:sz w:val="20"/>
          <w:szCs w:val="20"/>
          <w:color w:val="auto"/>
        </w:rPr>
      </w:pPr>
    </w:p>
    <w:p>
      <w:pPr>
        <w:ind w:right="300" w:firstLine="324"/>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2023, the Company incurred $21.1 million in merger-related expenses, which are included in Other, net in the consolidated statements of comprehensive income and in Net cash provided by operating activities in the consolidated statements of cash flows.</w:t>
      </w:r>
    </w:p>
    <w:p>
      <w:pPr>
        <w:spacing w:after="0" w:line="131" w:lineRule="exact"/>
        <w:rPr>
          <w:sz w:val="20"/>
          <w:szCs w:val="20"/>
          <w:color w:val="auto"/>
        </w:rPr>
      </w:pPr>
    </w:p>
    <w:p>
      <w:pPr>
        <w:ind w:right="60" w:firstLine="324"/>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Revitalized, LLC — </w:t>
      </w:r>
      <w:r>
        <w:rPr>
          <w:rFonts w:ascii="Times New Roman" w:cs="Times New Roman" w:eastAsia="Times New Roman" w:hAnsi="Times New Roman"/>
          <w:sz w:val="18"/>
          <w:szCs w:val="18"/>
          <w:color w:val="auto"/>
        </w:rPr>
        <w:t>In May 2023, pursuant to the equity purchase agreement dated May 1, 2023, the Company completed the acquisition of 100%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membership interests in Revitalized, LLC for a purchase price, net of cash acquired, of $12.5 million, which primarily consisted of $6.7 million of goodwill and $5.5 million of intangible assets.</w:t>
      </w:r>
    </w:p>
    <w:p>
      <w:pPr>
        <w:spacing w:after="0" w:line="13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 xml:space="preserve">Respiratory Therapy Asset Sale — </w:t>
      </w:r>
      <w:r>
        <w:rPr>
          <w:rFonts w:ascii="Times New Roman" w:cs="Times New Roman" w:eastAsia="Times New Roman" w:hAnsi="Times New Roman"/>
          <w:sz w:val="18"/>
          <w:szCs w:val="18"/>
          <w:color w:val="auto"/>
        </w:rPr>
        <w:t>The Company closed the transaction in December 2022, for a sale price of $18.4 million comprised of</w:t>
      </w:r>
    </w:p>
    <w:p>
      <w:pPr>
        <w:spacing w:after="0" w:line="31"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$14.7 million in proceeds received at the time of closing and $3.7 million recorded as a current asset which was paid in the year ended December 31, 2023. Pursuant to the final transaction terms, $8.8 million of assets were sold, along with $0.7 million of liabilities that were previously classified as held for sale at the lower of their carrying amount or fair values less cost to sell. As a result of the transaction, a $10.3 million pre-tax gain on sale was recorded within Other, net in the Company’s consolidated statements of comprehensive income within the year ended December 31, 2022.</w:t>
      </w:r>
    </w:p>
    <w:p>
      <w:pPr>
        <w:spacing w:after="0" w:line="144" w:lineRule="exact"/>
        <w:rPr>
          <w:sz w:val="20"/>
          <w:szCs w:val="20"/>
          <w:color w:val="auto"/>
        </w:rPr>
      </w:pPr>
    </w:p>
    <w:p>
      <w:pPr>
        <w:ind w:right="520"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Rochester Home Infusion, Inc. — </w:t>
      </w:r>
      <w:r>
        <w:rPr>
          <w:rFonts w:ascii="Times New Roman" w:cs="Times New Roman" w:eastAsia="Times New Roman" w:hAnsi="Times New Roman"/>
          <w:sz w:val="18"/>
          <w:szCs w:val="18"/>
          <w:color w:val="auto"/>
        </w:rPr>
        <w:t>In August 2022, pursuant to the stock purchase agreement dated June 10, 2022, the Company completed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acquisition of 100% of the equity interests in Rochester Home Infusion, Inc. (“RHI”) for a purchase price, net of cash acquired, of $27.4 million.</w:t>
      </w:r>
    </w:p>
    <w:p>
      <w:pPr>
        <w:spacing w:after="0" w:line="128" w:lineRule="exact"/>
        <w:rPr>
          <w:sz w:val="20"/>
          <w:szCs w:val="20"/>
          <w:color w:val="auto"/>
        </w:rPr>
      </w:pPr>
    </w:p>
    <w:p>
      <w:pPr>
        <w:ind w:right="460" w:firstLine="324"/>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Specialty Pharmacy Nursing Network, Inc. — </w:t>
      </w:r>
      <w:r>
        <w:rPr>
          <w:rFonts w:ascii="Times New Roman" w:cs="Times New Roman" w:eastAsia="Times New Roman" w:hAnsi="Times New Roman"/>
          <w:sz w:val="18"/>
          <w:szCs w:val="18"/>
          <w:color w:val="auto"/>
        </w:rPr>
        <w:t>In April 2022, pursuant to the equity purchase agreement dated February 7, 2022,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completed the acquisition of 100% of the equity interests in Specialty Pharmacy Nursing Network, Inc. (“SPNN”) for a purchase price, net of cash acquired, of $59.9 million.</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REVENUE</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the net revenue earned by category of payer for the years ended December 31, 2024, 2023 and 2022 (in thousands):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740" w:type="dxa"/>
            <w:vAlign w:val="bottom"/>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gridSpan w:val="4"/>
          </w:tcPr>
          <w:p>
            <w:pPr>
              <w:ind w:left="10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r>
      <w:tr>
        <w:trPr>
          <w:trHeight w:val="211"/>
        </w:trPr>
        <w:tc>
          <w:tcPr>
            <w:tcW w:w="574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7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11"/>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Commercial payers</w:t>
            </w:r>
          </w:p>
        </w:tc>
        <w:tc>
          <w:tcPr>
            <w:tcW w:w="1040" w:type="dxa"/>
            <w:vAlign w:val="bottom"/>
            <w:shd w:val="clear" w:color="auto" w:fill="CCEEFF"/>
          </w:tcPr>
          <w:p>
            <w:pPr>
              <w:jc w:val="right"/>
              <w:ind w:right="85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4,348,991</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3,747,568</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3,421,888</w:t>
            </w:r>
          </w:p>
        </w:tc>
      </w:tr>
      <w:tr>
        <w:trPr>
          <w:trHeight w:val="213"/>
        </w:trPr>
        <w:tc>
          <w:tcPr>
            <w:tcW w:w="5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Government payers</w:t>
            </w:r>
          </w:p>
        </w:tc>
        <w:tc>
          <w:tcPr>
            <w:tcW w:w="10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584,271</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500,891</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477,818</w:t>
            </w:r>
          </w:p>
        </w:tc>
      </w:tr>
      <w:tr>
        <w:trPr>
          <w:trHeight w:val="219"/>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Patients</w:t>
            </w:r>
          </w:p>
        </w:tc>
        <w:tc>
          <w:tcPr>
            <w:tcW w:w="104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64,940</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53,865</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45,029</w:t>
            </w:r>
          </w:p>
        </w:tc>
      </w:tr>
      <w:tr>
        <w:trPr>
          <w:trHeight w:val="210"/>
        </w:trPr>
        <w:tc>
          <w:tcPr>
            <w:tcW w:w="5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revenue</w:t>
            </w:r>
          </w:p>
        </w:tc>
        <w:tc>
          <w:tcPr>
            <w:tcW w:w="1040" w:type="dxa"/>
            <w:vAlign w:val="bottom"/>
            <w:tcBorders>
              <w:bottom w:val="single" w:sz="8" w:color="auto"/>
            </w:tcBorders>
          </w:tcPr>
          <w:p>
            <w:pPr>
              <w:jc w:val="right"/>
              <w:ind w:right="85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4,998,202</w:t>
            </w:r>
          </w:p>
        </w:tc>
        <w:tc>
          <w:tcPr>
            <w:tcW w:w="100" w:type="dxa"/>
            <w:vAlign w:val="bottom"/>
          </w:tcPr>
          <w:p>
            <w:pPr>
              <w:spacing w:after="0"/>
              <w:rPr>
                <w:sz w:val="18"/>
                <w:szCs w:val="18"/>
                <w:color w:val="auto"/>
              </w:rPr>
            </w:pPr>
          </w:p>
        </w:tc>
        <w:tc>
          <w:tcPr>
            <w:tcW w:w="4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4,302,324</w:t>
            </w:r>
          </w:p>
        </w:tc>
        <w:tc>
          <w:tcPr>
            <w:tcW w:w="120" w:type="dxa"/>
            <w:vAlign w:val="bottom"/>
          </w:tcPr>
          <w:p>
            <w:pPr>
              <w:spacing w:after="0"/>
              <w:rPr>
                <w:sz w:val="18"/>
                <w:szCs w:val="18"/>
                <w:color w:val="auto"/>
              </w:rPr>
            </w:pPr>
          </w:p>
        </w:tc>
        <w:tc>
          <w:tcPr>
            <w:tcW w:w="4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3,944,735</w:t>
            </w:r>
          </w:p>
        </w:tc>
      </w:tr>
      <w:tr>
        <w:trPr>
          <w:trHeight w:val="20"/>
        </w:trPr>
        <w:tc>
          <w:tcPr>
            <w:tcW w:w="57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EMPLOYEE BENEFIT PLANS</w:t>
      </w:r>
    </w:p>
    <w:p>
      <w:pPr>
        <w:spacing w:after="0" w:line="189" w:lineRule="exact"/>
        <w:rPr>
          <w:sz w:val="20"/>
          <w:szCs w:val="20"/>
          <w:color w:val="auto"/>
        </w:rPr>
      </w:pPr>
    </w:p>
    <w:p>
      <w:pPr>
        <w:ind w:right="280" w:firstLine="324"/>
        <w:spacing w:after="0" w:line="261" w:lineRule="auto"/>
        <w:rPr>
          <w:sz w:val="20"/>
          <w:szCs w:val="20"/>
          <w:color w:val="auto"/>
        </w:rPr>
      </w:pPr>
      <w:r>
        <w:rPr>
          <w:rFonts w:ascii="Times New Roman" w:cs="Times New Roman" w:eastAsia="Times New Roman" w:hAnsi="Times New Roman"/>
          <w:sz w:val="18"/>
          <w:szCs w:val="18"/>
          <w:color w:val="auto"/>
        </w:rPr>
        <w:t>The Company maintains a 401(k) plan and matches 100% of employee contributions, up to 4% of employee compensation. The Company recorded expense for the defined contribution plan of $13.3 million, $13.1 million and $12.2 million for the years ended December 31, 2024, 2023 and 2022, respectively. In the years ended December 31, 2024, 2023 and 2022, Company contributions of $13.3 million, $12.4 million and $11.8 million, respectively, were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INCOME TAXES</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income tax expense (benefit) consists of the following for the years ended December 31, 2024, 2023 and 2022 (in thousands):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74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gridSpan w:val="4"/>
          </w:tcPr>
          <w:p>
            <w:pPr>
              <w:ind w:left="10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r>
      <w:tr>
        <w:trPr>
          <w:trHeight w:val="211"/>
        </w:trPr>
        <w:tc>
          <w:tcPr>
            <w:tcW w:w="574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198"/>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U.S. federal income tax expense (benefit):</w:t>
            </w:r>
          </w:p>
        </w:tc>
        <w:tc>
          <w:tcPr>
            <w:tcW w:w="4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r>
      <w:tr>
        <w:trPr>
          <w:trHeight w:val="213"/>
        </w:trPr>
        <w:tc>
          <w:tcPr>
            <w:tcW w:w="5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Current</w:t>
            </w:r>
          </w:p>
        </w:tc>
        <w:tc>
          <w:tcPr>
            <w:tcW w:w="4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47,239</w:t>
            </w:r>
          </w:p>
        </w:tc>
        <w:tc>
          <w:tcPr>
            <w:tcW w:w="520" w:type="dxa"/>
            <w:vAlign w:val="bottom"/>
            <w:gridSpan w:val="2"/>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Pr>
          <w:p>
            <w:pPr>
              <w:ind w:left="840"/>
              <w:spacing w:after="0"/>
              <w:rPr>
                <w:sz w:val="20"/>
                <w:szCs w:val="20"/>
                <w:color w:val="auto"/>
              </w:rPr>
            </w:pPr>
            <w:r>
              <w:rPr>
                <w:rFonts w:ascii="Times New Roman" w:cs="Times New Roman" w:eastAsia="Times New Roman" w:hAnsi="Times New Roman"/>
                <w:sz w:val="16"/>
                <w:szCs w:val="16"/>
                <w:color w:val="auto"/>
              </w:rPr>
              <w:t>56,474</w:t>
            </w:r>
          </w:p>
        </w:tc>
        <w:tc>
          <w:tcPr>
            <w:tcW w:w="12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4,103</w:t>
            </w:r>
          </w:p>
        </w:tc>
      </w:tr>
      <w:tr>
        <w:trPr>
          <w:trHeight w:val="216"/>
        </w:trPr>
        <w:tc>
          <w:tcPr>
            <w:tcW w:w="5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Deferred</w:t>
            </w:r>
          </w:p>
        </w:tc>
        <w:tc>
          <w:tcPr>
            <w:tcW w:w="4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16,396</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18,739</w:t>
            </w:r>
          </w:p>
        </w:tc>
        <w:tc>
          <w:tcPr>
            <w:tcW w:w="1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38,810</w:t>
            </w:r>
          </w:p>
        </w:tc>
      </w:tr>
      <w:tr>
        <w:trPr>
          <w:trHeight w:val="209"/>
        </w:trPr>
        <w:tc>
          <w:tcPr>
            <w:tcW w:w="574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63,635</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ind w:left="840"/>
              <w:spacing w:after="0"/>
              <w:rPr>
                <w:sz w:val="20"/>
                <w:szCs w:val="20"/>
                <w:color w:val="auto"/>
              </w:rPr>
            </w:pPr>
            <w:r>
              <w:rPr>
                <w:rFonts w:ascii="Times New Roman" w:cs="Times New Roman" w:eastAsia="Times New Roman" w:hAnsi="Times New Roman"/>
                <w:sz w:val="16"/>
                <w:szCs w:val="16"/>
                <w:color w:val="auto"/>
              </w:rPr>
              <w:t>75,213</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42,913</w:t>
            </w:r>
          </w:p>
        </w:tc>
      </w:tr>
      <w:tr>
        <w:trPr>
          <w:trHeight w:val="199"/>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State income tax expense (benefit):</w:t>
            </w:r>
          </w:p>
        </w:tc>
        <w:tc>
          <w:tcPr>
            <w:tcW w:w="4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r>
      <w:tr>
        <w:trPr>
          <w:trHeight w:val="213"/>
        </w:trPr>
        <w:tc>
          <w:tcPr>
            <w:tcW w:w="5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Current</w:t>
            </w:r>
          </w:p>
        </w:tc>
        <w:tc>
          <w:tcPr>
            <w:tcW w:w="4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10,597</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ind w:left="840"/>
              <w:spacing w:after="0"/>
              <w:rPr>
                <w:sz w:val="20"/>
                <w:szCs w:val="20"/>
                <w:color w:val="auto"/>
              </w:rPr>
            </w:pPr>
            <w:r>
              <w:rPr>
                <w:rFonts w:ascii="Times New Roman" w:cs="Times New Roman" w:eastAsia="Times New Roman" w:hAnsi="Times New Roman"/>
                <w:sz w:val="16"/>
                <w:szCs w:val="16"/>
                <w:color w:val="auto"/>
              </w:rPr>
              <w:t>20,253</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9,182</w:t>
            </w:r>
          </w:p>
        </w:tc>
      </w:tr>
      <w:tr>
        <w:trPr>
          <w:trHeight w:val="216"/>
        </w:trPr>
        <w:tc>
          <w:tcPr>
            <w:tcW w:w="5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Deferred</w:t>
            </w:r>
          </w:p>
        </w:tc>
        <w:tc>
          <w:tcPr>
            <w:tcW w:w="4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(2,456)</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(3,814)</w:t>
            </w:r>
          </w:p>
        </w:tc>
        <w:tc>
          <w:tcPr>
            <w:tcW w:w="1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3,117</w:t>
            </w:r>
          </w:p>
        </w:tc>
      </w:tr>
      <w:tr>
        <w:trPr>
          <w:trHeight w:val="209"/>
        </w:trPr>
        <w:tc>
          <w:tcPr>
            <w:tcW w:w="574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8,141</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ind w:left="840"/>
              <w:spacing w:after="0"/>
              <w:rPr>
                <w:sz w:val="20"/>
                <w:szCs w:val="20"/>
                <w:color w:val="auto"/>
              </w:rPr>
            </w:pPr>
            <w:r>
              <w:rPr>
                <w:rFonts w:ascii="Times New Roman" w:cs="Times New Roman" w:eastAsia="Times New Roman" w:hAnsi="Times New Roman"/>
                <w:sz w:val="16"/>
                <w:szCs w:val="16"/>
                <w:color w:val="auto"/>
              </w:rPr>
              <w:t>16,439</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12,299</w:t>
            </w:r>
          </w:p>
        </w:tc>
      </w:tr>
      <w:tr>
        <w:trPr>
          <w:trHeight w:val="237"/>
        </w:trPr>
        <w:tc>
          <w:tcPr>
            <w:tcW w:w="5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income tax expense (benefit)</w:t>
            </w: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71,776</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91,652</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55,212</w:t>
            </w: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auto"/>
        </w:rPr>
        <w:t>The difference between the statutory federal income tax rate and the effective tax rate is as follows for the years ended December 31, 2024, 2023 and 2022:</w:t>
      </w:r>
    </w:p>
    <w:p>
      <w:pPr>
        <w:spacing w:after="0" w:line="164" w:lineRule="exact"/>
        <w:rPr>
          <w:sz w:val="20"/>
          <w:szCs w:val="20"/>
          <w:color w:val="auto"/>
        </w:rPr>
      </w:pPr>
    </w:p>
    <w:p>
      <w:pPr>
        <w:ind w:left="7540"/>
        <w:spacing w:after="0"/>
        <w:rPr>
          <w:sz w:val="20"/>
          <w:szCs w:val="20"/>
          <w:color w:val="auto"/>
        </w:rPr>
      </w:pPr>
      <w:r>
        <w:rPr>
          <w:rFonts w:ascii="Times New Roman" w:cs="Times New Roman" w:eastAsia="Times New Roman" w:hAnsi="Times New Roman"/>
          <w:sz w:val="16"/>
          <w:szCs w:val="16"/>
          <w:b w:val="1"/>
          <w:bCs w:val="1"/>
          <w:color w:val="auto"/>
        </w:rPr>
        <w:t>Year Ended December 31,</w:t>
      </w:r>
    </w:p>
    <w:p>
      <w:pPr>
        <w:spacing w:after="0" w:line="28" w:lineRule="exact"/>
        <w:rPr>
          <w:sz w:val="20"/>
          <w:szCs w:val="20"/>
          <w:color w:val="auto"/>
        </w:rPr>
      </w:pPr>
    </w:p>
    <w:tbl>
      <w:tblPr>
        <w:tblLayout w:type="fixed"/>
        <w:tblInd w:w="20" w:type="dxa"/>
        <w:tblCellMar>
          <w:top w:w="0" w:type="dxa"/>
          <w:left w:w="0" w:type="dxa"/>
          <w:bottom w:w="0" w:type="dxa"/>
          <w:right w:w="0" w:type="dxa"/>
        </w:tblCellMar>
      </w:tblPr>
      <w:tr>
        <w:trPr>
          <w:trHeight w:val="214"/>
        </w:trPr>
        <w:tc>
          <w:tcPr>
            <w:tcW w:w="5640" w:type="dxa"/>
            <w:vAlign w:val="bottom"/>
            <w:tcBorders>
              <w:bottom w:val="single" w:sz="8" w:color="CCEEFF"/>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1780" w:type="dxa"/>
            <w:vAlign w:val="bottom"/>
            <w:tcBorders>
              <w:top w:val="single" w:sz="8" w:color="auto"/>
              <w:bottom w:val="single" w:sz="8" w:color="auto"/>
            </w:tcBorders>
          </w:tcPr>
          <w:p>
            <w:pPr>
              <w:jc w:val="right"/>
              <w:ind w:right="65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top w:val="single" w:sz="8" w:color="auto"/>
              <w:bottom w:val="single" w:sz="8" w:color="CCEEFF"/>
            </w:tcBorders>
          </w:tcPr>
          <w:p>
            <w:pPr>
              <w:spacing w:after="0"/>
              <w:rPr>
                <w:sz w:val="18"/>
                <w:szCs w:val="18"/>
                <w:color w:val="auto"/>
              </w:rPr>
            </w:pPr>
          </w:p>
        </w:tc>
        <w:tc>
          <w:tcPr>
            <w:tcW w:w="1780" w:type="dxa"/>
            <w:vAlign w:val="bottom"/>
            <w:tcBorders>
              <w:top w:val="single" w:sz="8" w:color="auto"/>
              <w:bottom w:val="single" w:sz="8" w:color="auto"/>
            </w:tcBorders>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11"/>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U.S. federal statutory tax rate</w:t>
            </w:r>
          </w:p>
        </w:tc>
        <w:tc>
          <w:tcPr>
            <w:tcW w:w="1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21.0 %</w:t>
            </w:r>
          </w:p>
        </w:tc>
        <w:tc>
          <w:tcPr>
            <w:tcW w:w="12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21.0 %</w:t>
            </w:r>
          </w:p>
        </w:tc>
        <w:tc>
          <w:tcPr>
            <w:tcW w:w="10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21.0 %</w:t>
            </w:r>
          </w:p>
        </w:tc>
      </w:tr>
      <w:tr>
        <w:trPr>
          <w:trHeight w:val="213"/>
        </w:trPr>
        <w:tc>
          <w:tcPr>
            <w:tcW w:w="68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State and local income taxes net of federal tax benefit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3.5 %</w:t>
            </w:r>
          </w:p>
        </w:tc>
        <w:tc>
          <w:tcPr>
            <w:tcW w:w="12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4.8 %</w:t>
            </w:r>
          </w:p>
        </w:tc>
        <w:tc>
          <w:tcPr>
            <w:tcW w:w="10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5.0 %</w:t>
            </w:r>
          </w:p>
        </w:tc>
      </w:tr>
      <w:tr>
        <w:trPr>
          <w:trHeight w:val="219"/>
        </w:trPr>
        <w:tc>
          <w:tcPr>
            <w:tcW w:w="6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Valuation allowance</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1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0.0 %</w:t>
            </w:r>
          </w:p>
        </w:tc>
      </w:tr>
      <w:tr>
        <w:trPr>
          <w:trHeight w:val="213"/>
        </w:trPr>
        <w:tc>
          <w:tcPr>
            <w:tcW w:w="68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Share based compensation impacts</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1.2 %</w:t>
            </w:r>
          </w:p>
        </w:tc>
        <w:tc>
          <w:tcPr>
            <w:tcW w:w="12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0.7 %</w:t>
            </w:r>
          </w:p>
        </w:tc>
        <w:tc>
          <w:tcPr>
            <w:tcW w:w="10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0.4 %</w:t>
            </w:r>
          </w:p>
        </w:tc>
      </w:tr>
      <w:tr>
        <w:trPr>
          <w:trHeight w:val="216"/>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net</w:t>
            </w:r>
          </w:p>
        </w:tc>
        <w:tc>
          <w:tcPr>
            <w:tcW w:w="11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0.4 %</w:t>
            </w:r>
          </w:p>
        </w:tc>
        <w:tc>
          <w:tcPr>
            <w:tcW w:w="120" w:type="dxa"/>
            <w:vAlign w:val="bottom"/>
            <w:shd w:val="clear" w:color="auto" w:fill="CCEEFF"/>
          </w:tcPr>
          <w:p>
            <w:pPr>
              <w:spacing w:after="0"/>
              <w:rPr>
                <w:sz w:val="18"/>
                <w:szCs w:val="18"/>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0.5 %</w:t>
            </w:r>
          </w:p>
        </w:tc>
        <w:tc>
          <w:tcPr>
            <w:tcW w:w="100" w:type="dxa"/>
            <w:vAlign w:val="bottom"/>
            <w:shd w:val="clear" w:color="auto" w:fill="CCEEFF"/>
          </w:tcPr>
          <w:p>
            <w:pPr>
              <w:spacing w:after="0"/>
              <w:rPr>
                <w:sz w:val="18"/>
                <w:szCs w:val="18"/>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0.4 %</w:t>
            </w:r>
          </w:p>
        </w:tc>
      </w:tr>
      <w:tr>
        <w:trPr>
          <w:trHeight w:val="212"/>
        </w:trPr>
        <w:tc>
          <w:tcPr>
            <w:tcW w:w="68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Effective income tax rate</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25.3 %</w:t>
            </w:r>
          </w:p>
        </w:tc>
        <w:tc>
          <w:tcPr>
            <w:tcW w:w="12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25.5 %</w:t>
            </w:r>
          </w:p>
        </w:tc>
        <w:tc>
          <w:tcPr>
            <w:tcW w:w="10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26.8 %</w:t>
            </w:r>
          </w:p>
        </w:tc>
      </w:tr>
      <w:tr>
        <w:trPr>
          <w:trHeight w:val="20"/>
        </w:trPr>
        <w:tc>
          <w:tcPr>
            <w:tcW w:w="564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The Company recorded income tax expense of $71.8 million, $91.7 million, and $55.2 million, which represents an effective tax rate of 25.3%, 25.5%, and 26.8% for the years ended December 31, 2024, 2023, and 2022, respectively. In March 2024, the Company released $2.2 million of state valuation allowance. The variance in the Company’s effective tax rate of 25.3% for the year ended December 31, 2024 compared to the federal statutory rate of 21% is primarily attributable to the difference in state taxes, various non-deductible expenses, and a change in state valuation allowance. The variance in the Company’s effective tax rate of 25.3% and 25.5% for the years ended December 31, 2024 and 2023, respectively, is also primarily attributable to the difference in state taxes, various non-deductible expenses, and a change in state valuation allowance. The income tax expense for the year ended December 31, 2023 includes $21.8 million of tax expense related to the Termination Fee payment received on behalf of Amedisys, under the terms of the Mutual Termination Agreement, net of merger-related expenses. In September 2023, the Company released $5.8 million of state valuation allowance. The variance in the Company’s effective tax rate of 25.5% and 26.8% for the years ended December 31, 2023 and 2022, respectively, is primarily attributable to the difference in state taxes, various nondeductible expenses, and a change in state valuation allowance.</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components of deferred income tax assets and liabilities were as follows as of December 31, 2024 and 2023 (in thousands):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160" w:type="dxa"/>
            <w:vAlign w:val="bottom"/>
          </w:tcPr>
          <w:p>
            <w:pPr>
              <w:spacing w:after="0"/>
              <w:rPr>
                <w:sz w:val="18"/>
                <w:szCs w:val="18"/>
                <w:color w:val="auto"/>
              </w:rPr>
            </w:pPr>
          </w:p>
        </w:tc>
        <w:tc>
          <w:tcPr>
            <w:tcW w:w="160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199"/>
        </w:trPr>
        <w:tc>
          <w:tcPr>
            <w:tcW w:w="7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tax assets:</w:t>
            </w:r>
          </w:p>
        </w:tc>
        <w:tc>
          <w:tcPr>
            <w:tcW w:w="160" w:type="dxa"/>
            <w:vAlign w:val="bottom"/>
            <w:tcBorders>
              <w:top w:val="single" w:sz="8" w:color="auto"/>
            </w:tcBorders>
            <w:shd w:val="clear" w:color="auto" w:fill="CCEEFF"/>
          </w:tcPr>
          <w:p>
            <w:pPr>
              <w:spacing w:after="0"/>
              <w:rPr>
                <w:sz w:val="17"/>
                <w:szCs w:val="17"/>
                <w:color w:val="auto"/>
              </w:rPr>
            </w:pPr>
          </w:p>
        </w:tc>
        <w:tc>
          <w:tcPr>
            <w:tcW w:w="16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600" w:type="dxa"/>
            <w:vAlign w:val="bottom"/>
            <w:tcBorders>
              <w:top w:val="single" w:sz="8" w:color="auto"/>
            </w:tcBorders>
            <w:shd w:val="clear" w:color="auto" w:fill="CCEEFF"/>
          </w:tcPr>
          <w:p>
            <w:pPr>
              <w:spacing w:after="0"/>
              <w:rPr>
                <w:sz w:val="17"/>
                <w:szCs w:val="17"/>
                <w:color w:val="auto"/>
              </w:rPr>
            </w:pPr>
          </w:p>
        </w:tc>
      </w:tr>
      <w:tr>
        <w:trPr>
          <w:trHeight w:val="213"/>
        </w:trPr>
        <w:tc>
          <w:tcPr>
            <w:tcW w:w="76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Price concessions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8,053</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5,365</w:t>
            </w:r>
          </w:p>
        </w:tc>
      </w:tr>
      <w:tr>
        <w:trPr>
          <w:trHeight w:val="219"/>
        </w:trPr>
        <w:tc>
          <w:tcPr>
            <w:tcW w:w="7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Compensation and benefits</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6,166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7,609</w:t>
            </w:r>
          </w:p>
        </w:tc>
      </w:tr>
      <w:tr>
        <w:trPr>
          <w:trHeight w:val="213"/>
        </w:trPr>
        <w:tc>
          <w:tcPr>
            <w:tcW w:w="76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Interest limitation carryforward</w:t>
            </w: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5,768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13,802</w:t>
            </w:r>
          </w:p>
        </w:tc>
      </w:tr>
      <w:tr>
        <w:trPr>
          <w:trHeight w:val="219"/>
        </w:trPr>
        <w:tc>
          <w:tcPr>
            <w:tcW w:w="7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Operating lease liability</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23,880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26,378</w:t>
            </w:r>
          </w:p>
        </w:tc>
      </w:tr>
      <w:tr>
        <w:trPr>
          <w:trHeight w:val="213"/>
        </w:trPr>
        <w:tc>
          <w:tcPr>
            <w:tcW w:w="76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Net operating losses</w:t>
            </w: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50,860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56,980</w:t>
            </w:r>
          </w:p>
        </w:tc>
      </w:tr>
      <w:tr>
        <w:trPr>
          <w:trHeight w:val="219"/>
        </w:trPr>
        <w:tc>
          <w:tcPr>
            <w:tcW w:w="7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Other</w:t>
            </w:r>
          </w:p>
        </w:tc>
        <w:tc>
          <w:tcPr>
            <w:tcW w:w="1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12,676</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7,556</w:t>
            </w:r>
          </w:p>
        </w:tc>
      </w:tr>
      <w:tr>
        <w:trPr>
          <w:trHeight w:val="207"/>
        </w:trPr>
        <w:tc>
          <w:tcPr>
            <w:tcW w:w="76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Deferred tax assets before valuation allowance</w:t>
            </w:r>
          </w:p>
        </w:tc>
        <w:tc>
          <w:tcPr>
            <w:tcW w:w="16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107,403</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117,690</w:t>
            </w:r>
          </w:p>
        </w:tc>
      </w:tr>
      <w:tr>
        <w:trPr>
          <w:trHeight w:val="219"/>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Valuation allowance</w:t>
            </w:r>
          </w:p>
        </w:tc>
        <w:tc>
          <w:tcPr>
            <w:tcW w:w="1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(3,337)</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(6,371)</w:t>
            </w:r>
          </w:p>
        </w:tc>
      </w:tr>
      <w:tr>
        <w:trPr>
          <w:trHeight w:val="207"/>
        </w:trPr>
        <w:tc>
          <w:tcPr>
            <w:tcW w:w="76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Deferred tax assets net of valuation allowance</w:t>
            </w:r>
          </w:p>
        </w:tc>
        <w:tc>
          <w:tcPr>
            <w:tcW w:w="16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104,066</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111,319</w:t>
            </w:r>
          </w:p>
        </w:tc>
      </w:tr>
      <w:tr>
        <w:trPr>
          <w:trHeight w:val="239"/>
        </w:trPr>
        <w:tc>
          <w:tcPr>
            <w:tcW w:w="76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r>
      <w:tr>
        <w:trPr>
          <w:trHeight w:val="213"/>
        </w:trPr>
        <w:tc>
          <w:tcPr>
            <w:tcW w:w="7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tax liabilities:</w:t>
            </w:r>
          </w:p>
        </w:tc>
        <w:tc>
          <w:tcPr>
            <w:tcW w:w="1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19"/>
        </w:trPr>
        <w:tc>
          <w:tcPr>
            <w:tcW w:w="7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Accelerated depreciation</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(12,630)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(8,882)</w:t>
            </w:r>
          </w:p>
        </w:tc>
      </w:tr>
      <w:tr>
        <w:trPr>
          <w:trHeight w:val="213"/>
        </w:trPr>
        <w:tc>
          <w:tcPr>
            <w:tcW w:w="76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Operating lease right-of-use asset</w:t>
            </w: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(18,883)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(21,504)</w:t>
            </w:r>
          </w:p>
        </w:tc>
      </w:tr>
      <w:tr>
        <w:trPr>
          <w:trHeight w:val="219"/>
        </w:trPr>
        <w:tc>
          <w:tcPr>
            <w:tcW w:w="7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Intangible assets</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(48,412)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(52,502)</w:t>
            </w:r>
          </w:p>
        </w:tc>
      </w:tr>
      <w:tr>
        <w:trPr>
          <w:trHeight w:val="213"/>
        </w:trPr>
        <w:tc>
          <w:tcPr>
            <w:tcW w:w="76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Goodwill</w:t>
            </w: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(59,303)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(52,188)</w:t>
            </w:r>
          </w:p>
        </w:tc>
      </w:tr>
      <w:tr>
        <w:trPr>
          <w:trHeight w:val="219"/>
        </w:trPr>
        <w:tc>
          <w:tcPr>
            <w:tcW w:w="7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w:t>
            </w:r>
          </w:p>
        </w:tc>
        <w:tc>
          <w:tcPr>
            <w:tcW w:w="1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(12,414)</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(11,163)</w:t>
            </w:r>
          </w:p>
        </w:tc>
      </w:tr>
      <w:tr>
        <w:trPr>
          <w:trHeight w:val="207"/>
        </w:trPr>
        <w:tc>
          <w:tcPr>
            <w:tcW w:w="76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Deferred tax liabilities</w:t>
            </w:r>
          </w:p>
        </w:tc>
        <w:tc>
          <w:tcPr>
            <w:tcW w:w="16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(151,642)</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(146,239)</w:t>
            </w:r>
          </w:p>
        </w:tc>
      </w:tr>
      <w:tr>
        <w:trPr>
          <w:trHeight w:val="237"/>
        </w:trPr>
        <w:tc>
          <w:tcPr>
            <w:tcW w:w="7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deferred tax liabilities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(47,576)</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(34,920)</w:t>
            </w: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Deferred tax assets are generally required to be reduced by a valuation allowance if it is more likely than not that some portion or all of the deferred tax assets will not be realized. For the year ended December 31, 2024, the Company maintains a valuation allowance of $3.3 million against certain state net operating losses (“NOL”). In assessing the realizability of deferred tax assets, the Company considers whether it is more likely than not that some or all the deferred tax assets will not be realized. The ultimate realization of deferred tax assets depends on the generation of future taxable income during the periods in which those temporary differences are deductible. The Company considers the scheduled reversal of deferred tax liabilities, including the effect in available carryback and carryforward periods, projected taxable income and tax-planning strategies, in making this assessment. On a quarterly basis, the Company evaluates all positive and negative evidence in determining if the valuation allowance is fairly stated.</w:t>
      </w:r>
    </w:p>
    <w:p>
      <w:pPr>
        <w:spacing w:after="0" w:line="148" w:lineRule="exact"/>
        <w:rPr>
          <w:sz w:val="20"/>
          <w:szCs w:val="20"/>
          <w:color w:val="auto"/>
        </w:rPr>
      </w:pPr>
    </w:p>
    <w:p>
      <w:pPr>
        <w:ind w:right="100" w:firstLine="324"/>
        <w:spacing w:after="0" w:line="256" w:lineRule="auto"/>
        <w:rPr>
          <w:sz w:val="20"/>
          <w:szCs w:val="20"/>
          <w:color w:val="auto"/>
        </w:rPr>
      </w:pPr>
      <w:r>
        <w:rPr>
          <w:rFonts w:ascii="Times New Roman" w:cs="Times New Roman" w:eastAsia="Times New Roman" w:hAnsi="Times New Roman"/>
          <w:sz w:val="18"/>
          <w:szCs w:val="18"/>
          <w:color w:val="auto"/>
        </w:rPr>
        <w:t>At December 31, 2024, the Company had $35.6 million of tax-effected federal NOL carryforwards all of which are currently available to offset future taxable income in the United States and reflected as a deferred tax asset of the company. Tax-effected federal NOL carryforwards of $24.6 million expire beginning in 2028 through 2036, and $11.0 million of tax-effected federal NOLs have an indefinite carryforward period. At December 31, 2024, the Company had $5.8 million tax-effected amounts of interest limitation carryforwards which have an indefinite carryforward period. At December 31, 2024, the Company also had $15.3 million tax-effected amounts of cumulative state NOL carryforwards available to offset future taxable income in various states. These state NOL carryforwards will begin to expire beginning in 2025 through 2043, with some having an indefinite carryforward period.</w:t>
      </w:r>
    </w:p>
    <w:p>
      <w:pPr>
        <w:spacing w:after="0" w:line="160" w:lineRule="exact"/>
        <w:rPr>
          <w:sz w:val="20"/>
          <w:szCs w:val="20"/>
          <w:color w:val="auto"/>
        </w:rPr>
      </w:pPr>
    </w:p>
    <w:p>
      <w:pPr>
        <w:ind w:right="500" w:firstLine="324"/>
        <w:spacing w:after="0" w:line="282" w:lineRule="auto"/>
        <w:rPr>
          <w:sz w:val="20"/>
          <w:szCs w:val="20"/>
          <w:color w:val="auto"/>
        </w:rPr>
      </w:pPr>
      <w:r>
        <w:rPr>
          <w:rFonts w:ascii="Times New Roman" w:cs="Times New Roman" w:eastAsia="Times New Roman" w:hAnsi="Times New Roman"/>
          <w:sz w:val="18"/>
          <w:szCs w:val="18"/>
          <w:color w:val="auto"/>
        </w:rPr>
        <w:t>At December 31, 2024, 2023 and 2022, there were no unrecognized tax benefits for uncertain tax positions. Tax related interest and penalties are classified as a component of income tax expense.</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following table presents the valuation allowance for deferred tax assets for the years ended December 31, 2024, 2023 and 2022 (in thousands):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560" w:type="dxa"/>
            <w:vAlign w:val="bottom"/>
            <w:gridSpan w:val="5"/>
          </w:tcPr>
          <w:p>
            <w:pPr>
              <w:ind w:left="1320"/>
              <w:spacing w:after="0"/>
              <w:rPr>
                <w:sz w:val="20"/>
                <w:szCs w:val="20"/>
                <w:color w:val="auto"/>
              </w:rPr>
            </w:pPr>
            <w:r>
              <w:rPr>
                <w:rFonts w:ascii="Times New Roman" w:cs="Times New Roman" w:eastAsia="Times New Roman" w:hAnsi="Times New Roman"/>
                <w:sz w:val="16"/>
                <w:szCs w:val="16"/>
                <w:b w:val="1"/>
                <w:bCs w:val="1"/>
                <w:color w:val="auto"/>
              </w:rPr>
              <w:t>Additions</w:t>
            </w:r>
          </w:p>
        </w:tc>
        <w:tc>
          <w:tcPr>
            <w:tcW w:w="1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394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1840" w:type="dxa"/>
            <w:vAlign w:val="bottom"/>
            <w:gridSpan w:val="3"/>
          </w:tcPr>
          <w:p>
            <w:pPr>
              <w:jc w:val="center"/>
              <w:ind w:right="120"/>
              <w:spacing w:after="0" w:line="161" w:lineRule="exact"/>
              <w:rPr>
                <w:sz w:val="20"/>
                <w:szCs w:val="20"/>
                <w:color w:val="auto"/>
              </w:rPr>
            </w:pPr>
            <w:r>
              <w:rPr>
                <w:rFonts w:ascii="Times New Roman" w:cs="Times New Roman" w:eastAsia="Times New Roman" w:hAnsi="Times New Roman"/>
                <w:sz w:val="16"/>
                <w:szCs w:val="16"/>
                <w:b w:val="1"/>
                <w:bCs w:val="1"/>
                <w:color w:val="auto"/>
              </w:rPr>
              <w:t>Balance at Beginning of</w:t>
            </w:r>
          </w:p>
        </w:tc>
        <w:tc>
          <w:tcPr>
            <w:tcW w:w="140" w:type="dxa"/>
            <w:vAlign w:val="bottom"/>
            <w:tcBorders>
              <w:top w:val="single" w:sz="8" w:color="auto"/>
            </w:tcBorders>
          </w:tcPr>
          <w:p>
            <w:pPr>
              <w:spacing w:after="0"/>
              <w:rPr>
                <w:sz w:val="14"/>
                <w:szCs w:val="14"/>
                <w:color w:val="auto"/>
              </w:rPr>
            </w:pPr>
          </w:p>
        </w:tc>
        <w:tc>
          <w:tcPr>
            <w:tcW w:w="1720" w:type="dxa"/>
            <w:vAlign w:val="bottom"/>
            <w:tcBorders>
              <w:top w:val="single" w:sz="8" w:color="auto"/>
            </w:tcBorders>
            <w:gridSpan w:val="2"/>
          </w:tcPr>
          <w:p>
            <w:pPr>
              <w:jc w:val="center"/>
              <w:ind w:right="260"/>
              <w:spacing w:after="0" w:line="161" w:lineRule="exact"/>
              <w:rPr>
                <w:sz w:val="20"/>
                <w:szCs w:val="20"/>
                <w:color w:val="auto"/>
              </w:rPr>
            </w:pPr>
            <w:r>
              <w:rPr>
                <w:rFonts w:ascii="Times New Roman" w:cs="Times New Roman" w:eastAsia="Times New Roman" w:hAnsi="Times New Roman"/>
                <w:sz w:val="16"/>
                <w:szCs w:val="16"/>
                <w:b w:val="1"/>
                <w:bCs w:val="1"/>
                <w:color w:val="auto"/>
              </w:rPr>
              <w:t>Charged (Benefit) to</w:t>
            </w:r>
          </w:p>
        </w:tc>
        <w:tc>
          <w:tcPr>
            <w:tcW w:w="120" w:type="dxa"/>
            <w:vAlign w:val="bottom"/>
            <w:tcBorders>
              <w:top w:val="single" w:sz="8" w:color="auto"/>
            </w:tcBorders>
          </w:tcPr>
          <w:p>
            <w:pPr>
              <w:spacing w:after="0"/>
              <w:rPr>
                <w:sz w:val="14"/>
                <w:szCs w:val="14"/>
                <w:color w:val="auto"/>
              </w:rPr>
            </w:pPr>
          </w:p>
        </w:tc>
        <w:tc>
          <w:tcPr>
            <w:tcW w:w="1620" w:type="dxa"/>
            <w:vAlign w:val="bottom"/>
            <w:tcBorders>
              <w:top w:val="single" w:sz="8" w:color="auto"/>
            </w:tcBorders>
          </w:tcPr>
          <w:p>
            <w:pPr>
              <w:jc w:val="center"/>
              <w:ind w:right="39"/>
              <w:spacing w:after="0" w:line="161" w:lineRule="exact"/>
              <w:rPr>
                <w:sz w:val="20"/>
                <w:szCs w:val="20"/>
                <w:color w:val="auto"/>
              </w:rPr>
            </w:pPr>
            <w:r>
              <w:rPr>
                <w:rFonts w:ascii="Times New Roman" w:cs="Times New Roman" w:eastAsia="Times New Roman" w:hAnsi="Times New Roman"/>
                <w:sz w:val="16"/>
                <w:szCs w:val="16"/>
                <w:b w:val="1"/>
                <w:bCs w:val="1"/>
                <w:color w:val="auto"/>
              </w:rPr>
              <w:t>Charged (Benefit) to</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80" w:type="dxa"/>
            <w:vAlign w:val="bottom"/>
          </w:tcPr>
          <w:p>
            <w:pPr>
              <w:jc w:val="right"/>
              <w:ind w:right="179"/>
              <w:spacing w:after="0" w:line="161" w:lineRule="exact"/>
              <w:rPr>
                <w:sz w:val="20"/>
                <w:szCs w:val="20"/>
                <w:color w:val="auto"/>
              </w:rPr>
            </w:pPr>
            <w:r>
              <w:rPr>
                <w:rFonts w:ascii="Times New Roman" w:cs="Times New Roman" w:eastAsia="Times New Roman" w:hAnsi="Times New Roman"/>
                <w:sz w:val="16"/>
                <w:szCs w:val="16"/>
                <w:b w:val="1"/>
                <w:bCs w:val="1"/>
                <w:color w:val="auto"/>
              </w:rPr>
              <w:t>Balance at End of</w:t>
            </w:r>
          </w:p>
        </w:tc>
        <w:tc>
          <w:tcPr>
            <w:tcW w:w="0" w:type="dxa"/>
            <w:vAlign w:val="bottom"/>
          </w:tcPr>
          <w:p>
            <w:pPr>
              <w:spacing w:after="0"/>
              <w:rPr>
                <w:sz w:val="1"/>
                <w:szCs w:val="1"/>
                <w:color w:val="auto"/>
              </w:rPr>
            </w:pPr>
          </w:p>
        </w:tc>
      </w:tr>
      <w:tr>
        <w:trPr>
          <w:trHeight w:val="214"/>
        </w:trPr>
        <w:tc>
          <w:tcPr>
            <w:tcW w:w="3940" w:type="dxa"/>
            <w:vAlign w:val="bottom"/>
            <w:gridSpan w:val="2"/>
            <w:vMerge w:val="continue"/>
          </w:tcPr>
          <w:p>
            <w:pPr>
              <w:spacing w:after="0"/>
              <w:rPr>
                <w:sz w:val="18"/>
                <w:szCs w:val="18"/>
                <w:color w:val="auto"/>
              </w:rPr>
            </w:pPr>
          </w:p>
        </w:tc>
        <w:tc>
          <w:tcPr>
            <w:tcW w:w="360" w:type="dxa"/>
            <w:vAlign w:val="bottom"/>
          </w:tcPr>
          <w:p>
            <w:pPr>
              <w:spacing w:after="0"/>
              <w:rPr>
                <w:sz w:val="18"/>
                <w:szCs w:val="18"/>
                <w:color w:val="auto"/>
              </w:rPr>
            </w:pPr>
          </w:p>
        </w:tc>
        <w:tc>
          <w:tcPr>
            <w:tcW w:w="1480" w:type="dxa"/>
            <w:vAlign w:val="bottom"/>
            <w:gridSpan w:val="2"/>
          </w:tcPr>
          <w:p>
            <w:pPr>
              <w:jc w:val="center"/>
              <w:ind w:right="460"/>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140" w:type="dxa"/>
            <w:vAlign w:val="bottom"/>
          </w:tcPr>
          <w:p>
            <w:pPr>
              <w:spacing w:after="0"/>
              <w:rPr>
                <w:sz w:val="18"/>
                <w:szCs w:val="18"/>
                <w:color w:val="auto"/>
              </w:rPr>
            </w:pPr>
          </w:p>
        </w:tc>
        <w:tc>
          <w:tcPr>
            <w:tcW w:w="17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Costs and Expenses</w:t>
            </w:r>
          </w:p>
        </w:tc>
        <w:tc>
          <w:tcPr>
            <w:tcW w:w="120" w:type="dxa"/>
            <w:vAlign w:val="bottom"/>
          </w:tcPr>
          <w:p>
            <w:pPr>
              <w:spacing w:after="0"/>
              <w:rPr>
                <w:sz w:val="18"/>
                <w:szCs w:val="18"/>
                <w:color w:val="auto"/>
              </w:rPr>
            </w:pPr>
          </w:p>
        </w:tc>
        <w:tc>
          <w:tcPr>
            <w:tcW w:w="17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Other Accounts</w:t>
            </w:r>
          </w:p>
        </w:tc>
        <w:tc>
          <w:tcPr>
            <w:tcW w:w="180" w:type="dxa"/>
            <w:vAlign w:val="bottom"/>
          </w:tcPr>
          <w:p>
            <w:pPr>
              <w:spacing w:after="0"/>
              <w:rPr>
                <w:sz w:val="18"/>
                <w:szCs w:val="18"/>
                <w:color w:val="auto"/>
              </w:rPr>
            </w:pPr>
          </w:p>
        </w:tc>
        <w:tc>
          <w:tcPr>
            <w:tcW w:w="1580" w:type="dxa"/>
            <w:vAlign w:val="bottom"/>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0" w:type="dxa"/>
            <w:vAlign w:val="bottom"/>
          </w:tcPr>
          <w:p>
            <w:pPr>
              <w:spacing w:after="0"/>
              <w:rPr>
                <w:sz w:val="1"/>
                <w:szCs w:val="1"/>
                <w:color w:val="auto"/>
              </w:rPr>
            </w:pPr>
          </w:p>
        </w:tc>
      </w:tr>
      <w:tr>
        <w:trPr>
          <w:trHeight w:val="211"/>
        </w:trPr>
        <w:tc>
          <w:tcPr>
            <w:tcW w:w="38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2022: Valuation allowance for deferred tax assets</w:t>
            </w:r>
          </w:p>
        </w:tc>
        <w:tc>
          <w:tcPr>
            <w:tcW w:w="1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13,151</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top w:val="single" w:sz="8" w:color="auto"/>
            </w:tcBorders>
            <w:shd w:val="clear" w:color="auto" w:fill="CCEEFF"/>
          </w:tcPr>
          <w:p>
            <w:pPr>
              <w:ind w:left="13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13,056</w:t>
            </w:r>
          </w:p>
        </w:tc>
        <w:tc>
          <w:tcPr>
            <w:tcW w:w="0" w:type="dxa"/>
            <w:vAlign w:val="bottom"/>
          </w:tcPr>
          <w:p>
            <w:pPr>
              <w:spacing w:after="0"/>
              <w:rPr>
                <w:sz w:val="1"/>
                <w:szCs w:val="1"/>
                <w:color w:val="auto"/>
              </w:rPr>
            </w:pPr>
          </w:p>
        </w:tc>
      </w:tr>
      <w:tr>
        <w:trPr>
          <w:trHeight w:val="213"/>
        </w:trPr>
        <w:tc>
          <w:tcPr>
            <w:tcW w:w="39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2023: Valuation allowance for deferred tax assets</w:t>
            </w: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13,056</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(6,685)</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gridSpan w:val="2"/>
          </w:tcPr>
          <w:p>
            <w:pPr>
              <w:ind w:left="13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6,371</w:t>
            </w:r>
          </w:p>
        </w:tc>
        <w:tc>
          <w:tcPr>
            <w:tcW w:w="0" w:type="dxa"/>
            <w:vAlign w:val="bottom"/>
          </w:tcPr>
          <w:p>
            <w:pPr>
              <w:spacing w:after="0"/>
              <w:rPr>
                <w:sz w:val="1"/>
                <w:szCs w:val="1"/>
                <w:color w:val="auto"/>
              </w:rPr>
            </w:pPr>
          </w:p>
        </w:tc>
      </w:tr>
      <w:tr>
        <w:trPr>
          <w:trHeight w:val="219"/>
        </w:trPr>
        <w:tc>
          <w:tcPr>
            <w:tcW w:w="3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2024: Valuation allowance for deferred tax assets</w:t>
            </w: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6,371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(3,034)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gridSpan w:val="2"/>
            <w:shd w:val="clear" w:color="auto" w:fill="CCEEFF"/>
          </w:tcPr>
          <w:p>
            <w:pPr>
              <w:ind w:left="13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3,337</w:t>
            </w:r>
          </w:p>
        </w:tc>
        <w:tc>
          <w:tcPr>
            <w:tcW w:w="0" w:type="dxa"/>
            <w:vAlign w:val="bottom"/>
          </w:tcPr>
          <w:p>
            <w:pPr>
              <w:spacing w:after="0"/>
              <w:rPr>
                <w:sz w:val="1"/>
                <w:szCs w:val="1"/>
                <w:color w:val="auto"/>
              </w:rPr>
            </w:pPr>
          </w:p>
        </w:tc>
      </w:tr>
    </w:tbl>
    <w:p>
      <w:pPr>
        <w:spacing w:after="0" w:line="252" w:lineRule="exact"/>
        <w:rPr>
          <w:sz w:val="20"/>
          <w:szCs w:val="20"/>
          <w:color w:val="auto"/>
        </w:rPr>
      </w:pPr>
    </w:p>
    <w:p>
      <w:pPr>
        <w:ind w:right="180" w:firstLine="324"/>
        <w:spacing w:after="0" w:line="266" w:lineRule="auto"/>
        <w:rPr>
          <w:sz w:val="20"/>
          <w:szCs w:val="20"/>
          <w:color w:val="auto"/>
        </w:rPr>
      </w:pPr>
      <w:r>
        <w:rPr>
          <w:rFonts w:ascii="Times New Roman" w:cs="Times New Roman" w:eastAsia="Times New Roman" w:hAnsi="Times New Roman"/>
          <w:sz w:val="18"/>
          <w:szCs w:val="18"/>
          <w:color w:val="auto"/>
        </w:rPr>
        <w:t>The company files income tax returns in the U.S. and various state and local jurisdictions. There are no ongoing Federal or state income tax audits as of December 31, 2024. The statute remains open for examination by the Internal Revenue Service beginning with year 2021 in state jurisdictions for periods beginning in 2020.</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EARNINGS PER SHARE</w:t>
      </w:r>
    </w:p>
    <w:p>
      <w:pPr>
        <w:spacing w:after="0" w:line="189"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The Company presents basic and diluted earnings per share for its common stock. Basic earnings per share is calculated by dividing the net income of the Company by the weighted average number of shares of common stock outstanding during the period. Diluted earnings per share is determined by adjusting the profit or loss and the weighted average number of shares of common stock outstanding for the effects of all potentially dilutive securities.</w:t>
      </w:r>
    </w:p>
    <w:p>
      <w:pPr>
        <w:spacing w:after="0" w:line="135"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The earnings are used as the basis of determining whether the inclusion of common stock equivalents would be anti-dilutive. The computation of diluted shares for the years ended December 31, 2024, 2023 and 2022 includes the effect of shares that would be issued in connection with warrants, stock options, restricted stock awards and performance stock unit awards, as these common stock equivalents are dilutive to the earnings per share.</w:t>
      </w:r>
    </w:p>
    <w:p>
      <w:pPr>
        <w:spacing w:after="0" w:line="149"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Company’s common stock equivalents that were excluded from the calculation of earnings per share as they would be anti-dilutive:</w:t>
      </w:r>
    </w:p>
    <w:p>
      <w:pPr>
        <w:spacing w:after="0" w:line="164" w:lineRule="exact"/>
        <w:rPr>
          <w:sz w:val="20"/>
          <w:szCs w:val="20"/>
          <w:color w:val="auto"/>
        </w:rPr>
      </w:pPr>
    </w:p>
    <w:p>
      <w:pPr>
        <w:ind w:left="7600"/>
        <w:spacing w:after="0"/>
        <w:rPr>
          <w:sz w:val="20"/>
          <w:szCs w:val="20"/>
          <w:color w:val="auto"/>
        </w:rPr>
      </w:pPr>
      <w:r>
        <w:rPr>
          <w:rFonts w:ascii="Times New Roman" w:cs="Times New Roman" w:eastAsia="Times New Roman" w:hAnsi="Times New Roman"/>
          <w:sz w:val="16"/>
          <w:szCs w:val="16"/>
          <w:b w:val="1"/>
          <w:bCs w:val="1"/>
          <w:color w:val="auto"/>
        </w:rPr>
        <w:t>Year Ended December 31,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5740" w:type="dxa"/>
            <w:vAlign w:val="bottom"/>
            <w:tcBorders>
              <w:bottom w:val="single" w:sz="8" w:color="CCEEFF"/>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6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1760" w:type="dxa"/>
            <w:vAlign w:val="bottom"/>
            <w:tcBorders>
              <w:top w:val="single" w:sz="8" w:color="auto"/>
              <w:bottom w:val="single" w:sz="8" w:color="auto"/>
            </w:tcBorders>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top w:val="single" w:sz="8" w:color="auto"/>
              <w:bottom w:val="single" w:sz="8" w:color="CCEEFF"/>
            </w:tcBorders>
          </w:tcPr>
          <w:p>
            <w:pPr>
              <w:spacing w:after="0"/>
              <w:rPr>
                <w:sz w:val="18"/>
                <w:szCs w:val="18"/>
                <w:color w:val="auto"/>
              </w:rPr>
            </w:pPr>
          </w:p>
        </w:tc>
        <w:tc>
          <w:tcPr>
            <w:tcW w:w="1760" w:type="dxa"/>
            <w:vAlign w:val="bottom"/>
            <w:tcBorders>
              <w:top w:val="single" w:sz="8" w:color="auto"/>
              <w:bottom w:val="single" w:sz="8" w:color="auto"/>
            </w:tcBorders>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11"/>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Warrants</w:t>
            </w:r>
          </w:p>
        </w:tc>
        <w:tc>
          <w:tcPr>
            <w:tcW w:w="1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68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Stock option awards</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854,545</w:t>
            </w:r>
          </w:p>
        </w:tc>
        <w:tc>
          <w:tcPr>
            <w:tcW w:w="10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1,214,560</w:t>
            </w:r>
          </w:p>
        </w:tc>
        <w:tc>
          <w:tcPr>
            <w:tcW w:w="12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629,690</w:t>
            </w:r>
          </w:p>
        </w:tc>
      </w:tr>
      <w:tr>
        <w:trPr>
          <w:trHeight w:val="219"/>
        </w:trPr>
        <w:tc>
          <w:tcPr>
            <w:tcW w:w="6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Restricted stock awards</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376,743</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340,331</w:t>
            </w:r>
          </w:p>
        </w:tc>
        <w:tc>
          <w:tcPr>
            <w:tcW w:w="1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205,652</w:t>
            </w:r>
          </w:p>
        </w:tc>
      </w:tr>
      <w:tr>
        <w:trPr>
          <w:trHeight w:val="210"/>
        </w:trPr>
        <w:tc>
          <w:tcPr>
            <w:tcW w:w="68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Performance stock unit awards</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286,881</w:t>
            </w:r>
          </w:p>
        </w:tc>
        <w:tc>
          <w:tcPr>
            <w:tcW w:w="100" w:type="dxa"/>
            <w:vAlign w:val="bottom"/>
          </w:tcPr>
          <w:p>
            <w:pPr>
              <w:spacing w:after="0"/>
              <w:rPr>
                <w:sz w:val="18"/>
                <w:szCs w:val="18"/>
                <w:color w:val="auto"/>
              </w:rPr>
            </w:pPr>
          </w:p>
        </w:tc>
        <w:tc>
          <w:tcPr>
            <w:tcW w:w="18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tables present the Company’s basic and diluted earnings per share and shares outstanding (in thousands, except per share data):</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740" w:type="dxa"/>
            <w:vAlign w:val="bottom"/>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gridSpan w:val="4"/>
          </w:tcPr>
          <w:p>
            <w:pPr>
              <w:ind w:left="10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r>
      <w:tr>
        <w:trPr>
          <w:trHeight w:val="211"/>
        </w:trPr>
        <w:tc>
          <w:tcPr>
            <w:tcW w:w="574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6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11"/>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Numerator:</w:t>
            </w:r>
          </w:p>
        </w:tc>
        <w:tc>
          <w:tcPr>
            <w:tcW w:w="1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16"/>
        </w:trPr>
        <w:tc>
          <w:tcPr>
            <w:tcW w:w="5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income (1) (2)</w:t>
            </w:r>
          </w:p>
        </w:tc>
        <w:tc>
          <w:tcPr>
            <w:tcW w:w="1100" w:type="dxa"/>
            <w:vAlign w:val="bottom"/>
          </w:tcPr>
          <w:p>
            <w:pPr>
              <w:jc w:val="right"/>
              <w:ind w:right="91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211,823</w:t>
            </w:r>
          </w:p>
        </w:tc>
        <w:tc>
          <w:tcPr>
            <w:tcW w:w="520" w:type="dxa"/>
            <w:vAlign w:val="bottom"/>
            <w:gridSpan w:val="2"/>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267,090</w:t>
            </w:r>
          </w:p>
        </w:tc>
        <w:tc>
          <w:tcPr>
            <w:tcW w:w="12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150,556</w:t>
            </w:r>
          </w:p>
        </w:tc>
      </w:tr>
      <w:tr>
        <w:trPr>
          <w:trHeight w:val="20"/>
        </w:trPr>
        <w:tc>
          <w:tcPr>
            <w:tcW w:w="5740" w:type="dxa"/>
            <w:vAlign w:val="bottom"/>
            <w:tcBorders>
              <w:bottom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r>
        <w:trPr>
          <w:trHeight w:val="210"/>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Denominator:</w:t>
            </w:r>
          </w:p>
        </w:tc>
        <w:tc>
          <w:tcPr>
            <w:tcW w:w="1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16"/>
        </w:trPr>
        <w:tc>
          <w:tcPr>
            <w:tcW w:w="5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Weighted average number of common shares outstanding</w:t>
            </w:r>
          </w:p>
        </w:tc>
        <w:tc>
          <w:tcPr>
            <w:tcW w:w="1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171,567</w:t>
            </w:r>
          </w:p>
        </w:tc>
        <w:tc>
          <w:tcPr>
            <w:tcW w:w="1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178,973</w:t>
            </w:r>
          </w:p>
        </w:tc>
        <w:tc>
          <w:tcPr>
            <w:tcW w:w="1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181,105</w:t>
            </w:r>
          </w:p>
        </w:tc>
      </w:tr>
      <w:tr>
        <w:trPr>
          <w:trHeight w:val="20"/>
        </w:trPr>
        <w:tc>
          <w:tcPr>
            <w:tcW w:w="574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183"/>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Earnings per Common Share:</w:t>
            </w:r>
          </w:p>
        </w:tc>
        <w:tc>
          <w:tcPr>
            <w:tcW w:w="110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1340" w:type="dxa"/>
            <w:vAlign w:val="bottom"/>
            <w:tcBorders>
              <w:bottom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1360" w:type="dxa"/>
            <w:vAlign w:val="bottom"/>
            <w:tcBorders>
              <w:bottom w:val="single" w:sz="8" w:color="auto"/>
            </w:tcBorders>
            <w:shd w:val="clear" w:color="auto" w:fill="CCEEFF"/>
          </w:tcPr>
          <w:p>
            <w:pPr>
              <w:spacing w:after="0"/>
              <w:rPr>
                <w:sz w:val="15"/>
                <w:szCs w:val="15"/>
                <w:color w:val="auto"/>
              </w:rPr>
            </w:pPr>
          </w:p>
        </w:tc>
      </w:tr>
      <w:tr>
        <w:trPr>
          <w:trHeight w:val="210"/>
        </w:trPr>
        <w:tc>
          <w:tcPr>
            <w:tcW w:w="5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Earnings per common share, basic</w:t>
            </w:r>
          </w:p>
        </w:tc>
        <w:tc>
          <w:tcPr>
            <w:tcW w:w="1100" w:type="dxa"/>
            <w:vAlign w:val="bottom"/>
            <w:tcBorders>
              <w:bottom w:val="single" w:sz="8" w:color="auto"/>
            </w:tcBorders>
          </w:tcPr>
          <w:p>
            <w:pPr>
              <w:jc w:val="right"/>
              <w:ind w:right="91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1.23</w:t>
            </w:r>
          </w:p>
        </w:tc>
        <w:tc>
          <w:tcPr>
            <w:tcW w:w="100" w:type="dxa"/>
            <w:vAlign w:val="bottom"/>
          </w:tcPr>
          <w:p>
            <w:pPr>
              <w:spacing w:after="0"/>
              <w:rPr>
                <w:sz w:val="18"/>
                <w:szCs w:val="18"/>
                <w:color w:val="auto"/>
              </w:rPr>
            </w:pPr>
          </w:p>
        </w:tc>
        <w:tc>
          <w:tcPr>
            <w:tcW w:w="4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1.49</w:t>
            </w:r>
          </w:p>
        </w:tc>
        <w:tc>
          <w:tcPr>
            <w:tcW w:w="120" w:type="dxa"/>
            <w:vAlign w:val="bottom"/>
          </w:tcPr>
          <w:p>
            <w:pPr>
              <w:spacing w:after="0"/>
              <w:rPr>
                <w:sz w:val="18"/>
                <w:szCs w:val="18"/>
                <w:color w:val="auto"/>
              </w:rPr>
            </w:pPr>
          </w:p>
        </w:tc>
        <w:tc>
          <w:tcPr>
            <w:tcW w:w="4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0.83</w:t>
            </w:r>
          </w:p>
        </w:tc>
      </w:tr>
      <w:tr>
        <w:trPr>
          <w:trHeight w:val="20"/>
        </w:trPr>
        <w:tc>
          <w:tcPr>
            <w:tcW w:w="57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740" w:type="dxa"/>
            <w:vAlign w:val="bottom"/>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gridSpan w:val="4"/>
          </w:tcPr>
          <w:p>
            <w:pPr>
              <w:ind w:left="10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r>
      <w:tr>
        <w:trPr>
          <w:trHeight w:val="211"/>
        </w:trPr>
        <w:tc>
          <w:tcPr>
            <w:tcW w:w="574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6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11"/>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Numerator:</w:t>
            </w:r>
          </w:p>
        </w:tc>
        <w:tc>
          <w:tcPr>
            <w:tcW w:w="1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16"/>
        </w:trPr>
        <w:tc>
          <w:tcPr>
            <w:tcW w:w="5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income (1) (2)</w:t>
            </w:r>
          </w:p>
        </w:tc>
        <w:tc>
          <w:tcPr>
            <w:tcW w:w="1100" w:type="dxa"/>
            <w:vAlign w:val="bottom"/>
          </w:tcPr>
          <w:p>
            <w:pPr>
              <w:jc w:val="right"/>
              <w:ind w:right="91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211,823</w:t>
            </w:r>
          </w:p>
        </w:tc>
        <w:tc>
          <w:tcPr>
            <w:tcW w:w="520" w:type="dxa"/>
            <w:vAlign w:val="bottom"/>
            <w:gridSpan w:val="2"/>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267,090</w:t>
            </w:r>
          </w:p>
        </w:tc>
        <w:tc>
          <w:tcPr>
            <w:tcW w:w="12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150,556</w:t>
            </w:r>
          </w:p>
        </w:tc>
      </w:tr>
      <w:tr>
        <w:trPr>
          <w:trHeight w:val="20"/>
        </w:trPr>
        <w:tc>
          <w:tcPr>
            <w:tcW w:w="5740" w:type="dxa"/>
            <w:vAlign w:val="bottom"/>
            <w:tcBorders>
              <w:bottom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r>
        <w:trPr>
          <w:trHeight w:val="210"/>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Denominator:</w:t>
            </w:r>
          </w:p>
        </w:tc>
        <w:tc>
          <w:tcPr>
            <w:tcW w:w="1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13"/>
        </w:trPr>
        <w:tc>
          <w:tcPr>
            <w:tcW w:w="5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Weighted average number of common shares outstanding</w:t>
            </w:r>
          </w:p>
        </w:tc>
        <w:tc>
          <w:tcPr>
            <w:tcW w:w="1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171,567</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178,973</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181,105</w:t>
            </w:r>
          </w:p>
        </w:tc>
      </w:tr>
      <w:tr>
        <w:trPr>
          <w:trHeight w:val="216"/>
        </w:trPr>
        <w:tc>
          <w:tcPr>
            <w:tcW w:w="5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Effect of dilutive securities</w:t>
            </w:r>
          </w:p>
        </w:tc>
        <w:tc>
          <w:tcPr>
            <w:tcW w:w="1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1,278</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1,402</w:t>
            </w:r>
          </w:p>
        </w:tc>
        <w:tc>
          <w:tcPr>
            <w:tcW w:w="1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970</w:t>
            </w:r>
          </w:p>
        </w:tc>
      </w:tr>
      <w:tr>
        <w:trPr>
          <w:trHeight w:val="212"/>
        </w:trPr>
        <w:tc>
          <w:tcPr>
            <w:tcW w:w="5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Weighted average number of common shares outstanding, diluted</w:t>
            </w:r>
          </w:p>
        </w:tc>
        <w:tc>
          <w:tcPr>
            <w:tcW w:w="1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172,845</w:t>
            </w:r>
          </w:p>
        </w:tc>
        <w:tc>
          <w:tcPr>
            <w:tcW w:w="1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180,375</w:t>
            </w:r>
          </w:p>
        </w:tc>
        <w:tc>
          <w:tcPr>
            <w:tcW w:w="1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182,075</w:t>
            </w:r>
          </w:p>
        </w:tc>
      </w:tr>
      <w:tr>
        <w:trPr>
          <w:trHeight w:val="20"/>
        </w:trPr>
        <w:tc>
          <w:tcPr>
            <w:tcW w:w="574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183"/>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Earnings per Common Share:</w:t>
            </w:r>
          </w:p>
        </w:tc>
        <w:tc>
          <w:tcPr>
            <w:tcW w:w="110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1340" w:type="dxa"/>
            <w:vAlign w:val="bottom"/>
            <w:tcBorders>
              <w:bottom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1360" w:type="dxa"/>
            <w:vAlign w:val="bottom"/>
            <w:tcBorders>
              <w:bottom w:val="single" w:sz="8" w:color="auto"/>
            </w:tcBorders>
            <w:shd w:val="clear" w:color="auto" w:fill="CCEEFF"/>
          </w:tcPr>
          <w:p>
            <w:pPr>
              <w:spacing w:after="0"/>
              <w:rPr>
                <w:sz w:val="15"/>
                <w:szCs w:val="15"/>
                <w:color w:val="auto"/>
              </w:rPr>
            </w:pPr>
          </w:p>
        </w:tc>
      </w:tr>
      <w:tr>
        <w:trPr>
          <w:trHeight w:val="209"/>
        </w:trPr>
        <w:tc>
          <w:tcPr>
            <w:tcW w:w="5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Earnings per common share, diluted</w:t>
            </w:r>
          </w:p>
        </w:tc>
        <w:tc>
          <w:tcPr>
            <w:tcW w:w="1100" w:type="dxa"/>
            <w:vAlign w:val="bottom"/>
            <w:tcBorders>
              <w:bottom w:val="single" w:sz="8" w:color="auto"/>
            </w:tcBorders>
          </w:tcPr>
          <w:p>
            <w:pPr>
              <w:jc w:val="right"/>
              <w:ind w:right="91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1.23</w:t>
            </w:r>
          </w:p>
        </w:tc>
        <w:tc>
          <w:tcPr>
            <w:tcW w:w="100" w:type="dxa"/>
            <w:vAlign w:val="bottom"/>
          </w:tcPr>
          <w:p>
            <w:pPr>
              <w:spacing w:after="0"/>
              <w:rPr>
                <w:sz w:val="18"/>
                <w:szCs w:val="18"/>
                <w:color w:val="auto"/>
              </w:rPr>
            </w:pPr>
          </w:p>
        </w:tc>
        <w:tc>
          <w:tcPr>
            <w:tcW w:w="4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1.48</w:t>
            </w:r>
          </w:p>
        </w:tc>
        <w:tc>
          <w:tcPr>
            <w:tcW w:w="120" w:type="dxa"/>
            <w:vAlign w:val="bottom"/>
          </w:tcPr>
          <w:p>
            <w:pPr>
              <w:spacing w:after="0"/>
              <w:rPr>
                <w:sz w:val="18"/>
                <w:szCs w:val="18"/>
                <w:color w:val="auto"/>
              </w:rPr>
            </w:pPr>
          </w:p>
        </w:tc>
        <w:tc>
          <w:tcPr>
            <w:tcW w:w="4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0.83</w:t>
            </w:r>
          </w:p>
        </w:tc>
      </w:tr>
      <w:tr>
        <w:trPr>
          <w:trHeight w:val="21"/>
        </w:trPr>
        <w:tc>
          <w:tcPr>
            <w:tcW w:w="57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5" w:lineRule="exact"/>
        <w:rPr>
          <w:sz w:val="20"/>
          <w:szCs w:val="20"/>
          <w:color w:val="auto"/>
        </w:rPr>
      </w:pPr>
    </w:p>
    <w:p>
      <w:pPr>
        <w:ind w:right="260" w:firstLine="332"/>
        <w:spacing w:after="0" w:line="266" w:lineRule="auto"/>
        <w:tabs>
          <w:tab w:leader="none" w:pos="579"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Net income for the year ended December 31, 2023 includes $63.1 million related to the termination payment received on behalf of Amedisys, under the terms of the Mutual Termination Agreement, net of merger-related expenses and taxes. See Note 3, </w:t>
      </w:r>
      <w:r>
        <w:rPr>
          <w:rFonts w:ascii="Times New Roman" w:cs="Times New Roman" w:eastAsia="Times New Roman" w:hAnsi="Times New Roman"/>
          <w:sz w:val="18"/>
          <w:szCs w:val="18"/>
          <w:i w:val="1"/>
          <w:iCs w:val="1"/>
          <w:color w:val="auto"/>
        </w:rPr>
        <w:t>Business Acquisitions and Divestitures</w:t>
      </w:r>
      <w:r>
        <w:rPr>
          <w:rFonts w:ascii="Times New Roman" w:cs="Times New Roman" w:eastAsia="Times New Roman" w:hAnsi="Times New Roman"/>
          <w:sz w:val="18"/>
          <w:szCs w:val="18"/>
          <w:color w:val="auto"/>
        </w:rPr>
        <w:t>, for further discussion.</w:t>
      </w:r>
    </w:p>
    <w:p>
      <w:pPr>
        <w:spacing w:after="0" w:line="146" w:lineRule="exact"/>
        <w:rPr>
          <w:rFonts w:ascii="Times New Roman" w:cs="Times New Roman" w:eastAsia="Times New Roman" w:hAnsi="Times New Roman"/>
          <w:sz w:val="18"/>
          <w:szCs w:val="18"/>
          <w:color w:val="auto"/>
        </w:rPr>
      </w:pPr>
    </w:p>
    <w:p>
      <w:pPr>
        <w:ind w:right="320" w:firstLine="332"/>
        <w:spacing w:after="0" w:line="284" w:lineRule="auto"/>
        <w:tabs>
          <w:tab w:leader="none" w:pos="579"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Net income for the year ended December 31, 2022 includes the impact of the Company’s Respiratory Therapy Asset Sale. See Note 3, </w:t>
      </w:r>
      <w:r>
        <w:rPr>
          <w:rFonts w:ascii="Times New Roman" w:cs="Times New Roman" w:eastAsia="Times New Roman" w:hAnsi="Times New Roman"/>
          <w:sz w:val="18"/>
          <w:szCs w:val="18"/>
          <w:i w:val="1"/>
          <w:iCs w:val="1"/>
          <w:color w:val="auto"/>
        </w:rPr>
        <w:t>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Acquisitions and Divestitures</w:t>
      </w:r>
      <w:r>
        <w:rPr>
          <w:rFonts w:ascii="Times New Roman" w:cs="Times New Roman" w:eastAsia="Times New Roman" w:hAnsi="Times New Roman"/>
          <w:sz w:val="18"/>
          <w:szCs w:val="18"/>
          <w:color w:val="auto"/>
        </w:rPr>
        <w:t>, for further discussion.</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LEASES</w:t>
      </w:r>
    </w:p>
    <w:p>
      <w:pPr>
        <w:spacing w:after="0" w:line="202"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During the years ended December 31, 2024, 2023 and 2022, the Company incurred operating lease expenses of $32.7 million, $30.6 million, and $29.1 million, respectively, including short-term lease expenses, which were included as a component of selling, general and administrative expenses in the consolidated statements of comprehensive income. As of December 31, 2024 and December 31, 2023, the weighted-average remaining lease term was 6.5 years and 6.8 years, respectively, and the weighted-average discount rate was 6.56% and 6.16%, respectively.</w:t>
      </w:r>
    </w:p>
    <w:p>
      <w:pPr>
        <w:spacing w:after="0" w:line="13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Operating leases mature as follows (in thousands):</w:t>
      </w:r>
    </w:p>
    <w:p>
      <w:pPr>
        <w:spacing w:after="0" w:line="228"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90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Fiscal Year Ended December 31,</w:t>
            </w:r>
          </w:p>
        </w:tc>
        <w:tc>
          <w:tcPr>
            <w:tcW w:w="240" w:type="dxa"/>
            <w:vAlign w:val="bottom"/>
          </w:tcPr>
          <w:p>
            <w:pPr>
              <w:spacing w:after="0"/>
              <w:rPr>
                <w:sz w:val="18"/>
                <w:szCs w:val="18"/>
                <w:color w:val="auto"/>
              </w:rPr>
            </w:pPr>
          </w:p>
        </w:tc>
        <w:tc>
          <w:tcPr>
            <w:tcW w:w="1940" w:type="dxa"/>
            <w:vAlign w:val="bottom"/>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Minimum Payments</w:t>
            </w:r>
          </w:p>
        </w:tc>
      </w:tr>
      <w:tr>
        <w:trPr>
          <w:trHeight w:val="213"/>
        </w:trPr>
        <w:tc>
          <w:tcPr>
            <w:tcW w:w="89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2025</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28,286</w:t>
            </w:r>
          </w:p>
        </w:tc>
      </w:tr>
      <w:tr>
        <w:trPr>
          <w:trHeight w:val="213"/>
        </w:trPr>
        <w:tc>
          <w:tcPr>
            <w:tcW w:w="8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25,523</w:t>
            </w:r>
          </w:p>
        </w:tc>
      </w:tr>
      <w:tr>
        <w:trPr>
          <w:trHeight w:val="219"/>
        </w:trPr>
        <w:tc>
          <w:tcPr>
            <w:tcW w:w="8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20,406</w:t>
            </w:r>
          </w:p>
        </w:tc>
      </w:tr>
      <w:tr>
        <w:trPr>
          <w:trHeight w:val="213"/>
        </w:trPr>
        <w:tc>
          <w:tcPr>
            <w:tcW w:w="8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13,907</w:t>
            </w:r>
          </w:p>
        </w:tc>
      </w:tr>
      <w:tr>
        <w:trPr>
          <w:trHeight w:val="219"/>
        </w:trPr>
        <w:tc>
          <w:tcPr>
            <w:tcW w:w="8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9,306</w:t>
            </w:r>
          </w:p>
        </w:tc>
      </w:tr>
      <w:tr>
        <w:trPr>
          <w:trHeight w:val="213"/>
        </w:trPr>
        <w:tc>
          <w:tcPr>
            <w:tcW w:w="90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2030 and beyond</w:t>
            </w:r>
          </w:p>
        </w:tc>
        <w:tc>
          <w:tcPr>
            <w:tcW w:w="24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36,515</w:t>
            </w:r>
          </w:p>
        </w:tc>
      </w:tr>
      <w:tr>
        <w:trPr>
          <w:trHeight w:val="212"/>
        </w:trPr>
        <w:tc>
          <w:tcPr>
            <w:tcW w:w="9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lease payments</w:t>
            </w:r>
          </w:p>
        </w:tc>
        <w:tc>
          <w:tcPr>
            <w:tcW w:w="240" w:type="dxa"/>
            <w:vAlign w:val="bottom"/>
            <w:shd w:val="clear" w:color="auto" w:fill="CCEEFF"/>
          </w:tcPr>
          <w:p>
            <w:pPr>
              <w:spacing w:after="0"/>
              <w:rPr>
                <w:sz w:val="18"/>
                <w:szCs w:val="18"/>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133,943</w:t>
            </w:r>
          </w:p>
        </w:tc>
      </w:tr>
      <w:tr>
        <w:trPr>
          <w:trHeight w:val="213"/>
        </w:trPr>
        <w:tc>
          <w:tcPr>
            <w:tcW w:w="90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Less: interest</w:t>
            </w:r>
          </w:p>
        </w:tc>
        <w:tc>
          <w:tcPr>
            <w:tcW w:w="24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(27,123)</w:t>
            </w:r>
          </w:p>
        </w:tc>
      </w:tr>
      <w:tr>
        <w:trPr>
          <w:trHeight w:val="237"/>
        </w:trPr>
        <w:tc>
          <w:tcPr>
            <w:tcW w:w="90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Present value of lease liabilities</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106,820</w:t>
            </w:r>
          </w:p>
        </w:tc>
      </w:tr>
      <w:tr>
        <w:trPr>
          <w:trHeight w:val="20"/>
        </w:trPr>
        <w:tc>
          <w:tcPr>
            <w:tcW w:w="8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During the years ended December 31, 2024, 2023 and 2022, the Company commenced new leases, extensions and amendments, resulting in non-cash operating activities in the consolidated statements of cash flows of $25.0 million, $30.5 million, and $17.2 million, respectively, related to the increases in the operating lease ROU asset and operating lease liabilities. As of December 31, 2024, the Company did not have any significant operating or financing leases that had not yet commenced.</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PROPERTY AND EQUIPMENT</w:t>
      </w:r>
    </w:p>
    <w:p>
      <w:pPr>
        <w:spacing w:after="0" w:line="20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Property and equipment was as follows as of December 31, 2024 and 2023 (in thousands):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160" w:type="dxa"/>
            <w:vAlign w:val="bottom"/>
          </w:tcPr>
          <w:p>
            <w:pPr>
              <w:spacing w:after="0"/>
              <w:rPr>
                <w:sz w:val="18"/>
                <w:szCs w:val="18"/>
                <w:color w:val="auto"/>
              </w:rPr>
            </w:pPr>
          </w:p>
        </w:tc>
        <w:tc>
          <w:tcPr>
            <w:tcW w:w="160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13"/>
        </w:trPr>
        <w:tc>
          <w:tcPr>
            <w:tcW w:w="7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Infusion pumps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37,659</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36,943</w:t>
            </w:r>
          </w:p>
        </w:tc>
      </w:tr>
      <w:tr>
        <w:trPr>
          <w:trHeight w:val="213"/>
        </w:trPr>
        <w:tc>
          <w:tcPr>
            <w:tcW w:w="7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Equipment, furniture and other</w:t>
            </w: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24,055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23,593</w:t>
            </w:r>
          </w:p>
        </w:tc>
      </w:tr>
      <w:tr>
        <w:trPr>
          <w:trHeight w:val="219"/>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Leasehold improvements</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116,675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99,725</w:t>
            </w:r>
          </w:p>
        </w:tc>
      </w:tr>
      <w:tr>
        <w:trPr>
          <w:trHeight w:val="213"/>
        </w:trPr>
        <w:tc>
          <w:tcPr>
            <w:tcW w:w="7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Computer software, purchased and internally developed</w:t>
            </w: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46,532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50,572</w:t>
            </w:r>
          </w:p>
        </w:tc>
      </w:tr>
      <w:tr>
        <w:trPr>
          <w:trHeight w:val="216"/>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Assets under development</w:t>
            </w:r>
          </w:p>
        </w:tc>
        <w:tc>
          <w:tcPr>
            <w:tcW w:w="16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22,990</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33,668</w:t>
            </w:r>
          </w:p>
        </w:tc>
      </w:tr>
      <w:tr>
        <w:trPr>
          <w:trHeight w:val="209"/>
        </w:trPr>
        <w:tc>
          <w:tcPr>
            <w:tcW w:w="7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247,911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244,501</w:t>
            </w:r>
          </w:p>
        </w:tc>
      </w:tr>
      <w:tr>
        <w:trPr>
          <w:trHeight w:val="216"/>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accumulated depreciation</w:t>
            </w:r>
          </w:p>
        </w:tc>
        <w:tc>
          <w:tcPr>
            <w:tcW w:w="16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(120,544)</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(123,871)</w:t>
            </w:r>
          </w:p>
        </w:tc>
      </w:tr>
      <w:tr>
        <w:trPr>
          <w:trHeight w:val="212"/>
        </w:trPr>
        <w:tc>
          <w:tcPr>
            <w:tcW w:w="7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127,367</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120,630</w:t>
            </w:r>
          </w:p>
        </w:tc>
      </w:tr>
      <w:tr>
        <w:trPr>
          <w:trHeight w:val="21"/>
        </w:trPr>
        <w:tc>
          <w:tcPr>
            <w:tcW w:w="76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right="200" w:firstLine="324"/>
        <w:spacing w:after="0" w:line="258" w:lineRule="auto"/>
        <w:rPr>
          <w:sz w:val="20"/>
          <w:szCs w:val="20"/>
          <w:color w:val="auto"/>
        </w:rPr>
      </w:pPr>
      <w:r>
        <w:rPr>
          <w:rFonts w:ascii="Times New Roman" w:cs="Times New Roman" w:eastAsia="Times New Roman" w:hAnsi="Times New Roman"/>
          <w:sz w:val="18"/>
          <w:szCs w:val="18"/>
          <w:color w:val="auto"/>
        </w:rPr>
        <w:t>Depreciation expense is recorded within cost of revenue and operating expenses within the consolidated statements of comprehensive income, depending on the nature of the underlying fixed assets. The depreciation expense included in cost of revenue relates to revenue-generating assets, such as infusion pumps. The depreciation expense included in operating expenses is related to infrastructure items, such as furniture, computer and office equipment, and leasehold improvements. The following table presents the amount of depreciation expense recorded in cost of revenue and operating expenses for the years ended December 31, 2024, 2023 and 2022 (in thousands):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74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r>
      <w:tr>
        <w:trPr>
          <w:trHeight w:val="211"/>
        </w:trPr>
        <w:tc>
          <w:tcPr>
            <w:tcW w:w="574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6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11"/>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Depreciation expense in cost of revenue</w:t>
            </w:r>
          </w:p>
        </w:tc>
        <w:tc>
          <w:tcPr>
            <w:tcW w:w="1140" w:type="dxa"/>
            <w:vAlign w:val="bottom"/>
            <w:shd w:val="clear" w:color="auto" w:fill="CCEEFF"/>
          </w:tcPr>
          <w:p>
            <w:pPr>
              <w:jc w:val="right"/>
              <w:ind w:right="95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2,590</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2,999</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4,869</w:t>
            </w:r>
          </w:p>
        </w:tc>
      </w:tr>
      <w:tr>
        <w:trPr>
          <w:trHeight w:val="213"/>
        </w:trPr>
        <w:tc>
          <w:tcPr>
            <w:tcW w:w="5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Depreciation expense in operating expenses</w:t>
            </w:r>
          </w:p>
        </w:tc>
        <w:tc>
          <w:tcPr>
            <w:tcW w:w="1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26,503</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24,820</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27,374</w:t>
            </w:r>
          </w:p>
        </w:tc>
      </w:tr>
      <w:tr>
        <w:trPr>
          <w:trHeight w:val="237"/>
        </w:trPr>
        <w:tc>
          <w:tcPr>
            <w:tcW w:w="5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depreciation expense</w:t>
            </w:r>
          </w:p>
        </w:tc>
        <w:tc>
          <w:tcPr>
            <w:tcW w:w="1140" w:type="dxa"/>
            <w:vAlign w:val="bottom"/>
            <w:tcBorders>
              <w:bottom w:val="single" w:sz="8" w:color="auto"/>
            </w:tcBorders>
            <w:shd w:val="clear" w:color="auto" w:fill="CCEEFF"/>
          </w:tcPr>
          <w:p>
            <w:pPr>
              <w:jc w:val="right"/>
              <w:ind w:right="95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29,093</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27,819</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32,243</w:t>
            </w: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GOODWILL AND OTHER INTANGIBLE ASSETS</w:t>
      </w:r>
    </w:p>
    <w:p>
      <w:pPr>
        <w:spacing w:after="0" w:line="202" w:lineRule="exact"/>
        <w:rPr>
          <w:sz w:val="20"/>
          <w:szCs w:val="20"/>
          <w:color w:val="auto"/>
        </w:rPr>
      </w:pPr>
    </w:p>
    <w:p>
      <w:pPr>
        <w:ind w:right="300" w:firstLine="324"/>
        <w:spacing w:after="0" w:line="282" w:lineRule="auto"/>
        <w:rPr>
          <w:sz w:val="20"/>
          <w:szCs w:val="20"/>
          <w:color w:val="auto"/>
        </w:rPr>
      </w:pPr>
      <w:r>
        <w:rPr>
          <w:rFonts w:ascii="Times New Roman" w:cs="Times New Roman" w:eastAsia="Times New Roman" w:hAnsi="Times New Roman"/>
          <w:sz w:val="18"/>
          <w:szCs w:val="18"/>
          <w:color w:val="auto"/>
        </w:rPr>
        <w:t>Goodwill is not amortized, but is evaluated for impairment annually in the fourth quarter of the fiscal year, or more frequently if an event occurs or circumstances change that would more likely than not reduce the fair value of a reporting unit below its carrying value.</w:t>
      </w:r>
    </w:p>
    <w:p>
      <w:pPr>
        <w:spacing w:after="0" w:line="121"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Circumstances that could trigger an interim impairment test include: a significant adverse change in the business climate or legal factors; an adverse action or assessment by a regulator; unanticipated competition; the loss of key personnel; a change in reporting units; the likelihood that a reporting unit or significant portion of a reporting unit will be sold or otherwise disposed of; and the results of testing for recoverability of a significant asset group within a reporting unit.</w:t>
      </w:r>
    </w:p>
    <w:p>
      <w:pPr>
        <w:spacing w:after="0" w:line="139"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A qualitative impairment analysis was performed in the fourth quarter of 2024, 2023 and 2022, to assess whether it is more likely than not that the fair value of the Company’s reporting units are less than their carrying value. The Company assessed relevant events and circumstances including macroeconomic conditions, industry and market considerations, overall financial performance, entity-specific events, and changes in the Company’s stock price. The Company determined that there was no goodwill impairment in 2024, 2023 or 2022.</w:t>
      </w:r>
    </w:p>
    <w:p>
      <w:pPr>
        <w:spacing w:after="0" w:line="153"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The determination of fair value for acquisitions and the allocation of that value requires the Company to make significant estimates and assumptions. These estimates and assumptions primarily include, but are not limited to, the selection of appropriate peer group companies; control premiums appropriate for acquisitions in the industries in which the Company competes; the discount rate; terminal growth rates; and forecasts of revenue, operating income, depreciation and amortization, and capital expenditures. Actual financial results could differ from those estimates due to the inherent uncertainty involved in making such estimates. Changes in assumptions concerning future financial results or other underlying assumptions could have a significant impact on either the fair value of the reporting unit, the amount of the goodwill impairment charge, or both. The Company did not recognize any accumulated impairment losses at the beginning of the period.</w:t>
      </w:r>
    </w:p>
    <w:p>
      <w:pPr>
        <w:spacing w:after="0" w:line="14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Changes in the carrying amount of goodwill consist of the following activity for the years ended December 31, 2024, 2023 and 2022 (in thousands):</w:t>
      </w:r>
    </w:p>
    <w:p>
      <w:pPr>
        <w:spacing w:after="0" w:line="230"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9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December 31, 2021</w:t>
            </w:r>
          </w:p>
        </w:tc>
        <w:tc>
          <w:tcPr>
            <w:tcW w:w="780" w:type="dxa"/>
            <w:vAlign w:val="bottom"/>
            <w:shd w:val="clear" w:color="auto" w:fill="CCEEFF"/>
          </w:tcPr>
          <w:p>
            <w:pPr>
              <w:jc w:val="right"/>
              <w:ind w:right="59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1,477,564</w:t>
            </w:r>
          </w:p>
        </w:tc>
      </w:tr>
      <w:tr>
        <w:trPr>
          <w:trHeight w:val="213"/>
        </w:trPr>
        <w:tc>
          <w:tcPr>
            <w:tcW w:w="90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Acquisitions</w:t>
            </w:r>
          </w:p>
        </w:tc>
        <w:tc>
          <w:tcPr>
            <w:tcW w:w="7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54,543</w:t>
            </w:r>
          </w:p>
        </w:tc>
      </w:tr>
      <w:tr>
        <w:trPr>
          <w:trHeight w:val="219"/>
        </w:trPr>
        <w:tc>
          <w:tcPr>
            <w:tcW w:w="9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Purchase accounting adjustments</w:t>
            </w:r>
          </w:p>
        </w:tc>
        <w:tc>
          <w:tcPr>
            <w:tcW w:w="7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1,317</w:t>
            </w:r>
          </w:p>
        </w:tc>
      </w:tr>
      <w:tr>
        <w:trPr>
          <w:trHeight w:val="207"/>
        </w:trPr>
        <w:tc>
          <w:tcPr>
            <w:tcW w:w="90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December 31, 2022</w:t>
            </w:r>
          </w:p>
        </w:tc>
        <w:tc>
          <w:tcPr>
            <w:tcW w:w="780" w:type="dxa"/>
            <w:vAlign w:val="bottom"/>
          </w:tcPr>
          <w:p>
            <w:pPr>
              <w:jc w:val="right"/>
              <w:ind w:right="59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1,533,424</w:t>
            </w:r>
          </w:p>
        </w:tc>
      </w:tr>
      <w:tr>
        <w:trPr>
          <w:trHeight w:val="219"/>
        </w:trPr>
        <w:tc>
          <w:tcPr>
            <w:tcW w:w="9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Acquisitions</w:t>
            </w:r>
          </w:p>
        </w:tc>
        <w:tc>
          <w:tcPr>
            <w:tcW w:w="7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6,998</w:t>
            </w:r>
          </w:p>
        </w:tc>
      </w:tr>
      <w:tr>
        <w:trPr>
          <w:trHeight w:val="213"/>
        </w:trPr>
        <w:tc>
          <w:tcPr>
            <w:tcW w:w="90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Purchase accounting adjustments</w:t>
            </w:r>
          </w:p>
        </w:tc>
        <w:tc>
          <w:tcPr>
            <w:tcW w:w="7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(176)</w:t>
            </w:r>
          </w:p>
        </w:tc>
      </w:tr>
      <w:tr>
        <w:trPr>
          <w:trHeight w:val="212"/>
        </w:trPr>
        <w:tc>
          <w:tcPr>
            <w:tcW w:w="9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December 31, 2023</w:t>
            </w:r>
          </w:p>
        </w:tc>
        <w:tc>
          <w:tcPr>
            <w:tcW w:w="780" w:type="dxa"/>
            <w:vAlign w:val="bottom"/>
            <w:shd w:val="clear" w:color="auto" w:fill="CCEEFF"/>
          </w:tcPr>
          <w:p>
            <w:pPr>
              <w:jc w:val="right"/>
              <w:ind w:right="59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1,540,246</w:t>
            </w:r>
          </w:p>
        </w:tc>
      </w:tr>
      <w:tr>
        <w:trPr>
          <w:trHeight w:val="213"/>
        </w:trPr>
        <w:tc>
          <w:tcPr>
            <w:tcW w:w="90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Acquisitions</w:t>
            </w:r>
          </w:p>
        </w:tc>
        <w:tc>
          <w:tcPr>
            <w:tcW w:w="7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9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Purchase accounting adjustments</w:t>
            </w:r>
          </w:p>
        </w:tc>
        <w:tc>
          <w:tcPr>
            <w:tcW w:w="78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90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December 31, 2024</w:t>
            </w:r>
          </w:p>
        </w:tc>
        <w:tc>
          <w:tcPr>
            <w:tcW w:w="780" w:type="dxa"/>
            <w:vAlign w:val="bottom"/>
            <w:tcBorders>
              <w:bottom w:val="single" w:sz="8" w:color="auto"/>
            </w:tcBorders>
          </w:tcPr>
          <w:p>
            <w:pPr>
              <w:jc w:val="right"/>
              <w:ind w:right="59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1,540,246</w:t>
            </w:r>
          </w:p>
        </w:tc>
      </w:tr>
      <w:tr>
        <w:trPr>
          <w:trHeight w:val="20"/>
        </w:trPr>
        <w:tc>
          <w:tcPr>
            <w:tcW w:w="90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carrying amount and accumulated amortization of intangible assets consist of the following as of December 31, 2024 and 2023 (in thousands):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160" w:type="dxa"/>
            <w:vAlign w:val="bottom"/>
          </w:tcPr>
          <w:p>
            <w:pPr>
              <w:spacing w:after="0"/>
              <w:rPr>
                <w:sz w:val="18"/>
                <w:szCs w:val="18"/>
                <w:color w:val="auto"/>
              </w:rPr>
            </w:pPr>
          </w:p>
        </w:tc>
        <w:tc>
          <w:tcPr>
            <w:tcW w:w="160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199"/>
        </w:trPr>
        <w:tc>
          <w:tcPr>
            <w:tcW w:w="7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intangible assets:</w:t>
            </w:r>
          </w:p>
        </w:tc>
        <w:tc>
          <w:tcPr>
            <w:tcW w:w="160" w:type="dxa"/>
            <w:vAlign w:val="bottom"/>
            <w:tcBorders>
              <w:top w:val="single" w:sz="8" w:color="auto"/>
            </w:tcBorders>
            <w:shd w:val="clear" w:color="auto" w:fill="CCEEFF"/>
          </w:tcPr>
          <w:p>
            <w:pPr>
              <w:spacing w:after="0"/>
              <w:rPr>
                <w:sz w:val="17"/>
                <w:szCs w:val="17"/>
                <w:color w:val="auto"/>
              </w:rPr>
            </w:pPr>
          </w:p>
        </w:tc>
        <w:tc>
          <w:tcPr>
            <w:tcW w:w="16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600" w:type="dxa"/>
            <w:vAlign w:val="bottom"/>
            <w:tcBorders>
              <w:top w:val="single" w:sz="8" w:color="auto"/>
            </w:tcBorders>
            <w:shd w:val="clear" w:color="auto" w:fill="CCEEFF"/>
          </w:tcPr>
          <w:p>
            <w:pPr>
              <w:spacing w:after="0"/>
              <w:rPr>
                <w:sz w:val="17"/>
                <w:szCs w:val="17"/>
                <w:color w:val="auto"/>
              </w:rPr>
            </w:pPr>
          </w:p>
        </w:tc>
      </w:tr>
      <w:tr>
        <w:trPr>
          <w:trHeight w:val="213"/>
        </w:trPr>
        <w:tc>
          <w:tcPr>
            <w:tcW w:w="76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Referral sources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514,388</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514,388</w:t>
            </w:r>
          </w:p>
        </w:tc>
      </w:tr>
      <w:tr>
        <w:trPr>
          <w:trHeight w:val="219"/>
        </w:trPr>
        <w:tc>
          <w:tcPr>
            <w:tcW w:w="7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Trademarks/names</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39,136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39,136</w:t>
            </w:r>
          </w:p>
        </w:tc>
      </w:tr>
      <w:tr>
        <w:trPr>
          <w:trHeight w:val="213"/>
        </w:trPr>
        <w:tc>
          <w:tcPr>
            <w:tcW w:w="76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amortizable intangible assets</w:t>
            </w: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985</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995</w:t>
            </w:r>
          </w:p>
        </w:tc>
      </w:tr>
      <w:tr>
        <w:trPr>
          <w:trHeight w:val="210"/>
        </w:trPr>
        <w:tc>
          <w:tcPr>
            <w:tcW w:w="7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 gross intangible assets</w:t>
            </w:r>
          </w:p>
        </w:tc>
        <w:tc>
          <w:tcPr>
            <w:tcW w:w="16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554,509</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554,519</w:t>
            </w:r>
          </w:p>
        </w:tc>
      </w:tr>
      <w:tr>
        <w:trPr>
          <w:trHeight w:val="239"/>
        </w:trPr>
        <w:tc>
          <w:tcPr>
            <w:tcW w:w="7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216"/>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Accumulated amortization:</w:t>
            </w: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r>
      <w:tr>
        <w:trPr>
          <w:trHeight w:val="213"/>
        </w:trPr>
        <w:tc>
          <w:tcPr>
            <w:tcW w:w="76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Referral sources</w:t>
            </w: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(230,371)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(199,084)</w:t>
            </w:r>
          </w:p>
        </w:tc>
      </w:tr>
      <w:tr>
        <w:trPr>
          <w:trHeight w:val="219"/>
        </w:trPr>
        <w:tc>
          <w:tcPr>
            <w:tcW w:w="7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Trademarks/names</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(22,599)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(19,698)</w:t>
            </w:r>
          </w:p>
        </w:tc>
      </w:tr>
      <w:tr>
        <w:trPr>
          <w:trHeight w:val="213"/>
        </w:trPr>
        <w:tc>
          <w:tcPr>
            <w:tcW w:w="76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amortizable intangible assets</w:t>
            </w: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(529)</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(341)</w:t>
            </w:r>
          </w:p>
        </w:tc>
      </w:tr>
      <w:tr>
        <w:trPr>
          <w:trHeight w:val="209"/>
        </w:trPr>
        <w:tc>
          <w:tcPr>
            <w:tcW w:w="7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 accumulated amortization</w:t>
            </w:r>
          </w:p>
        </w:tc>
        <w:tc>
          <w:tcPr>
            <w:tcW w:w="16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(253,499)</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(219,123)</w:t>
            </w:r>
          </w:p>
        </w:tc>
      </w:tr>
      <w:tr>
        <w:trPr>
          <w:trHeight w:val="212"/>
        </w:trPr>
        <w:tc>
          <w:tcPr>
            <w:tcW w:w="7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intangible assets, net</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301,010</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335,396</w:t>
            </w:r>
          </w:p>
        </w:tc>
      </w:tr>
      <w:tr>
        <w:trPr>
          <w:trHeight w:val="21"/>
        </w:trPr>
        <w:tc>
          <w:tcPr>
            <w:tcW w:w="76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jc w:val="both"/>
        <w:ind w:right="40" w:firstLine="324"/>
        <w:spacing w:after="0" w:line="282" w:lineRule="auto"/>
        <w:rPr>
          <w:sz w:val="20"/>
          <w:szCs w:val="20"/>
          <w:color w:val="auto"/>
        </w:rPr>
      </w:pPr>
      <w:r>
        <w:rPr>
          <w:rFonts w:ascii="Times New Roman" w:cs="Times New Roman" w:eastAsia="Times New Roman" w:hAnsi="Times New Roman"/>
          <w:sz w:val="18"/>
          <w:szCs w:val="18"/>
          <w:color w:val="auto"/>
        </w:rPr>
        <w:t>Amortization expense for intangible assets was $34.4 million, $34.2 million and $32.9 million for the years ended December 31, 2024, 2023 and 2022, respectively.</w:t>
      </w:r>
    </w:p>
    <w:p>
      <w:pPr>
        <w:spacing w:after="0" w:line="13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Expected future amortization expense for intangible assets recorded at December 31, 2024, is as follows (in thousands):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906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ind w:right="719"/>
              <w:spacing w:after="0"/>
              <w:rPr>
                <w:sz w:val="20"/>
                <w:szCs w:val="20"/>
                <w:color w:val="auto"/>
              </w:rPr>
            </w:pPr>
            <w:r>
              <w:rPr>
                <w:rFonts w:ascii="Times New Roman" w:cs="Times New Roman" w:eastAsia="Times New Roman" w:hAnsi="Times New Roman"/>
                <w:sz w:val="16"/>
                <w:szCs w:val="16"/>
                <w:b w:val="1"/>
                <w:bCs w:val="1"/>
                <w:color w:val="auto"/>
              </w:rPr>
              <w:t>Amount</w:t>
            </w:r>
          </w:p>
        </w:tc>
      </w:tr>
      <w:tr>
        <w:trPr>
          <w:trHeight w:val="213"/>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2025</w:t>
            </w:r>
          </w:p>
        </w:tc>
        <w:tc>
          <w:tcPr>
            <w:tcW w:w="44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34,176</w:t>
            </w:r>
          </w:p>
        </w:tc>
      </w:tr>
      <w:tr>
        <w:trPr>
          <w:trHeight w:val="213"/>
        </w:trPr>
        <w:tc>
          <w:tcPr>
            <w:tcW w:w="9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44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34,071</w:t>
            </w:r>
          </w:p>
        </w:tc>
      </w:tr>
      <w:tr>
        <w:trPr>
          <w:trHeight w:val="219"/>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2027</w:t>
            </w:r>
          </w:p>
        </w:tc>
        <w:tc>
          <w:tcPr>
            <w:tcW w:w="44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33,931</w:t>
            </w:r>
          </w:p>
        </w:tc>
      </w:tr>
      <w:tr>
        <w:trPr>
          <w:trHeight w:val="213"/>
        </w:trPr>
        <w:tc>
          <w:tcPr>
            <w:tcW w:w="9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2028</w:t>
            </w:r>
          </w:p>
        </w:tc>
        <w:tc>
          <w:tcPr>
            <w:tcW w:w="44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33,880</w:t>
            </w:r>
          </w:p>
        </w:tc>
      </w:tr>
      <w:tr>
        <w:trPr>
          <w:trHeight w:val="219"/>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2029</w:t>
            </w:r>
          </w:p>
        </w:tc>
        <w:tc>
          <w:tcPr>
            <w:tcW w:w="44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33,875</w:t>
            </w:r>
          </w:p>
        </w:tc>
      </w:tr>
      <w:tr>
        <w:trPr>
          <w:trHeight w:val="213"/>
        </w:trPr>
        <w:tc>
          <w:tcPr>
            <w:tcW w:w="9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2030 and beyond</w:t>
            </w:r>
          </w:p>
        </w:tc>
        <w:tc>
          <w:tcPr>
            <w:tcW w:w="44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131,077</w:t>
            </w:r>
          </w:p>
        </w:tc>
      </w:tr>
      <w:tr>
        <w:trPr>
          <w:trHeight w:val="237"/>
        </w:trPr>
        <w:tc>
          <w:tcPr>
            <w:tcW w:w="9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301,010</w:t>
            </w:r>
          </w:p>
        </w:tc>
      </w:tr>
      <w:tr>
        <w:trPr>
          <w:trHeight w:val="20"/>
        </w:trPr>
        <w:tc>
          <w:tcPr>
            <w:tcW w:w="90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INDEBTEDNESS</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Long-term debt consisted of the following as of December 31, 2024 (in thousands):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Principal Amount</w:t>
            </w:r>
          </w:p>
        </w:tc>
        <w:tc>
          <w:tcPr>
            <w:tcW w:w="340" w:type="dxa"/>
            <w:vAlign w:val="bottom"/>
          </w:tcPr>
          <w:p>
            <w:pPr>
              <w:spacing w:after="0"/>
              <w:rPr>
                <w:sz w:val="18"/>
                <w:szCs w:val="18"/>
                <w:color w:val="auto"/>
              </w:rPr>
            </w:pPr>
          </w:p>
        </w:tc>
        <w:tc>
          <w:tcPr>
            <w:tcW w:w="1520" w:type="dxa"/>
            <w:vAlign w:val="bottom"/>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rPr>
              <w:t>Discount</w:t>
            </w:r>
          </w:p>
        </w:tc>
        <w:tc>
          <w:tcPr>
            <w:tcW w:w="140" w:type="dxa"/>
            <w:vAlign w:val="bottom"/>
          </w:tcPr>
          <w:p>
            <w:pPr>
              <w:spacing w:after="0"/>
              <w:rPr>
                <w:sz w:val="18"/>
                <w:szCs w:val="18"/>
                <w:color w:val="auto"/>
              </w:rPr>
            </w:pPr>
          </w:p>
        </w:tc>
        <w:tc>
          <w:tcPr>
            <w:tcW w:w="1980" w:type="dxa"/>
            <w:vAlign w:val="bottom"/>
            <w:gridSpan w:val="3"/>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Debt Issuance Costs</w:t>
            </w:r>
          </w:p>
        </w:tc>
        <w:tc>
          <w:tcPr>
            <w:tcW w:w="1480" w:type="dxa"/>
            <w:vAlign w:val="bottom"/>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Net Balance</w:t>
            </w:r>
          </w:p>
        </w:tc>
      </w:tr>
      <w:tr>
        <w:trPr>
          <w:trHeight w:val="213"/>
        </w:trPr>
        <w:tc>
          <w:tcPr>
            <w:tcW w:w="3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Revolver Facility</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3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First Lien Term Loan</w:t>
            </w:r>
          </w:p>
        </w:tc>
        <w:tc>
          <w:tcPr>
            <w:tcW w:w="1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631,617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(5,537)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(7,555)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618,525</w:t>
            </w:r>
          </w:p>
        </w:tc>
      </w:tr>
      <w:tr>
        <w:trPr>
          <w:trHeight w:val="216"/>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Senior Notes</w:t>
            </w:r>
          </w:p>
        </w:tc>
        <w:tc>
          <w:tcPr>
            <w:tcW w:w="16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(7,372)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492,628</w:t>
            </w:r>
          </w:p>
        </w:tc>
      </w:tr>
      <w:tr>
        <w:trPr>
          <w:trHeight w:val="212"/>
        </w:trPr>
        <w:tc>
          <w:tcPr>
            <w:tcW w:w="394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1,131,617</w:t>
            </w:r>
          </w:p>
        </w:tc>
        <w:tc>
          <w:tcPr>
            <w:tcW w:w="10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(5,537)</w:t>
            </w: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(14,927)</w:t>
            </w: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1,111,153</w:t>
            </w:r>
          </w:p>
        </w:tc>
      </w:tr>
      <w:tr>
        <w:trPr>
          <w:trHeight w:val="20"/>
        </w:trPr>
        <w:tc>
          <w:tcPr>
            <w:tcW w:w="39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CCEEFF"/>
            </w:tcBorders>
          </w:tcPr>
          <w:p>
            <w:pPr>
              <w:spacing w:after="0" w:line="20" w:lineRule="exact"/>
              <w:rPr>
                <w:sz w:val="1"/>
                <w:szCs w:val="1"/>
                <w:color w:val="auto"/>
              </w:rPr>
            </w:pPr>
          </w:p>
        </w:tc>
      </w:tr>
      <w:tr>
        <w:trPr>
          <w:trHeight w:val="183"/>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current portion</w:t>
            </w:r>
          </w:p>
        </w:tc>
        <w:tc>
          <w:tcPr>
            <w:tcW w:w="16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(6,512)</w:t>
            </w:r>
          </w:p>
        </w:tc>
      </w:tr>
      <w:tr>
        <w:trPr>
          <w:trHeight w:val="210"/>
        </w:trPr>
        <w:tc>
          <w:tcPr>
            <w:tcW w:w="39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 long-term debt</w:t>
            </w:r>
          </w:p>
        </w:tc>
        <w:tc>
          <w:tcPr>
            <w:tcW w:w="1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1,104,641</w:t>
            </w:r>
          </w:p>
        </w:tc>
      </w:tr>
      <w:tr>
        <w:trPr>
          <w:trHeight w:val="20"/>
        </w:trPr>
        <w:tc>
          <w:tcPr>
            <w:tcW w:w="3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Long-term debt consisted of the following as of December 31, 2023 (in thousands):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Principal Amount</w:t>
            </w:r>
          </w:p>
        </w:tc>
        <w:tc>
          <w:tcPr>
            <w:tcW w:w="340" w:type="dxa"/>
            <w:vAlign w:val="bottom"/>
          </w:tcPr>
          <w:p>
            <w:pPr>
              <w:spacing w:after="0"/>
              <w:rPr>
                <w:sz w:val="18"/>
                <w:szCs w:val="18"/>
                <w:color w:val="auto"/>
              </w:rPr>
            </w:pPr>
          </w:p>
        </w:tc>
        <w:tc>
          <w:tcPr>
            <w:tcW w:w="1520" w:type="dxa"/>
            <w:vAlign w:val="bottom"/>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rPr>
              <w:t>Discount</w:t>
            </w:r>
          </w:p>
        </w:tc>
        <w:tc>
          <w:tcPr>
            <w:tcW w:w="140" w:type="dxa"/>
            <w:vAlign w:val="bottom"/>
          </w:tcPr>
          <w:p>
            <w:pPr>
              <w:spacing w:after="0"/>
              <w:rPr>
                <w:sz w:val="18"/>
                <w:szCs w:val="18"/>
                <w:color w:val="auto"/>
              </w:rPr>
            </w:pPr>
          </w:p>
        </w:tc>
        <w:tc>
          <w:tcPr>
            <w:tcW w:w="1980" w:type="dxa"/>
            <w:vAlign w:val="bottom"/>
            <w:gridSpan w:val="3"/>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Debt Issuance Costs</w:t>
            </w:r>
          </w:p>
        </w:tc>
        <w:tc>
          <w:tcPr>
            <w:tcW w:w="1480" w:type="dxa"/>
            <w:vAlign w:val="bottom"/>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Net Balance</w:t>
            </w:r>
          </w:p>
        </w:tc>
      </w:tr>
      <w:tr>
        <w:trPr>
          <w:trHeight w:val="213"/>
        </w:trPr>
        <w:tc>
          <w:tcPr>
            <w:tcW w:w="3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Revolver Facility</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3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First Lien Term Loan</w:t>
            </w:r>
          </w:p>
        </w:tc>
        <w:tc>
          <w:tcPr>
            <w:tcW w:w="1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588,000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(6,974)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(9,678)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571,348</w:t>
            </w:r>
          </w:p>
        </w:tc>
      </w:tr>
      <w:tr>
        <w:trPr>
          <w:trHeight w:val="216"/>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Senior Notes</w:t>
            </w:r>
          </w:p>
        </w:tc>
        <w:tc>
          <w:tcPr>
            <w:tcW w:w="16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(8,698)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491,302</w:t>
            </w:r>
          </w:p>
        </w:tc>
      </w:tr>
      <w:tr>
        <w:trPr>
          <w:trHeight w:val="212"/>
        </w:trPr>
        <w:tc>
          <w:tcPr>
            <w:tcW w:w="394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1,088,000</w:t>
            </w:r>
          </w:p>
        </w:tc>
        <w:tc>
          <w:tcPr>
            <w:tcW w:w="10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(6,974)</w:t>
            </w: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(18,376)</w:t>
            </w: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1,062,650</w:t>
            </w:r>
          </w:p>
        </w:tc>
      </w:tr>
      <w:tr>
        <w:trPr>
          <w:trHeight w:val="20"/>
        </w:trPr>
        <w:tc>
          <w:tcPr>
            <w:tcW w:w="39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CCEEFF"/>
            </w:tcBorders>
          </w:tcPr>
          <w:p>
            <w:pPr>
              <w:spacing w:after="0" w:line="20" w:lineRule="exact"/>
              <w:rPr>
                <w:sz w:val="1"/>
                <w:szCs w:val="1"/>
                <w:color w:val="auto"/>
              </w:rPr>
            </w:pPr>
          </w:p>
        </w:tc>
      </w:tr>
      <w:tr>
        <w:trPr>
          <w:trHeight w:val="183"/>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current portion</w:t>
            </w:r>
          </w:p>
        </w:tc>
        <w:tc>
          <w:tcPr>
            <w:tcW w:w="16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(6,000)</w:t>
            </w:r>
          </w:p>
        </w:tc>
      </w:tr>
      <w:tr>
        <w:trPr>
          <w:trHeight w:val="210"/>
        </w:trPr>
        <w:tc>
          <w:tcPr>
            <w:tcW w:w="39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 long-term debt</w:t>
            </w:r>
          </w:p>
        </w:tc>
        <w:tc>
          <w:tcPr>
            <w:tcW w:w="1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1,056,650</w:t>
            </w:r>
          </w:p>
        </w:tc>
      </w:tr>
      <w:tr>
        <w:trPr>
          <w:trHeight w:val="20"/>
        </w:trPr>
        <w:tc>
          <w:tcPr>
            <w:tcW w:w="3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jc w:val="both"/>
        <w:ind w:right="180" w:firstLine="324"/>
        <w:spacing w:after="0" w:line="261" w:lineRule="auto"/>
        <w:rPr>
          <w:sz w:val="20"/>
          <w:szCs w:val="20"/>
          <w:color w:val="auto"/>
        </w:rPr>
      </w:pPr>
      <w:r>
        <w:rPr>
          <w:rFonts w:ascii="Times New Roman" w:cs="Times New Roman" w:eastAsia="Times New Roman" w:hAnsi="Times New Roman"/>
          <w:sz w:val="18"/>
          <w:szCs w:val="18"/>
          <w:color w:val="auto"/>
        </w:rPr>
        <w:t>On May 8, 2024, the Company entered into the Third Amendment to the amended and restated First Lien Credit Agreement dated as of October 27, 2021. The Third Amendment, among other things, (i) increases borrowings by $50.0 million and (ii) reduces the interest rate on the First Lien Term Loan from Term SOFR (including a credit spread adjustment) plus 2.75% to Term SOFR plus 2.25% and removes the credit spread adjustment with respect to such First Lien Term Loan.</w:t>
      </w:r>
    </w:p>
    <w:p>
      <w:pPr>
        <w:spacing w:after="0" w:line="139"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The principal balance of the First Lien Term Loan is repayable in quarterly installments of $1.6 million plus interest, with a final payment of all remaining outstanding principal due on October 27, 2028. The quarterly principal payments commenced in March 2022. Under the Third Amendment, interest on the First Lien Term Loan is payable monthly on either (i) SOFR (with a floor of 0.50% per annum) plus an applicable margin of 2.25% for Term SOFR Loans (as such term is defined in the Third Amendment); or (ii) a base rate determined in accordance with the Third Amendment, plus 1.25% for Base Rate Loans (as such term is defined in the Third Amendment). The interest rate on the First Lien Term Loan was 6.82% and 8.21% as of December 31, 2024 and 2023, respectively. The weighted average interest rate incurred on the First Lien Term Loan was 7.61% and 7.83% for the years ended December 31, 2024 and 2023, respectively.</w:t>
      </w:r>
    </w:p>
    <w:p>
      <w:pPr>
        <w:spacing w:after="0" w:line="162"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The Company assessed whether the repayment of the First Lien Term Loan indebtedness resulted in an insubstantial modification or an extinguishment of the existing debt for each loan in the syndication by grouping lenders as follows: (i) Lenders participating in both the First Lien Term Loan and Senior Notes; (ii) previous lenders that exited; and (iii) new lenders. The Company determined that $0.4 million of the First Lien Term Loan were extinguished. The First Lien Term Loan had insubstantial modifications for lenders that participated in both debt instruments, which resulted in a cash inflow from financing activities of $50.0 million in the consolidated statements of cash flows. The Company incurred $1.6 million in fees, of which $0.1 million was capitalized, relative to the First Lien Term Loan and an immaterial amount of the total fees incurred was netted against the $50.0 million of debt proceeds as financing activities within the consolidated statements of cash flows. The Company recognized a loss on extinguishment of debt of $0.4 million included in the line entitled “Other, net” in the consolidated statements of comprehensive income.</w:t>
      </w:r>
    </w:p>
    <w:p>
      <w:pPr>
        <w:spacing w:after="0" w:line="151" w:lineRule="exact"/>
        <w:rPr>
          <w:sz w:val="20"/>
          <w:szCs w:val="20"/>
          <w:color w:val="auto"/>
        </w:rPr>
      </w:pPr>
    </w:p>
    <w:p>
      <w:pPr>
        <w:ind w:right="160" w:firstLine="324"/>
        <w:spacing w:after="0" w:line="261" w:lineRule="auto"/>
        <w:rPr>
          <w:sz w:val="20"/>
          <w:szCs w:val="20"/>
          <w:color w:val="auto"/>
        </w:rPr>
      </w:pPr>
      <w:r>
        <w:rPr>
          <w:rFonts w:ascii="Times New Roman" w:cs="Times New Roman" w:eastAsia="Times New Roman" w:hAnsi="Times New Roman"/>
          <w:sz w:val="18"/>
          <w:szCs w:val="18"/>
          <w:color w:val="auto"/>
        </w:rPr>
        <w:t>Effective June 30, 2023, the Company entered into an agreement, dated as of June 8, 2023, to amend the First Lien Term Loan to replace LIBOR and related definitions and provisions with SOFR as the new reference rate. The Company entered into the First Lien Term Loan Agreement (the “First Lien Credit Agreement Amendment”), which commenced in October 2021 (the “October 2021 Refinancing”) to provide $600.0 million of refinanced borrowings.</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On December 7, 2023, the Company entered into the Second Amendment to the amended and restated First Lien Credit Agreement dated as of October 27, 2021. The Second Amendment, among other things, creates a Revolver Facility which provides for borrowings up to $400.0 million. As of December 31, 2024, the Company had $4.1 million of undrawn letters of credit issued and outstanding, resulting in net borrowing availability under the Revolver Facility of $395.9 million. As of December 31, 2023, the Company had $5.3 million of undrawn letters of credit issued and outstanding, resulting in net borrowing availability under the Revolver Facility of $394.7 million. The Revolver Facility matures on the date that is the earlier of (i) December 7, 2028 and (ii) the date that is 91 days prior to the stated maturity date applicable to any Term B Loans. Borrowings under the Revolver Facility bear interest at a rate equal to, at the option of the Company, either (i) the Term SOFR applicable thereto plus the Applicable Rate or (ii) the then-applicable Base Rate plus the Applicable Rate, which Applicable Rate shall be, subject to certain caveats thereto, as follows (i) until delivery of financial statements and related Compliance Certificate for the first full fiscal quarter ending after the effective date of the Second Amendment, (A) for Term SOFR Loans, 1.75%, or (B) for Base Rate Loans, 0.75% and (ii) thereafter, the Applicable Rate for Term SOFR Loans and Base Rate Loans, based upon the Total Net Leverage Ratio as set forth in the most recent Compliance Certificate received by the Administrative Agent pursuant to the terms of the Credit Agreement.</w:t>
      </w:r>
    </w:p>
    <w:p>
      <w:pPr>
        <w:spacing w:after="0" w:line="151"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Concurrently with the creation of the Revolver Facility, the Company terminated the asset-based lending revolving credit facility (the “ABL Facility”) with a maturity date of October 27, 2026. Prior to the transition to the Revolver Facility, the ABL Facility had been in effect from August 6, 2019 to December 7, 2023. Effective January 13, 2023, the Company entered into an agreement to amend the ABL Facility and increase the amount of borrowing availability from $175.0 million by $50.0 million to $225.0 million total borrowing availability. As a result of the amended agreement, SOFR was established as the new reference rate, replacing LIBOR. Prior to the termination of the ABL Facility in December 2023, the ABL Facility bore interest at a rate equal to, at the Company’s election, either (i) a base rate determined in accordance with the ABL Credit Agreement plus an applicable margin, which is equal to between 0.25% and 0.75% based on the historical excess availability as a percentage of the Line Cap (as such term is defined in the ABL Credit Agreement); and (ii) SOFR (with a floor of —% per annum) plus an applicable margin, which is equal to between 1.25% and 1.75% based on the historical excess availability as a percentage of the Line Cap. The ABL Facility contained commitment fees payable on the unused portion ranging from 0.25% to 0.375%, depending on various factors including the Company’s leverage ratio, type of loan and rate type, and letter of credit fees of 2.50%. Borrowings under the ABL Facility were secured by a first priority security interest in the Company’s and each of its subsidiaries’ inventory, accounts receivable, cash, deposit accounts and certain assets and property related thereto (the “ABL Priority Collateral”), in each case subject to certain exceptions, and a third priority security interest in each of the Company’s subsidiaries’ capital stock (subject to certain exceptions) and substantially all of the Company’s property and assets (other than the ABL Priority Collateral).</w:t>
      </w:r>
    </w:p>
    <w:p>
      <w:pPr>
        <w:spacing w:after="0" w:line="170"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In conjunction with the October 2021 Refinancing, the Company also issued $500.0 million in aggregate principal of unsecured senior notes (“Senior Notes”). The Senior Notes bear interest at a rate of 4.375% per annum payable semi-annually in arrears on October 31 and April 30 of each year, commencing on April 30, 2022. The Senior Notes mature on October 31, 2029. The interest rate on the Senior Notes was 4.375% as of both December 31, 2024 and 2023. The weighted average interest rate incurred on the Senior Notes was 4.375% for both years ended December 31, 2024 and 2023.</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Long-term debt matures as follows (in thousands):</w:t>
      </w:r>
    </w:p>
    <w:p>
      <w:pPr>
        <w:spacing w:after="0" w:line="52"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90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Fiscal Year Ended December 31,</w:t>
            </w:r>
          </w:p>
        </w:tc>
        <w:tc>
          <w:tcPr>
            <w:tcW w:w="240" w:type="dxa"/>
            <w:vAlign w:val="bottom"/>
          </w:tcPr>
          <w:p>
            <w:pPr>
              <w:spacing w:after="0"/>
              <w:rPr>
                <w:sz w:val="18"/>
                <w:szCs w:val="18"/>
                <w:color w:val="auto"/>
              </w:rPr>
            </w:pPr>
          </w:p>
        </w:tc>
        <w:tc>
          <w:tcPr>
            <w:tcW w:w="1940" w:type="dxa"/>
            <w:vAlign w:val="bottom"/>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Minimum Payments</w:t>
            </w:r>
          </w:p>
        </w:tc>
      </w:tr>
      <w:tr>
        <w:trPr>
          <w:trHeight w:val="212"/>
        </w:trPr>
        <w:tc>
          <w:tcPr>
            <w:tcW w:w="89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2025</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6,512</w:t>
            </w:r>
          </w:p>
        </w:tc>
      </w:tr>
      <w:tr>
        <w:trPr>
          <w:trHeight w:val="213"/>
        </w:trPr>
        <w:tc>
          <w:tcPr>
            <w:tcW w:w="8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6,512</w:t>
            </w:r>
          </w:p>
        </w:tc>
      </w:tr>
      <w:tr>
        <w:trPr>
          <w:trHeight w:val="219"/>
        </w:trPr>
        <w:tc>
          <w:tcPr>
            <w:tcW w:w="8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6,512</w:t>
            </w:r>
          </w:p>
        </w:tc>
      </w:tr>
      <w:tr>
        <w:trPr>
          <w:trHeight w:val="213"/>
        </w:trPr>
        <w:tc>
          <w:tcPr>
            <w:tcW w:w="8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612,081</w:t>
            </w:r>
          </w:p>
        </w:tc>
      </w:tr>
      <w:tr>
        <w:trPr>
          <w:trHeight w:val="219"/>
        </w:trPr>
        <w:tc>
          <w:tcPr>
            <w:tcW w:w="8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500,000</w:t>
            </w:r>
          </w:p>
        </w:tc>
      </w:tr>
      <w:tr>
        <w:trPr>
          <w:trHeight w:val="216"/>
        </w:trPr>
        <w:tc>
          <w:tcPr>
            <w:tcW w:w="90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1,131,617</w:t>
            </w:r>
          </w:p>
        </w:tc>
      </w:tr>
      <w:tr>
        <w:trPr>
          <w:trHeight w:val="20"/>
        </w:trPr>
        <w:tc>
          <w:tcPr>
            <w:tcW w:w="8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right="200" w:firstLine="324"/>
        <w:spacing w:after="0" w:line="282" w:lineRule="auto"/>
        <w:rPr>
          <w:sz w:val="20"/>
          <w:szCs w:val="20"/>
          <w:color w:val="auto"/>
        </w:rPr>
      </w:pPr>
      <w:r>
        <w:rPr>
          <w:rFonts w:ascii="Times New Roman" w:cs="Times New Roman" w:eastAsia="Times New Roman" w:hAnsi="Times New Roman"/>
          <w:sz w:val="18"/>
          <w:szCs w:val="18"/>
          <w:color w:val="auto"/>
        </w:rPr>
        <w:t xml:space="preserve">During the year ended December 31, 2024, the Company engaged in hedging activities to limit its exposure to changes in interest rates. See Note 12, </w:t>
      </w:r>
      <w:r>
        <w:rPr>
          <w:rFonts w:ascii="Times New Roman" w:cs="Times New Roman" w:eastAsia="Times New Roman" w:hAnsi="Times New Roman"/>
          <w:sz w:val="18"/>
          <w:szCs w:val="18"/>
          <w:i w:val="1"/>
          <w:iCs w:val="1"/>
          <w:color w:val="auto"/>
        </w:rPr>
        <w:t>Derivative Instruments</w:t>
      </w:r>
      <w:r>
        <w:rPr>
          <w:rFonts w:ascii="Times New Roman" w:cs="Times New Roman" w:eastAsia="Times New Roman" w:hAnsi="Times New Roman"/>
          <w:sz w:val="18"/>
          <w:szCs w:val="18"/>
          <w:color w:val="auto"/>
        </w:rPr>
        <w:t>, for further discussion.</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the estimated fair values of the Company’s debt obligations as of December 31, 2024 (in thousands):</w:t>
      </w:r>
    </w:p>
    <w:p>
      <w:pPr>
        <w:spacing w:after="0" w:line="208"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3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Carrying Value as of</w:t>
            </w:r>
          </w:p>
        </w:tc>
        <w:tc>
          <w:tcPr>
            <w:tcW w:w="100" w:type="dxa"/>
            <w:vAlign w:val="bottom"/>
          </w:tcPr>
          <w:p>
            <w:pPr>
              <w:spacing w:after="0"/>
              <w:rPr>
                <w:sz w:val="16"/>
                <w:szCs w:val="16"/>
                <w:color w:val="auto"/>
              </w:rPr>
            </w:pPr>
          </w:p>
        </w:tc>
        <w:tc>
          <w:tcPr>
            <w:tcW w:w="17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Markets for Identical</w:t>
            </w:r>
          </w:p>
        </w:tc>
        <w:tc>
          <w:tcPr>
            <w:tcW w:w="180" w:type="dxa"/>
            <w:vAlign w:val="bottom"/>
          </w:tcPr>
          <w:p>
            <w:pPr>
              <w:spacing w:after="0"/>
              <w:rPr>
                <w:sz w:val="16"/>
                <w:szCs w:val="16"/>
                <w:color w:val="auto"/>
              </w:rPr>
            </w:pPr>
          </w:p>
        </w:tc>
        <w:tc>
          <w:tcPr>
            <w:tcW w:w="172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Significant Other</w:t>
            </w:r>
          </w:p>
        </w:tc>
        <w:tc>
          <w:tcPr>
            <w:tcW w:w="120" w:type="dxa"/>
            <w:vAlign w:val="bottom"/>
          </w:tcPr>
          <w:p>
            <w:pPr>
              <w:spacing w:after="0"/>
              <w:rPr>
                <w:sz w:val="16"/>
                <w:szCs w:val="16"/>
                <w:color w:val="auto"/>
              </w:rPr>
            </w:pPr>
          </w:p>
        </w:tc>
        <w:tc>
          <w:tcPr>
            <w:tcW w:w="162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Significant</w:t>
            </w:r>
          </w:p>
        </w:tc>
        <w:tc>
          <w:tcPr>
            <w:tcW w:w="0" w:type="dxa"/>
            <w:vAlign w:val="bottom"/>
          </w:tcPr>
          <w:p>
            <w:pPr>
              <w:spacing w:after="0"/>
              <w:rPr>
                <w:sz w:val="1"/>
                <w:szCs w:val="1"/>
                <w:color w:val="auto"/>
              </w:rPr>
            </w:pPr>
          </w:p>
        </w:tc>
      </w:tr>
      <w:tr>
        <w:trPr>
          <w:trHeight w:val="162"/>
        </w:trPr>
        <w:tc>
          <w:tcPr>
            <w:tcW w:w="38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Financial Instrument</w:t>
            </w:r>
          </w:p>
        </w:tc>
        <w:tc>
          <w:tcPr>
            <w:tcW w:w="120" w:type="dxa"/>
            <w:vAlign w:val="bottom"/>
          </w:tcPr>
          <w:p>
            <w:pPr>
              <w:spacing w:after="0"/>
              <w:rPr>
                <w:sz w:val="14"/>
                <w:szCs w:val="14"/>
                <w:color w:val="auto"/>
              </w:rPr>
            </w:pPr>
          </w:p>
        </w:tc>
        <w:tc>
          <w:tcPr>
            <w:tcW w:w="17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720" w:type="dxa"/>
            <w:vAlign w:val="bottom"/>
            <w:gridSpan w:val="2"/>
          </w:tcPr>
          <w:p>
            <w:pPr>
              <w:jc w:val="center"/>
              <w:ind w:right="280"/>
              <w:spacing w:after="0" w:line="162" w:lineRule="exact"/>
              <w:rPr>
                <w:sz w:val="20"/>
                <w:szCs w:val="20"/>
                <w:color w:val="auto"/>
              </w:rPr>
            </w:pPr>
            <w:r>
              <w:rPr>
                <w:rFonts w:ascii="Times New Roman" w:cs="Times New Roman" w:eastAsia="Times New Roman" w:hAnsi="Times New Roman"/>
                <w:sz w:val="16"/>
                <w:szCs w:val="16"/>
                <w:b w:val="1"/>
                <w:bCs w:val="1"/>
                <w:color w:val="auto"/>
              </w:rPr>
              <w:t>Observable Inputs</w:t>
            </w:r>
          </w:p>
        </w:tc>
        <w:tc>
          <w:tcPr>
            <w:tcW w:w="120" w:type="dxa"/>
            <w:vAlign w:val="bottom"/>
          </w:tcPr>
          <w:p>
            <w:pPr>
              <w:spacing w:after="0"/>
              <w:rPr>
                <w:sz w:val="14"/>
                <w:szCs w:val="14"/>
                <w:color w:val="auto"/>
              </w:rPr>
            </w:pPr>
          </w:p>
        </w:tc>
        <w:tc>
          <w:tcPr>
            <w:tcW w:w="1620" w:type="dxa"/>
            <w:vAlign w:val="bottom"/>
          </w:tcPr>
          <w:p>
            <w:pPr>
              <w:jc w:val="center"/>
              <w:ind w:right="39"/>
              <w:spacing w:after="0" w:line="162" w:lineRule="exact"/>
              <w:rPr>
                <w:sz w:val="20"/>
                <w:szCs w:val="20"/>
                <w:color w:val="auto"/>
              </w:rPr>
            </w:pPr>
            <w:r>
              <w:rPr>
                <w:rFonts w:ascii="Times New Roman" w:cs="Times New Roman" w:eastAsia="Times New Roman" w:hAnsi="Times New Roman"/>
                <w:sz w:val="16"/>
                <w:szCs w:val="16"/>
                <w:b w:val="1"/>
                <w:bCs w:val="1"/>
                <w:color w:val="auto"/>
              </w:rPr>
              <w:t>Unobservable Inputs</w:t>
            </w:r>
          </w:p>
        </w:tc>
        <w:tc>
          <w:tcPr>
            <w:tcW w:w="0" w:type="dxa"/>
            <w:vAlign w:val="bottom"/>
          </w:tcPr>
          <w:p>
            <w:pPr>
              <w:spacing w:after="0"/>
              <w:rPr>
                <w:sz w:val="1"/>
                <w:szCs w:val="1"/>
                <w:color w:val="auto"/>
              </w:rPr>
            </w:pPr>
          </w:p>
        </w:tc>
      </w:tr>
      <w:tr>
        <w:trPr>
          <w:trHeight w:val="214"/>
        </w:trPr>
        <w:tc>
          <w:tcPr>
            <w:tcW w:w="38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100" w:type="dxa"/>
            <w:vAlign w:val="bottom"/>
          </w:tcPr>
          <w:p>
            <w:pPr>
              <w:spacing w:after="0"/>
              <w:rPr>
                <w:sz w:val="18"/>
                <w:szCs w:val="18"/>
                <w:color w:val="auto"/>
              </w:rPr>
            </w:pPr>
          </w:p>
        </w:tc>
        <w:tc>
          <w:tcPr>
            <w:tcW w:w="17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Item (Level 1)</w:t>
            </w:r>
          </w:p>
        </w:tc>
        <w:tc>
          <w:tcPr>
            <w:tcW w:w="180" w:type="dxa"/>
            <w:vAlign w:val="bottom"/>
          </w:tcPr>
          <w:p>
            <w:pPr>
              <w:spacing w:after="0"/>
              <w:rPr>
                <w:sz w:val="18"/>
                <w:szCs w:val="18"/>
                <w:color w:val="auto"/>
              </w:rPr>
            </w:pPr>
          </w:p>
        </w:tc>
        <w:tc>
          <w:tcPr>
            <w:tcW w:w="172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120" w:type="dxa"/>
            <w:vAlign w:val="bottom"/>
          </w:tcPr>
          <w:p>
            <w:pPr>
              <w:spacing w:after="0"/>
              <w:rPr>
                <w:sz w:val="18"/>
                <w:szCs w:val="18"/>
                <w:color w:val="auto"/>
              </w:rPr>
            </w:pPr>
          </w:p>
        </w:tc>
        <w:tc>
          <w:tcPr>
            <w:tcW w:w="162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0" w:type="dxa"/>
            <w:vAlign w:val="bottom"/>
          </w:tcPr>
          <w:p>
            <w:pPr>
              <w:spacing w:after="0"/>
              <w:rPr>
                <w:sz w:val="1"/>
                <w:szCs w:val="1"/>
                <w:color w:val="auto"/>
              </w:rPr>
            </w:pPr>
          </w:p>
        </w:tc>
      </w:tr>
      <w:tr>
        <w:trPr>
          <w:trHeight w:val="211"/>
        </w:trPr>
        <w:tc>
          <w:tcPr>
            <w:tcW w:w="37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First Lien Term Loan</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618,525</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Borders>
              <w:top w:val="single" w:sz="8" w:color="auto"/>
            </w:tcBorders>
            <w:shd w:val="clear" w:color="auto" w:fill="CCEEFF"/>
          </w:tcPr>
          <w:p>
            <w:pPr>
              <w:ind w:left="14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634,774</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top w:val="single" w:sz="8" w:color="auto"/>
            </w:tcBorders>
            <w:shd w:val="clear" w:color="auto" w:fill="CCEEFF"/>
          </w:tcPr>
          <w:p>
            <w:pPr>
              <w:ind w:left="14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38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Senior Notes</w:t>
            </w:r>
          </w:p>
        </w:tc>
        <w:tc>
          <w:tcPr>
            <w:tcW w:w="1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492,628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gridSpan w:val="2"/>
          </w:tcPr>
          <w:p>
            <w:pPr>
              <w:ind w:left="14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460,000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ind w:left="14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3860" w:type="dxa"/>
            <w:vAlign w:val="bottom"/>
            <w:tcBorders>
              <w:top w:val="single" w:sz="8" w:color="CCEEFF"/>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Total debt instruments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1,111,153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Borders>
              <w:top w:val="single" w:sz="8" w:color="auto"/>
              <w:bottom w:val="single" w:sz="8" w:color="auto"/>
            </w:tcBorders>
            <w:shd w:val="clear" w:color="auto" w:fill="CCEEFF"/>
          </w:tcPr>
          <w:p>
            <w:pPr>
              <w:ind w:left="14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1,094,774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top w:val="single" w:sz="8" w:color="auto"/>
              <w:bottom w:val="single" w:sz="8" w:color="auto"/>
            </w:tcBorders>
            <w:shd w:val="clear" w:color="auto" w:fill="CCEEFF"/>
          </w:tcPr>
          <w:p>
            <w:pPr>
              <w:ind w:left="14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37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DERIVATIVE INSTRUMENTS</w:t>
      </w:r>
    </w:p>
    <w:p>
      <w:pPr>
        <w:spacing w:after="0" w:line="189" w:lineRule="exact"/>
        <w:rPr>
          <w:sz w:val="20"/>
          <w:szCs w:val="20"/>
          <w:color w:val="auto"/>
        </w:rPr>
      </w:pPr>
    </w:p>
    <w:p>
      <w:pPr>
        <w:ind w:right="100" w:firstLine="324"/>
        <w:spacing w:after="0" w:line="256" w:lineRule="auto"/>
        <w:rPr>
          <w:sz w:val="20"/>
          <w:szCs w:val="20"/>
          <w:color w:val="auto"/>
        </w:rPr>
      </w:pPr>
      <w:r>
        <w:rPr>
          <w:rFonts w:ascii="Times New Roman" w:cs="Times New Roman" w:eastAsia="Times New Roman" w:hAnsi="Times New Roman"/>
          <w:sz w:val="18"/>
          <w:szCs w:val="18"/>
          <w:color w:val="auto"/>
        </w:rPr>
        <w:t>The Company utilizes derivative financial instruments for hedging and non-trading purposes to limit the Company’s exposure to its variable interest rate risk. Use of derivative financial instruments in hedging strategies subjects the Company to certain risks, such as market and credit risks. Market risk represents the possibility that the value of the derivative financial instrument will change. Credit risk related to a derivative financial instrument represents the possibility that the counterparty will not fulfill the terms of the contract. The notional, or contractual, amount of the Company’s derivative financial instruments is used to measure interest to be paid or received and does not represent the Company’s exposure due to credit risk. Credit risk is monitored through established approval procedures, including reviewing credit ratings when appropriate.</w:t>
      </w:r>
    </w:p>
    <w:p>
      <w:pPr>
        <w:spacing w:after="0" w:line="160" w:lineRule="exact"/>
        <w:rPr>
          <w:sz w:val="20"/>
          <w:szCs w:val="20"/>
          <w:color w:val="auto"/>
        </w:rPr>
      </w:pPr>
    </w:p>
    <w:p>
      <w:pPr>
        <w:ind w:right="480" w:firstLine="324"/>
        <w:spacing w:after="0" w:line="266" w:lineRule="auto"/>
        <w:rPr>
          <w:sz w:val="20"/>
          <w:szCs w:val="20"/>
          <w:color w:val="auto"/>
        </w:rPr>
      </w:pPr>
      <w:r>
        <w:rPr>
          <w:rFonts w:ascii="Times New Roman" w:cs="Times New Roman" w:eastAsia="Times New Roman" w:hAnsi="Times New Roman"/>
          <w:sz w:val="18"/>
          <w:szCs w:val="18"/>
          <w:color w:val="auto"/>
        </w:rPr>
        <w:t>In October 2021, the Company entered into an interest rate cap hedge with a notional amount of $300.0 million for a five-year term beginning November 30, 2021. The hedge partially offsets risk associated with the First Lien Term Loan’s variable interest rate. The interest rate cap instrument perfectly offsets the terms of the interest rates associated with the variable interest rate of the First Lien Term Loan.</w:t>
      </w:r>
    </w:p>
    <w:p>
      <w:pPr>
        <w:spacing w:after="0" w:line="13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amount and location of the Company’s derivative instruments in the consolidated balance sheets (in thousands):</w:t>
      </w:r>
    </w:p>
    <w:p>
      <w:pPr>
        <w:spacing w:after="0" w:line="228" w:lineRule="exact"/>
        <w:rPr>
          <w:sz w:val="20"/>
          <w:szCs w:val="20"/>
          <w:color w:val="auto"/>
        </w:rPr>
      </w:pPr>
    </w:p>
    <w:tbl>
      <w:tblPr>
        <w:tblLayout w:type="fixed"/>
        <w:tblInd w:w="20" w:type="dxa"/>
        <w:tblCellMar>
          <w:top w:w="0" w:type="dxa"/>
          <w:left w:w="0" w:type="dxa"/>
          <w:bottom w:w="0" w:type="dxa"/>
          <w:right w:w="0" w:type="dxa"/>
        </w:tblCellMar>
      </w:tblPr>
      <w:tr>
        <w:trPr>
          <w:trHeight w:val="212"/>
        </w:trPr>
        <w:tc>
          <w:tcPr>
            <w:tcW w:w="3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520" w:type="dxa"/>
            <w:vAlign w:val="bottom"/>
            <w:tcBorders>
              <w:bottom w:val="single" w:sz="8" w:color="auto"/>
            </w:tcBorders>
            <w:gridSpan w:val="5"/>
          </w:tcPr>
          <w:p>
            <w:pPr>
              <w:ind w:left="2220"/>
              <w:spacing w:after="0"/>
              <w:rPr>
                <w:sz w:val="20"/>
                <w:szCs w:val="20"/>
                <w:color w:val="auto"/>
              </w:rPr>
            </w:pPr>
            <w:r>
              <w:rPr>
                <w:rFonts w:ascii="Times New Roman" w:cs="Times New Roman" w:eastAsia="Times New Roman" w:hAnsi="Times New Roman"/>
                <w:sz w:val="16"/>
                <w:szCs w:val="16"/>
                <w:b w:val="1"/>
                <w:bCs w:val="1"/>
                <w:color w:val="auto"/>
              </w:rPr>
              <w:t>Fair Value - Derivatives in Asset Position</w:t>
            </w:r>
          </w:p>
        </w:tc>
        <w:tc>
          <w:tcPr>
            <w:tcW w:w="1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spacing w:after="0"/>
              <w:rPr>
                <w:sz w:val="18"/>
                <w:szCs w:val="18"/>
                <w:color w:val="auto"/>
              </w:rPr>
            </w:pPr>
          </w:p>
        </w:tc>
      </w:tr>
      <w:tr>
        <w:trPr>
          <w:trHeight w:val="214"/>
        </w:trPr>
        <w:tc>
          <w:tcPr>
            <w:tcW w:w="39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Derivative</w:t>
            </w:r>
          </w:p>
        </w:tc>
        <w:tc>
          <w:tcPr>
            <w:tcW w:w="36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Balance Sheet Caption</w:t>
            </w:r>
          </w:p>
        </w:tc>
        <w:tc>
          <w:tcPr>
            <w:tcW w:w="160" w:type="dxa"/>
            <w:vAlign w:val="bottom"/>
          </w:tcPr>
          <w:p>
            <w:pPr>
              <w:spacing w:after="0"/>
              <w:rPr>
                <w:sz w:val="18"/>
                <w:szCs w:val="18"/>
                <w:color w:val="auto"/>
              </w:rPr>
            </w:pPr>
          </w:p>
        </w:tc>
        <w:tc>
          <w:tcPr>
            <w:tcW w:w="172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160" w:type="dxa"/>
            <w:vAlign w:val="bottom"/>
          </w:tcPr>
          <w:p>
            <w:pPr>
              <w:spacing w:after="0"/>
              <w:rPr>
                <w:sz w:val="18"/>
                <w:szCs w:val="18"/>
                <w:color w:val="auto"/>
              </w:rPr>
            </w:pPr>
          </w:p>
        </w:tc>
        <w:tc>
          <w:tcPr>
            <w:tcW w:w="158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11"/>
        </w:trPr>
        <w:tc>
          <w:tcPr>
            <w:tcW w:w="38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rate cap designated as cash flows hedge</w:t>
            </w:r>
          </w:p>
        </w:tc>
        <w:tc>
          <w:tcPr>
            <w:tcW w:w="100" w:type="dxa"/>
            <w:vAlign w:val="bottom"/>
            <w:tcBorders>
              <w:top w:val="single" w:sz="8" w:color="CCEEFF"/>
            </w:tcBorders>
            <w:shd w:val="clear" w:color="auto" w:fill="CCEEFF"/>
          </w:tcPr>
          <w:p>
            <w:pPr>
              <w:spacing w:after="0"/>
              <w:rPr>
                <w:sz w:val="18"/>
                <w:szCs w:val="18"/>
                <w:color w:val="auto"/>
              </w:rPr>
            </w:pPr>
          </w:p>
        </w:tc>
        <w:tc>
          <w:tcPr>
            <w:tcW w:w="35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8,034</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9,746</w:t>
            </w:r>
          </w:p>
        </w:tc>
      </w:tr>
      <w:tr>
        <w:trPr>
          <w:trHeight w:val="213"/>
        </w:trPr>
        <w:tc>
          <w:tcPr>
            <w:tcW w:w="39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Interest rate cap designated as cash flows hedge</w:t>
            </w:r>
          </w:p>
        </w:tc>
        <w:tc>
          <w:tcPr>
            <w:tcW w:w="36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Other noncurrent assets</w:t>
            </w: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6,680</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10,183</w:t>
            </w:r>
          </w:p>
        </w:tc>
      </w:tr>
      <w:tr>
        <w:trPr>
          <w:trHeight w:val="237"/>
        </w:trPr>
        <w:tc>
          <w:tcPr>
            <w:tcW w:w="39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derivative assets</w:t>
            </w:r>
          </w:p>
        </w:tc>
        <w:tc>
          <w:tcPr>
            <w:tcW w:w="35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14,714</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19,929</w:t>
            </w:r>
          </w:p>
        </w:tc>
      </w:tr>
      <w:tr>
        <w:trPr>
          <w:trHeight w:val="20"/>
        </w:trPr>
        <w:tc>
          <w:tcPr>
            <w:tcW w:w="3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right="220" w:firstLine="324"/>
        <w:spacing w:after="0" w:line="261" w:lineRule="auto"/>
        <w:rPr>
          <w:sz w:val="20"/>
          <w:szCs w:val="20"/>
          <w:color w:val="auto"/>
        </w:rPr>
      </w:pPr>
      <w:r>
        <w:rPr>
          <w:rFonts w:ascii="Times New Roman" w:cs="Times New Roman" w:eastAsia="Times New Roman" w:hAnsi="Times New Roman"/>
          <w:sz w:val="18"/>
          <w:szCs w:val="18"/>
          <w:color w:val="auto"/>
        </w:rPr>
        <w:t>The gain and loss associated with the changes in the fair value of the effective portion of hedging instruments are recorded into other comprehensive (loss) income. The gain and loss associated with the changes in the fair value of the hedging instrument is recognized in net income through interest expense. The following table presents the pre-tax (loss) gain from derivative instruments recognized in other comprehensive (loss) income in the Company’s consolidated statements of comprehensive income (in thousands):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r>
      <w:tr>
        <w:trPr>
          <w:trHeight w:val="214"/>
        </w:trPr>
        <w:tc>
          <w:tcPr>
            <w:tcW w:w="57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Derivative</w:t>
            </w: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11"/>
        </w:trPr>
        <w:tc>
          <w:tcPr>
            <w:tcW w:w="56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rate cap designated as cash flows hedge</w:t>
            </w:r>
          </w:p>
        </w:tc>
        <w:tc>
          <w:tcPr>
            <w:tcW w:w="1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ind w:right="95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(5,215)</w:t>
            </w: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(8,339)</w:t>
            </w:r>
          </w:p>
        </w:tc>
        <w:tc>
          <w:tcPr>
            <w:tcW w:w="1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28,869</w:t>
            </w:r>
          </w:p>
        </w:tc>
      </w:tr>
    </w:tbl>
    <w:p>
      <w:pPr>
        <w:spacing w:after="0" w:line="252" w:lineRule="exact"/>
        <w:rPr>
          <w:sz w:val="20"/>
          <w:szCs w:val="20"/>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amount and location of pre-tax income (loss) recognized in the Company’s consolidated statement of comprehensive income related to the Company’s derivative instruments (in thousands):</w:t>
      </w:r>
    </w:p>
    <w:p>
      <w:pPr>
        <w:spacing w:after="0" w:line="164" w:lineRule="exact"/>
        <w:rPr>
          <w:sz w:val="20"/>
          <w:szCs w:val="20"/>
          <w:color w:val="auto"/>
        </w:rPr>
      </w:pPr>
    </w:p>
    <w:tbl>
      <w:tblPr>
        <w:tblLayout w:type="fixed"/>
        <w:tblInd w:w="20" w:type="dxa"/>
        <w:tblCellMar>
          <w:top w:w="0" w:type="dxa"/>
          <w:left w:w="0" w:type="dxa"/>
          <w:bottom w:w="0" w:type="dxa"/>
          <w:right w:w="0" w:type="dxa"/>
        </w:tblCellMar>
      </w:tblPr>
      <w:tr>
        <w:trPr>
          <w:trHeight w:val="212"/>
        </w:trPr>
        <w:tc>
          <w:tcPr>
            <w:tcW w:w="3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4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394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Derivative</w:t>
            </w:r>
          </w:p>
        </w:tc>
        <w:tc>
          <w:tcPr>
            <w:tcW w:w="1820" w:type="dxa"/>
            <w:vAlign w:val="bottom"/>
            <w:gridSpan w:val="2"/>
          </w:tcPr>
          <w:p>
            <w:pPr>
              <w:ind w:left="20"/>
              <w:spacing w:after="0" w:line="148" w:lineRule="exact"/>
              <w:rPr>
                <w:sz w:val="20"/>
                <w:szCs w:val="20"/>
                <w:color w:val="auto"/>
              </w:rPr>
            </w:pPr>
            <w:r>
              <w:rPr>
                <w:rFonts w:ascii="Times New Roman" w:cs="Times New Roman" w:eastAsia="Times New Roman" w:hAnsi="Times New Roman"/>
                <w:sz w:val="16"/>
                <w:szCs w:val="16"/>
                <w:b w:val="1"/>
                <w:bCs w:val="1"/>
                <w:color w:val="auto"/>
              </w:rPr>
              <w:t>Income Statement</w:t>
            </w:r>
          </w:p>
        </w:tc>
        <w:tc>
          <w:tcPr>
            <w:tcW w:w="400" w:type="dxa"/>
            <w:vAlign w:val="bottom"/>
          </w:tcPr>
          <w:p>
            <w:pPr>
              <w:spacing w:after="0"/>
              <w:rPr>
                <w:sz w:val="12"/>
                <w:szCs w:val="12"/>
                <w:color w:val="auto"/>
              </w:rPr>
            </w:pPr>
          </w:p>
        </w:tc>
        <w:tc>
          <w:tcPr>
            <w:tcW w:w="1340" w:type="dxa"/>
            <w:vAlign w:val="bottom"/>
            <w:vMerge w:val="restart"/>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340" w:type="dxa"/>
            <w:vAlign w:val="bottom"/>
            <w:vMerge w:val="restart"/>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340" w:type="dxa"/>
            <w:vAlign w:val="bottom"/>
            <w:vMerge w:val="restart"/>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2022</w:t>
            </w:r>
          </w:p>
        </w:tc>
        <w:tc>
          <w:tcPr>
            <w:tcW w:w="0" w:type="dxa"/>
            <w:vAlign w:val="bottom"/>
          </w:tcPr>
          <w:p>
            <w:pPr>
              <w:spacing w:after="0"/>
              <w:rPr>
                <w:sz w:val="1"/>
                <w:szCs w:val="1"/>
                <w:color w:val="auto"/>
              </w:rPr>
            </w:pPr>
          </w:p>
        </w:tc>
      </w:tr>
      <w:tr>
        <w:trPr>
          <w:trHeight w:val="214"/>
        </w:trPr>
        <w:tc>
          <w:tcPr>
            <w:tcW w:w="3940" w:type="dxa"/>
            <w:vAlign w:val="bottom"/>
            <w:gridSpan w:val="2"/>
            <w:vMerge w:val="continue"/>
          </w:tcPr>
          <w:p>
            <w:pPr>
              <w:spacing w:after="0"/>
              <w:rPr>
                <w:sz w:val="18"/>
                <w:szCs w:val="18"/>
                <w:color w:val="auto"/>
              </w:rPr>
            </w:pPr>
          </w:p>
        </w:tc>
        <w:tc>
          <w:tcPr>
            <w:tcW w:w="18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Caption</w:t>
            </w:r>
          </w:p>
        </w:tc>
        <w:tc>
          <w:tcPr>
            <w:tcW w:w="400" w:type="dxa"/>
            <w:vAlign w:val="bottom"/>
          </w:tcPr>
          <w:p>
            <w:pPr>
              <w:spacing w:after="0"/>
              <w:rPr>
                <w:sz w:val="18"/>
                <w:szCs w:val="18"/>
                <w:color w:val="auto"/>
              </w:rPr>
            </w:pPr>
          </w:p>
        </w:tc>
        <w:tc>
          <w:tcPr>
            <w:tcW w:w="13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8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rate cap designated as cash flows hedge</w:t>
            </w:r>
          </w:p>
        </w:tc>
        <w:tc>
          <w:tcPr>
            <w:tcW w:w="100" w:type="dxa"/>
            <w:vAlign w:val="bottom"/>
            <w:tcBorders>
              <w:top w:val="single" w:sz="8" w:color="CCEEFF"/>
            </w:tcBorders>
            <w:shd w:val="clear" w:color="auto" w:fill="CCEEFF"/>
          </w:tcPr>
          <w:p>
            <w:pPr>
              <w:spacing w:after="0"/>
              <w:rPr>
                <w:sz w:val="18"/>
                <w:szCs w:val="18"/>
                <w:color w:val="auto"/>
              </w:rPr>
            </w:pPr>
          </w:p>
        </w:tc>
        <w:tc>
          <w:tcPr>
            <w:tcW w:w="17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 net</w:t>
            </w: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11,527</w:t>
            </w:r>
          </w:p>
        </w:tc>
        <w:tc>
          <w:tcPr>
            <w:tcW w:w="1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10,974</w:t>
            </w: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1,090</w:t>
            </w:r>
          </w:p>
        </w:tc>
        <w:tc>
          <w:tcPr>
            <w:tcW w:w="0" w:type="dxa"/>
            <w:vAlign w:val="bottom"/>
          </w:tcPr>
          <w:p>
            <w:pPr>
              <w:spacing w:after="0"/>
              <w:rPr>
                <w:sz w:val="1"/>
                <w:szCs w:val="1"/>
                <w:color w:val="auto"/>
              </w:rPr>
            </w:pPr>
          </w:p>
        </w:tc>
      </w:tr>
    </w:tbl>
    <w:p>
      <w:pPr>
        <w:spacing w:after="0" w:line="252" w:lineRule="exact"/>
        <w:rPr>
          <w:sz w:val="20"/>
          <w:szCs w:val="20"/>
          <w:color w:val="auto"/>
        </w:rPr>
      </w:pPr>
    </w:p>
    <w:p>
      <w:pPr>
        <w:ind w:right="560" w:firstLine="324"/>
        <w:spacing w:after="0" w:line="282" w:lineRule="auto"/>
        <w:rPr>
          <w:sz w:val="20"/>
          <w:szCs w:val="20"/>
          <w:color w:val="auto"/>
        </w:rPr>
      </w:pPr>
      <w:r>
        <w:rPr>
          <w:rFonts w:ascii="Times New Roman" w:cs="Times New Roman" w:eastAsia="Times New Roman" w:hAnsi="Times New Roman"/>
          <w:sz w:val="18"/>
          <w:szCs w:val="18"/>
          <w:color w:val="auto"/>
        </w:rPr>
        <w:t>The Company expects to reclassify $2.8 million of total interest rate costs from accumulated other comprehensive income (loss) against interest expense during the next 12 months.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FAIR VALUE MEASUREMENTS</w:t>
      </w:r>
    </w:p>
    <w:p>
      <w:pPr>
        <w:spacing w:after="0" w:line="202"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 xml:space="preserve">Fair value measurements are determined by maximizing the use of observable inputs and minimizing the use of unobservable inputs. The hierarchy places the highest priority on unadjusted quoted market prices in active markets for identical assets or liabilities (Level 1 measurements) and gives the lowest priority to unobservable inputs (Level 3 measurements). The three levels of inputs within the fair value hierarchy are defined in Note 2, </w:t>
      </w:r>
      <w:r>
        <w:rPr>
          <w:rFonts w:ascii="Times New Roman" w:cs="Times New Roman" w:eastAsia="Times New Roman" w:hAnsi="Times New Roman"/>
          <w:sz w:val="18"/>
          <w:szCs w:val="18"/>
          <w:i w:val="1"/>
          <w:iCs w:val="1"/>
          <w:color w:val="auto"/>
        </w:rPr>
        <w:t>Summary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Significant Accounting Policies. </w:t>
      </w:r>
      <w:r>
        <w:rPr>
          <w:rFonts w:ascii="Times New Roman" w:cs="Times New Roman" w:eastAsia="Times New Roman" w:hAnsi="Times New Roman"/>
          <w:sz w:val="18"/>
          <w:szCs w:val="18"/>
          <w:color w:val="auto"/>
        </w:rPr>
        <w:t>While the Company believes its valuation methods are appropriate and consistent with other market participants, the use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different methodologies or assumptions to determine the fair value of certain financial instruments could result in a different fair value measurement at the reporting date.</w:t>
      </w:r>
    </w:p>
    <w:p>
      <w:pPr>
        <w:spacing w:after="0" w:line="145" w:lineRule="exact"/>
        <w:rPr>
          <w:sz w:val="20"/>
          <w:szCs w:val="20"/>
          <w:color w:val="auto"/>
        </w:rPr>
      </w:pPr>
    </w:p>
    <w:p>
      <w:pPr>
        <w:ind w:right="20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First Lien Term Loan</w:t>
      </w:r>
      <w:r>
        <w:rPr>
          <w:rFonts w:ascii="Times New Roman" w:cs="Times New Roman" w:eastAsia="Times New Roman" w:hAnsi="Times New Roman"/>
          <w:sz w:val="18"/>
          <w:szCs w:val="18"/>
          <w:color w:val="auto"/>
        </w:rPr>
        <w:t>: The fair value of the First Lien Term Loan is derived from a broker quote on the loans in the syndication (Level 2 inputs). See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Note 11, </w:t>
      </w:r>
      <w:r>
        <w:rPr>
          <w:rFonts w:ascii="Times New Roman" w:cs="Times New Roman" w:eastAsia="Times New Roman" w:hAnsi="Times New Roman"/>
          <w:sz w:val="18"/>
          <w:szCs w:val="18"/>
          <w:i w:val="1"/>
          <w:iCs w:val="1"/>
          <w:color w:val="auto"/>
        </w:rPr>
        <w:t>Indebtedness</w:t>
      </w:r>
      <w:r>
        <w:rPr>
          <w:rFonts w:ascii="Times New Roman" w:cs="Times New Roman" w:eastAsia="Times New Roman" w:hAnsi="Times New Roman"/>
          <w:sz w:val="18"/>
          <w:szCs w:val="18"/>
          <w:color w:val="auto"/>
        </w:rPr>
        <w:t>, for further discussion of the carrying amount and fair value of the First Lien Term Loan.</w:t>
      </w:r>
    </w:p>
    <w:p>
      <w:pPr>
        <w:spacing w:after="0" w:line="118" w:lineRule="exact"/>
        <w:rPr>
          <w:sz w:val="20"/>
          <w:szCs w:val="20"/>
          <w:color w:val="auto"/>
        </w:rPr>
      </w:pPr>
    </w:p>
    <w:p>
      <w:pPr>
        <w:ind w:right="20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Senior Notes</w:t>
      </w:r>
      <w:r>
        <w:rPr>
          <w:rFonts w:ascii="Times New Roman" w:cs="Times New Roman" w:eastAsia="Times New Roman" w:hAnsi="Times New Roman"/>
          <w:sz w:val="18"/>
          <w:szCs w:val="18"/>
          <w:color w:val="auto"/>
        </w:rPr>
        <w:t>: The fair value of the Senior Notes is derived from a broker quote (Level 2 inputs). See Note 11,</w:t>
      </w:r>
      <w:r>
        <w:rPr>
          <w:rFonts w:ascii="Times New Roman" w:cs="Times New Roman" w:eastAsia="Times New Roman" w:hAnsi="Times New Roman"/>
          <w:sz w:val="18"/>
          <w:szCs w:val="18"/>
          <w:i w:val="1"/>
          <w:iCs w:val="1"/>
          <w:color w:val="auto"/>
        </w:rPr>
        <w:t xml:space="preserve"> Indebtedness</w:t>
      </w:r>
      <w:r>
        <w:rPr>
          <w:rFonts w:ascii="Times New Roman" w:cs="Times New Roman" w:eastAsia="Times New Roman" w:hAnsi="Times New Roman"/>
          <w:sz w:val="18"/>
          <w:szCs w:val="18"/>
          <w:color w:val="auto"/>
        </w:rPr>
        <w:t>, for further discussion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carrying amount and fair value of the Senior Notes.</w:t>
      </w:r>
    </w:p>
    <w:p>
      <w:pPr>
        <w:spacing w:after="0" w:line="131" w:lineRule="exact"/>
        <w:rPr>
          <w:sz w:val="20"/>
          <w:szCs w:val="20"/>
          <w:color w:val="auto"/>
        </w:rPr>
      </w:pPr>
    </w:p>
    <w:p>
      <w:pPr>
        <w:ind w:right="320"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Interest Rate Cap</w:t>
      </w:r>
      <w:r>
        <w:rPr>
          <w:rFonts w:ascii="Times New Roman" w:cs="Times New Roman" w:eastAsia="Times New Roman" w:hAnsi="Times New Roman"/>
          <w:sz w:val="18"/>
          <w:szCs w:val="18"/>
          <w:color w:val="auto"/>
        </w:rPr>
        <w:t>: The fair value of the interest rate cap is derived from the interest rates prevalent in the market and future expectations of those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interest rates (Level 2 inputs). The Company determines the fair value of the investments based on quoted prices from third-party brokers. See Note 12, </w:t>
      </w:r>
      <w:r>
        <w:rPr>
          <w:rFonts w:ascii="Times New Roman" w:cs="Times New Roman" w:eastAsia="Times New Roman" w:hAnsi="Times New Roman"/>
          <w:sz w:val="18"/>
          <w:szCs w:val="18"/>
          <w:i w:val="1"/>
          <w:iCs w:val="1"/>
          <w:color w:val="auto"/>
        </w:rPr>
        <w:t>Derivative Instruments</w:t>
      </w:r>
      <w:r>
        <w:rPr>
          <w:rFonts w:ascii="Times New Roman" w:cs="Times New Roman" w:eastAsia="Times New Roman" w:hAnsi="Times New Roman"/>
          <w:sz w:val="18"/>
          <w:szCs w:val="18"/>
          <w:color w:val="auto"/>
        </w:rPr>
        <w:t>, for further discussion of the fair value of the interest rate cap.</w:t>
      </w:r>
    </w:p>
    <w:p>
      <w:pPr>
        <w:spacing w:after="0" w:line="133" w:lineRule="exact"/>
        <w:rPr>
          <w:sz w:val="20"/>
          <w:szCs w:val="20"/>
          <w:color w:val="auto"/>
        </w:rPr>
      </w:pPr>
    </w:p>
    <w:p>
      <w:pPr>
        <w:ind w:right="20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Money Market Funds</w:t>
      </w:r>
      <w:r>
        <w:rPr>
          <w:rFonts w:ascii="Times New Roman" w:cs="Times New Roman" w:eastAsia="Times New Roman" w:hAnsi="Times New Roman"/>
          <w:sz w:val="18"/>
          <w:szCs w:val="18"/>
          <w:color w:val="auto"/>
        </w:rPr>
        <w:t>: The fair value of the money market funds is derived from the closing price reported by the fund sponsor and classified as cash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cash equivalents on the Company’s consolidated balance sheets (Level 1 inputs).</w:t>
      </w:r>
    </w:p>
    <w:p>
      <w:pPr>
        <w:spacing w:after="0" w:line="12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There were no other assets or liabilities measured at fair value at December 31, 2024 or 2023.</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COMMITMENTS AND CONTINGENCIES</w:t>
      </w:r>
    </w:p>
    <w:p>
      <w:pPr>
        <w:spacing w:after="0" w:line="189"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The Company is involved in legal proceedings and is subject to investigations, inspections, audits, inquiries, and similar actions by governmental authorities, arising in the normal course of the Company’s business. Some of these suits may purport or may be determined to be class actions and/or involve parties seeking large and/or indeterminate amounts, including punitive or exemplary damages, and may remain unresolved for several years. From time to time, the Company may also be involved in legal proceedings as a plaintiff involving antitrust, tax, contract, intellectual property, and other matters. Gain contingencies, if any, are recognized when they are realized.</w:t>
      </w:r>
    </w:p>
    <w:p>
      <w:pPr>
        <w:spacing w:after="0" w:line="143" w:lineRule="exact"/>
        <w:rPr>
          <w:sz w:val="20"/>
          <w:szCs w:val="20"/>
          <w:color w:val="auto"/>
        </w:rPr>
      </w:pPr>
    </w:p>
    <w:p>
      <w:pPr>
        <w:ind w:right="300" w:firstLine="324"/>
        <w:spacing w:after="0" w:line="266" w:lineRule="auto"/>
        <w:rPr>
          <w:sz w:val="20"/>
          <w:szCs w:val="20"/>
          <w:color w:val="auto"/>
        </w:rPr>
      </w:pPr>
      <w:r>
        <w:rPr>
          <w:rFonts w:ascii="Times New Roman" w:cs="Times New Roman" w:eastAsia="Times New Roman" w:hAnsi="Times New Roman"/>
          <w:sz w:val="18"/>
          <w:szCs w:val="18"/>
          <w:color w:val="auto"/>
        </w:rPr>
        <w:t>The results of legal proceedings are often uncertain and difficult to predict, and the costs incurred in litigation can be substantial, regardless of the outcome. The Company does not believe that any of these pending matters, after consideration of applicable reserves and rights to indemnification, will have a material adverse effect on the Company’s consolidated balance sheets.</w:t>
      </w:r>
    </w:p>
    <w:p>
      <w:pPr>
        <w:spacing w:after="0" w:line="149"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However, substantial unanticipated verdicts, fines, and rulings may occur. As a result, the Company may from time to time incur judgments, enter into settlements, or revise expectations regarding the outcome of certain matters, and such developments could have a material adverse effect on its results of operations in the period in which the amounts are accrued and/or its cash flows in the period in which the amounts are paid.</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STOCK-BASED INCENTIVE COMPENSATION</w:t>
      </w:r>
    </w:p>
    <w:p>
      <w:pPr>
        <w:spacing w:after="0" w:line="198" w:lineRule="exact"/>
        <w:rPr>
          <w:sz w:val="20"/>
          <w:szCs w:val="20"/>
          <w:color w:val="auto"/>
        </w:rPr>
      </w:pPr>
    </w:p>
    <w:p>
      <w:pPr>
        <w:ind w:right="80" w:firstLine="324"/>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Equity Incentive Plans </w:t>
      </w:r>
      <w:r>
        <w:rPr>
          <w:rFonts w:ascii="Times New Roman" w:cs="Times New Roman" w:eastAsia="Times New Roman" w:hAnsi="Times New Roman"/>
          <w:sz w:val="18"/>
          <w:szCs w:val="18"/>
          <w:color w:val="auto"/>
        </w:rPr>
        <w:t>— Under the Company’s 2018 Equity Incentive Plan (the “2018 Plan”), approved at the annual meeting by stockholders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May 3, 2018, the Company may issue, among other things, incentive stock options, non-qualified stock options, stock appreciation rights, restricted stock units, stock grants, and performance units to key employees and directors. The 2018 plan is administered by the Company’s Compensation Committee, a standing committee of the Board of Directors. In May 2024, an additional 4,000,000 shares were authorized for issuance under the amended 2018 Plan, resulting in a total of 13,101,734 shares of common stock authorized for issuance as of December 31, 2024. As of December 31, 2023, a total of 9,101,734 shares of common stock were authorized for issuance under the amended 2018 Plan.</w:t>
      </w:r>
    </w:p>
    <w:p>
      <w:pPr>
        <w:spacing w:after="0" w:line="142" w:lineRule="exact"/>
        <w:rPr>
          <w:sz w:val="20"/>
          <w:szCs w:val="20"/>
          <w:color w:val="auto"/>
        </w:rPr>
      </w:pPr>
    </w:p>
    <w:p>
      <w:pPr>
        <w:jc w:val="both"/>
        <w:ind w:right="120" w:firstLine="324"/>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Stock Options </w:t>
      </w:r>
      <w:r>
        <w:rPr>
          <w:rFonts w:ascii="Times New Roman" w:cs="Times New Roman" w:eastAsia="Times New Roman" w:hAnsi="Times New Roman"/>
          <w:sz w:val="18"/>
          <w:szCs w:val="18"/>
          <w:color w:val="auto"/>
        </w:rPr>
        <w:t>— Options granted under the 2018 Plan typically vest over a three- or four-year period and, in certain instances, may fully vest upon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change in control of the Company. The options also typically have an exercise price that may not be less than 100% of its fair market value on the date of grant and are exercisable seven to ten years after the date of grant, subject to earlier termination in certain circumstances.</w:t>
      </w:r>
    </w:p>
    <w:p>
      <w:pPr>
        <w:spacing w:after="0" w:line="134" w:lineRule="exact"/>
        <w:rPr>
          <w:sz w:val="20"/>
          <w:szCs w:val="20"/>
          <w:color w:val="auto"/>
        </w:rPr>
      </w:pPr>
    </w:p>
    <w:p>
      <w:pPr>
        <w:ind w:right="20" w:firstLine="324"/>
        <w:spacing w:after="0" w:line="312" w:lineRule="auto"/>
        <w:rPr>
          <w:sz w:val="20"/>
          <w:szCs w:val="20"/>
          <w:color w:val="auto"/>
        </w:rPr>
      </w:pPr>
      <w:r>
        <w:rPr>
          <w:rFonts w:ascii="Times New Roman" w:cs="Times New Roman" w:eastAsia="Times New Roman" w:hAnsi="Times New Roman"/>
          <w:sz w:val="17"/>
          <w:szCs w:val="17"/>
          <w:color w:val="auto"/>
        </w:rPr>
        <w:t>Compensation expense from stock options is recognized on a straight-line basis over the requisite service period. During the years ended December 31, 2024, 2023 and 2022, the Company recognized compensation expense related to stock options of $5.9 million, $6.5 million and $2.5 million, respectively.</w:t>
      </w:r>
    </w:p>
    <w:p>
      <w:pPr>
        <w:spacing w:after="0" w:line="113" w:lineRule="exact"/>
        <w:rPr>
          <w:sz w:val="20"/>
          <w:szCs w:val="20"/>
          <w:color w:val="auto"/>
        </w:rPr>
      </w:pPr>
    </w:p>
    <w:p>
      <w:pPr>
        <w:ind w:right="180" w:firstLine="324"/>
        <w:spacing w:after="0" w:line="261" w:lineRule="auto"/>
        <w:rPr>
          <w:sz w:val="20"/>
          <w:szCs w:val="20"/>
          <w:color w:val="auto"/>
        </w:rPr>
      </w:pPr>
      <w:r>
        <w:rPr>
          <w:rFonts w:ascii="Times New Roman" w:cs="Times New Roman" w:eastAsia="Times New Roman" w:hAnsi="Times New Roman"/>
          <w:sz w:val="18"/>
          <w:szCs w:val="18"/>
          <w:color w:val="auto"/>
        </w:rPr>
        <w:t>There were no options granted during the year ended December 31, 2024. The weighted average grant-date fair value of options granted during the years ended December 31, 2023 and 2022 was $15.72 and $12.51, respectively. The fair value of stock options granted was estimated on the date of grant using a Black-Scholes pricing model. The assumptions used to compute the fair value of options for the years ended December 31, 2023 and 2022 are as follows:</w:t>
      </w:r>
    </w:p>
    <w:p>
      <w:pPr>
        <w:spacing w:after="0" w:line="182"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7640" w:type="dxa"/>
            <w:vAlign w:val="bottom"/>
          </w:tcPr>
          <w:p>
            <w:pPr>
              <w:spacing w:after="0"/>
              <w:rPr>
                <w:sz w:val="18"/>
                <w:szCs w:val="18"/>
                <w:color w:val="auto"/>
              </w:rPr>
            </w:pPr>
          </w:p>
        </w:tc>
        <w:tc>
          <w:tcPr>
            <w:tcW w:w="3540" w:type="dxa"/>
            <w:vAlign w:val="bottom"/>
            <w:tcBorders>
              <w:bottom w:val="single" w:sz="8" w:color="auto"/>
            </w:tcBorders>
            <w:gridSpan w:val="3"/>
          </w:tcPr>
          <w:p>
            <w:pPr>
              <w:ind w:left="88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r>
      <w:tr>
        <w:trPr>
          <w:trHeight w:val="211"/>
        </w:trPr>
        <w:tc>
          <w:tcPr>
            <w:tcW w:w="7640" w:type="dxa"/>
            <w:vAlign w:val="bottom"/>
            <w:tcBorders>
              <w:bottom w:val="single" w:sz="8" w:color="CCEEFF"/>
            </w:tcBorders>
          </w:tcPr>
          <w:p>
            <w:pPr>
              <w:spacing w:after="0"/>
              <w:rPr>
                <w:sz w:val="18"/>
                <w:szCs w:val="18"/>
                <w:color w:val="auto"/>
              </w:rPr>
            </w:pPr>
          </w:p>
        </w:tc>
        <w:tc>
          <w:tcPr>
            <w:tcW w:w="1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120" w:type="dxa"/>
            <w:vAlign w:val="bottom"/>
            <w:tcBorders>
              <w:bottom w:val="single" w:sz="8" w:color="CCEEFF"/>
            </w:tcBorders>
          </w:tcPr>
          <w:p>
            <w:pPr>
              <w:spacing w:after="0"/>
              <w:rPr>
                <w:sz w:val="18"/>
                <w:szCs w:val="18"/>
                <w:color w:val="auto"/>
              </w:rPr>
            </w:pPr>
          </w:p>
        </w:tc>
        <w:tc>
          <w:tcPr>
            <w:tcW w:w="1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2022</w:t>
            </w:r>
          </w:p>
        </w:tc>
      </w:tr>
      <w:tr>
        <w:trPr>
          <w:trHeight w:val="211"/>
        </w:trPr>
        <w:tc>
          <w:tcPr>
            <w:tcW w:w="7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Expected volatility</w:t>
            </w:r>
          </w:p>
        </w:tc>
        <w:tc>
          <w:tcPr>
            <w:tcW w:w="1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7"/>
              </w:rPr>
              <w:t>51.43%</w:t>
            </w:r>
          </w:p>
        </w:tc>
        <w:tc>
          <w:tcPr>
            <w:tcW w:w="120" w:type="dxa"/>
            <w:vAlign w:val="bottom"/>
            <w:shd w:val="clear" w:color="auto" w:fill="CCEEFF"/>
          </w:tcPr>
          <w:p>
            <w:pPr>
              <w:spacing w:after="0"/>
              <w:rPr>
                <w:sz w:val="18"/>
                <w:szCs w:val="18"/>
                <w:color w:val="auto"/>
              </w:rPr>
            </w:pP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51.19%</w:t>
            </w:r>
          </w:p>
        </w:tc>
      </w:tr>
      <w:tr>
        <w:trPr>
          <w:trHeight w:val="213"/>
        </w:trPr>
        <w:tc>
          <w:tcPr>
            <w:tcW w:w="7640" w:type="dxa"/>
            <w:vAlign w:val="bottom"/>
          </w:tcPr>
          <w:p>
            <w:pPr>
              <w:spacing w:after="0"/>
              <w:rPr>
                <w:sz w:val="20"/>
                <w:szCs w:val="20"/>
                <w:color w:val="auto"/>
              </w:rPr>
            </w:pPr>
            <w:r>
              <w:rPr>
                <w:rFonts w:ascii="Times New Roman" w:cs="Times New Roman" w:eastAsia="Times New Roman" w:hAnsi="Times New Roman"/>
                <w:sz w:val="16"/>
                <w:szCs w:val="16"/>
                <w:color w:val="auto"/>
              </w:rPr>
              <w:t>Risk-free interest rate</w:t>
            </w:r>
          </w:p>
        </w:tc>
        <w:tc>
          <w:tcPr>
            <w:tcW w:w="17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4.16%</w:t>
            </w:r>
          </w:p>
        </w:tc>
        <w:tc>
          <w:tcPr>
            <w:tcW w:w="12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3.91%</w:t>
            </w:r>
          </w:p>
        </w:tc>
      </w:tr>
      <w:tr>
        <w:trPr>
          <w:trHeight w:val="219"/>
        </w:trPr>
        <w:tc>
          <w:tcPr>
            <w:tcW w:w="7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Expected life of options</w:t>
            </w:r>
          </w:p>
        </w:tc>
        <w:tc>
          <w:tcPr>
            <w:tcW w:w="184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6.2 years</w:t>
            </w:r>
          </w:p>
        </w:tc>
        <w:tc>
          <w:tcPr>
            <w:tcW w:w="17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6.2 years</w:t>
            </w:r>
          </w:p>
        </w:tc>
      </w:tr>
      <w:tr>
        <w:trPr>
          <w:trHeight w:val="210"/>
        </w:trPr>
        <w:tc>
          <w:tcPr>
            <w:tcW w:w="7640" w:type="dxa"/>
            <w:vAlign w:val="bottom"/>
          </w:tcPr>
          <w:p>
            <w:pPr>
              <w:spacing w:after="0"/>
              <w:rPr>
                <w:sz w:val="20"/>
                <w:szCs w:val="20"/>
                <w:color w:val="auto"/>
              </w:rPr>
            </w:pPr>
            <w:r>
              <w:rPr>
                <w:rFonts w:ascii="Times New Roman" w:cs="Times New Roman" w:eastAsia="Times New Roman" w:hAnsi="Times New Roman"/>
                <w:sz w:val="16"/>
                <w:szCs w:val="16"/>
                <w:color w:val="auto"/>
              </w:rPr>
              <w:t>Dividend rate</w:t>
            </w:r>
          </w:p>
        </w:tc>
        <w:tc>
          <w:tcPr>
            <w:tcW w:w="18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r>
    </w:tbl>
    <w:p>
      <w:pPr>
        <w:spacing w:after="0" w:line="25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summary of stock option activity for the year ended December 31, 2024 is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90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Weighted Average</w:t>
            </w:r>
          </w:p>
        </w:tc>
        <w:tc>
          <w:tcPr>
            <w:tcW w:w="160" w:type="dxa"/>
            <w:vAlign w:val="bottom"/>
          </w:tcPr>
          <w:p>
            <w:pPr>
              <w:spacing w:after="0"/>
              <w:rPr>
                <w:sz w:val="16"/>
                <w:szCs w:val="16"/>
                <w:color w:val="auto"/>
              </w:rPr>
            </w:pPr>
          </w:p>
        </w:tc>
        <w:tc>
          <w:tcPr>
            <w:tcW w:w="17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Aggregate Intrinsic</w:t>
            </w:r>
          </w:p>
        </w:tc>
        <w:tc>
          <w:tcPr>
            <w:tcW w:w="17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Weighted Average</w:t>
            </w:r>
          </w:p>
        </w:tc>
        <w:tc>
          <w:tcPr>
            <w:tcW w:w="0" w:type="dxa"/>
            <w:vAlign w:val="bottom"/>
          </w:tcPr>
          <w:p>
            <w:pPr>
              <w:spacing w:after="0"/>
              <w:rPr>
                <w:sz w:val="1"/>
                <w:szCs w:val="1"/>
                <w:color w:val="auto"/>
              </w:rPr>
            </w:pPr>
          </w:p>
        </w:tc>
      </w:tr>
      <w:tr>
        <w:trPr>
          <w:trHeight w:val="162"/>
        </w:trPr>
        <w:tc>
          <w:tcPr>
            <w:tcW w:w="3900" w:type="dxa"/>
            <w:vAlign w:val="bottom"/>
          </w:tcPr>
          <w:p>
            <w:pPr>
              <w:spacing w:after="0"/>
              <w:rPr>
                <w:sz w:val="14"/>
                <w:szCs w:val="14"/>
                <w:color w:val="auto"/>
              </w:rPr>
            </w:pPr>
          </w:p>
        </w:tc>
        <w:tc>
          <w:tcPr>
            <w:tcW w:w="1760" w:type="dxa"/>
            <w:vAlign w:val="bottom"/>
            <w:vMerge w:val="restart"/>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Options</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720" w:type="dxa"/>
            <w:vAlign w:val="bottom"/>
            <w:gridSpan w:val="2"/>
            <w:vMerge w:val="continue"/>
          </w:tcPr>
          <w:p>
            <w:pPr>
              <w:spacing w:after="0"/>
              <w:rPr>
                <w:sz w:val="14"/>
                <w:szCs w:val="14"/>
                <w:color w:val="auto"/>
              </w:rPr>
            </w:pPr>
          </w:p>
        </w:tc>
        <w:tc>
          <w:tcPr>
            <w:tcW w:w="176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Remaining Contractual</w:t>
            </w:r>
          </w:p>
        </w:tc>
        <w:tc>
          <w:tcPr>
            <w:tcW w:w="0" w:type="dxa"/>
            <w:vAlign w:val="bottom"/>
          </w:tcPr>
          <w:p>
            <w:pPr>
              <w:spacing w:after="0"/>
              <w:rPr>
                <w:sz w:val="1"/>
                <w:szCs w:val="1"/>
                <w:color w:val="auto"/>
              </w:rPr>
            </w:pPr>
          </w:p>
        </w:tc>
      </w:tr>
      <w:tr>
        <w:trPr>
          <w:trHeight w:val="214"/>
        </w:trPr>
        <w:tc>
          <w:tcPr>
            <w:tcW w:w="3900" w:type="dxa"/>
            <w:vAlign w:val="bottom"/>
          </w:tcPr>
          <w:p>
            <w:pPr>
              <w:spacing w:after="0"/>
              <w:rPr>
                <w:sz w:val="18"/>
                <w:szCs w:val="18"/>
                <w:color w:val="auto"/>
              </w:rPr>
            </w:pPr>
          </w:p>
        </w:tc>
        <w:tc>
          <w:tcPr>
            <w:tcW w:w="17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Exercise Price</w:t>
            </w:r>
          </w:p>
        </w:tc>
        <w:tc>
          <w:tcPr>
            <w:tcW w:w="160" w:type="dxa"/>
            <w:vAlign w:val="bottom"/>
          </w:tcPr>
          <w:p>
            <w:pPr>
              <w:spacing w:after="0"/>
              <w:rPr>
                <w:sz w:val="18"/>
                <w:szCs w:val="18"/>
                <w:color w:val="auto"/>
              </w:rPr>
            </w:pPr>
          </w:p>
        </w:tc>
        <w:tc>
          <w:tcPr>
            <w:tcW w:w="172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Value (thousands)</w:t>
            </w:r>
          </w:p>
        </w:tc>
        <w:tc>
          <w:tcPr>
            <w:tcW w:w="17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Life</w:t>
            </w:r>
          </w:p>
        </w:tc>
        <w:tc>
          <w:tcPr>
            <w:tcW w:w="0" w:type="dxa"/>
            <w:vAlign w:val="bottom"/>
          </w:tcPr>
          <w:p>
            <w:pPr>
              <w:spacing w:after="0"/>
              <w:rPr>
                <w:sz w:val="1"/>
                <w:szCs w:val="1"/>
                <w:color w:val="auto"/>
              </w:rPr>
            </w:pPr>
          </w:p>
        </w:tc>
      </w:tr>
      <w:tr>
        <w:trPr>
          <w:trHeight w:val="211"/>
        </w:trPr>
        <w:tc>
          <w:tcPr>
            <w:tcW w:w="3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December 31, 2023</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1,746,272</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25.08</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15,028</w:t>
            </w:r>
          </w:p>
        </w:tc>
        <w:tc>
          <w:tcPr>
            <w:tcW w:w="120" w:type="dxa"/>
            <w:vAlign w:val="bottom"/>
            <w:tcBorders>
              <w:top w:val="single" w:sz="8" w:color="CCEEFF"/>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9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Granted</w:t>
            </w: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Exercised</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(161,553)</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1,875</w:t>
            </w:r>
          </w:p>
        </w:tc>
        <w:tc>
          <w:tcPr>
            <w:tcW w:w="12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9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Forfeited and expired</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(101,486)</w:t>
            </w:r>
          </w:p>
        </w:tc>
        <w:tc>
          <w:tcPr>
            <w:tcW w:w="2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26.05</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20" w:type="dxa"/>
            <w:vAlign w:val="bottom"/>
            <w:tcBorders>
              <w:bottom w:val="single" w:sz="8" w:color="CCEEFF"/>
            </w:tcBorders>
          </w:tcPr>
          <w:p>
            <w:pPr>
              <w:spacing w:after="0"/>
              <w:rPr>
                <w:sz w:val="18"/>
                <w:szCs w:val="18"/>
                <w:color w:val="auto"/>
              </w:rPr>
            </w:pPr>
          </w:p>
        </w:tc>
        <w:tc>
          <w:tcPr>
            <w:tcW w:w="17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December 31, 2024</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1,483,233</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25.79</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1,590</w:t>
            </w:r>
          </w:p>
        </w:tc>
        <w:tc>
          <w:tcPr>
            <w:tcW w:w="120" w:type="dxa"/>
            <w:vAlign w:val="bottom"/>
            <w:tcBorders>
              <w:bottom w:val="single" w:sz="8" w:color="CCEEFF"/>
            </w:tcBorders>
            <w:shd w:val="clear" w:color="auto" w:fill="CCEEFF"/>
          </w:tcPr>
          <w:p>
            <w:pPr>
              <w:spacing w:after="0"/>
              <w:rPr>
                <w:sz w:val="20"/>
                <w:szCs w:val="20"/>
                <w:color w:val="auto"/>
              </w:rPr>
            </w:pPr>
          </w:p>
        </w:tc>
        <w:tc>
          <w:tcPr>
            <w:tcW w:w="1760" w:type="dxa"/>
            <w:vAlign w:val="bottom"/>
            <w:tcBorders>
              <w:bottom w:val="single" w:sz="8" w:color="CCEEFF"/>
            </w:tcBorders>
            <w:shd w:val="clear" w:color="auto" w:fill="CCEEFF"/>
          </w:tcPr>
          <w:p>
            <w:pPr>
              <w:ind w:left="1080"/>
              <w:spacing w:after="0"/>
              <w:rPr>
                <w:sz w:val="20"/>
                <w:szCs w:val="20"/>
                <w:color w:val="auto"/>
              </w:rPr>
            </w:pPr>
            <w:r>
              <w:rPr>
                <w:rFonts w:ascii="Times New Roman" w:cs="Times New Roman" w:eastAsia="Times New Roman" w:hAnsi="Times New Roman"/>
                <w:sz w:val="16"/>
                <w:szCs w:val="16"/>
                <w:color w:val="auto"/>
              </w:rPr>
              <w:t>7.35 years</w:t>
            </w: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3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Exercisable at December 31, 2024</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595,984</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22.96</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1,365</w:t>
            </w:r>
          </w:p>
        </w:tc>
        <w:tc>
          <w:tcPr>
            <w:tcW w:w="120" w:type="dxa"/>
            <w:vAlign w:val="bottom"/>
          </w:tcPr>
          <w:p>
            <w:pPr>
              <w:spacing w:after="0"/>
              <w:rPr>
                <w:sz w:val="16"/>
                <w:szCs w:val="16"/>
                <w:color w:val="auto"/>
              </w:rPr>
            </w:pPr>
          </w:p>
        </w:tc>
        <w:tc>
          <w:tcPr>
            <w:tcW w:w="1760" w:type="dxa"/>
            <w:vAlign w:val="bottom"/>
          </w:tcPr>
          <w:p>
            <w:pPr>
              <w:ind w:left="1080"/>
              <w:spacing w:after="0"/>
              <w:rPr>
                <w:sz w:val="20"/>
                <w:szCs w:val="20"/>
                <w:color w:val="auto"/>
              </w:rPr>
            </w:pPr>
            <w:r>
              <w:rPr>
                <w:rFonts w:ascii="Times New Roman" w:cs="Times New Roman" w:eastAsia="Times New Roman" w:hAnsi="Times New Roman"/>
                <w:sz w:val="16"/>
                <w:szCs w:val="16"/>
                <w:color w:val="auto"/>
              </w:rPr>
              <w:t>6.52 years</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During the years ended December 31, 2024, 2023 and 2022, an immaterial number of shares were surrendered to satisfy tax withholding obligations on the exercise of stock options. No cash was received from stock option exercises under share-based payment arrangements for the years ended December 31, 2024, 2023 and 2022.</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maximum term of stock options under these plans is ten years. Options outstanding as of December 31, 2024 expire on various dates ranging from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2025 through July 2033. The following table outlines the outstanding and exercisable stock options as of December 31, 2024:</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Options Outstanding</w:t>
            </w:r>
          </w:p>
        </w:tc>
        <w:tc>
          <w:tcPr>
            <w:tcW w:w="17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600" w:type="dxa"/>
            <w:vAlign w:val="bottom"/>
            <w:tcBorders>
              <w:bottom w:val="single" w:sz="8" w:color="auto"/>
            </w:tcBorders>
            <w:gridSpan w:val="4"/>
          </w:tcPr>
          <w:p>
            <w:pPr>
              <w:jc w:val="right"/>
              <w:ind w:right="1019"/>
              <w:spacing w:after="0"/>
              <w:rPr>
                <w:sz w:val="20"/>
                <w:szCs w:val="20"/>
                <w:color w:val="auto"/>
              </w:rPr>
            </w:pPr>
            <w:r>
              <w:rPr>
                <w:rFonts w:ascii="Times New Roman" w:cs="Times New Roman" w:eastAsia="Times New Roman" w:hAnsi="Times New Roman"/>
                <w:sz w:val="16"/>
                <w:szCs w:val="16"/>
                <w:b w:val="1"/>
                <w:bCs w:val="1"/>
                <w:color w:val="auto"/>
              </w:rPr>
              <w:t>Options Exercisable</w:t>
            </w:r>
          </w:p>
        </w:tc>
        <w:tc>
          <w:tcPr>
            <w:tcW w:w="0" w:type="dxa"/>
            <w:vAlign w:val="bottom"/>
          </w:tcPr>
          <w:p>
            <w:pPr>
              <w:spacing w:after="0"/>
              <w:rPr>
                <w:sz w:val="1"/>
                <w:szCs w:val="1"/>
                <w:color w:val="auto"/>
              </w:rPr>
            </w:pPr>
          </w:p>
        </w:tc>
      </w:tr>
      <w:tr>
        <w:trPr>
          <w:trHeight w:val="158"/>
        </w:trPr>
        <w:tc>
          <w:tcPr>
            <w:tcW w:w="210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Range of Option Exercise</w:t>
            </w:r>
          </w:p>
        </w:tc>
        <w:tc>
          <w:tcPr>
            <w:tcW w:w="1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Weighted Average</w:t>
            </w:r>
          </w:p>
        </w:tc>
        <w:tc>
          <w:tcPr>
            <w:tcW w:w="1740" w:type="dxa"/>
            <w:vAlign w:val="bottom"/>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w w:val="99"/>
              </w:rPr>
              <w:t>Weighted Average</w:t>
            </w:r>
          </w:p>
        </w:tc>
        <w:tc>
          <w:tcPr>
            <w:tcW w:w="12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80" w:type="dxa"/>
            <w:vAlign w:val="bottom"/>
            <w:vMerge w:val="restart"/>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Weighted Average</w:t>
            </w:r>
          </w:p>
        </w:tc>
        <w:tc>
          <w:tcPr>
            <w:tcW w:w="0" w:type="dxa"/>
            <w:vAlign w:val="bottom"/>
          </w:tcPr>
          <w:p>
            <w:pPr>
              <w:spacing w:after="0"/>
              <w:rPr>
                <w:sz w:val="1"/>
                <w:szCs w:val="1"/>
                <w:color w:val="auto"/>
              </w:rPr>
            </w:pPr>
          </w:p>
        </w:tc>
      </w:tr>
      <w:tr>
        <w:trPr>
          <w:trHeight w:val="162"/>
        </w:trPr>
        <w:tc>
          <w:tcPr>
            <w:tcW w:w="2100" w:type="dxa"/>
            <w:vAlign w:val="bottom"/>
            <w:gridSpan w:val="3"/>
            <w:vMerge w:val="continue"/>
          </w:tcPr>
          <w:p>
            <w:pPr>
              <w:spacing w:after="0"/>
              <w:rPr>
                <w:sz w:val="14"/>
                <w:szCs w:val="14"/>
                <w:color w:val="auto"/>
              </w:rPr>
            </w:pPr>
          </w:p>
        </w:tc>
        <w:tc>
          <w:tcPr>
            <w:tcW w:w="1740" w:type="dxa"/>
            <w:vAlign w:val="bottom"/>
            <w:vMerge w:val="restart"/>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Outstanding Options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20" w:type="dxa"/>
            <w:vAlign w:val="bottom"/>
            <w:gridSpan w:val="2"/>
            <w:vMerge w:val="continue"/>
          </w:tcPr>
          <w:p>
            <w:pPr>
              <w:spacing w:after="0"/>
              <w:rPr>
                <w:sz w:val="14"/>
                <w:szCs w:val="14"/>
                <w:color w:val="auto"/>
              </w:rPr>
            </w:pPr>
          </w:p>
        </w:tc>
        <w:tc>
          <w:tcPr>
            <w:tcW w:w="186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Remaining Contractual</w:t>
            </w:r>
          </w:p>
        </w:tc>
        <w:tc>
          <w:tcPr>
            <w:tcW w:w="1740" w:type="dxa"/>
            <w:vAlign w:val="bottom"/>
            <w:vMerge w:val="restart"/>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Options Exercisable</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4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Price</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Exercise Price</w:t>
            </w:r>
          </w:p>
        </w:tc>
        <w:tc>
          <w:tcPr>
            <w:tcW w:w="18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Life</w:t>
            </w:r>
          </w:p>
        </w:tc>
        <w:tc>
          <w:tcPr>
            <w:tcW w:w="17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Exercise Price</w:t>
            </w:r>
          </w:p>
        </w:tc>
        <w:tc>
          <w:tcPr>
            <w:tcW w:w="0" w:type="dxa"/>
            <w:vAlign w:val="bottom"/>
          </w:tcPr>
          <w:p>
            <w:pPr>
              <w:spacing w:after="0"/>
              <w:rPr>
                <w:sz w:val="1"/>
                <w:szCs w:val="1"/>
                <w:color w:val="auto"/>
              </w:rPr>
            </w:pPr>
          </w:p>
        </w:tc>
      </w:tr>
      <w:tr>
        <w:trPr>
          <w:trHeight w:val="211"/>
        </w:trPr>
        <w:tc>
          <w:tcPr>
            <w:tcW w:w="4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$0.00</w:t>
            </w:r>
          </w:p>
        </w:tc>
        <w:tc>
          <w:tcPr>
            <w:tcW w:w="15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$8.24</w:t>
            </w:r>
          </w:p>
        </w:tc>
        <w:tc>
          <w:tcPr>
            <w:tcW w:w="100" w:type="dxa"/>
            <w:vAlign w:val="bottom"/>
            <w:tcBorders>
              <w:top w:val="single" w:sz="8" w:color="CCEEFF"/>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9,901</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6.52</w:t>
            </w:r>
          </w:p>
        </w:tc>
        <w:tc>
          <w:tcPr>
            <w:tcW w:w="100" w:type="dxa"/>
            <w:vAlign w:val="bottom"/>
            <w:tcBorders>
              <w:top w:val="single" w:sz="8" w:color="CCEEFF"/>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20" w:type="dxa"/>
            <w:vAlign w:val="bottom"/>
            <w:tcBorders>
              <w:top w:val="single" w:sz="8" w:color="CCEEFF"/>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9,901</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6.52</w:t>
            </w:r>
          </w:p>
        </w:tc>
        <w:tc>
          <w:tcPr>
            <w:tcW w:w="0" w:type="dxa"/>
            <w:vAlign w:val="bottom"/>
          </w:tcPr>
          <w:p>
            <w:pPr>
              <w:spacing w:after="0"/>
              <w:rPr>
                <w:sz w:val="1"/>
                <w:szCs w:val="1"/>
                <w:color w:val="auto"/>
              </w:rPr>
            </w:pPr>
          </w:p>
        </w:tc>
      </w:tr>
      <w:tr>
        <w:trPr>
          <w:trHeight w:val="213"/>
        </w:trPr>
        <w:tc>
          <w:tcPr>
            <w:tcW w:w="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$8.24</w:t>
            </w:r>
          </w:p>
        </w:tc>
        <w:tc>
          <w:tcPr>
            <w:tcW w:w="1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$16.52</w:t>
            </w:r>
          </w:p>
        </w:tc>
        <w:tc>
          <w:tcPr>
            <w:tcW w:w="1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64,775</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12.14</w:t>
            </w:r>
          </w:p>
        </w:tc>
        <w:tc>
          <w:tcPr>
            <w:tcW w:w="1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2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64,775</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12.14</w:t>
            </w:r>
          </w:p>
        </w:tc>
        <w:tc>
          <w:tcPr>
            <w:tcW w:w="0" w:type="dxa"/>
            <w:vAlign w:val="bottom"/>
          </w:tcPr>
          <w:p>
            <w:pPr>
              <w:spacing w:after="0"/>
              <w:rPr>
                <w:sz w:val="1"/>
                <w:szCs w:val="1"/>
                <w:color w:val="auto"/>
              </w:rPr>
            </w:pPr>
          </w:p>
        </w:tc>
      </w:tr>
      <w:tr>
        <w:trPr>
          <w:trHeight w:val="219"/>
        </w:trPr>
        <w:tc>
          <w:tcPr>
            <w:tcW w:w="2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$16.52 - $24.76</w:t>
            </w: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355,616</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21.54</w:t>
            </w: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200,513</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21.05</w:t>
            </w:r>
          </w:p>
        </w:tc>
        <w:tc>
          <w:tcPr>
            <w:tcW w:w="0" w:type="dxa"/>
            <w:vAlign w:val="bottom"/>
          </w:tcPr>
          <w:p>
            <w:pPr>
              <w:spacing w:after="0"/>
              <w:rPr>
                <w:sz w:val="1"/>
                <w:szCs w:val="1"/>
                <w:color w:val="auto"/>
              </w:rPr>
            </w:pPr>
          </w:p>
        </w:tc>
      </w:tr>
      <w:tr>
        <w:trPr>
          <w:trHeight w:val="213"/>
        </w:trPr>
        <w:tc>
          <w:tcPr>
            <w:tcW w:w="20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$24.76 - $33.00</w:t>
            </w:r>
          </w:p>
        </w:tc>
        <w:tc>
          <w:tcPr>
            <w:tcW w:w="100" w:type="dxa"/>
            <w:vAlign w:val="bottom"/>
            <w:tcBorders>
              <w:bottom w:val="single" w:sz="8" w:color="CCEEFF"/>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1,052,941</w:t>
            </w:r>
          </w:p>
        </w:tc>
        <w:tc>
          <w:tcPr>
            <w:tcW w:w="2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28.25</w:t>
            </w:r>
          </w:p>
        </w:tc>
        <w:tc>
          <w:tcPr>
            <w:tcW w:w="100" w:type="dxa"/>
            <w:vAlign w:val="bottom"/>
            <w:tcBorders>
              <w:bottom w:val="single" w:sz="8" w:color="CCEEFF"/>
            </w:tcBorders>
          </w:tcPr>
          <w:p>
            <w:pPr>
              <w:spacing w:after="0"/>
              <w:rPr>
                <w:sz w:val="18"/>
                <w:szCs w:val="18"/>
                <w:color w:val="auto"/>
              </w:rPr>
            </w:pPr>
          </w:p>
        </w:tc>
        <w:tc>
          <w:tcPr>
            <w:tcW w:w="17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120" w:type="dxa"/>
            <w:vAlign w:val="bottom"/>
            <w:tcBorders>
              <w:bottom w:val="single" w:sz="8" w:color="CCEEFF"/>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320,795</w:t>
            </w:r>
          </w:p>
        </w:tc>
        <w:tc>
          <w:tcPr>
            <w:tcW w:w="2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26.85</w:t>
            </w:r>
          </w:p>
        </w:tc>
        <w:tc>
          <w:tcPr>
            <w:tcW w:w="0" w:type="dxa"/>
            <w:vAlign w:val="bottom"/>
          </w:tcPr>
          <w:p>
            <w:pPr>
              <w:spacing w:after="0"/>
              <w:rPr>
                <w:sz w:val="1"/>
                <w:szCs w:val="1"/>
                <w:color w:val="auto"/>
              </w:rPr>
            </w:pPr>
          </w:p>
        </w:tc>
      </w:tr>
      <w:tr>
        <w:trPr>
          <w:trHeight w:val="237"/>
        </w:trPr>
        <w:tc>
          <w:tcPr>
            <w:tcW w:w="210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All options</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1,483,233</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7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595,984</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ind w:right="520" w:firstLine="324"/>
        <w:spacing w:after="0" w:line="282" w:lineRule="auto"/>
        <w:rPr>
          <w:sz w:val="20"/>
          <w:szCs w:val="20"/>
          <w:color w:val="auto"/>
        </w:rPr>
      </w:pPr>
      <w:r>
        <w:rPr>
          <w:rFonts w:ascii="Times New Roman" w:cs="Times New Roman" w:eastAsia="Times New Roman" w:hAnsi="Times New Roman"/>
          <w:sz w:val="18"/>
          <w:szCs w:val="18"/>
          <w:color w:val="auto"/>
        </w:rPr>
        <w:t>As of December 31, 2024, there was $5.8 million of unrecognized compensation expense related to unvested option grants that is expected to be recognized over a weighted-average period of 0.95 years.</w:t>
      </w:r>
    </w:p>
    <w:p>
      <w:pPr>
        <w:spacing w:after="0" w:line="131" w:lineRule="exact"/>
        <w:rPr>
          <w:sz w:val="20"/>
          <w:szCs w:val="20"/>
          <w:color w:val="auto"/>
        </w:rPr>
      </w:pPr>
    </w:p>
    <w:p>
      <w:pPr>
        <w:ind w:right="180" w:firstLine="324"/>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Restricted Stock </w:t>
      </w:r>
      <w:r>
        <w:rPr>
          <w:rFonts w:ascii="Times New Roman" w:cs="Times New Roman" w:eastAsia="Times New Roman" w:hAnsi="Times New Roman"/>
          <w:sz w:val="18"/>
          <w:szCs w:val="18"/>
          <w:color w:val="auto"/>
        </w:rPr>
        <w:t>— Restricted stock grants subject solely to an employee’s continued service with the Company generally will become fully vested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within one to four years from the grant date and, in certain instances, may fully vest upon a change in control of the Company. Restricted stock grants subject solely to a Director’s continued service with the Company generally will become fully vested on a pro-rata basis over three years from the date of grant.</w:t>
      </w:r>
    </w:p>
    <w:p>
      <w:pPr>
        <w:spacing w:after="0" w:line="140"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Compensation expense from restricted stock is recognized on a straight-line basis over the requisite service period. During the years ended December 31, 2024, 2023 and 2022, the Company recognized compensation expense related to restricted stock awards of $21.4 million, $16.6 million and $10.2 million, respectively.</w:t>
      </w:r>
    </w:p>
    <w:p>
      <w:pPr>
        <w:spacing w:after="0" w:line="13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grant-date fair value of restricted stock is valued as the closing price of the Company’s common stock on the date of the grant.</w:t>
      </w:r>
    </w:p>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summary of restricted stock award activity for the year ended December 31, 2024 is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600" w:type="dxa"/>
            <w:vAlign w:val="bottom"/>
          </w:tcPr>
          <w:p>
            <w:pPr>
              <w:spacing w:after="0"/>
              <w:rPr>
                <w:sz w:val="16"/>
                <w:szCs w:val="16"/>
                <w:color w:val="auto"/>
              </w:rPr>
            </w:pPr>
          </w:p>
        </w:tc>
        <w:tc>
          <w:tcPr>
            <w:tcW w:w="1760" w:type="dxa"/>
            <w:vAlign w:val="bottom"/>
            <w:vMerge w:val="restart"/>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Restricted Stock</w:t>
            </w:r>
          </w:p>
        </w:tc>
        <w:tc>
          <w:tcPr>
            <w:tcW w:w="120" w:type="dxa"/>
            <w:vAlign w:val="bottom"/>
          </w:tcPr>
          <w:p>
            <w:pPr>
              <w:spacing w:after="0"/>
              <w:rPr>
                <w:sz w:val="16"/>
                <w:szCs w:val="16"/>
                <w:color w:val="auto"/>
              </w:rPr>
            </w:pPr>
          </w:p>
        </w:tc>
        <w:tc>
          <w:tcPr>
            <w:tcW w:w="17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w w:val="99"/>
              </w:rPr>
              <w:t>Weighted Average Grant</w:t>
            </w:r>
          </w:p>
        </w:tc>
        <w:tc>
          <w:tcPr>
            <w:tcW w:w="0" w:type="dxa"/>
            <w:vAlign w:val="bottom"/>
          </w:tcPr>
          <w:p>
            <w:pPr>
              <w:spacing w:after="0"/>
              <w:rPr>
                <w:sz w:val="1"/>
                <w:szCs w:val="1"/>
                <w:color w:val="auto"/>
              </w:rPr>
            </w:pPr>
          </w:p>
        </w:tc>
      </w:tr>
      <w:tr>
        <w:trPr>
          <w:trHeight w:val="214"/>
        </w:trPr>
        <w:tc>
          <w:tcPr>
            <w:tcW w:w="7600" w:type="dxa"/>
            <w:vAlign w:val="bottom"/>
            <w:tcBorders>
              <w:bottom w:val="single" w:sz="8" w:color="CCEEFF"/>
            </w:tcBorders>
          </w:tcPr>
          <w:p>
            <w:pPr>
              <w:spacing w:after="0"/>
              <w:rPr>
                <w:sz w:val="18"/>
                <w:szCs w:val="18"/>
                <w:color w:val="auto"/>
              </w:rPr>
            </w:pPr>
          </w:p>
        </w:tc>
        <w:tc>
          <w:tcPr>
            <w:tcW w:w="176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Date Fair Value</w:t>
            </w:r>
          </w:p>
        </w:tc>
        <w:tc>
          <w:tcPr>
            <w:tcW w:w="0" w:type="dxa"/>
            <w:vAlign w:val="bottom"/>
          </w:tcPr>
          <w:p>
            <w:pPr>
              <w:spacing w:after="0"/>
              <w:rPr>
                <w:sz w:val="1"/>
                <w:szCs w:val="1"/>
                <w:color w:val="auto"/>
              </w:rPr>
            </w:pPr>
          </w:p>
        </w:tc>
      </w:tr>
      <w:tr>
        <w:trPr>
          <w:trHeight w:val="211"/>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December 31, 2023</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1,883,116</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26.28</w:t>
            </w:r>
          </w:p>
        </w:tc>
        <w:tc>
          <w:tcPr>
            <w:tcW w:w="0" w:type="dxa"/>
            <w:vAlign w:val="bottom"/>
          </w:tcPr>
          <w:p>
            <w:pPr>
              <w:spacing w:after="0"/>
              <w:rPr>
                <w:sz w:val="1"/>
                <w:szCs w:val="1"/>
                <w:color w:val="auto"/>
              </w:rPr>
            </w:pPr>
          </w:p>
        </w:tc>
      </w:tr>
      <w:tr>
        <w:trPr>
          <w:trHeight w:val="213"/>
        </w:trPr>
        <w:tc>
          <w:tcPr>
            <w:tcW w:w="76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Granted</w:t>
            </w: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723,027</w:t>
            </w:r>
          </w:p>
        </w:tc>
        <w:tc>
          <w:tcPr>
            <w:tcW w:w="3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32.71</w:t>
            </w: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Vested and issued</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(770,137)</w:t>
            </w:r>
          </w:p>
        </w:tc>
        <w:tc>
          <w:tcPr>
            <w:tcW w:w="3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25.16</w:t>
            </w:r>
          </w:p>
        </w:tc>
        <w:tc>
          <w:tcPr>
            <w:tcW w:w="0" w:type="dxa"/>
            <w:vAlign w:val="bottom"/>
          </w:tcPr>
          <w:p>
            <w:pPr>
              <w:spacing w:after="0"/>
              <w:rPr>
                <w:sz w:val="1"/>
                <w:szCs w:val="1"/>
                <w:color w:val="auto"/>
              </w:rPr>
            </w:pPr>
          </w:p>
        </w:tc>
      </w:tr>
      <w:tr>
        <w:trPr>
          <w:trHeight w:val="213"/>
        </w:trPr>
        <w:tc>
          <w:tcPr>
            <w:tcW w:w="76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Forfeited and expired</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(170,594)</w:t>
            </w:r>
          </w:p>
        </w:tc>
        <w:tc>
          <w:tcPr>
            <w:tcW w:w="34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28.25</w:t>
            </w:r>
          </w:p>
        </w:tc>
        <w:tc>
          <w:tcPr>
            <w:tcW w:w="0" w:type="dxa"/>
            <w:vAlign w:val="bottom"/>
          </w:tcPr>
          <w:p>
            <w:pPr>
              <w:spacing w:after="0"/>
              <w:rPr>
                <w:sz w:val="1"/>
                <w:szCs w:val="1"/>
                <w:color w:val="auto"/>
              </w:rPr>
            </w:pPr>
          </w:p>
        </w:tc>
      </w:tr>
      <w:tr>
        <w:trPr>
          <w:trHeight w:val="237"/>
        </w:trPr>
        <w:tc>
          <w:tcPr>
            <w:tcW w:w="7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December 31, 2024</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1,665,412</w:t>
            </w:r>
          </w:p>
        </w:tc>
        <w:tc>
          <w:tcPr>
            <w:tcW w:w="34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29.41</w:t>
            </w:r>
          </w:p>
        </w:tc>
        <w:tc>
          <w:tcPr>
            <w:tcW w:w="0" w:type="dxa"/>
            <w:vAlign w:val="bottom"/>
          </w:tcPr>
          <w:p>
            <w:pPr>
              <w:spacing w:after="0"/>
              <w:rPr>
                <w:sz w:val="1"/>
                <w:szCs w:val="1"/>
                <w:color w:val="auto"/>
              </w:rPr>
            </w:pP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During the years ended December 31, 2024, 2023 and 2022, shares were surrendered to satisfy tax withholding obligations on the vesting of restricted stock awards with a cost basis of $7.1 million, $4.4 million and $1.4 million, respectively.</w:t>
      </w:r>
    </w:p>
    <w:p>
      <w:pPr>
        <w:spacing w:after="0" w:line="121" w:lineRule="exact"/>
        <w:rPr>
          <w:sz w:val="20"/>
          <w:szCs w:val="20"/>
          <w:color w:val="auto"/>
        </w:rPr>
      </w:pPr>
    </w:p>
    <w:p>
      <w:pPr>
        <w:jc w:val="both"/>
        <w:ind w:right="140" w:firstLine="324"/>
        <w:spacing w:after="0" w:line="266" w:lineRule="auto"/>
        <w:rPr>
          <w:sz w:val="20"/>
          <w:szCs w:val="20"/>
          <w:color w:val="auto"/>
        </w:rPr>
      </w:pPr>
      <w:r>
        <w:rPr>
          <w:rFonts w:ascii="Times New Roman" w:cs="Times New Roman" w:eastAsia="Times New Roman" w:hAnsi="Times New Roman"/>
          <w:sz w:val="18"/>
          <w:szCs w:val="18"/>
          <w:color w:val="auto"/>
        </w:rPr>
        <w:t>As of December 31, 2024, there was $28.8 million in unrecognized compensation expense related to unvested restricted stock awards that is expected to be recognized over a weighted average period of 1.09 years. The total fair value of restricted stock awards vested during the years ended December 31, 2024, 2023 and 2022 was $19.4 million, $9.9 million and $3.7 million, respectively.</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right="80" w:firstLine="324"/>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Performance Stock Units </w:t>
      </w:r>
      <w:r>
        <w:rPr>
          <w:rFonts w:ascii="Times New Roman" w:cs="Times New Roman" w:eastAsia="Times New Roman" w:hAnsi="Times New Roman"/>
          <w:sz w:val="18"/>
          <w:szCs w:val="18"/>
          <w:color w:val="auto"/>
        </w:rPr>
        <w:t>— Performance-based stock units (“PSU”) are generally earned based on the attainment of specified goals achieved over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designated performance period. During the years ended December 31, 2024, 2023 and 2022, the Company’s Compensation Committee approved PSU awards to certain senior executives of the Company with grant dates in 2024, 2023 and 2022, respectively. All PSU awards offer a three-year-cliff vesting schedule. Each PSU award reflects a target number of shares (“Target Shares”) that may be issued to the award recipient. PSU awards may be earned upon the completion of a two-year-average or three-year-average performance period.</w:t>
      </w:r>
    </w:p>
    <w:p>
      <w:pPr>
        <w:spacing w:after="0" w:line="143" w:lineRule="exact"/>
        <w:rPr>
          <w:sz w:val="20"/>
          <w:szCs w:val="20"/>
          <w:color w:val="auto"/>
        </w:rPr>
      </w:pPr>
    </w:p>
    <w:p>
      <w:pPr>
        <w:ind w:right="80" w:firstLine="324"/>
        <w:spacing w:after="0" w:line="277" w:lineRule="auto"/>
        <w:rPr>
          <w:sz w:val="20"/>
          <w:szCs w:val="20"/>
          <w:color w:val="auto"/>
        </w:rPr>
      </w:pPr>
      <w:r>
        <w:rPr>
          <w:rFonts w:ascii="Times New Roman" w:cs="Times New Roman" w:eastAsia="Times New Roman" w:hAnsi="Times New Roman"/>
          <w:sz w:val="17"/>
          <w:szCs w:val="17"/>
          <w:color w:val="auto"/>
        </w:rPr>
        <w:t>Whether PSU awards are earned at the end of the performance period will be determined based on the achievement of certain performance objectives over the performance period. The performance objectives include achieving a target growth for adjusted EBITDA and revenue combined in addition to a target growth for cash flows from operations over the performance period. Depending on the results achieved during the performance period, the actual number of shares that a grant recipient receives at the end of the period may range from 0% to 200% of the Target Shares granted. Each period begins with 100% of the Target Shares and true-up or true-down adjustments are considered every quarter-end based on the forecasted performance period results.</w:t>
      </w:r>
    </w:p>
    <w:p>
      <w:pPr>
        <w:spacing w:after="0" w:line="141"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The fair value of the Target Shares and PSU awards are based on the fair value of the underlying shares as of market close on the grant date. Compensation expense for PSU awards is recognized on a straight-line basis over the requisite service period. During the years ended December 31, 2024, 2023 and 2022, the Company recognized compensation expense related to the PSU awards of $8.8 million, $7.5 million and $4.1 million, respectively. During the years ended December 31, 2024, shares were surrendered to satisfy tax withholding obligations on the performance-based stock units with a cost basis of $4.9 million. There were no shares surrendered to satisfy tax withholding obligations on the PSU awards during the years ended December 31, 2023 or 2022. As of December 31, 2024, there were $11.6 million in unrecognized compensation expense related to unvested PSU awards that are expected to be recognized over a weighted-average period of 1.32 years.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STOCKHOLDERS’ EQUITY</w:t>
      </w:r>
    </w:p>
    <w:p>
      <w:pPr>
        <w:spacing w:after="0" w:line="202"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2023, HC I completed secondary offerings of 23,771,926 shares of common stock. As of December 31, 2023, HC I no longer held shares of the Company’s common stock.</w:t>
      </w:r>
    </w:p>
    <w:p>
      <w:pPr>
        <w:spacing w:after="0" w:line="117"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2017 Warrants </w:t>
      </w:r>
      <w:r>
        <w:rPr>
          <w:rFonts w:ascii="Times New Roman" w:cs="Times New Roman" w:eastAsia="Times New Roman" w:hAnsi="Times New Roman"/>
          <w:sz w:val="18"/>
          <w:szCs w:val="18"/>
          <w:color w:val="auto"/>
        </w:rPr>
        <w:t>— Prior to the Merger, BioScrip issued warrants to certain debt holders pursuant to a Warrant Purchase Agreement dated as of June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29, 2017. In conjunction with the Merger, the 2017 Warrants were amended to entitle the purchasers of the warrants to purchase 2.1 million shares of common stock. The 2017 Warrants have a 10-year term and an exercise price of $8.00 per share and may be exercised by payment of the exercise price in cash or surrender of shares of common stock into which the 2017 Warrants are being converted in an aggregate amount sufficient to cover the exercise price. The 2017 Warrants are classified as equity instruments, and the fair value of these warrants of $14.1 million was recorded in paid-in capital as of the Merger Date. During the years ended December 31, 2024, 2023, and 2022, warrant holders exercised warrants to purchase 0, 188,350, and 1,130,089 shares of common stock, respectively. No proceeds were received from these exercises as the warrant holders elected to surrender shares to pay the exercise price. At December 31, 2024, 2023, and 2022, the remaining warrant holders are entitled to purchase 51,838, 51,838, and 240,188 shares of common stock, respectively.</w:t>
      </w:r>
    </w:p>
    <w:p>
      <w:pPr>
        <w:spacing w:after="0" w:line="148" w:lineRule="exact"/>
        <w:rPr>
          <w:sz w:val="20"/>
          <w:szCs w:val="20"/>
          <w:color w:val="auto"/>
        </w:rPr>
      </w:pPr>
    </w:p>
    <w:p>
      <w:pPr>
        <w:ind w:right="160" w:firstLine="324"/>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2015 Warrants </w:t>
      </w:r>
      <w:r>
        <w:rPr>
          <w:rFonts w:ascii="Times New Roman" w:cs="Times New Roman" w:eastAsia="Times New Roman" w:hAnsi="Times New Roman"/>
          <w:sz w:val="18"/>
          <w:szCs w:val="18"/>
          <w:color w:val="auto"/>
        </w:rPr>
        <w:t>— Prior to the Merger, BioScrip issued warrants pursuant to a Common Stock Warrant Agreement dated as of March 9, 2015 which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entitle the holders to purchase 0.9 million shares of common stock. The 2015 Warrants have a 10-year term and have exercise prices in a range of $20.68 per share to $25.80 per share. The 2015 Warrants were assumed by the Company in conjunction with the Merger and are classified as equity instruments, and the fair value of these warrants of $4.6 million was recorded in paid in capital as of the Merger Date. During the years ended December 31, 2024 and 2023, warrant holders exercised an immaterial number of warrants to purchase shares of common stock. During the year ended December 31, 2022, warrant holders exercised warrants to purchase 900,272 shares of common stock. During the years ended December 31, 2024 and 2023, no cash proceeds were received from warrant exercises. During the year ended December 31, 2022, $20.9 million of cash was received as proceeds from warrant exercises. At December 31, 2024, 2023, and 2022, the remaining warrant holders are entitled to purchase 11,765, 13,888, and 15,231 shares of common stock, respectively.</w:t>
      </w:r>
    </w:p>
    <w:p>
      <w:pPr>
        <w:spacing w:after="0" w:line="161" w:lineRule="exact"/>
        <w:rPr>
          <w:sz w:val="20"/>
          <w:szCs w:val="20"/>
          <w:color w:val="auto"/>
        </w:rPr>
      </w:pPr>
    </w:p>
    <w:p>
      <w:pPr>
        <w:ind w:right="40" w:firstLine="324"/>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Share Repurchase Program </w:t>
      </w:r>
      <w:r>
        <w:rPr>
          <w:rFonts w:ascii="Times New Roman" w:cs="Times New Roman" w:eastAsia="Times New Roman" w:hAnsi="Times New Roman"/>
          <w:sz w:val="18"/>
          <w:szCs w:val="18"/>
          <w:color w:val="auto"/>
        </w:rPr>
        <w:t>— On February 20, 2023, the Company’s Board of Directors approved a share repurchase program of up to an aggregate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$250.0 million of common stock of the Company. On December 6, 2023, the Company’s Board of Directors approved an increase to its share repurchase program authorization from $250.0 million to $500 million. Under the share repurchase program, repurchases may occur in any number of methods depending on timing, market conditions, regulatory requirements, and other corporate considerations. The share repurchase program has no specified expiration date.</w:t>
      </w:r>
    </w:p>
    <w:p>
      <w:pPr>
        <w:spacing w:after="0" w:line="143"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During the years ended December 31, 2024 and 2023, the Company purchased 9,255,591 and 7,946,301 shares of common stock for an average share price of $27.01 and $31.46, totaling $250.0 million and $250.0 million, respectively. All repurchased shares became treasury stock. As of December 31, 2024, the Company completed share repurchases under its prior share repurchase program. In January 2025, the Company’s Board of Directors approved a new $500.0 million stock repurchase program. This program has no specified expiration date.</w:t>
      </w:r>
    </w:p>
    <w:p>
      <w:pPr>
        <w:spacing w:after="0" w:line="135" w:lineRule="exact"/>
        <w:rPr>
          <w:sz w:val="20"/>
          <w:szCs w:val="20"/>
          <w:color w:val="auto"/>
        </w:rPr>
      </w:pPr>
    </w:p>
    <w:p>
      <w:pPr>
        <w:ind w:right="300"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Shares Outstanding </w:t>
      </w:r>
      <w:r>
        <w:rPr>
          <w:rFonts w:ascii="Times New Roman" w:cs="Times New Roman" w:eastAsia="Times New Roman" w:hAnsi="Times New Roman"/>
          <w:sz w:val="18"/>
          <w:szCs w:val="18"/>
          <w:color w:val="auto"/>
        </w:rPr>
        <w:t>— The following table shows the Company’s changes in shares of common stock for the years ended December 31, 2024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2023 (in thousands):</w:t>
      </w:r>
    </w:p>
    <w:p>
      <w:pPr>
        <w:sectPr>
          <w:pgSz w:w="11900" w:h="16838" w:orient="portrait"/>
          <w:cols w:equalWidth="0" w:num="1">
            <w:col w:w="11240"/>
          </w:cols>
          <w:pgMar w:left="320" w:top="118" w:right="339" w:bottom="1440" w:gutter="0" w:footer="0" w:header="0"/>
        </w:sectPr>
      </w:pPr>
    </w:p>
    <w:p>
      <w:pPr>
        <w:spacing w:after="0" w:line="1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Balance at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-114935</wp:posOffset>
            </wp:positionV>
            <wp:extent cx="7115175" cy="13716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15175" cy="137160"/>
                    </a:xfrm>
                    <a:prstGeom prst="rect">
                      <a:avLst/>
                    </a:prstGeom>
                    <a:noFill/>
                  </pic:spPr>
                </pic:pic>
              </a:graphicData>
            </a:graphic>
          </wp:anchor>
        </w:drawing>
      </w:r>
    </w:p>
    <w:p>
      <w:pPr>
        <w:spacing w:after="0" w:line="1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Equity award issuances</w:t>
      </w:r>
    </w:p>
    <w:p>
      <w:pPr>
        <w:spacing w:after="0" w:line="3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Share repurchases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-116205</wp:posOffset>
            </wp:positionV>
            <wp:extent cx="7115175" cy="13716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15175" cy="137160"/>
                    </a:xfrm>
                    <a:prstGeom prst="rect">
                      <a:avLst/>
                    </a:prstGeom>
                    <a:noFill/>
                  </pic:spPr>
                </pic:pic>
              </a:graphicData>
            </a:graphic>
          </wp:anchor>
        </w:drawing>
      </w:r>
    </w:p>
    <w:p>
      <w:pPr>
        <w:spacing w:after="0" w:line="2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Balance at December 31, 2023</w:t>
      </w:r>
    </w:p>
    <w:p>
      <w:pPr>
        <w:spacing w:after="0" w:line="3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Equity award issuances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-116205</wp:posOffset>
            </wp:positionV>
            <wp:extent cx="7115175" cy="13716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15175" cy="137160"/>
                    </a:xfrm>
                    <a:prstGeom prst="rect">
                      <a:avLst/>
                    </a:prstGeom>
                    <a:noFill/>
                  </pic:spPr>
                </pic:pic>
              </a:graphicData>
            </a:graphic>
          </wp:anchor>
        </w:drawing>
      </w:r>
    </w:p>
    <w:p>
      <w:pPr>
        <w:spacing w:after="0" w:line="1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Share repurchases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20320</wp:posOffset>
            </wp:positionV>
            <wp:extent cx="7115175" cy="16256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15175" cy="162560"/>
                    </a:xfrm>
                    <a:prstGeom prst="rect">
                      <a:avLst/>
                    </a:prstGeom>
                    <a:noFill/>
                  </pic:spPr>
                </pic:pic>
              </a:graphicData>
            </a:graphic>
          </wp:anchor>
        </w:drawing>
      </w:r>
    </w:p>
    <w:p>
      <w:pPr>
        <w:spacing w:after="0" w:line="5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Balance at December 31, 2024</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6"/>
          <w:szCs w:val="16"/>
          <w:color w:val="auto"/>
        </w:rPr>
        <w:t>181,958</w:t>
      </w:r>
    </w:p>
    <w:p>
      <w:pPr>
        <w:spacing w:after="0" w:line="32"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6"/>
          <w:szCs w:val="16"/>
          <w:color w:val="auto"/>
        </w:rPr>
        <w:t>564</w:t>
      </w:r>
    </w:p>
    <w:p>
      <w:pPr>
        <w:spacing w:after="0" w:line="32"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6"/>
          <w:szCs w:val="16"/>
          <w:color w:val="auto"/>
        </w:rPr>
        <w:t>(7,946)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-1016000</wp:posOffset>
            </wp:positionH>
            <wp:positionV relativeFrom="paragraph">
              <wp:posOffset>20320</wp:posOffset>
            </wp:positionV>
            <wp:extent cx="138874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388745" cy="8890"/>
                    </a:xfrm>
                    <a:prstGeom prst="rect">
                      <a:avLst/>
                    </a:prstGeom>
                    <a:noFill/>
                  </pic:spPr>
                </pic:pic>
              </a:graphicData>
            </a:graphic>
          </wp:anchor>
        </w:drawing>
      </w:r>
    </w:p>
    <w:p>
      <w:pPr>
        <w:spacing w:after="0" w:line="26"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6"/>
          <w:szCs w:val="16"/>
          <w:color w:val="auto"/>
        </w:rPr>
        <w:t>174,576</w:t>
      </w:r>
    </w:p>
    <w:p>
      <w:pPr>
        <w:spacing w:after="0" w:line="32"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6"/>
          <w:szCs w:val="16"/>
          <w:color w:val="auto"/>
        </w:rPr>
        <w:t>941</w:t>
      </w:r>
    </w:p>
    <w:p>
      <w:pPr>
        <w:spacing w:after="0" w:line="32"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6"/>
          <w:szCs w:val="16"/>
          <w:color w:val="auto"/>
        </w:rPr>
        <w:t>(9,256)</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166,261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-1016000</wp:posOffset>
            </wp:positionH>
            <wp:positionV relativeFrom="paragraph">
              <wp:posOffset>46355</wp:posOffset>
            </wp:positionV>
            <wp:extent cx="138874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388745" cy="8255"/>
                    </a:xfrm>
                    <a:prstGeom prst="rect">
                      <a:avLst/>
                    </a:prstGeom>
                    <a:noFill/>
                  </pic:spPr>
                </pic:pic>
              </a:graphicData>
            </a:graphic>
          </wp:anchor>
        </w:drawing>
      </w:r>
    </w:p>
    <w:p>
      <w:pPr>
        <w:spacing w:after="0" w:line="225" w:lineRule="exact"/>
        <w:rPr>
          <w:sz w:val="20"/>
          <w:szCs w:val="20"/>
          <w:color w:val="auto"/>
        </w:rPr>
      </w:pPr>
    </w:p>
    <w:p>
      <w:pPr>
        <w:sectPr>
          <w:pgSz w:w="11900" w:h="16838" w:orient="portrait"/>
          <w:cols w:equalWidth="0" w:num="2">
            <w:col w:w="9920" w:space="720"/>
            <w:col w:w="600"/>
          </w:cols>
          <w:pgMar w:left="320" w:top="118" w:right="339" w:bottom="1440" w:gutter="0" w:footer="0" w:header="0"/>
          <w:type w:val="continuous"/>
        </w:sectPr>
      </w:pPr>
    </w:p>
    <w:p>
      <w:pPr>
        <w:spacing w:after="0" w:line="10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b w:val="1"/>
          <w:bCs w:val="1"/>
          <w:color w:val="auto"/>
        </w:rPr>
        <w:t xml:space="preserve">Treasury Stock </w:t>
      </w:r>
      <w:r>
        <w:rPr>
          <w:rFonts w:ascii="Times New Roman" w:cs="Times New Roman" w:eastAsia="Times New Roman" w:hAnsi="Times New Roman"/>
          <w:sz w:val="17"/>
          <w:szCs w:val="17"/>
          <w:color w:val="auto"/>
        </w:rPr>
        <w:t>— As of December 31, 2024 and 2023, the Company held 17,585,613 and 8,330,022 shares of treasury stock, respectively.</w:t>
      </w:r>
    </w:p>
    <w:p>
      <w:pPr>
        <w:spacing w:after="0" w:line="19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 xml:space="preserve">Preferred Stock </w:t>
      </w:r>
      <w:r>
        <w:rPr>
          <w:rFonts w:ascii="Times New Roman" w:cs="Times New Roman" w:eastAsia="Times New Roman" w:hAnsi="Times New Roman"/>
          <w:sz w:val="18"/>
          <w:szCs w:val="18"/>
          <w:color w:val="auto"/>
        </w:rPr>
        <w:t>— The Company had no preferred stock outstanding as of December 31, 2024 or 2023.</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73" w:name="page74"/>
    <w:bookmarkEnd w:id="7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RELATED-PARTY TRANSACTIONS</w:t>
      </w:r>
    </w:p>
    <w:p>
      <w:pPr>
        <w:spacing w:after="0" w:line="198" w:lineRule="exact"/>
        <w:rPr>
          <w:sz w:val="20"/>
          <w:szCs w:val="20"/>
          <w:color w:val="auto"/>
        </w:rPr>
      </w:pPr>
    </w:p>
    <w:p>
      <w:pPr>
        <w:ind w:right="100" w:firstLine="324"/>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Transactions with Equity-Method Investees </w:t>
      </w:r>
      <w:r>
        <w:rPr>
          <w:rFonts w:ascii="Times New Roman" w:cs="Times New Roman" w:eastAsia="Times New Roman" w:hAnsi="Times New Roman"/>
          <w:sz w:val="18"/>
          <w:szCs w:val="18"/>
          <w:color w:val="auto"/>
        </w:rPr>
        <w:t>— The Company provides management services to its joint ventures such as accounting, invoicing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collections in addition to day-to-day managerial support of the operations of the businesses. The Company recorded management fee income of $6.2 million, $5.3 million and $4.1 million for the years ended December 31, 2024, 2023 and 2022, respectively. Management fees are recorded in net revenues in the accompanying consolidated statements of comprehensive income.</w:t>
      </w:r>
    </w:p>
    <w:p>
      <w:pPr>
        <w:spacing w:after="0" w:line="140"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The Company had amounts due to its joint ventures totaling $1.4 million as of December 31, 2024. The Company had amounts due to its joint ventures of $0.5 million and due from its joint ventures of $0.1 million as of December 31, 2023. These receivables were included in prepaid expenses and other current assets in the accompanying balance sheets and these payables were included in accrued expenses and other current liabilities in the accompanying balance sheets. These balances primarily relate to cash collections received by the Company on behalf of the joint ventures, offset by certain pharmaceutical inventories and other expenses paid for by the Company on behalf of the joint ventures.</w:t>
      </w:r>
    </w:p>
    <w:p>
      <w:pPr>
        <w:spacing w:after="0" w:line="139" w:lineRule="exact"/>
        <w:rPr>
          <w:sz w:val="20"/>
          <w:szCs w:val="20"/>
          <w:color w:val="auto"/>
        </w:rPr>
      </w:pPr>
    </w:p>
    <w:p>
      <w:pPr>
        <w:ind w:right="60" w:firstLine="324"/>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Share Repurchase Agreement </w:t>
      </w:r>
      <w:r>
        <w:rPr>
          <w:rFonts w:ascii="Times New Roman" w:cs="Times New Roman" w:eastAsia="Times New Roman" w:hAnsi="Times New Roman"/>
          <w:sz w:val="18"/>
          <w:szCs w:val="18"/>
          <w:color w:val="auto"/>
        </w:rPr>
        <w:t>— On February 28, 2023, we entered into a Share Repurchase Agreement (the “Share Repurchase Agreement”)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HC I, pursuant to which we agreed to repurchase, subject to the terms and conditions contained therein, up to $75.0 million of our common stock then held by HC I at the same purchase price per share as the underwriter in a concurrent underwritten public offering of our common stock held by HC I. On March 3, 2023, the transactions contemplated by the Share Repurchase Agreement closed, and we repurchased directly from HC I 2,475,166 shares of our common stock.</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SEGMENT REPORTING</w:t>
      </w:r>
    </w:p>
    <w:p>
      <w:pPr>
        <w:spacing w:after="0" w:line="187"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The Company has adopted ASU 2023-07, </w:t>
      </w:r>
      <w:r>
        <w:rPr>
          <w:rFonts w:ascii="Times New Roman" w:cs="Times New Roman" w:eastAsia="Times New Roman" w:hAnsi="Times New Roman"/>
          <w:sz w:val="18"/>
          <w:szCs w:val="18"/>
          <w:i w:val="1"/>
          <w:iCs w:val="1"/>
          <w:color w:val="auto"/>
        </w:rPr>
        <w:t>Segment Reporting (Topic 280): Improvements to Reportable Segment Disclosures</w:t>
      </w:r>
      <w:r>
        <w:rPr>
          <w:rFonts w:ascii="Times New Roman" w:cs="Times New Roman" w:eastAsia="Times New Roman" w:hAnsi="Times New Roman"/>
          <w:sz w:val="18"/>
          <w:szCs w:val="18"/>
          <w:color w:val="auto"/>
        </w:rPr>
        <w:t xml:space="preserve"> and has revised prior year disclosures to conform with the current year presentation. The Company operates as a single reportable segment, infusion services. Infusion services derives revenue through the clinical management of infusion therapy, nursing support and care coordination in order to provide solutions to complex patient conditions in the home or other nonhospital settings. The Company’s infusion services segment activities are managed on a consolidated basis and therapies are distributed and administered in a similar manner.</w:t>
      </w:r>
    </w:p>
    <w:p>
      <w:pPr>
        <w:spacing w:after="0" w:line="145" w:lineRule="exact"/>
        <w:rPr>
          <w:sz w:val="20"/>
          <w:szCs w:val="20"/>
          <w:color w:val="auto"/>
        </w:rPr>
      </w:pPr>
    </w:p>
    <w:p>
      <w:pPr>
        <w:ind w:right="260" w:firstLine="324"/>
        <w:spacing w:after="0" w:line="261" w:lineRule="auto"/>
        <w:rPr>
          <w:sz w:val="20"/>
          <w:szCs w:val="20"/>
          <w:color w:val="auto"/>
        </w:rPr>
      </w:pPr>
      <w:r>
        <w:rPr>
          <w:rFonts w:ascii="Times New Roman" w:cs="Times New Roman" w:eastAsia="Times New Roman" w:hAnsi="Times New Roman"/>
          <w:sz w:val="18"/>
          <w:szCs w:val="18"/>
          <w:color w:val="auto"/>
        </w:rPr>
        <w:t>Operating segments have been identified based on the financial information utilized by the Company’s Chief Executive Officer, the chief operating decision maker (“CODM”). The CODM uses net income as a measure of profitability to assess segment performance and deciding on how to allocate resources such as capital investments, share repurchases, and acquisitions. The CODM does not use or receive total assets by segment to make decisions regarding resources; therefore, the total asset disclosure by segment has not been included.</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reflects results of operations of the Company’s reportable segment (in thousands):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74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gridSpan w:val="4"/>
          </w:tcPr>
          <w:p>
            <w:pPr>
              <w:ind w:left="10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r>
      <w:tr>
        <w:trPr>
          <w:trHeight w:val="211"/>
        </w:trPr>
        <w:tc>
          <w:tcPr>
            <w:tcW w:w="5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jc w:val="right"/>
              <w:ind w:right="63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jc w:val="right"/>
              <w:ind w:right="63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ind w:right="631"/>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31"/>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Infusion services net revenue</w:t>
            </w: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4,911,591</w:t>
            </w:r>
          </w:p>
        </w:tc>
        <w:tc>
          <w:tcPr>
            <w:tcW w:w="520" w:type="dxa"/>
            <w:vAlign w:val="bottom"/>
            <w:gridSpan w:val="2"/>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4,222,656</w:t>
            </w: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3,869,036</w:t>
            </w:r>
          </w:p>
        </w:tc>
      </w:tr>
      <w:tr>
        <w:trPr>
          <w:trHeight w:val="230"/>
        </w:trPr>
        <w:tc>
          <w:tcPr>
            <w:tcW w:w="5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revenue (1)</w:t>
            </w: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86,611</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79,668</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75,699</w:t>
            </w:r>
          </w:p>
        </w:tc>
      </w:tr>
      <w:tr>
        <w:trPr>
          <w:trHeight w:val="223"/>
        </w:trPr>
        <w:tc>
          <w:tcPr>
            <w:tcW w:w="5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Option Care Health revenue</w:t>
            </w:r>
          </w:p>
        </w:tc>
        <w:tc>
          <w:tcPr>
            <w:tcW w:w="4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4,998,202</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4,302,324</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3,944,735</w:t>
            </w:r>
          </w:p>
        </w:tc>
      </w:tr>
      <w:tr>
        <w:trPr>
          <w:trHeight w:val="193"/>
        </w:trPr>
        <w:tc>
          <w:tcPr>
            <w:tcW w:w="5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(Expense) Income:</w:t>
            </w:r>
          </w:p>
        </w:tc>
        <w:tc>
          <w:tcPr>
            <w:tcW w:w="4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32"/>
        </w:trPr>
        <w:tc>
          <w:tcPr>
            <w:tcW w:w="5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Cost of net revenues - drugs</w:t>
            </w:r>
          </w:p>
        </w:tc>
        <w:tc>
          <w:tcPr>
            <w:tcW w:w="42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(3,446,735)</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(2,812,531)</w:t>
            </w: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(2,562,494)</w:t>
            </w:r>
          </w:p>
        </w:tc>
      </w:tr>
      <w:tr>
        <w:trPr>
          <w:trHeight w:val="230"/>
        </w:trPr>
        <w:tc>
          <w:tcPr>
            <w:tcW w:w="5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Salaries, benefits, and other employee expense</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(787,922)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(760,499)</w:t>
            </w:r>
          </w:p>
        </w:tc>
        <w:tc>
          <w:tcPr>
            <w:tcW w:w="12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(709,916)</w:t>
            </w:r>
          </w:p>
        </w:tc>
      </w:tr>
      <w:tr>
        <w:trPr>
          <w:trHeight w:val="230"/>
        </w:trPr>
        <w:tc>
          <w:tcPr>
            <w:tcW w:w="5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segment items (2)</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(380,803)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(355,498)</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(371,529)</w:t>
            </w:r>
          </w:p>
        </w:tc>
      </w:tr>
      <w:tr>
        <w:trPr>
          <w:trHeight w:val="230"/>
        </w:trPr>
        <w:tc>
          <w:tcPr>
            <w:tcW w:w="5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Depreciation and amortization expense</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(60,909)</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(59,201)</w:t>
            </w:r>
          </w:p>
        </w:tc>
        <w:tc>
          <w:tcPr>
            <w:tcW w:w="12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(60,565)</w:t>
            </w:r>
          </w:p>
        </w:tc>
      </w:tr>
      <w:tr>
        <w:trPr>
          <w:trHeight w:val="229"/>
        </w:trPr>
        <w:tc>
          <w:tcPr>
            <w:tcW w:w="5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Interest expense, net</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(49,029)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(51,248)</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(53,806)</w:t>
            </w:r>
          </w:p>
        </w:tc>
      </w:tr>
      <w:tr>
        <w:trPr>
          <w:trHeight w:val="230"/>
        </w:trPr>
        <w:tc>
          <w:tcPr>
            <w:tcW w:w="5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Equity in earnings of joint ventures</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5,964</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5,530</w:t>
            </w:r>
          </w:p>
        </w:tc>
        <w:tc>
          <w:tcPr>
            <w:tcW w:w="12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5,125</w:t>
            </w:r>
          </w:p>
        </w:tc>
      </w:tr>
      <w:tr>
        <w:trPr>
          <w:trHeight w:val="230"/>
        </w:trPr>
        <w:tc>
          <w:tcPr>
            <w:tcW w:w="5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net</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89,865</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14,218</w:t>
            </w:r>
          </w:p>
        </w:tc>
      </w:tr>
      <w:tr>
        <w:trPr>
          <w:trHeight w:val="229"/>
        </w:trPr>
        <w:tc>
          <w:tcPr>
            <w:tcW w:w="57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Income tax expense</w:t>
            </w: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(71,776)</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(91,652)</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(55,212)</w:t>
            </w:r>
          </w:p>
        </w:tc>
      </w:tr>
      <w:tr>
        <w:trPr>
          <w:trHeight w:val="248"/>
        </w:trPr>
        <w:tc>
          <w:tcPr>
            <w:tcW w:w="5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211,823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267,090</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150,556</w:t>
            </w: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left="580" w:hanging="248"/>
        <w:spacing w:after="0"/>
        <w:tabs>
          <w:tab w:leader="none" w:pos="58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business activities related to other miscellaneous revenue streams.</w:t>
      </w:r>
    </w:p>
    <w:p>
      <w:pPr>
        <w:spacing w:after="0" w:line="184"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segment items includes expenses for medical supplies, delivery and packaging, leases, professional services, and other expenses.</w:t>
      </w:r>
    </w:p>
    <w:p>
      <w:pPr>
        <w:spacing w:after="0" w:line="194"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EVENTS</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has evaluated whether any subsequent events occurred since December 31, 2024 and noted the following subsequent event:</w:t>
      </w:r>
    </w:p>
    <w:p>
      <w:pPr>
        <w:spacing w:after="0" w:line="171"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On January 24, 2025 the Company completed the acquisition of all equity interests in Intramed Plus, Inc., a leading provider of home and alternate site infusion services in the Southeastern United States. The total purchase price for the transaction was approximately $117 million, paid in cash.</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74" w:name="page75"/>
    <w:bookmarkEnd w:id="7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8"/>
          <w:szCs w:val="18"/>
          <w:b w:val="1"/>
          <w:bCs w:val="1"/>
          <w:i w:val="1"/>
          <w:iCs w:val="1"/>
          <w:color w:val="auto"/>
        </w:rPr>
        <w:t>Changes in and Disagreements with Accountants on Accounting and Financial Disclosure</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194"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9A.</w:t>
      </w:r>
      <w:r>
        <w:rPr>
          <w:sz w:val="20"/>
          <w:szCs w:val="20"/>
          <w:color w:val="auto"/>
        </w:rPr>
        <w:tab/>
      </w:r>
      <w:r>
        <w:rPr>
          <w:rFonts w:ascii="Times New Roman" w:cs="Times New Roman" w:eastAsia="Times New Roman" w:hAnsi="Times New Roman"/>
          <w:sz w:val="17"/>
          <w:szCs w:val="17"/>
          <w:b w:val="1"/>
          <w:bCs w:val="1"/>
          <w:i w:val="1"/>
          <w:iCs w:val="1"/>
          <w:color w:val="auto"/>
        </w:rPr>
        <w:t>Controls and Procedures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89"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Based on an evaluation under the supervision and with the participation of the Company’s management, the Company’s principal executive officer and principal financial officer have concluded that the Company’s disclosure controls and procedures as defined in Rules 13a-15(e) and 15d-15(e) of the Exchange Act were effective as of December 31, 2024 to provide reasonable assurance that information required to be disclosed by the Company in reports that it files or submits under the Exchange Act is (i) recorded, processed, summarized and reported within the time periods specified in the SEC rules and forms and (ii) accumulated and communicated to the Company’s management, including its Chief Executive Officer (“CEO”) and Chief Financial Officer (“CFO”), as appropriate to allow timely decisions regarding required disclosure.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 Annual Report on Internal Control Over Financial Reporting</w:t>
      </w:r>
    </w:p>
    <w:p>
      <w:pPr>
        <w:spacing w:after="0" w:line="189" w:lineRule="exact"/>
        <w:rPr>
          <w:sz w:val="20"/>
          <w:szCs w:val="20"/>
          <w:color w:val="auto"/>
        </w:rPr>
      </w:pPr>
    </w:p>
    <w:p>
      <w:pPr>
        <w:jc w:val="both"/>
        <w:ind w:right="300" w:firstLine="324"/>
        <w:spacing w:after="0" w:line="266"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for the Company, as defined in Rules 13a-15(f) and 15d-15(f) of the Exchange Act. Our internal control system is designed to provide reasonable assurance regarding the reliability of financial reporting and the preparation of the Company’s financial statements for external purposes in accordance with U.S. GAAP.</w:t>
      </w:r>
    </w:p>
    <w:p>
      <w:pPr>
        <w:spacing w:after="0" w:line="135"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 xml:space="preserve">Our management, with the participation of the CEO and CFO, assessed the effectiveness of the Company’s internal control over financial reporting. Based on the criteria for effective internal control over financial reporting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(“COSO”), management concluded that the internal control over financial reporting was effective as of December 31, 2024. The Company’s independent registered public accounting firm, KPMG LLP, has issued an audit report on the Company’s internal control over financial reporting, which appears elsewhere in this Annual Report.</w:t>
      </w:r>
    </w:p>
    <w:p>
      <w:pPr>
        <w:spacing w:after="0" w:line="156"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All internal control systems, no matter how well designed, have inherent limitations and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89" w:lineRule="exact"/>
        <w:rPr>
          <w:sz w:val="20"/>
          <w:szCs w:val="20"/>
          <w:color w:val="auto"/>
        </w:rPr>
      </w:pPr>
    </w:p>
    <w:p>
      <w:pPr>
        <w:ind w:right="320" w:firstLine="324"/>
        <w:spacing w:after="0" w:line="282" w:lineRule="auto"/>
        <w:rPr>
          <w:sz w:val="20"/>
          <w:szCs w:val="20"/>
          <w:color w:val="auto"/>
        </w:rPr>
      </w:pPr>
      <w:r>
        <w:rPr>
          <w:rFonts w:ascii="Times New Roman" w:cs="Times New Roman" w:eastAsia="Times New Roman" w:hAnsi="Times New Roman"/>
          <w:sz w:val="18"/>
          <w:szCs w:val="18"/>
          <w:color w:val="auto"/>
        </w:rPr>
        <w:t>There has been no change during the quarter ended December 31, 2024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Option Care Health, Inc.</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Opinion on Internal Control Over Financial Reporting</w:t>
      </w:r>
    </w:p>
    <w:p>
      <w:pPr>
        <w:spacing w:after="0" w:line="10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have audited Option Care Health, Inc. and subsidiaries' (the Company) internal control over financial reporting as of December 31, 2024, based on criteria established in Internal Control – Integrated Framework (2013) issued by the Committee of Sponsoring Organizations of the Treadway Commission. In our opinion, the Company maintained, in all material respects, effective internal control over financial reporting as of December 31, 2024, based on criteria established in Internal Control – Integrated Framework (2013) issued by the Committee of Sponsoring Organizations of the Treadway Commission.</w:t>
      </w:r>
    </w:p>
    <w:p>
      <w:pPr>
        <w:spacing w:after="0" w:line="20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consolidated balance sheets of the Company as of December 31, 2024 and 2023, the related consolidated statements of comprehensive income, stockholders’ equity, and cash flows for each of the years in the three-year period ended December 31, 2024, and the related notes (collectively, the consolidated financial statements), and our report dated February 26, 2025 expressed an unqualified opinion on those consolidated financial statements.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for Opinion</w:t>
      </w:r>
    </w:p>
    <w:p>
      <w:pPr>
        <w:spacing w:after="0" w:line="92"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10"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Definition and Limitations of Internal Control Over Financial Reporting</w:t>
      </w:r>
    </w:p>
    <w:p>
      <w:pPr>
        <w:spacing w:after="0" w:line="106"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1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 KPMG LLP</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Chicago, Illinois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26, 2025</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9B.</w:t>
      </w:r>
      <w:r>
        <w:rPr>
          <w:sz w:val="20"/>
          <w:szCs w:val="20"/>
          <w:color w:val="auto"/>
        </w:rPr>
        <w:tab/>
      </w:r>
      <w:r>
        <w:rPr>
          <w:rFonts w:ascii="Times New Roman" w:cs="Times New Roman" w:eastAsia="Times New Roman" w:hAnsi="Times New Roman"/>
          <w:sz w:val="18"/>
          <w:szCs w:val="18"/>
          <w:b w:val="1"/>
          <w:bCs w:val="1"/>
          <w:i w:val="1"/>
          <w:iCs w:val="1"/>
          <w:color w:val="auto"/>
        </w:rPr>
        <w:t>Other Information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Adoption, Modification and Termination of Rule 10b5-1 Plans and Certain Other Trading Arrangements</w:t>
      </w:r>
    </w:p>
    <w:p>
      <w:pPr>
        <w:spacing w:after="0" w:line="202" w:lineRule="exact"/>
        <w:rPr>
          <w:sz w:val="20"/>
          <w:szCs w:val="20"/>
          <w:color w:val="auto"/>
        </w:rPr>
      </w:pPr>
    </w:p>
    <w:p>
      <w:pPr>
        <w:ind w:right="320" w:firstLine="324"/>
        <w:spacing w:after="0" w:line="282" w:lineRule="auto"/>
        <w:rPr>
          <w:sz w:val="20"/>
          <w:szCs w:val="20"/>
          <w:color w:val="auto"/>
        </w:rPr>
      </w:pPr>
      <w:r>
        <w:rPr>
          <w:rFonts w:ascii="Times New Roman" w:cs="Times New Roman" w:eastAsia="Times New Roman" w:hAnsi="Times New Roman"/>
          <w:sz w:val="18"/>
          <w:szCs w:val="18"/>
          <w:color w:val="auto"/>
        </w:rPr>
        <w:t>No director or officer of the Company has adopted, modified or terminated a Rule 10b5-1 plan or non-Rule 10b5-1 trading arrangement during the three months ended December 31, 2024.</w:t>
      </w:r>
    </w:p>
    <w:p>
      <w:pPr>
        <w:spacing w:after="0" w:line="117"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9C.</w:t>
      </w:r>
      <w:r>
        <w:rPr>
          <w:sz w:val="20"/>
          <w:szCs w:val="20"/>
          <w:color w:val="auto"/>
        </w:rPr>
        <w:tab/>
      </w:r>
      <w:r>
        <w:rPr>
          <w:rFonts w:ascii="Times New Roman" w:cs="Times New Roman" w:eastAsia="Times New Roman" w:hAnsi="Times New Roman"/>
          <w:sz w:val="17"/>
          <w:szCs w:val="17"/>
          <w:b w:val="1"/>
          <w:bCs w:val="1"/>
          <w:i w:val="1"/>
          <w:iCs w:val="1"/>
          <w:color w:val="auto"/>
        </w:rPr>
        <w:t>Disclosure Regarding Foreign Jurisdictions that Prevent Inspections</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1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185"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i w:val="1"/>
          <w:iCs w:val="1"/>
          <w:color w:val="auto"/>
        </w:rPr>
        <w:t>Directors, Executive Officers and Corporate Governance</w:t>
      </w:r>
    </w:p>
    <w:p>
      <w:pPr>
        <w:spacing w:after="0" w:line="189"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We have adopted a Code of Ethics that applies to all of our directors, officers and employees, including our principal executive, principal financial and principal accounting officers, or persons performing similar functions. Our Code of Business Conduct is posted on our website located at https://investors.optioncarehealth.com/corporate-governance/governance-resources. We intend to disclose future amendments to certain provisions of the Code of Business Conduct, and waivers of the Code of Business Conduct granted to executive officers and directors, on our website.</w:t>
      </w:r>
    </w:p>
    <w:p>
      <w:pPr>
        <w:spacing w:after="0" w:line="153" w:lineRule="exact"/>
        <w:rPr>
          <w:sz w:val="20"/>
          <w:szCs w:val="20"/>
          <w:color w:val="auto"/>
        </w:rPr>
      </w:pPr>
    </w:p>
    <w:p>
      <w:pPr>
        <w:ind w:right="200" w:firstLine="324"/>
        <w:spacing w:after="0" w:line="282" w:lineRule="auto"/>
        <w:rPr>
          <w:sz w:val="20"/>
          <w:szCs w:val="20"/>
          <w:color w:val="auto"/>
        </w:rPr>
      </w:pPr>
      <w:r>
        <w:rPr>
          <w:rFonts w:ascii="Times New Roman" w:cs="Times New Roman" w:eastAsia="Times New Roman" w:hAnsi="Times New Roman"/>
          <w:sz w:val="18"/>
          <w:szCs w:val="18"/>
          <w:color w:val="auto"/>
        </w:rPr>
        <w:t>The other information required by this item is incorporated by reference from the information contained in our definitive proxy statement to be filed with the SEC no later than 120 days after December 31, 2024 in connection with our 2025 Annual Meeting of Stockholders.</w:t>
      </w:r>
    </w:p>
    <w:p>
      <w:pPr>
        <w:spacing w:after="0" w:line="117"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8"/>
          <w:szCs w:val="18"/>
          <w:b w:val="1"/>
          <w:bCs w:val="1"/>
          <w:i w:val="1"/>
          <w:iCs w:val="1"/>
          <w:color w:val="auto"/>
        </w:rPr>
        <w:t>Executive Compensation</w:t>
      </w:r>
    </w:p>
    <w:p>
      <w:pPr>
        <w:spacing w:after="0" w:line="18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from the information contained in our definitive proxy statement to be filed with the SEC no later than 120 days after December 31, 2024 in connection with our 2025 Annual Meeting of Stockholders.</w:t>
      </w:r>
    </w:p>
    <w:p>
      <w:pPr>
        <w:spacing w:after="0" w:line="131"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12.</w:t>
      </w:r>
      <w:r>
        <w:rPr>
          <w:sz w:val="20"/>
          <w:szCs w:val="20"/>
          <w:color w:val="auto"/>
        </w:rPr>
        <w:tab/>
      </w:r>
      <w:r>
        <w:rPr>
          <w:rFonts w:ascii="Times New Roman" w:cs="Times New Roman" w:eastAsia="Times New Roman" w:hAnsi="Times New Roman"/>
          <w:sz w:val="18"/>
          <w:szCs w:val="18"/>
          <w:b w:val="1"/>
          <w:bCs w:val="1"/>
          <w:i w:val="1"/>
          <w:iCs w:val="1"/>
          <w:color w:val="auto"/>
        </w:rPr>
        <w:t>Security Ownership of Certain Beneficial Owners and Management and Related Stockholder Matters</w:t>
      </w:r>
    </w:p>
    <w:p>
      <w:pPr>
        <w:spacing w:after="0" w:line="18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from the information contained in our definitive proxy statement to be filed with the SEC no later than 120 days after December 31, 2024 in connection with our 2025 Annual Meeting of Stockholders.</w:t>
      </w:r>
    </w:p>
    <w:p>
      <w:pPr>
        <w:spacing w:after="0" w:line="117"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7"/>
          <w:szCs w:val="17"/>
          <w:b w:val="1"/>
          <w:bCs w:val="1"/>
          <w:i w:val="1"/>
          <w:iCs w:val="1"/>
          <w:color w:val="auto"/>
        </w:rPr>
        <w:t>Certain Relationships and Related Transactions, and Director Independence</w:t>
      </w:r>
    </w:p>
    <w:p>
      <w:pPr>
        <w:spacing w:after="0" w:line="202"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from the information contained in our definitive proxy statement to be filed with the SEC no later than 120 days after December 31, 2024 in connection with our 2025 Annual Meeting of Stockholders.</w:t>
      </w:r>
    </w:p>
    <w:p>
      <w:pPr>
        <w:spacing w:after="0" w:line="117"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7"/>
          <w:szCs w:val="17"/>
          <w:b w:val="1"/>
          <w:bCs w:val="1"/>
          <w:i w:val="1"/>
          <w:iCs w:val="1"/>
          <w:color w:val="auto"/>
        </w:rPr>
        <w:t>Principal Accountant Fees and Services</w:t>
      </w:r>
    </w:p>
    <w:p>
      <w:pPr>
        <w:spacing w:after="0" w:line="18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from the information contained in our definitive proxy statement to be filed with the SEC no later than 120 days after December 31, 2024 in connection with our 2025 Annual Meeting of Stockholders.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40" w:type="dxa"/>
            <w:vAlign w:val="bottom"/>
            <w:gridSpan w:val="16"/>
          </w:tcPr>
          <w:p>
            <w:pPr>
              <w:jc w:val="center"/>
              <w:ind w:right="4760"/>
              <w:spacing w:after="0"/>
              <w:rPr>
                <w:sz w:val="20"/>
                <w:szCs w:val="20"/>
                <w:color w:val="auto"/>
              </w:rPr>
            </w:pPr>
            <w:r>
              <w:rPr>
                <w:rFonts w:ascii="Times New Roman" w:cs="Times New Roman" w:eastAsia="Times New Roman" w:hAnsi="Times New Roman"/>
                <w:sz w:val="18"/>
                <w:szCs w:val="18"/>
                <w:b w:val="1"/>
                <w:bCs w:val="1"/>
                <w:color w:val="auto"/>
                <w:w w:val="97"/>
              </w:rPr>
              <w:t>PART IV</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10820" w:type="dxa"/>
            <w:vAlign w:val="bottom"/>
            <w:gridSpan w:val="28"/>
          </w:tcPr>
          <w:p>
            <w:pPr>
              <w:spacing w:after="0"/>
              <w:rPr>
                <w:sz w:val="20"/>
                <w:szCs w:val="20"/>
                <w:color w:val="auto"/>
              </w:rPr>
            </w:pPr>
            <w:r>
              <w:rPr>
                <w:rFonts w:ascii="Times New Roman" w:cs="Times New Roman" w:eastAsia="Times New Roman" w:hAnsi="Times New Roman"/>
                <w:sz w:val="18"/>
                <w:szCs w:val="18"/>
                <w:b w:val="1"/>
                <w:bCs w:val="1"/>
                <w:color w:val="auto"/>
              </w:rPr>
              <w:t xml:space="preserve">Item 15.  </w:t>
            </w:r>
            <w:r>
              <w:rPr>
                <w:rFonts w:ascii="Times New Roman" w:cs="Times New Roman" w:eastAsia="Times New Roman" w:hAnsi="Times New Roman"/>
                <w:sz w:val="18"/>
                <w:szCs w:val="18"/>
                <w:b w:val="1"/>
                <w:bCs w:val="1"/>
                <w:i w:val="1"/>
                <w:iCs w:val="1"/>
                <w:color w:val="auto"/>
              </w:rPr>
              <w:t>Exhibits and Financial Statement Schedules</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10600" w:type="dxa"/>
            <w:vAlign w:val="bottom"/>
            <w:gridSpan w:val="23"/>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(a)(1) Financial Statements.</w:t>
            </w:r>
          </w:p>
        </w:tc>
        <w:tc>
          <w:tcPr>
            <w:tcW w:w="100" w:type="dxa"/>
            <w:vAlign w:val="bottom"/>
          </w:tcPr>
          <w:p>
            <w:pPr>
              <w:spacing w:after="0"/>
              <w:rPr>
                <w:sz w:val="24"/>
                <w:szCs w:val="24"/>
                <w:color w:val="auto"/>
              </w:rPr>
            </w:pPr>
          </w:p>
        </w:tc>
        <w:tc>
          <w:tcPr>
            <w:tcW w:w="520" w:type="dxa"/>
            <w:vAlign w:val="bottom"/>
            <w:gridSpan w:val="1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Page</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0600" w:type="dxa"/>
            <w:vAlign w:val="bottom"/>
            <w:gridSpan w:val="23"/>
            <w:vMerge w:val="continue"/>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10800" w:type="dxa"/>
            <w:vAlign w:val="bottom"/>
            <w:gridSpan w:val="27"/>
          </w:tcPr>
          <w:p>
            <w:pPr>
              <w:ind w:left="20"/>
              <w:spacing w:after="0"/>
              <w:rPr>
                <w:sz w:val="20"/>
                <w:szCs w:val="20"/>
                <w:color w:val="auto"/>
              </w:rPr>
            </w:pPr>
            <w:r>
              <w:rPr>
                <w:rFonts w:ascii="Times New Roman" w:cs="Times New Roman" w:eastAsia="Times New Roman" w:hAnsi="Times New Roman"/>
                <w:sz w:val="18"/>
                <w:szCs w:val="18"/>
                <w:color w:val="auto"/>
              </w:rPr>
              <w:t>The following financial statements appear in Part II, Item 8:</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460" w:type="dxa"/>
            <w:vAlign w:val="bottom"/>
            <w:gridSpan w:val="26"/>
          </w:tcPr>
          <w:p>
            <w:pPr>
              <w:spacing w:after="0" w:line="194" w:lineRule="exact"/>
              <w:rPr>
                <w:sz w:val="20"/>
                <w:szCs w:val="20"/>
                <w:color w:val="auto"/>
              </w:rPr>
            </w:pPr>
            <w:r>
              <w:rPr>
                <w:rFonts w:ascii="Times New Roman" w:cs="Times New Roman" w:eastAsia="Times New Roman" w:hAnsi="Times New Roman"/>
                <w:sz w:val="18"/>
                <w:szCs w:val="18"/>
                <w:color w:val="0000FF"/>
              </w:rPr>
              <w:t xml:space="preserve">Report of Independent Registered Public Accounting Firm </w:t>
            </w:r>
            <w:r>
              <w:rPr>
                <w:rFonts w:ascii="Times New Roman" w:cs="Times New Roman" w:eastAsia="Times New Roman" w:hAnsi="Times New Roman"/>
                <w:sz w:val="18"/>
                <w:szCs w:val="18"/>
                <w:color w:val="000000"/>
              </w:rPr>
              <w:t>(KPMG LLP, Chicago, IL, Auditor Firm ID: 185)</w:t>
            </w:r>
          </w:p>
        </w:tc>
        <w:tc>
          <w:tcPr>
            <w:tcW w:w="200" w:type="dxa"/>
            <w:vAlign w:val="bottom"/>
            <w:gridSpan w:val="2"/>
          </w:tcPr>
          <w:p>
            <w:pPr>
              <w:jc w:val="center"/>
              <w:spacing w:after="0" w:line="194" w:lineRule="exact"/>
              <w:rPr>
                <w:sz w:val="20"/>
                <w:szCs w:val="20"/>
                <w:color w:val="auto"/>
              </w:rPr>
            </w:pPr>
            <w:r>
              <w:rPr>
                <w:rFonts w:ascii="Times New Roman" w:cs="Times New Roman" w:eastAsia="Times New Roman" w:hAnsi="Times New Roman"/>
                <w:sz w:val="18"/>
                <w:szCs w:val="18"/>
                <w:color w:val="0000FF"/>
                <w:w w:val="99"/>
              </w:rPr>
              <w:t>43</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60" w:type="dxa"/>
            <w:vAlign w:val="bottom"/>
            <w:gridSpan w:val="9"/>
          </w:tcPr>
          <w:p>
            <w:pPr>
              <w:spacing w:after="0"/>
              <w:rPr>
                <w:sz w:val="20"/>
                <w:szCs w:val="20"/>
                <w:color w:val="auto"/>
              </w:rPr>
            </w:pPr>
            <w:r>
              <w:rPr>
                <w:rFonts w:ascii="Times New Roman" w:cs="Times New Roman" w:eastAsia="Times New Roman" w:hAnsi="Times New Roman"/>
                <w:sz w:val="18"/>
                <w:szCs w:val="18"/>
                <w:color w:val="0000FF"/>
                <w:w w:val="99"/>
              </w:rPr>
              <w:t>Consolidated Balance Sheets as of December 31, 2024 and 2023</w:t>
            </w:r>
          </w:p>
        </w:tc>
        <w:tc>
          <w:tcPr>
            <w:tcW w:w="5800" w:type="dxa"/>
            <w:vAlign w:val="bottom"/>
            <w:gridSpan w:val="17"/>
          </w:tcPr>
          <w:p>
            <w:pPr>
              <w:spacing w:after="0"/>
              <w:rPr>
                <w:sz w:val="18"/>
                <w:szCs w:val="18"/>
                <w:color w:val="auto"/>
              </w:rPr>
            </w:pPr>
          </w:p>
        </w:tc>
        <w:tc>
          <w:tcPr>
            <w:tcW w:w="2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0000FF"/>
                <w:w w:val="99"/>
              </w:rPr>
              <w:t>45</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78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w w:val="99"/>
              </w:rPr>
              <w:t>Consolidated Statements of Comprehensive Income for the years ended December 31, 2024, 2023 and 2022</w:t>
            </w:r>
          </w:p>
        </w:tc>
        <w:tc>
          <w:tcPr>
            <w:tcW w:w="2680" w:type="dxa"/>
            <w:vAlign w:val="bottom"/>
            <w:gridSpan w:val="9"/>
          </w:tcPr>
          <w:p>
            <w:pPr>
              <w:spacing w:after="0"/>
              <w:rPr>
                <w:sz w:val="18"/>
                <w:szCs w:val="18"/>
                <w:color w:val="auto"/>
              </w:rPr>
            </w:pPr>
          </w:p>
        </w:tc>
        <w:tc>
          <w:tcPr>
            <w:tcW w:w="2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0000FF"/>
                <w:w w:val="99"/>
              </w:rPr>
              <w:t>46</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78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Consolidated Statements of Cash Flows for the years ended December 31, 2024, 2023 and 2022</w:t>
            </w:r>
          </w:p>
        </w:tc>
        <w:tc>
          <w:tcPr>
            <w:tcW w:w="2680" w:type="dxa"/>
            <w:vAlign w:val="bottom"/>
            <w:gridSpan w:val="9"/>
          </w:tcPr>
          <w:p>
            <w:pPr>
              <w:spacing w:after="0"/>
              <w:rPr>
                <w:sz w:val="18"/>
                <w:szCs w:val="18"/>
                <w:color w:val="auto"/>
              </w:rPr>
            </w:pPr>
          </w:p>
        </w:tc>
        <w:tc>
          <w:tcPr>
            <w:tcW w:w="2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0000FF"/>
                <w:w w:val="99"/>
              </w:rPr>
              <w:t>47</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6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Consolidated Statements of Stockholders’ Equity for the years ended December 31, 2024, 2023 and 2022</w:t>
            </w:r>
          </w:p>
        </w:tc>
        <w:tc>
          <w:tcPr>
            <w:tcW w:w="2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0000FF"/>
                <w:w w:val="99"/>
              </w:rPr>
              <w:t>48</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6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16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99"/>
              </w:rPr>
              <w:t>Notes to Consolidated Financial Statements</w:t>
            </w:r>
          </w:p>
        </w:tc>
        <w:tc>
          <w:tcPr>
            <w:tcW w:w="4420" w:type="dxa"/>
            <w:vAlign w:val="bottom"/>
            <w:gridSpan w:val="10"/>
          </w:tcPr>
          <w:p>
            <w:pPr>
              <w:spacing w:after="0"/>
              <w:rPr>
                <w:sz w:val="18"/>
                <w:szCs w:val="18"/>
                <w:color w:val="auto"/>
              </w:rPr>
            </w:pPr>
          </w:p>
        </w:tc>
        <w:tc>
          <w:tcPr>
            <w:tcW w:w="2880" w:type="dxa"/>
            <w:vAlign w:val="bottom"/>
            <w:gridSpan w:val="11"/>
          </w:tcPr>
          <w:p>
            <w:pPr>
              <w:spacing w:after="0"/>
              <w:rPr>
                <w:sz w:val="18"/>
                <w:szCs w:val="18"/>
                <w:color w:val="auto"/>
              </w:rPr>
            </w:pPr>
          </w:p>
        </w:tc>
        <w:tc>
          <w:tcPr>
            <w:tcW w:w="2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0000FF"/>
                <w:w w:val="99"/>
              </w:rPr>
              <w:t>49</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10800" w:type="dxa"/>
            <w:vAlign w:val="bottom"/>
            <w:gridSpan w:val="27"/>
          </w:tcPr>
          <w:p>
            <w:pPr>
              <w:ind w:left="20"/>
              <w:spacing w:after="0"/>
              <w:rPr>
                <w:sz w:val="20"/>
                <w:szCs w:val="20"/>
                <w:color w:val="auto"/>
              </w:rPr>
            </w:pPr>
            <w:r>
              <w:rPr>
                <w:rFonts w:ascii="Times New Roman" w:cs="Times New Roman" w:eastAsia="Times New Roman" w:hAnsi="Times New Roman"/>
                <w:sz w:val="18"/>
                <w:szCs w:val="18"/>
                <w:color w:val="auto"/>
              </w:rPr>
              <w:t>All other schedules not listed above have been omitted since they are not applicable or are not required.</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6"/>
        </w:trPr>
        <w:tc>
          <w:tcPr>
            <w:tcW w:w="15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(a)(3) Exhibits.</w:t>
            </w:r>
          </w:p>
        </w:tc>
        <w:tc>
          <w:tcPr>
            <w:tcW w:w="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40" w:type="dxa"/>
            <w:vAlign w:val="bottom"/>
            <w:gridSpan w:val="18"/>
          </w:tcPr>
          <w:p>
            <w:pPr>
              <w:jc w:val="center"/>
              <w:ind w:right="4160"/>
              <w:spacing w:after="0"/>
              <w:rPr>
                <w:sz w:val="20"/>
                <w:szCs w:val="20"/>
                <w:color w:val="auto"/>
              </w:rPr>
            </w:pPr>
            <w:r>
              <w:rPr>
                <w:rFonts w:ascii="Times New Roman" w:cs="Times New Roman" w:eastAsia="Times New Roman" w:hAnsi="Times New Roman"/>
                <w:sz w:val="18"/>
                <w:szCs w:val="18"/>
                <w:b w:val="1"/>
                <w:bCs w:val="1"/>
                <w:color w:val="auto"/>
                <w:w w:val="99"/>
              </w:rPr>
              <w:t>Index to Exhibits</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6"/>
        </w:trPr>
        <w:tc>
          <w:tcPr>
            <w:tcW w:w="20" w:type="dxa"/>
            <w:vAlign w:val="bottom"/>
          </w:tcPr>
          <w:p>
            <w:pPr>
              <w:spacing w:after="0"/>
              <w:rPr>
                <w:sz w:val="24"/>
                <w:szCs w:val="24"/>
                <w:color w:val="auto"/>
              </w:rPr>
            </w:pPr>
          </w:p>
        </w:tc>
        <w:tc>
          <w:tcPr>
            <w:tcW w:w="1500" w:type="dxa"/>
            <w:vAlign w:val="bottom"/>
            <w:gridSpan w:val="3"/>
          </w:tcPr>
          <w:p>
            <w:pPr>
              <w:ind w:left="120"/>
              <w:spacing w:after="0"/>
              <w:rPr>
                <w:sz w:val="20"/>
                <w:szCs w:val="20"/>
                <w:color w:val="auto"/>
              </w:rPr>
            </w:pPr>
            <w:r>
              <w:rPr>
                <w:rFonts w:ascii="Times New Roman" w:cs="Times New Roman" w:eastAsia="Times New Roman" w:hAnsi="Times New Roman"/>
                <w:sz w:val="16"/>
                <w:szCs w:val="16"/>
                <w:b w:val="1"/>
                <w:bCs w:val="1"/>
                <w:color w:val="auto"/>
              </w:rPr>
              <w:t>Exhibit Number</w:t>
            </w:r>
          </w:p>
        </w:tc>
        <w:tc>
          <w:tcPr>
            <w:tcW w:w="20" w:type="dxa"/>
            <w:vAlign w:val="bottom"/>
          </w:tcPr>
          <w:p>
            <w:pPr>
              <w:spacing w:after="0"/>
              <w:rPr>
                <w:sz w:val="24"/>
                <w:szCs w:val="24"/>
                <w:color w:val="auto"/>
              </w:rPr>
            </w:pPr>
          </w:p>
        </w:tc>
        <w:tc>
          <w:tcPr>
            <w:tcW w:w="9280" w:type="dxa"/>
            <w:vAlign w:val="bottom"/>
            <w:gridSpan w:val="23"/>
          </w:tcPr>
          <w:p>
            <w:pPr>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40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color w:val="auto"/>
                <w:w w:val="99"/>
              </w:rPr>
              <w:t>3.1</w:t>
            </w:r>
          </w:p>
        </w:tc>
        <w:tc>
          <w:tcPr>
            <w:tcW w:w="10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9280" w:type="dxa"/>
            <w:vAlign w:val="bottom"/>
            <w:tcBorders>
              <w:top w:val="single" w:sz="8" w:color="auto"/>
            </w:tcBorders>
            <w:gridSpan w:val="23"/>
          </w:tcPr>
          <w:p>
            <w:pPr>
              <w:spacing w:after="0"/>
              <w:rPr>
                <w:rFonts w:ascii="Times New Roman" w:cs="Times New Roman" w:eastAsia="Times New Roman" w:hAnsi="Times New Roman"/>
                <w:sz w:val="16"/>
                <w:szCs w:val="16"/>
                <w:color w:val="0000FF"/>
              </w:rPr>
            </w:pPr>
            <w:hyperlink r:id="rId94">
              <w:r>
                <w:rPr>
                  <w:rFonts w:ascii="Times New Roman" w:cs="Times New Roman" w:eastAsia="Times New Roman" w:hAnsi="Times New Roman"/>
                  <w:sz w:val="16"/>
                  <w:szCs w:val="16"/>
                  <w:color w:val="0000FF"/>
                </w:rPr>
                <w:t>Third Amended and Restated Certificate of Incorporation of BioScrip, Inc. (incorporated by reference to Exhibit 3.1 to the Company’s Current</w:t>
              </w:r>
            </w:hyperlink>
          </w:p>
        </w:tc>
        <w:tc>
          <w:tcPr>
            <w:tcW w:w="6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40" w:type="dxa"/>
            <w:vAlign w:val="bottom"/>
            <w:tcBorders>
              <w:top w:val="single" w:sz="8" w:color="0000FF"/>
              <w:bottom w:val="single" w:sz="8" w:color="0000FF"/>
            </w:tcBorders>
            <w:gridSpan w:val="5"/>
          </w:tcPr>
          <w:p>
            <w:pPr>
              <w:spacing w:after="0" w:line="183" w:lineRule="exact"/>
              <w:rPr>
                <w:rFonts w:ascii="Times New Roman" w:cs="Times New Roman" w:eastAsia="Times New Roman" w:hAnsi="Times New Roman"/>
                <w:sz w:val="16"/>
                <w:szCs w:val="16"/>
                <w:color w:val="0000FF"/>
              </w:rPr>
            </w:pPr>
            <w:hyperlink r:id="rId94">
              <w:r>
                <w:rPr>
                  <w:rFonts w:ascii="Times New Roman" w:cs="Times New Roman" w:eastAsia="Times New Roman" w:hAnsi="Times New Roman"/>
                  <w:sz w:val="16"/>
                  <w:szCs w:val="16"/>
                  <w:color w:val="0000FF"/>
                </w:rPr>
                <w:t>Report on Form 8-K filed on August 7, 2019).</w:t>
              </w:r>
            </w:hyperlink>
          </w:p>
        </w:tc>
        <w:tc>
          <w:tcPr>
            <w:tcW w:w="6200" w:type="dxa"/>
            <w:vAlign w:val="bottom"/>
            <w:tcBorders>
              <w:top w:val="single" w:sz="8" w:color="0000FF"/>
            </w:tcBorders>
            <w:gridSpan w:val="16"/>
          </w:tcPr>
          <w:p>
            <w:pPr>
              <w:spacing w:after="0"/>
              <w:rPr>
                <w:sz w:val="15"/>
                <w:szCs w:val="15"/>
                <w:color w:val="auto"/>
              </w:rPr>
            </w:pPr>
          </w:p>
        </w:tc>
        <w:tc>
          <w:tcPr>
            <w:tcW w:w="40" w:type="dxa"/>
            <w:vAlign w:val="bottom"/>
            <w:gridSpan w:val="2"/>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1420" w:type="dxa"/>
            <w:vAlign w:val="bottom"/>
            <w:gridSpan w:val="3"/>
          </w:tcPr>
          <w:p>
            <w:pPr>
              <w:jc w:val="center"/>
              <w:spacing w:after="0"/>
              <w:rPr>
                <w:sz w:val="20"/>
                <w:szCs w:val="20"/>
                <w:color w:val="auto"/>
              </w:rPr>
            </w:pPr>
            <w:r>
              <w:rPr>
                <w:rFonts w:ascii="Times New Roman" w:cs="Times New Roman" w:eastAsia="Times New Roman" w:hAnsi="Times New Roman"/>
                <w:sz w:val="16"/>
                <w:szCs w:val="16"/>
                <w:color w:val="auto"/>
                <w:w w:val="99"/>
              </w:rPr>
              <w:t>3.2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700" w:type="dxa"/>
            <w:vAlign w:val="bottom"/>
            <w:gridSpan w:val="32"/>
          </w:tcPr>
          <w:p>
            <w:pPr>
              <w:spacing w:after="0"/>
              <w:rPr>
                <w:rFonts w:ascii="Times New Roman" w:cs="Times New Roman" w:eastAsia="Times New Roman" w:hAnsi="Times New Roman"/>
                <w:sz w:val="16"/>
                <w:szCs w:val="16"/>
                <w:color w:val="0000FF"/>
              </w:rPr>
            </w:pPr>
            <w:hyperlink r:id="rId95">
              <w:r>
                <w:rPr>
                  <w:rFonts w:ascii="Times New Roman" w:cs="Times New Roman" w:eastAsia="Times New Roman" w:hAnsi="Times New Roman"/>
                  <w:sz w:val="16"/>
                  <w:szCs w:val="16"/>
                  <w:color w:val="0000FF"/>
                </w:rPr>
                <w:t>Certificate of Amendment to Certificate of Incorporation, amending the Third Amended and Restated Certificate of Incorporation of BioScrip, Inc.</w:t>
              </w:r>
            </w:hyperlink>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0" w:type="dxa"/>
            <w:vAlign w:val="bottom"/>
            <w:tcBorders>
              <w:top w:val="single" w:sz="8" w:color="0000FF"/>
              <w:bottom w:val="single" w:sz="8" w:color="0000FF"/>
            </w:tcBorders>
            <w:gridSpan w:val="17"/>
          </w:tcPr>
          <w:p>
            <w:pPr>
              <w:spacing w:after="0" w:line="183" w:lineRule="exact"/>
              <w:rPr>
                <w:rFonts w:ascii="Times New Roman" w:cs="Times New Roman" w:eastAsia="Times New Roman" w:hAnsi="Times New Roman"/>
                <w:sz w:val="16"/>
                <w:szCs w:val="16"/>
                <w:color w:val="0000FF"/>
              </w:rPr>
            </w:pPr>
            <w:hyperlink r:id="rId95">
              <w:r>
                <w:rPr>
                  <w:rFonts w:ascii="Times New Roman" w:cs="Times New Roman" w:eastAsia="Times New Roman" w:hAnsi="Times New Roman"/>
                  <w:sz w:val="16"/>
                  <w:szCs w:val="16"/>
                  <w:color w:val="0000FF"/>
                </w:rPr>
                <w:t>(incorporated by reference to Exhibit 3.3 to the Company’s Current Report on Form 8-K filed on August 7, 2019).</w:t>
              </w:r>
            </w:hyperlink>
          </w:p>
        </w:tc>
        <w:tc>
          <w:tcPr>
            <w:tcW w:w="1880" w:type="dxa"/>
            <w:vAlign w:val="bottom"/>
            <w:tcBorders>
              <w:top w:val="single" w:sz="8" w:color="0000FF"/>
            </w:tcBorders>
            <w:gridSpan w:val="6"/>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14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1420" w:type="dxa"/>
            <w:vAlign w:val="bottom"/>
            <w:gridSpan w:val="3"/>
          </w:tcPr>
          <w:p>
            <w:pPr>
              <w:jc w:val="center"/>
              <w:spacing w:after="0"/>
              <w:rPr>
                <w:sz w:val="20"/>
                <w:szCs w:val="20"/>
                <w:color w:val="auto"/>
              </w:rPr>
            </w:pPr>
            <w:r>
              <w:rPr>
                <w:rFonts w:ascii="Times New Roman" w:cs="Times New Roman" w:eastAsia="Times New Roman" w:hAnsi="Times New Roman"/>
                <w:sz w:val="16"/>
                <w:szCs w:val="16"/>
                <w:color w:val="auto"/>
                <w:w w:val="99"/>
              </w:rPr>
              <w:t>3.3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700" w:type="dxa"/>
            <w:vAlign w:val="bottom"/>
            <w:gridSpan w:val="32"/>
          </w:tcPr>
          <w:p>
            <w:pPr>
              <w:spacing w:after="0"/>
              <w:rPr>
                <w:rFonts w:ascii="Times New Roman" w:cs="Times New Roman" w:eastAsia="Times New Roman" w:hAnsi="Times New Roman"/>
                <w:sz w:val="16"/>
                <w:szCs w:val="16"/>
                <w:color w:val="0000FF"/>
              </w:rPr>
            </w:pPr>
            <w:hyperlink r:id="rId96">
              <w:r>
                <w:rPr>
                  <w:rFonts w:ascii="Times New Roman" w:cs="Times New Roman" w:eastAsia="Times New Roman" w:hAnsi="Times New Roman"/>
                  <w:sz w:val="16"/>
                  <w:szCs w:val="16"/>
                  <w:color w:val="0000FF"/>
                </w:rPr>
                <w:t>Certificate of Amendment of the Certificate of Incorporation, filed January 30, 2020 (incorporated by reference to Exhibit 3.1 to the Company’s</w:t>
              </w:r>
            </w:hyperlink>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280" w:type="dxa"/>
            <w:vAlign w:val="bottom"/>
            <w:tcBorders>
              <w:top w:val="single" w:sz="8" w:color="0000FF"/>
            </w:tcBorders>
            <w:gridSpan w:val="23"/>
          </w:tcPr>
          <w:p>
            <w:pPr>
              <w:spacing w:after="0" w:line="142" w:lineRule="exact"/>
              <w:rPr>
                <w:rFonts w:ascii="Times New Roman" w:cs="Times New Roman" w:eastAsia="Times New Roman" w:hAnsi="Times New Roman"/>
                <w:sz w:val="16"/>
                <w:szCs w:val="16"/>
                <w:color w:val="0000FF"/>
              </w:rPr>
            </w:pPr>
            <w:hyperlink r:id="rId96">
              <w:r>
                <w:rPr>
                  <w:rFonts w:ascii="Times New Roman" w:cs="Times New Roman" w:eastAsia="Times New Roman" w:hAnsi="Times New Roman"/>
                  <w:sz w:val="16"/>
                  <w:szCs w:val="16"/>
                  <w:color w:val="0000FF"/>
                </w:rPr>
                <w:t>Current Report on Form 8-K filed on February 3, 2020).</w:t>
              </w:r>
            </w:hyperlink>
          </w:p>
        </w:tc>
        <w:tc>
          <w:tcPr>
            <w:tcW w:w="60" w:type="dxa"/>
            <w:vAlign w:val="bottom"/>
            <w:tcBorders>
              <w:top w:val="single" w:sz="8" w:color="0000FF"/>
            </w:tcBorders>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4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200" w:type="dxa"/>
            <w:vAlign w:val="bottom"/>
            <w:gridSpan w:val="3"/>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20" w:type="dxa"/>
            <w:vAlign w:val="bottom"/>
            <w:gridSpan w:val="3"/>
          </w:tcPr>
          <w:p>
            <w:pPr>
              <w:jc w:val="center"/>
              <w:spacing w:after="0"/>
              <w:rPr>
                <w:sz w:val="20"/>
                <w:szCs w:val="20"/>
                <w:color w:val="auto"/>
              </w:rPr>
            </w:pPr>
            <w:r>
              <w:rPr>
                <w:rFonts w:ascii="Times New Roman" w:cs="Times New Roman" w:eastAsia="Times New Roman" w:hAnsi="Times New Roman"/>
                <w:sz w:val="16"/>
                <w:szCs w:val="16"/>
                <w:color w:val="auto"/>
                <w:w w:val="99"/>
              </w:rPr>
              <w:t>3.4</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00" w:type="dxa"/>
            <w:vAlign w:val="bottom"/>
            <w:gridSpan w:val="32"/>
          </w:tcPr>
          <w:p>
            <w:pPr>
              <w:spacing w:after="0"/>
              <w:rPr>
                <w:rFonts w:ascii="Times New Roman" w:cs="Times New Roman" w:eastAsia="Times New Roman" w:hAnsi="Times New Roman"/>
                <w:sz w:val="16"/>
                <w:szCs w:val="16"/>
                <w:color w:val="0000FF"/>
              </w:rPr>
            </w:pPr>
            <w:hyperlink r:id="rId97">
              <w:r>
                <w:rPr>
                  <w:rFonts w:ascii="Times New Roman" w:cs="Times New Roman" w:eastAsia="Times New Roman" w:hAnsi="Times New Roman"/>
                  <w:sz w:val="16"/>
                  <w:szCs w:val="16"/>
                  <w:color w:val="0000FF"/>
                </w:rPr>
                <w:t>Fifth Amended and Restated By-Laws of Option Care Health, Inc., effective as of September 5, 2024 (incorporated by reference to Exhibit 3.1 to the</w:t>
              </w:r>
            </w:hyperlink>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540" w:type="dxa"/>
            <w:vAlign w:val="bottom"/>
            <w:tcBorders>
              <w:top w:val="single" w:sz="8" w:color="0000FF"/>
              <w:bottom w:val="single" w:sz="8" w:color="0000FF"/>
            </w:tcBorders>
            <w:gridSpan w:val="10"/>
          </w:tcPr>
          <w:p>
            <w:pPr>
              <w:spacing w:after="0" w:line="142" w:lineRule="exact"/>
              <w:rPr>
                <w:rFonts w:ascii="Times New Roman" w:cs="Times New Roman" w:eastAsia="Times New Roman" w:hAnsi="Times New Roman"/>
                <w:sz w:val="16"/>
                <w:szCs w:val="16"/>
                <w:color w:val="0000FF"/>
              </w:rPr>
            </w:pPr>
            <w:hyperlink r:id="rId97">
              <w:r>
                <w:rPr>
                  <w:rFonts w:ascii="Times New Roman" w:cs="Times New Roman" w:eastAsia="Times New Roman" w:hAnsi="Times New Roman"/>
                  <w:sz w:val="16"/>
                  <w:szCs w:val="16"/>
                  <w:color w:val="0000FF"/>
                </w:rPr>
                <w:t>Company’s Current Report on Form 8-K filed on September 6, 2024).</w:t>
              </w:r>
            </w:hyperlink>
          </w:p>
        </w:tc>
        <w:tc>
          <w:tcPr>
            <w:tcW w:w="4740" w:type="dxa"/>
            <w:vAlign w:val="bottom"/>
            <w:tcBorders>
              <w:top w:val="single" w:sz="8" w:color="0000FF"/>
            </w:tcBorders>
            <w:gridSpan w:val="13"/>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14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420" w:type="dxa"/>
            <w:vAlign w:val="bottom"/>
            <w:gridSpan w:val="3"/>
          </w:tcPr>
          <w:p>
            <w:pPr>
              <w:jc w:val="center"/>
              <w:spacing w:after="0"/>
              <w:rPr>
                <w:sz w:val="20"/>
                <w:szCs w:val="20"/>
                <w:color w:val="auto"/>
              </w:rPr>
            </w:pPr>
            <w:r>
              <w:rPr>
                <w:rFonts w:ascii="Times New Roman" w:cs="Times New Roman" w:eastAsia="Times New Roman" w:hAnsi="Times New Roman"/>
                <w:sz w:val="16"/>
                <w:szCs w:val="16"/>
                <w:color w:val="auto"/>
                <w:w w:val="99"/>
              </w:rPr>
              <w:t>4.1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280" w:type="dxa"/>
            <w:vAlign w:val="bottom"/>
            <w:gridSpan w:val="23"/>
          </w:tcPr>
          <w:p>
            <w:pPr>
              <w:spacing w:after="0"/>
              <w:rPr>
                <w:rFonts w:ascii="Times New Roman" w:cs="Times New Roman" w:eastAsia="Times New Roman" w:hAnsi="Times New Roman"/>
                <w:sz w:val="16"/>
                <w:szCs w:val="16"/>
                <w:color w:val="0000FF"/>
              </w:rPr>
            </w:pPr>
            <w:hyperlink r:id="rId98">
              <w:r>
                <w:rPr>
                  <w:rFonts w:ascii="Times New Roman" w:cs="Times New Roman" w:eastAsia="Times New Roman" w:hAnsi="Times New Roman"/>
                  <w:sz w:val="16"/>
                  <w:szCs w:val="16"/>
                  <w:color w:val="0000FF"/>
                </w:rPr>
                <w:t>Common Stock Warrant Agreement, dated July 28, 2015, by and between BioScrip, Inc. and American Stock Transfer &amp; Trust Company, LLC</w:t>
              </w:r>
            </w:hyperlink>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260" w:type="dxa"/>
            <w:vAlign w:val="bottom"/>
            <w:tcBorders>
              <w:top w:val="single" w:sz="8" w:color="0000FF"/>
            </w:tcBorders>
            <w:gridSpan w:val="22"/>
          </w:tcPr>
          <w:p>
            <w:pPr>
              <w:spacing w:after="0" w:line="142" w:lineRule="exact"/>
              <w:rPr>
                <w:rFonts w:ascii="Times New Roman" w:cs="Times New Roman" w:eastAsia="Times New Roman" w:hAnsi="Times New Roman"/>
                <w:sz w:val="16"/>
                <w:szCs w:val="16"/>
                <w:color w:val="0000FF"/>
              </w:rPr>
            </w:pPr>
            <w:hyperlink r:id="rId98">
              <w:r>
                <w:rPr>
                  <w:rFonts w:ascii="Times New Roman" w:cs="Times New Roman" w:eastAsia="Times New Roman" w:hAnsi="Times New Roman"/>
                  <w:sz w:val="16"/>
                  <w:szCs w:val="16"/>
                  <w:color w:val="0000FF"/>
                </w:rPr>
                <w:t>(incorporated by reference to Exhibit 4.1 to the Company’s Current Report on Form 8-K filed on July 28, 2015).</w:t>
              </w:r>
            </w:hyperlink>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4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360" w:type="dxa"/>
            <w:vAlign w:val="bottom"/>
            <w:gridSpan w:val="4"/>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980" w:type="dxa"/>
            <w:vAlign w:val="bottom"/>
            <w:gridSpan w:val="4"/>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20" w:type="dxa"/>
            <w:vAlign w:val="bottom"/>
            <w:gridSpan w:val="3"/>
          </w:tcPr>
          <w:p>
            <w:pPr>
              <w:jc w:val="center"/>
              <w:spacing w:after="0"/>
              <w:rPr>
                <w:sz w:val="20"/>
                <w:szCs w:val="20"/>
                <w:color w:val="auto"/>
              </w:rPr>
            </w:pPr>
            <w:r>
              <w:rPr>
                <w:rFonts w:ascii="Times New Roman" w:cs="Times New Roman" w:eastAsia="Times New Roman" w:hAnsi="Times New Roman"/>
                <w:sz w:val="16"/>
                <w:szCs w:val="16"/>
                <w:color w:val="auto"/>
                <w:w w:val="99"/>
              </w:rPr>
              <w:t>4.2</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00" w:type="dxa"/>
            <w:vAlign w:val="bottom"/>
            <w:gridSpan w:val="32"/>
          </w:tcPr>
          <w:p>
            <w:pPr>
              <w:spacing w:after="0"/>
              <w:rPr>
                <w:rFonts w:ascii="Times New Roman" w:cs="Times New Roman" w:eastAsia="Times New Roman" w:hAnsi="Times New Roman"/>
                <w:sz w:val="16"/>
                <w:szCs w:val="16"/>
                <w:color w:val="0000FF"/>
              </w:rPr>
            </w:pPr>
            <w:hyperlink r:id="rId99">
              <w:r>
                <w:rPr>
                  <w:rFonts w:ascii="Times New Roman" w:cs="Times New Roman" w:eastAsia="Times New Roman" w:hAnsi="Times New Roman"/>
                  <w:sz w:val="16"/>
                  <w:szCs w:val="16"/>
                  <w:color w:val="0000FF"/>
                </w:rPr>
                <w:t>Description of Option Care Health Inc.’s registered securities (incorporated by reference to Exhibit 4.12 to the Company’s Annual Report on Form</w:t>
              </w:r>
            </w:hyperlink>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40" w:type="dxa"/>
            <w:vAlign w:val="bottom"/>
            <w:tcBorders>
              <w:top w:val="single" w:sz="8" w:color="0000FF"/>
              <w:bottom w:val="single" w:sz="8" w:color="0000FF"/>
            </w:tcBorders>
            <w:gridSpan w:val="3"/>
          </w:tcPr>
          <w:p>
            <w:pPr>
              <w:spacing w:after="0" w:line="142" w:lineRule="exact"/>
              <w:rPr>
                <w:rFonts w:ascii="Times New Roman" w:cs="Times New Roman" w:eastAsia="Times New Roman" w:hAnsi="Times New Roman"/>
                <w:sz w:val="16"/>
                <w:szCs w:val="16"/>
                <w:color w:val="0000FF"/>
              </w:rPr>
            </w:pPr>
            <w:hyperlink r:id="rId99">
              <w:r>
                <w:rPr>
                  <w:rFonts w:ascii="Times New Roman" w:cs="Times New Roman" w:eastAsia="Times New Roman" w:hAnsi="Times New Roman"/>
                  <w:sz w:val="16"/>
                  <w:szCs w:val="16"/>
                  <w:color w:val="0000FF"/>
                </w:rPr>
                <w:t>10-K filed on March 11, 2021).</w:t>
              </w:r>
            </w:hyperlink>
          </w:p>
        </w:tc>
        <w:tc>
          <w:tcPr>
            <w:tcW w:w="7240" w:type="dxa"/>
            <w:vAlign w:val="bottom"/>
            <w:tcBorders>
              <w:top w:val="single" w:sz="8" w:color="0000FF"/>
            </w:tcBorders>
            <w:gridSpan w:val="20"/>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14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420" w:type="dxa"/>
            <w:vAlign w:val="bottom"/>
            <w:gridSpan w:val="3"/>
          </w:tcPr>
          <w:p>
            <w:pPr>
              <w:jc w:val="center"/>
              <w:spacing w:after="0"/>
              <w:rPr>
                <w:sz w:val="20"/>
                <w:szCs w:val="20"/>
                <w:color w:val="auto"/>
              </w:rPr>
            </w:pPr>
            <w:r>
              <w:rPr>
                <w:rFonts w:ascii="Times New Roman" w:cs="Times New Roman" w:eastAsia="Times New Roman" w:hAnsi="Times New Roman"/>
                <w:sz w:val="16"/>
                <w:szCs w:val="16"/>
                <w:color w:val="auto"/>
                <w:w w:val="99"/>
              </w:rPr>
              <w:t>4.3</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00" w:type="dxa"/>
            <w:vAlign w:val="bottom"/>
            <w:gridSpan w:val="32"/>
          </w:tcPr>
          <w:p>
            <w:pPr>
              <w:spacing w:after="0"/>
              <w:rPr>
                <w:rFonts w:ascii="Times New Roman" w:cs="Times New Roman" w:eastAsia="Times New Roman" w:hAnsi="Times New Roman"/>
                <w:sz w:val="16"/>
                <w:szCs w:val="16"/>
                <w:color w:val="0000FF"/>
              </w:rPr>
            </w:pPr>
            <w:hyperlink r:id="rId100">
              <w:r>
                <w:rPr>
                  <w:rFonts w:ascii="Times New Roman" w:cs="Times New Roman" w:eastAsia="Times New Roman" w:hAnsi="Times New Roman"/>
                  <w:sz w:val="16"/>
                  <w:szCs w:val="16"/>
                  <w:color w:val="0000FF"/>
                </w:rPr>
                <w:t>Amended and Restated Warrant Agreement, dated as of March 14, 2019, by and among BioScrip, Inc. and the Holders (as defined therein) signatory</w:t>
              </w:r>
            </w:hyperlink>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280" w:type="dxa"/>
            <w:vAlign w:val="bottom"/>
            <w:tcBorders>
              <w:top w:val="single" w:sz="8" w:color="0000FF"/>
            </w:tcBorders>
            <w:gridSpan w:val="23"/>
          </w:tcPr>
          <w:p>
            <w:pPr>
              <w:spacing w:after="0" w:line="142" w:lineRule="exact"/>
              <w:rPr>
                <w:rFonts w:ascii="Times New Roman" w:cs="Times New Roman" w:eastAsia="Times New Roman" w:hAnsi="Times New Roman"/>
                <w:sz w:val="16"/>
                <w:szCs w:val="16"/>
                <w:color w:val="0000FF"/>
              </w:rPr>
            </w:pPr>
            <w:hyperlink r:id="rId100">
              <w:r>
                <w:rPr>
                  <w:rFonts w:ascii="Times New Roman" w:cs="Times New Roman" w:eastAsia="Times New Roman" w:hAnsi="Times New Roman"/>
                  <w:sz w:val="16"/>
                  <w:szCs w:val="16"/>
                  <w:color w:val="0000FF"/>
                </w:rPr>
                <w:t>thereto (incorporated by reference to Exhibit 10.2 to the Company’s Current Report on Form 8-K filed on March 15, 2019).</w:t>
              </w:r>
            </w:hyperlink>
          </w:p>
        </w:tc>
        <w:tc>
          <w:tcPr>
            <w:tcW w:w="60" w:type="dxa"/>
            <w:vAlign w:val="bottom"/>
            <w:tcBorders>
              <w:top w:val="single" w:sz="8" w:color="0000FF"/>
            </w:tcBorders>
          </w:tcPr>
          <w:p>
            <w:pPr>
              <w:spacing w:after="0"/>
              <w:rPr>
                <w:sz w:val="12"/>
                <w:szCs w:val="12"/>
                <w:color w:val="auto"/>
              </w:rPr>
            </w:pPr>
          </w:p>
        </w:tc>
        <w:tc>
          <w:tcPr>
            <w:tcW w:w="14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1360" w:type="dxa"/>
            <w:vAlign w:val="bottom"/>
            <w:gridSpan w:val="4"/>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980" w:type="dxa"/>
            <w:vAlign w:val="bottom"/>
            <w:gridSpan w:val="4"/>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160" w:type="dxa"/>
            <w:vAlign w:val="bottom"/>
            <w:gridSpan w:val="3"/>
            <w:shd w:val="clear" w:color="auto" w:fill="0000FF"/>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gridSpan w:val="2"/>
          </w:tcPr>
          <w:p>
            <w:pPr>
              <w:jc w:val="center"/>
              <w:ind w:right="440"/>
              <w:spacing w:after="0"/>
              <w:rPr>
                <w:sz w:val="20"/>
                <w:szCs w:val="20"/>
                <w:color w:val="auto"/>
              </w:rPr>
            </w:pPr>
            <w:r>
              <w:rPr>
                <w:rFonts w:ascii="Times New Roman" w:cs="Times New Roman" w:eastAsia="Times New Roman" w:hAnsi="Times New Roman"/>
                <w:sz w:val="16"/>
                <w:szCs w:val="16"/>
                <w:color w:val="auto"/>
                <w:w w:val="99"/>
              </w:rPr>
              <w:t>10.1†</w:t>
            </w:r>
          </w:p>
        </w:tc>
        <w:tc>
          <w:tcPr>
            <w:tcW w:w="20" w:type="dxa"/>
            <w:vAlign w:val="bottom"/>
          </w:tcPr>
          <w:p>
            <w:pPr>
              <w:spacing w:after="0"/>
              <w:rPr>
                <w:sz w:val="17"/>
                <w:szCs w:val="17"/>
                <w:color w:val="auto"/>
              </w:rPr>
            </w:pPr>
          </w:p>
        </w:tc>
        <w:tc>
          <w:tcPr>
            <w:tcW w:w="9280" w:type="dxa"/>
            <w:vAlign w:val="bottom"/>
            <w:gridSpan w:val="23"/>
          </w:tcPr>
          <w:p>
            <w:pPr>
              <w:spacing w:after="0"/>
              <w:rPr>
                <w:rFonts w:ascii="Times New Roman" w:cs="Times New Roman" w:eastAsia="Times New Roman" w:hAnsi="Times New Roman"/>
                <w:sz w:val="16"/>
                <w:szCs w:val="16"/>
                <w:color w:val="0000FF"/>
              </w:rPr>
            </w:pPr>
            <w:hyperlink r:id="rId101">
              <w:r>
                <w:rPr>
                  <w:rFonts w:ascii="Times New Roman" w:cs="Times New Roman" w:eastAsia="Times New Roman" w:hAnsi="Times New Roman"/>
                  <w:sz w:val="16"/>
                  <w:szCs w:val="16"/>
                  <w:color w:val="0000FF"/>
                </w:rPr>
                <w:t>Option Care Health, Inc. Executive Severance Plan, effective as of May 11, 2020 (incorporated by reference to Exhibit 10.5 to the Company's</w:t>
              </w:r>
            </w:hyperlink>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0" w:type="dxa"/>
            <w:vAlign w:val="bottom"/>
            <w:tcBorders>
              <w:top w:val="single" w:sz="8" w:color="0000FF"/>
              <w:bottom w:val="single" w:sz="8" w:color="0000FF"/>
            </w:tcBorders>
            <w:gridSpan w:val="8"/>
          </w:tcPr>
          <w:p>
            <w:pPr>
              <w:spacing w:after="0" w:line="142" w:lineRule="exact"/>
              <w:rPr>
                <w:rFonts w:ascii="Times New Roman" w:cs="Times New Roman" w:eastAsia="Times New Roman" w:hAnsi="Times New Roman"/>
                <w:sz w:val="16"/>
                <w:szCs w:val="16"/>
                <w:color w:val="0000FF"/>
              </w:rPr>
            </w:pPr>
            <w:hyperlink r:id="rId101">
              <w:r>
                <w:rPr>
                  <w:rFonts w:ascii="Times New Roman" w:cs="Times New Roman" w:eastAsia="Times New Roman" w:hAnsi="Times New Roman"/>
                  <w:sz w:val="16"/>
                  <w:szCs w:val="16"/>
                  <w:color w:val="0000FF"/>
                </w:rPr>
                <w:t>Annual Report on Form 10-K filed on February 23, 2023).</w:t>
              </w:r>
            </w:hyperlink>
          </w:p>
        </w:tc>
        <w:tc>
          <w:tcPr>
            <w:tcW w:w="5380" w:type="dxa"/>
            <w:vAlign w:val="bottom"/>
            <w:tcBorders>
              <w:top w:val="single" w:sz="8" w:color="0000FF"/>
            </w:tcBorders>
            <w:gridSpan w:val="12"/>
          </w:tcPr>
          <w:p>
            <w:pPr>
              <w:spacing w:after="0"/>
              <w:rPr>
                <w:sz w:val="12"/>
                <w:szCs w:val="12"/>
                <w:color w:val="auto"/>
              </w:rPr>
            </w:pPr>
          </w:p>
        </w:tc>
        <w:tc>
          <w:tcPr>
            <w:tcW w:w="100" w:type="dxa"/>
            <w:vAlign w:val="bottom"/>
            <w:gridSpan w:val="3"/>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gridSpan w:val="2"/>
          </w:tcPr>
          <w:p>
            <w:pPr>
              <w:jc w:val="center"/>
              <w:ind w:right="440"/>
              <w:spacing w:after="0"/>
              <w:rPr>
                <w:sz w:val="20"/>
                <w:szCs w:val="20"/>
                <w:color w:val="auto"/>
              </w:rPr>
            </w:pPr>
            <w:r>
              <w:rPr>
                <w:rFonts w:ascii="Times New Roman" w:cs="Times New Roman" w:eastAsia="Times New Roman" w:hAnsi="Times New Roman"/>
                <w:sz w:val="16"/>
                <w:szCs w:val="16"/>
                <w:color w:val="auto"/>
                <w:w w:val="99"/>
              </w:rPr>
              <w:t>10.2†</w:t>
            </w:r>
          </w:p>
        </w:tc>
        <w:tc>
          <w:tcPr>
            <w:tcW w:w="20" w:type="dxa"/>
            <w:vAlign w:val="bottom"/>
          </w:tcPr>
          <w:p>
            <w:pPr>
              <w:spacing w:after="0"/>
              <w:rPr>
                <w:sz w:val="18"/>
                <w:szCs w:val="18"/>
                <w:color w:val="auto"/>
              </w:rPr>
            </w:pPr>
          </w:p>
        </w:tc>
        <w:tc>
          <w:tcPr>
            <w:tcW w:w="9700" w:type="dxa"/>
            <w:vAlign w:val="bottom"/>
            <w:gridSpan w:val="32"/>
          </w:tcPr>
          <w:p>
            <w:pPr>
              <w:spacing w:after="0"/>
              <w:rPr>
                <w:rFonts w:ascii="Times New Roman" w:cs="Times New Roman" w:eastAsia="Times New Roman" w:hAnsi="Times New Roman"/>
                <w:sz w:val="16"/>
                <w:szCs w:val="16"/>
                <w:color w:val="0000FF"/>
              </w:rPr>
            </w:pPr>
            <w:hyperlink r:id="rId102">
              <w:r>
                <w:rPr>
                  <w:rFonts w:ascii="Times New Roman" w:cs="Times New Roman" w:eastAsia="Times New Roman" w:hAnsi="Times New Roman"/>
                  <w:sz w:val="16"/>
                  <w:szCs w:val="16"/>
                  <w:color w:val="0000FF"/>
                </w:rPr>
                <w:t>Option Care Health, Inc. Amended and Restated 2018 Equity Incentive Plan updated as of May 15, 2024 (incorporated by reference to Appendix B</w:t>
              </w:r>
            </w:hyperlink>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500" w:type="dxa"/>
            <w:vAlign w:val="bottom"/>
            <w:tcBorders>
              <w:top w:val="single" w:sz="8" w:color="0000FF"/>
              <w:bottom w:val="single" w:sz="8" w:color="0000FF"/>
            </w:tcBorders>
            <w:gridSpan w:val="9"/>
          </w:tcPr>
          <w:p>
            <w:pPr>
              <w:spacing w:after="0" w:line="183" w:lineRule="exact"/>
              <w:rPr>
                <w:rFonts w:ascii="Times New Roman" w:cs="Times New Roman" w:eastAsia="Times New Roman" w:hAnsi="Times New Roman"/>
                <w:sz w:val="16"/>
                <w:szCs w:val="16"/>
                <w:color w:val="0000FF"/>
              </w:rPr>
            </w:pPr>
            <w:hyperlink r:id="rId102">
              <w:r>
                <w:rPr>
                  <w:rFonts w:ascii="Times New Roman" w:cs="Times New Roman" w:eastAsia="Times New Roman" w:hAnsi="Times New Roman"/>
                  <w:sz w:val="16"/>
                  <w:szCs w:val="16"/>
                  <w:color w:val="0000FF"/>
                </w:rPr>
                <w:t>to the Company’s Definitive Proxy Statement filed on April 3, 2024).</w:t>
              </w:r>
            </w:hyperlink>
          </w:p>
        </w:tc>
        <w:tc>
          <w:tcPr>
            <w:tcW w:w="4780" w:type="dxa"/>
            <w:vAlign w:val="bottom"/>
            <w:tcBorders>
              <w:top w:val="single" w:sz="8" w:color="0000FF"/>
            </w:tcBorders>
            <w:gridSpan w:val="14"/>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14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1420" w:type="dxa"/>
            <w:vAlign w:val="bottom"/>
            <w:gridSpan w:val="3"/>
          </w:tcPr>
          <w:p>
            <w:pPr>
              <w:jc w:val="center"/>
              <w:spacing w:after="0"/>
              <w:rPr>
                <w:sz w:val="20"/>
                <w:szCs w:val="20"/>
                <w:color w:val="auto"/>
              </w:rPr>
            </w:pPr>
            <w:r>
              <w:rPr>
                <w:rFonts w:ascii="Times New Roman" w:cs="Times New Roman" w:eastAsia="Times New Roman" w:hAnsi="Times New Roman"/>
                <w:sz w:val="16"/>
                <w:szCs w:val="16"/>
                <w:color w:val="auto"/>
                <w:w w:val="99"/>
              </w:rPr>
              <w:t>10.3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700" w:type="dxa"/>
            <w:vAlign w:val="bottom"/>
            <w:gridSpan w:val="32"/>
          </w:tcPr>
          <w:p>
            <w:pPr>
              <w:spacing w:after="0"/>
              <w:rPr>
                <w:rFonts w:ascii="Times New Roman" w:cs="Times New Roman" w:eastAsia="Times New Roman" w:hAnsi="Times New Roman"/>
                <w:sz w:val="16"/>
                <w:szCs w:val="16"/>
                <w:color w:val="0000FF"/>
              </w:rPr>
            </w:pPr>
            <w:hyperlink r:id="rId103">
              <w:r>
                <w:rPr>
                  <w:rFonts w:ascii="Times New Roman" w:cs="Times New Roman" w:eastAsia="Times New Roman" w:hAnsi="Times New Roman"/>
                  <w:sz w:val="16"/>
                  <w:szCs w:val="16"/>
                  <w:color w:val="0000FF"/>
                </w:rPr>
                <w:t>Indenture, dated as of October 27, 2021, by and between Option Care Health, Inc., each of the Guarantors (as defined therein) listed on the signature</w:t>
              </w:r>
            </w:hyperlink>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20" w:type="dxa"/>
            <w:vAlign w:val="bottom"/>
            <w:tcBorders>
              <w:top w:val="single" w:sz="8" w:color="0000FF"/>
            </w:tcBorders>
            <w:gridSpan w:val="29"/>
          </w:tcPr>
          <w:p>
            <w:pPr>
              <w:spacing w:after="0" w:line="169" w:lineRule="exact"/>
              <w:rPr>
                <w:rFonts w:ascii="Times New Roman" w:cs="Times New Roman" w:eastAsia="Times New Roman" w:hAnsi="Times New Roman"/>
                <w:sz w:val="16"/>
                <w:szCs w:val="16"/>
                <w:color w:val="0000FF"/>
              </w:rPr>
            </w:pPr>
            <w:hyperlink r:id="rId103">
              <w:r>
                <w:rPr>
                  <w:rFonts w:ascii="Times New Roman" w:cs="Times New Roman" w:eastAsia="Times New Roman" w:hAnsi="Times New Roman"/>
                  <w:sz w:val="16"/>
                  <w:szCs w:val="16"/>
                  <w:color w:val="0000FF"/>
                </w:rPr>
                <w:t>pages thereto and Ankura Trust Company, LLC as trustee (incorporated by reference to Exhibit 4.1 to the Company’s Current Report on Form 8-K</w:t>
              </w:r>
            </w:hyperlink>
          </w:p>
        </w:tc>
        <w:tc>
          <w:tcPr>
            <w:tcW w:w="8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80" w:type="dxa"/>
            <w:vAlign w:val="bottom"/>
            <w:tcBorders>
              <w:top w:val="single" w:sz="8" w:color="0000FF"/>
            </w:tcBorders>
            <w:gridSpan w:val="23"/>
          </w:tcPr>
          <w:p>
            <w:pPr>
              <w:spacing w:after="0" w:line="155" w:lineRule="exact"/>
              <w:rPr>
                <w:rFonts w:ascii="Times New Roman" w:cs="Times New Roman" w:eastAsia="Times New Roman" w:hAnsi="Times New Roman"/>
                <w:sz w:val="16"/>
                <w:szCs w:val="16"/>
                <w:color w:val="0000FF"/>
              </w:rPr>
            </w:pPr>
            <w:hyperlink r:id="rId103">
              <w:r>
                <w:rPr>
                  <w:rFonts w:ascii="Times New Roman" w:cs="Times New Roman" w:eastAsia="Times New Roman" w:hAnsi="Times New Roman"/>
                  <w:sz w:val="16"/>
                  <w:szCs w:val="16"/>
                  <w:color w:val="0000FF"/>
                </w:rPr>
                <w:t>filed on October 29, 2021).</w:t>
              </w:r>
            </w:hyperlink>
          </w:p>
        </w:tc>
        <w:tc>
          <w:tcPr>
            <w:tcW w:w="6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42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10.4</w:t>
            </w: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4040" w:type="dxa"/>
            <w:vAlign w:val="bottom"/>
            <w:gridSpan w:val="9"/>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640" w:type="dxa"/>
            <w:vAlign w:val="bottom"/>
            <w:gridSpan w:val="1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420" w:type="dxa"/>
            <w:vAlign w:val="bottom"/>
            <w:gridSpan w:val="3"/>
            <w:vMerge w:val="continue"/>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700" w:type="dxa"/>
            <w:vAlign w:val="bottom"/>
            <w:gridSpan w:val="32"/>
          </w:tcPr>
          <w:p>
            <w:pPr>
              <w:spacing w:after="0"/>
              <w:rPr>
                <w:rFonts w:ascii="Times New Roman" w:cs="Times New Roman" w:eastAsia="Times New Roman" w:hAnsi="Times New Roman"/>
                <w:sz w:val="16"/>
                <w:szCs w:val="16"/>
                <w:color w:val="0000FF"/>
              </w:rPr>
            </w:pPr>
            <w:hyperlink r:id="rId103">
              <w:r>
                <w:rPr>
                  <w:rFonts w:ascii="Times New Roman" w:cs="Times New Roman" w:eastAsia="Times New Roman" w:hAnsi="Times New Roman"/>
                  <w:sz w:val="16"/>
                  <w:szCs w:val="16"/>
                  <w:color w:val="0000FF"/>
                </w:rPr>
                <w:t>Form of 4.375% Senior Notes due 2029 (included in Exhibit 10.6 and incorporated by reference to Exhibit 4.2 to the Company’s Current Report on</w:t>
              </w:r>
            </w:hyperlink>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280" w:type="dxa"/>
            <w:vAlign w:val="bottom"/>
            <w:tcBorders>
              <w:top w:val="single" w:sz="8" w:color="0000FF"/>
            </w:tcBorders>
            <w:gridSpan w:val="23"/>
          </w:tcPr>
          <w:p>
            <w:pPr>
              <w:spacing w:after="0" w:line="183" w:lineRule="exact"/>
              <w:rPr>
                <w:rFonts w:ascii="Times New Roman" w:cs="Times New Roman" w:eastAsia="Times New Roman" w:hAnsi="Times New Roman"/>
                <w:sz w:val="16"/>
                <w:szCs w:val="16"/>
                <w:color w:val="0000FF"/>
              </w:rPr>
            </w:pPr>
            <w:hyperlink r:id="rId103">
              <w:r>
                <w:rPr>
                  <w:rFonts w:ascii="Times New Roman" w:cs="Times New Roman" w:eastAsia="Times New Roman" w:hAnsi="Times New Roman"/>
                  <w:sz w:val="16"/>
                  <w:szCs w:val="16"/>
                  <w:color w:val="0000FF"/>
                </w:rPr>
                <w:t>Form 8-K filed on October 29, 2021).</w:t>
              </w:r>
            </w:hyperlink>
          </w:p>
        </w:tc>
        <w:tc>
          <w:tcPr>
            <w:tcW w:w="60" w:type="dxa"/>
            <w:vAlign w:val="bottom"/>
            <w:tcBorders>
              <w:top w:val="single" w:sz="8" w:color="0000FF"/>
            </w:tcBorders>
          </w:tcPr>
          <w:p>
            <w:pPr>
              <w:spacing w:after="0"/>
              <w:rPr>
                <w:sz w:val="15"/>
                <w:szCs w:val="15"/>
                <w:color w:val="auto"/>
              </w:rPr>
            </w:pPr>
          </w:p>
        </w:tc>
        <w:tc>
          <w:tcPr>
            <w:tcW w:w="14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42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10.5</w:t>
            </w: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40" w:type="dxa"/>
            <w:vAlign w:val="bottom"/>
            <w:gridSpan w:val="4"/>
            <w:shd w:val="clear" w:color="auto" w:fill="0000FF"/>
          </w:tcPr>
          <w:p>
            <w:pPr>
              <w:spacing w:after="0" w:line="20" w:lineRule="exact"/>
              <w:rPr>
                <w:sz w:val="1"/>
                <w:szCs w:val="1"/>
                <w:color w:val="auto"/>
              </w:rPr>
            </w:pPr>
          </w:p>
        </w:tc>
        <w:tc>
          <w:tcPr>
            <w:tcW w:w="4040" w:type="dxa"/>
            <w:vAlign w:val="bottom"/>
            <w:gridSpan w:val="9"/>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640" w:type="dxa"/>
            <w:vAlign w:val="bottom"/>
            <w:gridSpan w:val="1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420" w:type="dxa"/>
            <w:vAlign w:val="bottom"/>
            <w:gridSpan w:val="3"/>
            <w:vMerge w:val="continue"/>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700" w:type="dxa"/>
            <w:vAlign w:val="bottom"/>
            <w:gridSpan w:val="32"/>
          </w:tcPr>
          <w:p>
            <w:pPr>
              <w:spacing w:after="0"/>
              <w:rPr>
                <w:rFonts w:ascii="Times New Roman" w:cs="Times New Roman" w:eastAsia="Times New Roman" w:hAnsi="Times New Roman"/>
                <w:sz w:val="16"/>
                <w:szCs w:val="16"/>
                <w:color w:val="0000FF"/>
              </w:rPr>
            </w:pPr>
            <w:hyperlink r:id="rId104">
              <w:r>
                <w:rPr>
                  <w:rFonts w:ascii="Times New Roman" w:cs="Times New Roman" w:eastAsia="Times New Roman" w:hAnsi="Times New Roman"/>
                  <w:sz w:val="16"/>
                  <w:szCs w:val="16"/>
                  <w:color w:val="0000FF"/>
                </w:rPr>
                <w:t>Second Amendment and Amendment and Restatement Agreement to First Lien Credit Agreement, dated as of October 27, 2021 (incorporated by</w:t>
              </w:r>
            </w:hyperlink>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280" w:type="dxa"/>
            <w:vAlign w:val="bottom"/>
            <w:tcBorders>
              <w:top w:val="single" w:sz="8" w:color="0000FF"/>
            </w:tcBorders>
            <w:gridSpan w:val="23"/>
          </w:tcPr>
          <w:p>
            <w:pPr>
              <w:spacing w:after="0" w:line="183" w:lineRule="exact"/>
              <w:rPr>
                <w:rFonts w:ascii="Times New Roman" w:cs="Times New Roman" w:eastAsia="Times New Roman" w:hAnsi="Times New Roman"/>
                <w:sz w:val="16"/>
                <w:szCs w:val="16"/>
                <w:color w:val="0000FF"/>
              </w:rPr>
            </w:pPr>
            <w:hyperlink r:id="rId104">
              <w:r>
                <w:rPr>
                  <w:rFonts w:ascii="Times New Roman" w:cs="Times New Roman" w:eastAsia="Times New Roman" w:hAnsi="Times New Roman"/>
                  <w:sz w:val="16"/>
                  <w:szCs w:val="16"/>
                  <w:color w:val="0000FF"/>
                </w:rPr>
                <w:t>reference to Exhibit 10.1 to the Company's Current Report on Form 8-K filed on October 29, 2021).</w:t>
              </w:r>
            </w:hyperlink>
          </w:p>
        </w:tc>
        <w:tc>
          <w:tcPr>
            <w:tcW w:w="60" w:type="dxa"/>
            <w:vAlign w:val="bottom"/>
            <w:tcBorders>
              <w:top w:val="single" w:sz="8" w:color="0000FF"/>
            </w:tcBorders>
          </w:tcPr>
          <w:p>
            <w:pPr>
              <w:spacing w:after="0"/>
              <w:rPr>
                <w:sz w:val="15"/>
                <w:szCs w:val="15"/>
                <w:color w:val="auto"/>
              </w:rPr>
            </w:pPr>
          </w:p>
        </w:tc>
        <w:tc>
          <w:tcPr>
            <w:tcW w:w="140" w:type="dxa"/>
            <w:vAlign w:val="bottom"/>
            <w:tcBorders>
              <w:top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42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10.6</w:t>
            </w: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80" w:type="dxa"/>
            <w:vAlign w:val="bottom"/>
            <w:gridSpan w:val="13"/>
            <w:shd w:val="clear" w:color="auto" w:fill="0000FF"/>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640" w:type="dxa"/>
            <w:vAlign w:val="bottom"/>
            <w:gridSpan w:val="1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420" w:type="dxa"/>
            <w:vAlign w:val="bottom"/>
            <w:gridSpan w:val="3"/>
            <w:vMerge w:val="continue"/>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80" w:type="dxa"/>
            <w:vAlign w:val="bottom"/>
            <w:tcBorders>
              <w:bottom w:val="single" w:sz="8" w:color="0000FF"/>
            </w:tcBorders>
            <w:gridSpan w:val="25"/>
          </w:tcPr>
          <w:p>
            <w:pPr>
              <w:spacing w:after="0"/>
              <w:rPr>
                <w:rFonts w:ascii="Times New Roman" w:cs="Times New Roman" w:eastAsia="Times New Roman" w:hAnsi="Times New Roman"/>
                <w:sz w:val="16"/>
                <w:szCs w:val="16"/>
                <w:color w:val="0000FF"/>
              </w:rPr>
            </w:pPr>
            <w:hyperlink r:id="rId105">
              <w:r>
                <w:rPr>
                  <w:rFonts w:ascii="Times New Roman" w:cs="Times New Roman" w:eastAsia="Times New Roman" w:hAnsi="Times New Roman"/>
                  <w:sz w:val="16"/>
                  <w:szCs w:val="16"/>
                  <w:color w:val="0000FF"/>
                </w:rPr>
                <w:t>Second Amendment to Amended and Restated First Lien Credit Agreement, dated as of December 7, 2023, among Option Care Health, Inc. (f/k/a</w:t>
              </w:r>
            </w:hyperlink>
          </w:p>
        </w:tc>
        <w:tc>
          <w:tcPr>
            <w:tcW w:w="220" w:type="dxa"/>
            <w:vAlign w:val="bottom"/>
            <w:gridSpan w:val="7"/>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700" w:type="dxa"/>
            <w:vAlign w:val="bottom"/>
            <w:gridSpan w:val="32"/>
          </w:tcPr>
          <w:p>
            <w:pPr>
              <w:spacing w:after="0" w:line="183" w:lineRule="exact"/>
              <w:rPr>
                <w:rFonts w:ascii="Times New Roman" w:cs="Times New Roman" w:eastAsia="Times New Roman" w:hAnsi="Times New Roman"/>
                <w:sz w:val="16"/>
                <w:szCs w:val="16"/>
                <w:color w:val="0000FF"/>
              </w:rPr>
            </w:pPr>
            <w:hyperlink r:id="rId105">
              <w:r>
                <w:rPr>
                  <w:rFonts w:ascii="Times New Roman" w:cs="Times New Roman" w:eastAsia="Times New Roman" w:hAnsi="Times New Roman"/>
                  <w:sz w:val="16"/>
                  <w:szCs w:val="16"/>
                  <w:color w:val="0000FF"/>
                </w:rPr>
                <w:t>BioScrip, Inc.), a Delaware corporation, each other Loan Party (as defined therein) party thereto, each Incremental Revolving Lender (incorporated</w:t>
              </w:r>
            </w:hyperlink>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40" w:type="dxa"/>
            <w:vAlign w:val="bottom"/>
            <w:tcBorders>
              <w:top w:val="single" w:sz="8" w:color="0000FF"/>
              <w:bottom w:val="single" w:sz="8" w:color="0000FF"/>
            </w:tcBorders>
            <w:gridSpan w:val="15"/>
          </w:tcPr>
          <w:p>
            <w:pPr>
              <w:spacing w:after="0" w:line="169" w:lineRule="exact"/>
              <w:rPr>
                <w:rFonts w:ascii="Times New Roman" w:cs="Times New Roman" w:eastAsia="Times New Roman" w:hAnsi="Times New Roman"/>
                <w:sz w:val="16"/>
                <w:szCs w:val="16"/>
                <w:color w:val="0000FF"/>
              </w:rPr>
            </w:pPr>
            <w:hyperlink r:id="rId105">
              <w:r>
                <w:rPr>
                  <w:rFonts w:ascii="Times New Roman" w:cs="Times New Roman" w:eastAsia="Times New Roman" w:hAnsi="Times New Roman"/>
                  <w:sz w:val="16"/>
                  <w:szCs w:val="16"/>
                  <w:color w:val="0000FF"/>
                </w:rPr>
                <w:t>by reference to Exhibit 10.1 to the Company’s Current Report on Form 8-K filed on December 11, 2023).</w:t>
              </w:r>
            </w:hyperlink>
          </w:p>
        </w:tc>
        <w:tc>
          <w:tcPr>
            <w:tcW w:w="2440" w:type="dxa"/>
            <w:vAlign w:val="bottom"/>
            <w:tcBorders>
              <w:top w:val="single" w:sz="8" w:color="0000FF"/>
            </w:tcBorders>
            <w:gridSpan w:val="8"/>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98"/>
        </w:trPr>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520" w:type="dxa"/>
            <w:vAlign w:val="bottom"/>
            <w:gridSpan w:val="10"/>
          </w:tcPr>
          <w:p>
            <w:pPr>
              <w:jc w:val="center"/>
              <w:ind w:left="3610"/>
              <w:spacing w:after="0"/>
              <w:rPr>
                <w:sz w:val="20"/>
                <w:szCs w:val="20"/>
                <w:color w:val="auto"/>
              </w:rPr>
            </w:pPr>
            <w:r>
              <w:rPr>
                <w:rFonts w:ascii="Times New Roman" w:cs="Times New Roman" w:eastAsia="Times New Roman" w:hAnsi="Times New Roman"/>
                <w:sz w:val="18"/>
                <w:szCs w:val="18"/>
                <w:color w:val="auto"/>
                <w:w w:val="99"/>
              </w:rPr>
              <w:t>77</w:t>
            </w:r>
          </w:p>
        </w:tc>
        <w:tc>
          <w:tcPr>
            <w:tcW w:w="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7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540" w:type="dxa"/>
        <w:tblCellMar>
          <w:top w:w="0" w:type="dxa"/>
          <w:left w:w="0" w:type="dxa"/>
          <w:bottom w:w="0" w:type="dxa"/>
          <w:right w:w="0" w:type="dxa"/>
        </w:tblCellMar>
      </w:tblPr>
      <w:tr>
        <w:trPr>
          <w:trHeight w:val="189"/>
        </w:trPr>
        <w:tc>
          <w:tcPr>
            <w:tcW w:w="1000" w:type="dxa"/>
            <w:vAlign w:val="bottom"/>
          </w:tcPr>
          <w:p>
            <w:pPr>
              <w:jc w:val="center"/>
              <w:ind w:right="559"/>
              <w:spacing w:after="0"/>
              <w:rPr>
                <w:sz w:val="20"/>
                <w:szCs w:val="20"/>
                <w:color w:val="auto"/>
              </w:rPr>
            </w:pPr>
            <w:r>
              <w:rPr>
                <w:rFonts w:ascii="Times New Roman" w:cs="Times New Roman" w:eastAsia="Times New Roman" w:hAnsi="Times New Roman"/>
                <w:sz w:val="16"/>
                <w:szCs w:val="16"/>
                <w:color w:val="auto"/>
                <w:w w:val="99"/>
              </w:rPr>
              <w:t>10.7</w:t>
            </w:r>
          </w:p>
        </w:tc>
        <w:tc>
          <w:tcPr>
            <w:tcW w:w="9660" w:type="dxa"/>
            <w:vAlign w:val="bottom"/>
            <w:gridSpan w:val="10"/>
          </w:tcPr>
          <w:p>
            <w:pPr>
              <w:spacing w:after="0"/>
              <w:rPr>
                <w:rFonts w:ascii="Times New Roman" w:cs="Times New Roman" w:eastAsia="Times New Roman" w:hAnsi="Times New Roman"/>
                <w:sz w:val="16"/>
                <w:szCs w:val="16"/>
                <w:color w:val="0000FF"/>
              </w:rPr>
            </w:pPr>
            <w:hyperlink r:id="rId108">
              <w:r>
                <w:rPr>
                  <w:rFonts w:ascii="Times New Roman" w:cs="Times New Roman" w:eastAsia="Times New Roman" w:hAnsi="Times New Roman"/>
                  <w:sz w:val="16"/>
                  <w:szCs w:val="16"/>
                  <w:color w:val="0000FF"/>
                </w:rPr>
                <w:t>Third Amendment to Amended and Restated First Lien Credit Agreement, dated as of May 8, 2024, among Option Care Health, Inc. (f/k/a BioScrip,</w:t>
              </w:r>
            </w:hyperlink>
          </w:p>
        </w:tc>
        <w:tc>
          <w:tcPr>
            <w:tcW w:w="0" w:type="dxa"/>
            <w:vAlign w:val="bottom"/>
          </w:tcPr>
          <w:p>
            <w:pPr>
              <w:spacing w:after="0"/>
              <w:rPr>
                <w:sz w:val="1"/>
                <w:szCs w:val="1"/>
                <w:color w:val="auto"/>
              </w:rPr>
            </w:pPr>
          </w:p>
        </w:tc>
      </w:tr>
      <w:tr>
        <w:trPr>
          <w:trHeight w:val="169"/>
        </w:trPr>
        <w:tc>
          <w:tcPr>
            <w:tcW w:w="1000" w:type="dxa"/>
            <w:vAlign w:val="bottom"/>
          </w:tcPr>
          <w:p>
            <w:pPr>
              <w:spacing w:after="0"/>
              <w:rPr>
                <w:sz w:val="14"/>
                <w:szCs w:val="14"/>
                <w:color w:val="auto"/>
              </w:rPr>
            </w:pPr>
          </w:p>
        </w:tc>
        <w:tc>
          <w:tcPr>
            <w:tcW w:w="9640" w:type="dxa"/>
            <w:vAlign w:val="bottom"/>
            <w:tcBorders>
              <w:top w:val="single" w:sz="8" w:color="0000FF"/>
            </w:tcBorders>
            <w:gridSpan w:val="9"/>
          </w:tcPr>
          <w:p>
            <w:pPr>
              <w:spacing w:after="0" w:line="169" w:lineRule="exact"/>
              <w:rPr>
                <w:rFonts w:ascii="Times New Roman" w:cs="Times New Roman" w:eastAsia="Times New Roman" w:hAnsi="Times New Roman"/>
                <w:sz w:val="16"/>
                <w:szCs w:val="16"/>
                <w:color w:val="0000FF"/>
              </w:rPr>
            </w:pPr>
            <w:hyperlink r:id="rId108">
              <w:r>
                <w:rPr>
                  <w:rFonts w:ascii="Times New Roman" w:cs="Times New Roman" w:eastAsia="Times New Roman" w:hAnsi="Times New Roman"/>
                  <w:sz w:val="16"/>
                  <w:szCs w:val="16"/>
                  <w:color w:val="0000FF"/>
                </w:rPr>
                <w:t>Inc.), a Delaware corporation, each other Loan Party (as defined in therein) party thereto, each Existing Term Lender (as defined therein) party</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000" w:type="dxa"/>
            <w:vAlign w:val="bottom"/>
          </w:tcPr>
          <w:p>
            <w:pPr>
              <w:spacing w:after="0"/>
              <w:rPr>
                <w:sz w:val="15"/>
                <w:szCs w:val="15"/>
                <w:color w:val="auto"/>
              </w:rPr>
            </w:pPr>
          </w:p>
        </w:tc>
        <w:tc>
          <w:tcPr>
            <w:tcW w:w="9240" w:type="dxa"/>
            <w:vAlign w:val="bottom"/>
            <w:tcBorders>
              <w:top w:val="single" w:sz="8" w:color="0000FF"/>
            </w:tcBorders>
            <w:gridSpan w:val="6"/>
          </w:tcPr>
          <w:p>
            <w:pPr>
              <w:spacing w:after="0" w:line="183" w:lineRule="exact"/>
              <w:rPr>
                <w:rFonts w:ascii="Times New Roman" w:cs="Times New Roman" w:eastAsia="Times New Roman" w:hAnsi="Times New Roman"/>
                <w:sz w:val="16"/>
                <w:szCs w:val="16"/>
                <w:color w:val="0000FF"/>
              </w:rPr>
            </w:pPr>
            <w:hyperlink r:id="rId108">
              <w:r>
                <w:rPr>
                  <w:rFonts w:ascii="Times New Roman" w:cs="Times New Roman" w:eastAsia="Times New Roman" w:hAnsi="Times New Roman"/>
                  <w:sz w:val="16"/>
                  <w:szCs w:val="16"/>
                  <w:color w:val="0000FF"/>
                </w:rPr>
                <w:t>thereto, the Replacement Lender (as defined therein), the 2024 Incremental Term Lender (as defined therein) and Bank of America, N.A.</w:t>
              </w:r>
            </w:hyperlink>
          </w:p>
        </w:tc>
        <w:tc>
          <w:tcPr>
            <w:tcW w:w="420" w:type="dxa"/>
            <w:vAlign w:val="bottom"/>
            <w:gridSpan w:val="4"/>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000" w:type="dxa"/>
            <w:vAlign w:val="bottom"/>
          </w:tcPr>
          <w:p>
            <w:pPr>
              <w:spacing w:after="0"/>
              <w:rPr>
                <w:sz w:val="14"/>
                <w:szCs w:val="14"/>
                <w:color w:val="auto"/>
              </w:rPr>
            </w:pPr>
          </w:p>
        </w:tc>
        <w:tc>
          <w:tcPr>
            <w:tcW w:w="7400" w:type="dxa"/>
            <w:vAlign w:val="bottom"/>
            <w:tcBorders>
              <w:top w:val="single" w:sz="8" w:color="0000FF"/>
              <w:bottom w:val="single" w:sz="8" w:color="0000FF"/>
            </w:tcBorders>
            <w:gridSpan w:val="3"/>
          </w:tcPr>
          <w:p>
            <w:pPr>
              <w:spacing w:after="0" w:line="169" w:lineRule="exact"/>
              <w:rPr>
                <w:rFonts w:ascii="Times New Roman" w:cs="Times New Roman" w:eastAsia="Times New Roman" w:hAnsi="Times New Roman"/>
                <w:sz w:val="16"/>
                <w:szCs w:val="16"/>
                <w:color w:val="0000FF"/>
              </w:rPr>
            </w:pPr>
            <w:hyperlink r:id="rId108">
              <w:r>
                <w:rPr>
                  <w:rFonts w:ascii="Times New Roman" w:cs="Times New Roman" w:eastAsia="Times New Roman" w:hAnsi="Times New Roman"/>
                  <w:sz w:val="16"/>
                  <w:szCs w:val="16"/>
                  <w:color w:val="0000FF"/>
                </w:rPr>
                <w:t>(incorporated by reference to Exhibit 10.1 to the Company’s Current Report on Form 8-K filed on May 10, 2024).</w:t>
              </w:r>
            </w:hyperlink>
          </w:p>
        </w:tc>
        <w:tc>
          <w:tcPr>
            <w:tcW w:w="1480" w:type="dxa"/>
            <w:vAlign w:val="bottom"/>
            <w:tcBorders>
              <w:top w:val="single" w:sz="8" w:color="0000FF"/>
            </w:tcBorders>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1000" w:type="dxa"/>
            <w:vAlign w:val="bottom"/>
          </w:tcPr>
          <w:p>
            <w:pPr>
              <w:jc w:val="center"/>
              <w:ind w:right="559"/>
              <w:spacing w:after="0"/>
              <w:rPr>
                <w:sz w:val="20"/>
                <w:szCs w:val="20"/>
                <w:color w:val="auto"/>
              </w:rPr>
            </w:pPr>
            <w:r>
              <w:rPr>
                <w:rFonts w:ascii="Times New Roman" w:cs="Times New Roman" w:eastAsia="Times New Roman" w:hAnsi="Times New Roman"/>
                <w:sz w:val="16"/>
                <w:szCs w:val="16"/>
                <w:color w:val="auto"/>
                <w:w w:val="99"/>
              </w:rPr>
              <w:t>10.8†</w:t>
            </w:r>
          </w:p>
        </w:tc>
        <w:tc>
          <w:tcPr>
            <w:tcW w:w="9660" w:type="dxa"/>
            <w:vAlign w:val="bottom"/>
            <w:gridSpan w:val="10"/>
          </w:tcPr>
          <w:p>
            <w:pPr>
              <w:spacing w:after="0"/>
              <w:rPr>
                <w:rFonts w:ascii="Times New Roman" w:cs="Times New Roman" w:eastAsia="Times New Roman" w:hAnsi="Times New Roman"/>
                <w:sz w:val="16"/>
                <w:szCs w:val="16"/>
                <w:color w:val="0000FF"/>
              </w:rPr>
            </w:pPr>
            <w:hyperlink r:id="rId109">
              <w:r>
                <w:rPr>
                  <w:rFonts w:ascii="Times New Roman" w:cs="Times New Roman" w:eastAsia="Times New Roman" w:hAnsi="Times New Roman"/>
                  <w:sz w:val="16"/>
                  <w:szCs w:val="16"/>
                  <w:color w:val="0000FF"/>
                </w:rPr>
                <w:t>Option Care Health, Inc. Amended and Restated Executive Severance Plan (incorporated by reference to Exhibit 10.2 to the Company’s Current</w:t>
              </w:r>
            </w:hyperlink>
          </w:p>
        </w:tc>
        <w:tc>
          <w:tcPr>
            <w:tcW w:w="0" w:type="dxa"/>
            <w:vAlign w:val="bottom"/>
          </w:tcPr>
          <w:p>
            <w:pPr>
              <w:spacing w:after="0"/>
              <w:rPr>
                <w:sz w:val="1"/>
                <w:szCs w:val="1"/>
                <w:color w:val="auto"/>
              </w:rPr>
            </w:pPr>
          </w:p>
        </w:tc>
      </w:tr>
      <w:tr>
        <w:trPr>
          <w:trHeight w:val="169"/>
        </w:trPr>
        <w:tc>
          <w:tcPr>
            <w:tcW w:w="1000" w:type="dxa"/>
            <w:vAlign w:val="bottom"/>
          </w:tcPr>
          <w:p>
            <w:pPr>
              <w:spacing w:after="0"/>
              <w:rPr>
                <w:sz w:val="14"/>
                <w:szCs w:val="14"/>
                <w:color w:val="auto"/>
              </w:rPr>
            </w:pPr>
          </w:p>
        </w:tc>
        <w:tc>
          <w:tcPr>
            <w:tcW w:w="9340" w:type="dxa"/>
            <w:vAlign w:val="bottom"/>
            <w:tcBorders>
              <w:top w:val="single" w:sz="8" w:color="0000FF"/>
            </w:tcBorders>
            <w:gridSpan w:val="7"/>
          </w:tcPr>
          <w:p>
            <w:pPr>
              <w:spacing w:after="0" w:line="169" w:lineRule="exact"/>
              <w:rPr>
                <w:rFonts w:ascii="Times New Roman" w:cs="Times New Roman" w:eastAsia="Times New Roman" w:hAnsi="Times New Roman"/>
                <w:sz w:val="16"/>
                <w:szCs w:val="16"/>
                <w:color w:val="0000FF"/>
              </w:rPr>
            </w:pPr>
            <w:hyperlink r:id="rId109">
              <w:r>
                <w:rPr>
                  <w:rFonts w:ascii="Times New Roman" w:cs="Times New Roman" w:eastAsia="Times New Roman" w:hAnsi="Times New Roman"/>
                  <w:sz w:val="16"/>
                  <w:szCs w:val="16"/>
                  <w:color w:val="0000FF"/>
                </w:rPr>
                <w:t>Report on Form 8-K filed on December 11, 2023).</w:t>
              </w:r>
            </w:hyperlink>
          </w:p>
        </w:tc>
        <w:tc>
          <w:tcPr>
            <w:tcW w:w="20" w:type="dxa"/>
            <w:vAlign w:val="bottom"/>
          </w:tcPr>
          <w:p>
            <w:pPr>
              <w:spacing w:after="0"/>
              <w:rPr>
                <w:sz w:val="14"/>
                <w:szCs w:val="14"/>
                <w:color w:val="auto"/>
              </w:rPr>
            </w:pPr>
          </w:p>
        </w:tc>
        <w:tc>
          <w:tcPr>
            <w:tcW w:w="30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00" w:type="dxa"/>
            <w:vAlign w:val="bottom"/>
            <w:vMerge w:val="restart"/>
          </w:tcPr>
          <w:p>
            <w:pPr>
              <w:jc w:val="center"/>
              <w:ind w:right="559"/>
              <w:spacing w:after="0"/>
              <w:rPr>
                <w:sz w:val="20"/>
                <w:szCs w:val="20"/>
                <w:color w:val="auto"/>
              </w:rPr>
            </w:pPr>
            <w:r>
              <w:rPr>
                <w:rFonts w:ascii="Times New Roman" w:cs="Times New Roman" w:eastAsia="Times New Roman" w:hAnsi="Times New Roman"/>
                <w:sz w:val="16"/>
                <w:szCs w:val="16"/>
                <w:color w:val="auto"/>
                <w:w w:val="99"/>
              </w:rPr>
              <w:t>10.9†</w:t>
            </w:r>
          </w:p>
        </w:tc>
        <w:tc>
          <w:tcPr>
            <w:tcW w:w="1900" w:type="dxa"/>
            <w:vAlign w:val="bottom"/>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5700" w:type="dxa"/>
            <w:vAlign w:val="bottom"/>
            <w:gridSpan w:val="3"/>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000" w:type="dxa"/>
            <w:vAlign w:val="bottom"/>
            <w:vMerge w:val="continue"/>
          </w:tcPr>
          <w:p>
            <w:pPr>
              <w:spacing w:after="0"/>
              <w:rPr>
                <w:sz w:val="20"/>
                <w:szCs w:val="20"/>
                <w:color w:val="auto"/>
              </w:rPr>
            </w:pPr>
          </w:p>
        </w:tc>
        <w:tc>
          <w:tcPr>
            <w:tcW w:w="9660" w:type="dxa"/>
            <w:vAlign w:val="bottom"/>
            <w:gridSpan w:val="10"/>
          </w:tcPr>
          <w:p>
            <w:pPr>
              <w:spacing w:after="0"/>
              <w:rPr>
                <w:rFonts w:ascii="Times New Roman" w:cs="Times New Roman" w:eastAsia="Times New Roman" w:hAnsi="Times New Roman"/>
                <w:sz w:val="16"/>
                <w:szCs w:val="16"/>
                <w:color w:val="0000FF"/>
              </w:rPr>
            </w:pPr>
            <w:hyperlink r:id="rId110">
              <w:r>
                <w:rPr>
                  <w:rFonts w:ascii="Times New Roman" w:cs="Times New Roman" w:eastAsia="Times New Roman" w:hAnsi="Times New Roman"/>
                  <w:sz w:val="16"/>
                  <w:szCs w:val="16"/>
                  <w:color w:val="0000FF"/>
                </w:rPr>
                <w:t>Option Care Health, Inc. Deferred Compensation Plan (incorporated by reference to Exhibit 10.3 to the Company’s Current Report on Form 8-K</w:t>
              </w:r>
            </w:hyperlink>
          </w:p>
        </w:tc>
        <w:tc>
          <w:tcPr>
            <w:tcW w:w="0" w:type="dxa"/>
            <w:vAlign w:val="bottom"/>
          </w:tcPr>
          <w:p>
            <w:pPr>
              <w:spacing w:after="0"/>
              <w:rPr>
                <w:sz w:val="1"/>
                <w:szCs w:val="1"/>
                <w:color w:val="auto"/>
              </w:rPr>
            </w:pPr>
          </w:p>
        </w:tc>
      </w:tr>
      <w:tr>
        <w:trPr>
          <w:trHeight w:val="169"/>
        </w:trPr>
        <w:tc>
          <w:tcPr>
            <w:tcW w:w="1000" w:type="dxa"/>
            <w:vAlign w:val="bottom"/>
          </w:tcPr>
          <w:p>
            <w:pPr>
              <w:spacing w:after="0"/>
              <w:rPr>
                <w:sz w:val="14"/>
                <w:szCs w:val="14"/>
                <w:color w:val="auto"/>
              </w:rPr>
            </w:pPr>
          </w:p>
        </w:tc>
        <w:tc>
          <w:tcPr>
            <w:tcW w:w="1900" w:type="dxa"/>
            <w:vAlign w:val="bottom"/>
            <w:tcBorders>
              <w:top w:val="single" w:sz="8" w:color="0000FF"/>
              <w:bottom w:val="single" w:sz="8" w:color="0000FF"/>
            </w:tcBorders>
          </w:tcPr>
          <w:p>
            <w:pPr>
              <w:spacing w:after="0" w:line="169" w:lineRule="exact"/>
              <w:rPr>
                <w:rFonts w:ascii="Times New Roman" w:cs="Times New Roman" w:eastAsia="Times New Roman" w:hAnsi="Times New Roman"/>
                <w:sz w:val="16"/>
                <w:szCs w:val="16"/>
                <w:color w:val="0000FF"/>
                <w:w w:val="99"/>
              </w:rPr>
            </w:pPr>
            <w:hyperlink r:id="rId110">
              <w:r>
                <w:rPr>
                  <w:rFonts w:ascii="Times New Roman" w:cs="Times New Roman" w:eastAsia="Times New Roman" w:hAnsi="Times New Roman"/>
                  <w:sz w:val="16"/>
                  <w:szCs w:val="16"/>
                  <w:color w:val="0000FF"/>
                  <w:w w:val="99"/>
                </w:rPr>
                <w:t>filed on December 11, 2023).</w:t>
              </w:r>
            </w:hyperlink>
          </w:p>
        </w:tc>
        <w:tc>
          <w:tcPr>
            <w:tcW w:w="7460" w:type="dxa"/>
            <w:vAlign w:val="bottom"/>
            <w:tcBorders>
              <w:top w:val="single" w:sz="8" w:color="0000FF"/>
            </w:tcBorders>
            <w:gridSpan w:val="7"/>
          </w:tcPr>
          <w:p>
            <w:pPr>
              <w:spacing w:after="0"/>
              <w:rPr>
                <w:sz w:val="14"/>
                <w:szCs w:val="14"/>
                <w:color w:val="auto"/>
              </w:rPr>
            </w:pPr>
          </w:p>
        </w:tc>
        <w:tc>
          <w:tcPr>
            <w:tcW w:w="30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1000" w:type="dxa"/>
            <w:vAlign w:val="bottom"/>
          </w:tcPr>
          <w:p>
            <w:pPr>
              <w:jc w:val="center"/>
              <w:ind w:right="559"/>
              <w:spacing w:after="0"/>
              <w:rPr>
                <w:sz w:val="20"/>
                <w:szCs w:val="20"/>
                <w:color w:val="auto"/>
              </w:rPr>
            </w:pPr>
            <w:r>
              <w:rPr>
                <w:rFonts w:ascii="Times New Roman" w:cs="Times New Roman" w:eastAsia="Times New Roman" w:hAnsi="Times New Roman"/>
                <w:sz w:val="16"/>
                <w:szCs w:val="16"/>
                <w:color w:val="auto"/>
                <w:w w:val="99"/>
              </w:rPr>
              <w:t>10.10</w:t>
            </w:r>
          </w:p>
        </w:tc>
        <w:tc>
          <w:tcPr>
            <w:tcW w:w="8960" w:type="dxa"/>
            <w:vAlign w:val="bottom"/>
            <w:tcBorders>
              <w:bottom w:val="single" w:sz="8" w:color="0000FF"/>
            </w:tcBorders>
            <w:gridSpan w:val="5"/>
          </w:tcPr>
          <w:p>
            <w:pPr>
              <w:spacing w:after="0"/>
              <w:rPr>
                <w:rFonts w:ascii="Times New Roman" w:cs="Times New Roman" w:eastAsia="Times New Roman" w:hAnsi="Times New Roman"/>
                <w:sz w:val="16"/>
                <w:szCs w:val="16"/>
                <w:color w:val="0000FF"/>
              </w:rPr>
            </w:pPr>
            <w:hyperlink r:id="rId111">
              <w:r>
                <w:rPr>
                  <w:rFonts w:ascii="Times New Roman" w:cs="Times New Roman" w:eastAsia="Times New Roman" w:hAnsi="Times New Roman"/>
                  <w:sz w:val="16"/>
                  <w:szCs w:val="16"/>
                  <w:color w:val="0000FF"/>
                </w:rPr>
                <w:t>Form of Letter Agreement with John C. Rademacher and Michael Shapiro Terminating Severance Provisions of Employment Agreements</w:t>
              </w:r>
            </w:hyperlink>
          </w:p>
        </w:tc>
        <w:tc>
          <w:tcPr>
            <w:tcW w:w="700" w:type="dxa"/>
            <w:vAlign w:val="bottom"/>
            <w:gridSpan w:val="5"/>
          </w:tcPr>
          <w:p>
            <w:pPr>
              <w:spacing w:after="0"/>
              <w:rPr>
                <w:sz w:val="20"/>
                <w:szCs w:val="20"/>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180"/>
          </w:cols>
          <w:pgMar w:left="320" w:top="118" w:right="399" w:bottom="1440" w:gutter="0" w:footer="0" w:header="0"/>
        </w:sectPr>
      </w:pPr>
    </w:p>
    <w:p>
      <w:pPr>
        <w:spacing w:after="0" w:line="24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6"/>
          <w:szCs w:val="16"/>
          <w:color w:val="auto"/>
        </w:rPr>
        <w:t>10.11†</w:t>
      </w:r>
    </w:p>
    <w:p>
      <w:pPr>
        <w:spacing w:after="0" w:line="26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6"/>
          <w:szCs w:val="16"/>
          <w:color w:val="auto"/>
        </w:rPr>
        <w:t>10.12†</w:t>
      </w:r>
    </w:p>
    <w:p>
      <w:pPr>
        <w:spacing w:after="0" w:line="26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6"/>
          <w:szCs w:val="16"/>
          <w:color w:val="auto"/>
        </w:rPr>
        <w:t>10.13†</w:t>
      </w:r>
    </w:p>
    <w:p>
      <w:pPr>
        <w:spacing w:after="0" w:line="26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6"/>
          <w:szCs w:val="16"/>
          <w:color w:val="auto"/>
        </w:rPr>
        <w:t>10.14†</w:t>
      </w:r>
    </w:p>
    <w:p>
      <w:pPr>
        <w:spacing w:after="0" w:line="2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6"/>
          <w:szCs w:val="16"/>
          <w:color w:val="auto"/>
        </w:rPr>
        <w:t>19</w:t>
      </w:r>
    </w:p>
    <w:p>
      <w:pPr>
        <w:spacing w:after="0" w:line="20" w:lineRule="exact"/>
        <w:rPr>
          <w:sz w:val="20"/>
          <w:szCs w:val="20"/>
          <w:color w:val="auto"/>
        </w:rPr>
      </w:pPr>
      <w:r>
        <w:rPr>
          <w:sz w:val="20"/>
          <w:szCs w:val="20"/>
          <w:color w:val="auto"/>
        </w:rPr>
        <w:br w:type="column"/>
      </w:r>
    </w:p>
    <w:p>
      <w:pPr>
        <w:spacing w:after="0"/>
        <w:rPr>
          <w:rFonts w:ascii="Times New Roman" w:cs="Times New Roman" w:eastAsia="Times New Roman" w:hAnsi="Times New Roman"/>
          <w:sz w:val="16"/>
          <w:szCs w:val="16"/>
          <w:u w:val="single" w:color="auto"/>
          <w:color w:val="0000FF"/>
        </w:rPr>
      </w:pPr>
      <w:hyperlink r:id="rId111">
        <w:r>
          <w:rPr>
            <w:rFonts w:ascii="Times New Roman" w:cs="Times New Roman" w:eastAsia="Times New Roman" w:hAnsi="Times New Roman"/>
            <w:sz w:val="16"/>
            <w:szCs w:val="16"/>
            <w:u w:val="single" w:color="auto"/>
            <w:color w:val="0000FF"/>
          </w:rPr>
          <w:t>(incorporated by reference to Exhibit 10.16 to the Company's Annual Report on Form 10-K filed on February 22, 2024).</w:t>
        </w:r>
      </w:hyperlink>
    </w:p>
    <w:p>
      <w:pPr>
        <w:spacing w:after="0" w:line="72" w:lineRule="exact"/>
        <w:rPr>
          <w:sz w:val="20"/>
          <w:szCs w:val="20"/>
          <w:color w:val="auto"/>
        </w:rPr>
      </w:pPr>
    </w:p>
    <w:p>
      <w:pPr>
        <w:ind w:right="120"/>
        <w:spacing w:after="0" w:line="280" w:lineRule="auto"/>
        <w:rPr>
          <w:rFonts w:ascii="Times New Roman" w:cs="Times New Roman" w:eastAsia="Times New Roman" w:hAnsi="Times New Roman"/>
          <w:sz w:val="16"/>
          <w:szCs w:val="16"/>
          <w:u w:val="single" w:color="auto"/>
          <w:color w:val="0000FF"/>
        </w:rPr>
      </w:pPr>
      <w:hyperlink r:id="rId112">
        <w:r>
          <w:rPr>
            <w:rFonts w:ascii="Times New Roman" w:cs="Times New Roman" w:eastAsia="Times New Roman" w:hAnsi="Times New Roman"/>
            <w:sz w:val="16"/>
            <w:szCs w:val="16"/>
            <w:u w:val="single" w:color="auto"/>
            <w:color w:val="0000FF"/>
          </w:rPr>
          <w:t>Form of Option Care Health, Inc. Non-Qualified Stock Option Certificate (Executive) (incorporated by reference to Exhibit 10.1 to the Company’s</w:t>
        </w:r>
      </w:hyperlink>
      <w:r>
        <w:rPr>
          <w:rFonts w:ascii="Times New Roman" w:cs="Times New Roman" w:eastAsia="Times New Roman" w:hAnsi="Times New Roman"/>
          <w:sz w:val="16"/>
          <w:szCs w:val="16"/>
          <w:u w:val="single" w:color="auto"/>
          <w:color w:val="0000FF"/>
        </w:rPr>
        <w:t xml:space="preserve"> </w:t>
      </w:r>
      <w:hyperlink r:id="rId112">
        <w:r>
          <w:rPr>
            <w:rFonts w:ascii="Times New Roman" w:cs="Times New Roman" w:eastAsia="Times New Roman" w:hAnsi="Times New Roman"/>
            <w:sz w:val="16"/>
            <w:szCs w:val="16"/>
            <w:u w:val="single" w:color="auto"/>
            <w:color w:val="0000FF"/>
          </w:rPr>
          <w:t>Quarterly Report on Form 10-Q filed on April 23, 2024).</w:t>
        </w:r>
      </w:hyperlink>
    </w:p>
    <w:p>
      <w:pPr>
        <w:spacing w:after="0" w:line="16" w:lineRule="exact"/>
        <w:rPr>
          <w:sz w:val="20"/>
          <w:szCs w:val="20"/>
          <w:color w:val="auto"/>
        </w:rPr>
      </w:pPr>
    </w:p>
    <w:p>
      <w:pPr>
        <w:ind w:right="580"/>
        <w:spacing w:after="0" w:line="280" w:lineRule="auto"/>
        <w:rPr>
          <w:rFonts w:ascii="Times New Roman" w:cs="Times New Roman" w:eastAsia="Times New Roman" w:hAnsi="Times New Roman"/>
          <w:sz w:val="16"/>
          <w:szCs w:val="16"/>
          <w:u w:val="single" w:color="auto"/>
          <w:color w:val="0000FF"/>
        </w:rPr>
      </w:pPr>
      <w:hyperlink r:id="rId113">
        <w:r>
          <w:rPr>
            <w:rFonts w:ascii="Times New Roman" w:cs="Times New Roman" w:eastAsia="Times New Roman" w:hAnsi="Times New Roman"/>
            <w:sz w:val="16"/>
            <w:szCs w:val="16"/>
            <w:u w:val="single" w:color="auto"/>
            <w:color w:val="0000FF"/>
          </w:rPr>
          <w:t>Form of Option Care Health, Inc. Restricted Stock Unit Certificate (Executive) (incorporated by reference to Exhibit 10.2 to the Company’s</w:t>
        </w:r>
      </w:hyperlink>
      <w:r>
        <w:rPr>
          <w:rFonts w:ascii="Times New Roman" w:cs="Times New Roman" w:eastAsia="Times New Roman" w:hAnsi="Times New Roman"/>
          <w:sz w:val="16"/>
          <w:szCs w:val="16"/>
          <w:u w:val="single" w:color="auto"/>
          <w:color w:val="0000FF"/>
        </w:rPr>
        <w:t xml:space="preserve"> </w:t>
      </w:r>
      <w:hyperlink r:id="rId113">
        <w:r>
          <w:rPr>
            <w:rFonts w:ascii="Times New Roman" w:cs="Times New Roman" w:eastAsia="Times New Roman" w:hAnsi="Times New Roman"/>
            <w:sz w:val="16"/>
            <w:szCs w:val="16"/>
            <w:u w:val="single" w:color="auto"/>
            <w:color w:val="0000FF"/>
          </w:rPr>
          <w:t>Quarterly Report on Form 10-Q filed on April 23, 2024).</w:t>
        </w:r>
      </w:hyperlink>
    </w:p>
    <w:p>
      <w:pPr>
        <w:spacing w:after="0" w:line="16" w:lineRule="exact"/>
        <w:rPr>
          <w:sz w:val="20"/>
          <w:szCs w:val="20"/>
          <w:color w:val="auto"/>
        </w:rPr>
      </w:pPr>
    </w:p>
    <w:p>
      <w:pPr>
        <w:ind w:right="400"/>
        <w:spacing w:after="0" w:line="280" w:lineRule="auto"/>
        <w:rPr>
          <w:rFonts w:ascii="Times New Roman" w:cs="Times New Roman" w:eastAsia="Times New Roman" w:hAnsi="Times New Roman"/>
          <w:sz w:val="16"/>
          <w:szCs w:val="16"/>
          <w:u w:val="single" w:color="auto"/>
          <w:color w:val="0000FF"/>
        </w:rPr>
      </w:pPr>
      <w:hyperlink r:id="rId114">
        <w:r>
          <w:rPr>
            <w:rFonts w:ascii="Times New Roman" w:cs="Times New Roman" w:eastAsia="Times New Roman" w:hAnsi="Times New Roman"/>
            <w:sz w:val="16"/>
            <w:szCs w:val="16"/>
            <w:u w:val="single" w:color="auto"/>
            <w:color w:val="0000FF"/>
          </w:rPr>
          <w:t>Form of Option Care Health, Inc. Performance Stock Unit Certificate (Executive) (incorporated by reference to Exhibit 10.3 to the Company’s</w:t>
        </w:r>
      </w:hyperlink>
      <w:r>
        <w:rPr>
          <w:rFonts w:ascii="Times New Roman" w:cs="Times New Roman" w:eastAsia="Times New Roman" w:hAnsi="Times New Roman"/>
          <w:sz w:val="16"/>
          <w:szCs w:val="16"/>
          <w:u w:val="single" w:color="auto"/>
          <w:color w:val="0000FF"/>
        </w:rPr>
        <w:t xml:space="preserve"> </w:t>
      </w:r>
      <w:hyperlink r:id="rId114">
        <w:r>
          <w:rPr>
            <w:rFonts w:ascii="Times New Roman" w:cs="Times New Roman" w:eastAsia="Times New Roman" w:hAnsi="Times New Roman"/>
            <w:sz w:val="16"/>
            <w:szCs w:val="16"/>
            <w:u w:val="single" w:color="auto"/>
            <w:color w:val="0000FF"/>
          </w:rPr>
          <w:t>Quarterly Report on Form 10-Q filed on April 23, 2024).</w:t>
        </w:r>
      </w:hyperlink>
    </w:p>
    <w:p>
      <w:pPr>
        <w:spacing w:after="0" w:line="16" w:lineRule="exact"/>
        <w:rPr>
          <w:sz w:val="20"/>
          <w:szCs w:val="20"/>
          <w:color w:val="auto"/>
        </w:rPr>
      </w:pPr>
    </w:p>
    <w:p>
      <w:pPr>
        <w:ind w:right="620"/>
        <w:spacing w:after="0" w:line="280" w:lineRule="auto"/>
        <w:rPr>
          <w:rFonts w:ascii="Times New Roman" w:cs="Times New Roman" w:eastAsia="Times New Roman" w:hAnsi="Times New Roman"/>
          <w:sz w:val="16"/>
          <w:szCs w:val="16"/>
          <w:u w:val="single" w:color="auto"/>
          <w:color w:val="0000FF"/>
        </w:rPr>
      </w:pPr>
      <w:hyperlink r:id="rId115">
        <w:r>
          <w:rPr>
            <w:rFonts w:ascii="Times New Roman" w:cs="Times New Roman" w:eastAsia="Times New Roman" w:hAnsi="Times New Roman"/>
            <w:sz w:val="16"/>
            <w:szCs w:val="16"/>
            <w:u w:val="single" w:color="auto"/>
            <w:color w:val="0000FF"/>
          </w:rPr>
          <w:t>Form of Option Care Health, Inc. Restricted Stock Unit Certificate (Directors) (incorporated by reference to Exhibit 10.4 to the Company’s</w:t>
        </w:r>
      </w:hyperlink>
      <w:r>
        <w:rPr>
          <w:rFonts w:ascii="Times New Roman" w:cs="Times New Roman" w:eastAsia="Times New Roman" w:hAnsi="Times New Roman"/>
          <w:sz w:val="16"/>
          <w:szCs w:val="16"/>
          <w:u w:val="single" w:color="auto"/>
          <w:color w:val="0000FF"/>
        </w:rPr>
        <w:t xml:space="preserve"> </w:t>
      </w:r>
      <w:hyperlink r:id="rId115">
        <w:r>
          <w:rPr>
            <w:rFonts w:ascii="Times New Roman" w:cs="Times New Roman" w:eastAsia="Times New Roman" w:hAnsi="Times New Roman"/>
            <w:sz w:val="16"/>
            <w:szCs w:val="16"/>
            <w:u w:val="single" w:color="auto"/>
            <w:color w:val="0000FF"/>
          </w:rPr>
          <w:t>Quarterly Report on Form 10-Q filed on April 23, 2024).</w:t>
        </w:r>
      </w:hyperlink>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Insider Trading Policy (filed herewith).</w:t>
      </w:r>
    </w:p>
    <w:p>
      <w:pPr>
        <w:spacing w:after="0" w:line="46" w:lineRule="exact"/>
        <w:rPr>
          <w:sz w:val="20"/>
          <w:szCs w:val="20"/>
          <w:color w:val="auto"/>
        </w:rPr>
      </w:pPr>
    </w:p>
    <w:p>
      <w:pPr>
        <w:sectPr>
          <w:pgSz w:w="11900" w:h="16838" w:orient="portrait"/>
          <w:cols w:equalWidth="0" w:num="2">
            <w:col w:w="940" w:space="600"/>
            <w:col w:w="9640"/>
          </w:cols>
          <w:pgMar w:left="320" w:top="118" w:right="399" w:bottom="1440" w:gutter="0" w:footer="0" w:header="0"/>
          <w:type w:val="continuous"/>
        </w:sectPr>
      </w:pPr>
    </w:p>
    <w:tbl>
      <w:tblPr>
        <w:tblLayout w:type="fixed"/>
        <w:tblInd w:w="580" w:type="dxa"/>
        <w:tblCellMar>
          <w:top w:w="0" w:type="dxa"/>
          <w:left w:w="0" w:type="dxa"/>
          <w:bottom w:w="0" w:type="dxa"/>
          <w:right w:w="0" w:type="dxa"/>
        </w:tblCellMar>
      </w:tblPr>
      <w:tr>
        <w:trPr>
          <w:trHeight w:val="189"/>
        </w:trPr>
        <w:tc>
          <w:tcPr>
            <w:tcW w:w="960" w:type="dxa"/>
            <w:vAlign w:val="bottom"/>
          </w:tcPr>
          <w:p>
            <w:pPr>
              <w:jc w:val="right"/>
              <w:ind w:right="599"/>
              <w:spacing w:after="0"/>
              <w:rPr>
                <w:sz w:val="20"/>
                <w:szCs w:val="20"/>
                <w:color w:val="auto"/>
              </w:rPr>
            </w:pPr>
            <w:r>
              <w:rPr>
                <w:rFonts w:ascii="Times New Roman" w:cs="Times New Roman" w:eastAsia="Times New Roman" w:hAnsi="Times New Roman"/>
                <w:sz w:val="16"/>
                <w:szCs w:val="16"/>
                <w:color w:val="auto"/>
                <w:w w:val="92"/>
              </w:rPr>
              <w:t>21.1</w:t>
            </w:r>
          </w:p>
        </w:tc>
        <w:tc>
          <w:tcPr>
            <w:tcW w:w="414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6"/>
                <w:szCs w:val="16"/>
                <w:color w:val="0000FF"/>
              </w:rPr>
              <w:t>List of subsidiaries of Option Care Health, Inc. (filed herewith).</w:t>
            </w:r>
          </w:p>
        </w:tc>
        <w:tc>
          <w:tcPr>
            <w:tcW w:w="5480" w:type="dxa"/>
            <w:vAlign w:val="bottom"/>
            <w:gridSpan w:val="6"/>
          </w:tcPr>
          <w:p>
            <w:pPr>
              <w:spacing w:after="0"/>
              <w:rPr>
                <w:sz w:val="16"/>
                <w:szCs w:val="16"/>
                <w:color w:val="auto"/>
              </w:rPr>
            </w:pPr>
          </w:p>
        </w:tc>
      </w:tr>
      <w:tr>
        <w:trPr>
          <w:trHeight w:val="223"/>
        </w:trPr>
        <w:tc>
          <w:tcPr>
            <w:tcW w:w="960" w:type="dxa"/>
            <w:vAlign w:val="bottom"/>
          </w:tcPr>
          <w:p>
            <w:pPr>
              <w:jc w:val="right"/>
              <w:ind w:right="599"/>
              <w:spacing w:after="0"/>
              <w:rPr>
                <w:sz w:val="20"/>
                <w:szCs w:val="20"/>
                <w:color w:val="auto"/>
              </w:rPr>
            </w:pPr>
            <w:r>
              <w:rPr>
                <w:rFonts w:ascii="Times New Roman" w:cs="Times New Roman" w:eastAsia="Times New Roman" w:hAnsi="Times New Roman"/>
                <w:sz w:val="16"/>
                <w:szCs w:val="16"/>
                <w:color w:val="auto"/>
                <w:w w:val="92"/>
              </w:rPr>
              <w:t>23.1</w:t>
            </w:r>
          </w:p>
        </w:tc>
        <w:tc>
          <w:tcPr>
            <w:tcW w:w="498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6"/>
                <w:szCs w:val="16"/>
                <w:color w:val="0000FF"/>
              </w:rPr>
              <w:t>Consent of Independent Registered Public Accounting Firm (filed herewith).</w:t>
            </w:r>
          </w:p>
        </w:tc>
        <w:tc>
          <w:tcPr>
            <w:tcW w:w="4640" w:type="dxa"/>
            <w:vAlign w:val="bottom"/>
            <w:gridSpan w:val="5"/>
          </w:tcPr>
          <w:p>
            <w:pPr>
              <w:spacing w:after="0"/>
              <w:rPr>
                <w:sz w:val="19"/>
                <w:szCs w:val="19"/>
                <w:color w:val="auto"/>
              </w:rPr>
            </w:pPr>
          </w:p>
        </w:tc>
      </w:tr>
      <w:tr>
        <w:trPr>
          <w:trHeight w:val="223"/>
        </w:trPr>
        <w:tc>
          <w:tcPr>
            <w:tcW w:w="960" w:type="dxa"/>
            <w:vAlign w:val="bottom"/>
          </w:tcPr>
          <w:p>
            <w:pPr>
              <w:jc w:val="right"/>
              <w:ind w:right="599"/>
              <w:spacing w:after="0"/>
              <w:rPr>
                <w:sz w:val="20"/>
                <w:szCs w:val="20"/>
                <w:color w:val="auto"/>
              </w:rPr>
            </w:pPr>
            <w:r>
              <w:rPr>
                <w:rFonts w:ascii="Times New Roman" w:cs="Times New Roman" w:eastAsia="Times New Roman" w:hAnsi="Times New Roman"/>
                <w:sz w:val="16"/>
                <w:szCs w:val="16"/>
                <w:color w:val="auto"/>
                <w:w w:val="92"/>
              </w:rPr>
              <w:t>31.1</w:t>
            </w:r>
          </w:p>
        </w:tc>
        <w:tc>
          <w:tcPr>
            <w:tcW w:w="9620" w:type="dxa"/>
            <w:vAlign w:val="bottom"/>
            <w:gridSpan w:val="8"/>
          </w:tcPr>
          <w:p>
            <w:pPr>
              <w:spacing w:after="0"/>
              <w:rPr>
                <w:sz w:val="20"/>
                <w:szCs w:val="20"/>
                <w:color w:val="auto"/>
              </w:rPr>
            </w:pPr>
            <w:r>
              <w:rPr>
                <w:rFonts w:ascii="Times New Roman" w:cs="Times New Roman" w:eastAsia="Times New Roman" w:hAnsi="Times New Roman"/>
                <w:sz w:val="16"/>
                <w:szCs w:val="16"/>
                <w:color w:val="0000FF"/>
              </w:rPr>
              <w:t>Certification of Chief Executive Officer pursuant to 18 U.S.C. Section 1350, as adopted pursuant to Section 302 of the Sarbanes-Oxley Act of 2002</w:t>
            </w:r>
          </w:p>
        </w:tc>
      </w:tr>
      <w:tr>
        <w:trPr>
          <w:trHeight w:val="169"/>
        </w:trPr>
        <w:tc>
          <w:tcPr>
            <w:tcW w:w="960" w:type="dxa"/>
            <w:vAlign w:val="bottom"/>
          </w:tcPr>
          <w:p>
            <w:pPr>
              <w:spacing w:after="0"/>
              <w:rPr>
                <w:sz w:val="14"/>
                <w:szCs w:val="14"/>
                <w:color w:val="auto"/>
              </w:rPr>
            </w:pPr>
          </w:p>
        </w:tc>
        <w:tc>
          <w:tcPr>
            <w:tcW w:w="1060" w:type="dxa"/>
            <w:vAlign w:val="bottom"/>
            <w:tcBorders>
              <w:top w:val="single" w:sz="8" w:color="0000FF"/>
              <w:bottom w:val="single" w:sz="8" w:color="0000FF"/>
            </w:tcBorders>
          </w:tcPr>
          <w:p>
            <w:pPr>
              <w:spacing w:after="0" w:line="169" w:lineRule="exact"/>
              <w:rPr>
                <w:sz w:val="20"/>
                <w:szCs w:val="20"/>
                <w:color w:val="auto"/>
              </w:rPr>
            </w:pPr>
            <w:r>
              <w:rPr>
                <w:rFonts w:ascii="Times New Roman" w:cs="Times New Roman" w:eastAsia="Times New Roman" w:hAnsi="Times New Roman"/>
                <w:sz w:val="16"/>
                <w:szCs w:val="16"/>
                <w:color w:val="0000FF"/>
                <w:w w:val="99"/>
              </w:rPr>
              <w:t>(filed herewith).</w:t>
            </w:r>
          </w:p>
        </w:tc>
        <w:tc>
          <w:tcPr>
            <w:tcW w:w="8520" w:type="dxa"/>
            <w:vAlign w:val="bottom"/>
            <w:tcBorders>
              <w:top w:val="single" w:sz="8" w:color="0000FF"/>
            </w:tcBorders>
            <w:gridSpan w:val="5"/>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36"/>
        </w:trPr>
        <w:tc>
          <w:tcPr>
            <w:tcW w:w="960" w:type="dxa"/>
            <w:vAlign w:val="bottom"/>
          </w:tcPr>
          <w:p>
            <w:pPr>
              <w:jc w:val="right"/>
              <w:ind w:right="599"/>
              <w:spacing w:after="0"/>
              <w:rPr>
                <w:sz w:val="20"/>
                <w:szCs w:val="20"/>
                <w:color w:val="auto"/>
              </w:rPr>
            </w:pPr>
            <w:r>
              <w:rPr>
                <w:rFonts w:ascii="Times New Roman" w:cs="Times New Roman" w:eastAsia="Times New Roman" w:hAnsi="Times New Roman"/>
                <w:sz w:val="16"/>
                <w:szCs w:val="16"/>
                <w:color w:val="auto"/>
                <w:w w:val="92"/>
              </w:rPr>
              <w:t>31.2</w:t>
            </w:r>
          </w:p>
        </w:tc>
        <w:tc>
          <w:tcPr>
            <w:tcW w:w="9620" w:type="dxa"/>
            <w:vAlign w:val="bottom"/>
            <w:gridSpan w:val="8"/>
          </w:tcPr>
          <w:p>
            <w:pPr>
              <w:spacing w:after="0"/>
              <w:rPr>
                <w:sz w:val="20"/>
                <w:szCs w:val="20"/>
                <w:color w:val="auto"/>
              </w:rPr>
            </w:pPr>
            <w:r>
              <w:rPr>
                <w:rFonts w:ascii="Times New Roman" w:cs="Times New Roman" w:eastAsia="Times New Roman" w:hAnsi="Times New Roman"/>
                <w:sz w:val="16"/>
                <w:szCs w:val="16"/>
                <w:color w:val="0000FF"/>
              </w:rPr>
              <w:t>Certification of Chief Financial Officer pursuant to 18 U.S.C. Section 1350, as adopted pursuant to Section 302 of the Sarbanes-Oxley Act of 2002</w:t>
            </w:r>
          </w:p>
        </w:tc>
      </w:tr>
      <w:tr>
        <w:trPr>
          <w:trHeight w:val="169"/>
        </w:trPr>
        <w:tc>
          <w:tcPr>
            <w:tcW w:w="960" w:type="dxa"/>
            <w:vAlign w:val="bottom"/>
          </w:tcPr>
          <w:p>
            <w:pPr>
              <w:spacing w:after="0"/>
              <w:rPr>
                <w:sz w:val="14"/>
                <w:szCs w:val="14"/>
                <w:color w:val="auto"/>
              </w:rPr>
            </w:pPr>
          </w:p>
        </w:tc>
        <w:tc>
          <w:tcPr>
            <w:tcW w:w="1060" w:type="dxa"/>
            <w:vAlign w:val="bottom"/>
            <w:tcBorders>
              <w:top w:val="single" w:sz="8" w:color="0000FF"/>
              <w:bottom w:val="single" w:sz="8" w:color="0000FF"/>
            </w:tcBorders>
          </w:tcPr>
          <w:p>
            <w:pPr>
              <w:spacing w:after="0" w:line="169" w:lineRule="exact"/>
              <w:rPr>
                <w:sz w:val="20"/>
                <w:szCs w:val="20"/>
                <w:color w:val="auto"/>
              </w:rPr>
            </w:pPr>
            <w:r>
              <w:rPr>
                <w:rFonts w:ascii="Times New Roman" w:cs="Times New Roman" w:eastAsia="Times New Roman" w:hAnsi="Times New Roman"/>
                <w:sz w:val="16"/>
                <w:szCs w:val="16"/>
                <w:color w:val="0000FF"/>
                <w:w w:val="99"/>
              </w:rPr>
              <w:t>(filed herewith).</w:t>
            </w:r>
          </w:p>
        </w:tc>
        <w:tc>
          <w:tcPr>
            <w:tcW w:w="8460" w:type="dxa"/>
            <w:vAlign w:val="bottom"/>
            <w:tcBorders>
              <w:top w:val="single" w:sz="8" w:color="0000FF"/>
            </w:tcBorders>
            <w:gridSpan w:val="3"/>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r>
      <w:tr>
        <w:trPr>
          <w:trHeight w:val="223"/>
        </w:trPr>
        <w:tc>
          <w:tcPr>
            <w:tcW w:w="960" w:type="dxa"/>
            <w:vAlign w:val="bottom"/>
          </w:tcPr>
          <w:p>
            <w:pPr>
              <w:jc w:val="right"/>
              <w:ind w:right="599"/>
              <w:spacing w:after="0"/>
              <w:rPr>
                <w:sz w:val="20"/>
                <w:szCs w:val="20"/>
                <w:color w:val="auto"/>
              </w:rPr>
            </w:pPr>
            <w:r>
              <w:rPr>
                <w:rFonts w:ascii="Times New Roman" w:cs="Times New Roman" w:eastAsia="Times New Roman" w:hAnsi="Times New Roman"/>
                <w:sz w:val="16"/>
                <w:szCs w:val="16"/>
                <w:color w:val="auto"/>
                <w:w w:val="92"/>
              </w:rPr>
              <w:t>32.1</w:t>
            </w:r>
          </w:p>
        </w:tc>
        <w:tc>
          <w:tcPr>
            <w:tcW w:w="9620" w:type="dxa"/>
            <w:vAlign w:val="bottom"/>
            <w:gridSpan w:val="8"/>
          </w:tcPr>
          <w:p>
            <w:pPr>
              <w:spacing w:after="0"/>
              <w:rPr>
                <w:sz w:val="20"/>
                <w:szCs w:val="20"/>
                <w:color w:val="auto"/>
              </w:rPr>
            </w:pPr>
            <w:r>
              <w:rPr>
                <w:rFonts w:ascii="Times New Roman" w:cs="Times New Roman" w:eastAsia="Times New Roman" w:hAnsi="Times New Roman"/>
                <w:sz w:val="16"/>
                <w:szCs w:val="16"/>
                <w:color w:val="0000FF"/>
              </w:rPr>
              <w:t>Certification of Chief Executive Officer pursuant to 18 U.S. C. Section 1350, as adopted pursuant to Section 906 of the Sarbanes-Oxley Act of 2002</w:t>
            </w:r>
          </w:p>
        </w:tc>
      </w:tr>
      <w:tr>
        <w:trPr>
          <w:trHeight w:val="142"/>
        </w:trPr>
        <w:tc>
          <w:tcPr>
            <w:tcW w:w="960" w:type="dxa"/>
            <w:vAlign w:val="bottom"/>
          </w:tcPr>
          <w:p>
            <w:pPr>
              <w:spacing w:after="0"/>
              <w:rPr>
                <w:sz w:val="12"/>
                <w:szCs w:val="12"/>
                <w:color w:val="auto"/>
              </w:rPr>
            </w:pPr>
          </w:p>
        </w:tc>
        <w:tc>
          <w:tcPr>
            <w:tcW w:w="1060" w:type="dxa"/>
            <w:vAlign w:val="bottom"/>
            <w:tcBorders>
              <w:top w:val="single" w:sz="8" w:color="0000FF"/>
              <w:bottom w:val="single" w:sz="8" w:color="0000FF"/>
            </w:tcBorders>
          </w:tcPr>
          <w:p>
            <w:pPr>
              <w:spacing w:after="0" w:line="142" w:lineRule="exact"/>
              <w:rPr>
                <w:sz w:val="20"/>
                <w:szCs w:val="20"/>
                <w:color w:val="auto"/>
              </w:rPr>
            </w:pPr>
            <w:r>
              <w:rPr>
                <w:rFonts w:ascii="Times New Roman" w:cs="Times New Roman" w:eastAsia="Times New Roman" w:hAnsi="Times New Roman"/>
                <w:sz w:val="16"/>
                <w:szCs w:val="16"/>
                <w:color w:val="0000FF"/>
                <w:w w:val="99"/>
              </w:rPr>
              <w:t>(filed herewith).</w:t>
            </w:r>
          </w:p>
        </w:tc>
        <w:tc>
          <w:tcPr>
            <w:tcW w:w="8540" w:type="dxa"/>
            <w:vAlign w:val="bottom"/>
            <w:tcBorders>
              <w:top w:val="single" w:sz="8" w:color="0000FF"/>
            </w:tcBorders>
            <w:gridSpan w:val="6"/>
          </w:tcPr>
          <w:p>
            <w:pPr>
              <w:spacing w:after="0"/>
              <w:rPr>
                <w:sz w:val="12"/>
                <w:szCs w:val="12"/>
                <w:color w:val="auto"/>
              </w:rPr>
            </w:pPr>
          </w:p>
        </w:tc>
        <w:tc>
          <w:tcPr>
            <w:tcW w:w="20" w:type="dxa"/>
            <w:vAlign w:val="bottom"/>
          </w:tcPr>
          <w:p>
            <w:pPr>
              <w:spacing w:after="0"/>
              <w:rPr>
                <w:sz w:val="12"/>
                <w:szCs w:val="12"/>
                <w:color w:val="auto"/>
              </w:rPr>
            </w:pPr>
          </w:p>
        </w:tc>
      </w:tr>
      <w:tr>
        <w:trPr>
          <w:trHeight w:val="196"/>
        </w:trPr>
        <w:tc>
          <w:tcPr>
            <w:tcW w:w="960" w:type="dxa"/>
            <w:vAlign w:val="bottom"/>
          </w:tcPr>
          <w:p>
            <w:pPr>
              <w:jc w:val="right"/>
              <w:ind w:right="599"/>
              <w:spacing w:after="0"/>
              <w:rPr>
                <w:sz w:val="20"/>
                <w:szCs w:val="20"/>
                <w:color w:val="auto"/>
              </w:rPr>
            </w:pPr>
            <w:r>
              <w:rPr>
                <w:rFonts w:ascii="Times New Roman" w:cs="Times New Roman" w:eastAsia="Times New Roman" w:hAnsi="Times New Roman"/>
                <w:sz w:val="16"/>
                <w:szCs w:val="16"/>
                <w:color w:val="auto"/>
                <w:w w:val="92"/>
              </w:rPr>
              <w:t>32.2</w:t>
            </w:r>
          </w:p>
        </w:tc>
        <w:tc>
          <w:tcPr>
            <w:tcW w:w="9620" w:type="dxa"/>
            <w:vAlign w:val="bottom"/>
            <w:gridSpan w:val="8"/>
          </w:tcPr>
          <w:p>
            <w:pPr>
              <w:spacing w:after="0"/>
              <w:rPr>
                <w:sz w:val="20"/>
                <w:szCs w:val="20"/>
                <w:color w:val="auto"/>
              </w:rPr>
            </w:pPr>
            <w:r>
              <w:rPr>
                <w:rFonts w:ascii="Times New Roman" w:cs="Times New Roman" w:eastAsia="Times New Roman" w:hAnsi="Times New Roman"/>
                <w:sz w:val="16"/>
                <w:szCs w:val="16"/>
                <w:color w:val="0000FF"/>
              </w:rPr>
              <w:t>Certification of Chief Financial Officer pursuant to 18 U.S. C. Section 1350, as adopted pursuant to Section 906 of the Sarbanes-Oxley Act of 2002</w:t>
            </w:r>
          </w:p>
        </w:tc>
      </w:tr>
      <w:tr>
        <w:trPr>
          <w:trHeight w:val="142"/>
        </w:trPr>
        <w:tc>
          <w:tcPr>
            <w:tcW w:w="960" w:type="dxa"/>
            <w:vAlign w:val="bottom"/>
          </w:tcPr>
          <w:p>
            <w:pPr>
              <w:spacing w:after="0"/>
              <w:rPr>
                <w:sz w:val="12"/>
                <w:szCs w:val="12"/>
                <w:color w:val="auto"/>
              </w:rPr>
            </w:pPr>
          </w:p>
        </w:tc>
        <w:tc>
          <w:tcPr>
            <w:tcW w:w="1060" w:type="dxa"/>
            <w:vAlign w:val="bottom"/>
            <w:tcBorders>
              <w:top w:val="single" w:sz="8" w:color="0000FF"/>
              <w:bottom w:val="single" w:sz="8" w:color="0000FF"/>
            </w:tcBorders>
          </w:tcPr>
          <w:p>
            <w:pPr>
              <w:spacing w:after="0" w:line="142" w:lineRule="exact"/>
              <w:rPr>
                <w:sz w:val="20"/>
                <w:szCs w:val="20"/>
                <w:color w:val="auto"/>
              </w:rPr>
            </w:pPr>
            <w:r>
              <w:rPr>
                <w:rFonts w:ascii="Times New Roman" w:cs="Times New Roman" w:eastAsia="Times New Roman" w:hAnsi="Times New Roman"/>
                <w:sz w:val="16"/>
                <w:szCs w:val="16"/>
                <w:color w:val="0000FF"/>
                <w:w w:val="99"/>
              </w:rPr>
              <w:t>(filed herewith).</w:t>
            </w:r>
          </w:p>
        </w:tc>
        <w:tc>
          <w:tcPr>
            <w:tcW w:w="8500" w:type="dxa"/>
            <w:vAlign w:val="bottom"/>
            <w:tcBorders>
              <w:top w:val="single" w:sz="8" w:color="0000FF"/>
            </w:tcBorders>
            <w:gridSpan w:val="4"/>
          </w:tcPr>
          <w:p>
            <w:pPr>
              <w:spacing w:after="0"/>
              <w:rPr>
                <w:sz w:val="12"/>
                <w:szCs w:val="12"/>
                <w:color w:val="auto"/>
              </w:rPr>
            </w:pPr>
          </w:p>
        </w:tc>
        <w:tc>
          <w:tcPr>
            <w:tcW w:w="60" w:type="dxa"/>
            <w:vAlign w:val="bottom"/>
            <w:gridSpan w:val="3"/>
          </w:tcPr>
          <w:p>
            <w:pPr>
              <w:spacing w:after="0"/>
              <w:rPr>
                <w:sz w:val="12"/>
                <w:szCs w:val="12"/>
                <w:color w:val="auto"/>
              </w:rPr>
            </w:pPr>
          </w:p>
        </w:tc>
      </w:tr>
    </w:tbl>
    <w:p>
      <w:pPr>
        <w:spacing w:after="0" w:line="40" w:lineRule="exact"/>
        <w:rPr>
          <w:sz w:val="20"/>
          <w:szCs w:val="20"/>
          <w:color w:val="auto"/>
        </w:rPr>
      </w:pPr>
    </w:p>
    <w:p>
      <w:pPr>
        <w:ind w:left="1540" w:right="400" w:hanging="904"/>
        <w:spacing w:after="0" w:line="280" w:lineRule="auto"/>
        <w:tabs>
          <w:tab w:leader="none" w:pos="1540" w:val="left"/>
        </w:tabs>
        <w:numPr>
          <w:ilvl w:val="0"/>
          <w:numId w:val="13"/>
        </w:numPr>
        <w:rPr>
          <w:rFonts w:ascii="Times New Roman" w:cs="Times New Roman" w:eastAsia="Times New Roman" w:hAnsi="Times New Roman"/>
          <w:sz w:val="16"/>
          <w:szCs w:val="16"/>
          <w:u w:val="single" w:color="auto"/>
          <w:color w:val="0000FF"/>
        </w:rPr>
      </w:pPr>
      <w:hyperlink r:id="rId116">
        <w:r>
          <w:rPr>
            <w:rFonts w:ascii="Times New Roman" w:cs="Times New Roman" w:eastAsia="Times New Roman" w:hAnsi="Times New Roman"/>
            <w:sz w:val="16"/>
            <w:szCs w:val="16"/>
            <w:u w:val="single" w:color="auto"/>
            <w:color w:val="0000FF"/>
          </w:rPr>
          <w:t>Required Executive Compensation Recovery Policy, dated as of September 7, 2023 (incorporated by reference to Exhibit 97 of the Company’s</w:t>
        </w:r>
      </w:hyperlink>
      <w:r>
        <w:rPr>
          <w:rFonts w:ascii="Times New Roman" w:cs="Times New Roman" w:eastAsia="Times New Roman" w:hAnsi="Times New Roman"/>
          <w:sz w:val="16"/>
          <w:szCs w:val="16"/>
          <w:u w:val="single" w:color="auto"/>
          <w:color w:val="0000FF"/>
        </w:rPr>
        <w:t xml:space="preserve"> </w:t>
      </w:r>
      <w:hyperlink r:id="rId116">
        <w:r>
          <w:rPr>
            <w:rFonts w:ascii="Times New Roman" w:cs="Times New Roman" w:eastAsia="Times New Roman" w:hAnsi="Times New Roman"/>
            <w:sz w:val="16"/>
            <w:szCs w:val="16"/>
            <w:u w:val="single" w:color="auto"/>
            <w:color w:val="0000FF"/>
          </w:rPr>
          <w:t>Annual Report on Form 10-K filed on February 22, 2024).</w:t>
        </w:r>
      </w:hyperlink>
    </w:p>
    <w:p>
      <w:pPr>
        <w:spacing w:after="0" w:line="3" w:lineRule="exact"/>
        <w:rPr>
          <w:rFonts w:ascii="Times New Roman" w:cs="Times New Roman" w:eastAsia="Times New Roman" w:hAnsi="Times New Roman"/>
          <w:sz w:val="16"/>
          <w:szCs w:val="16"/>
          <w:color w:val="auto"/>
        </w:rPr>
      </w:pPr>
    </w:p>
    <w:p>
      <w:pPr>
        <w:ind w:left="1540" w:right="120" w:hanging="945"/>
        <w:spacing w:after="0" w:line="223" w:lineRule="auto"/>
        <w:tabs>
          <w:tab w:leader="none" w:pos="154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following financial information from the Company’s Form 10-K for the fiscal year ended December 31, 2024, formatted in XBRL (Extensible Business Reporting Language): (i) Consolidated Statements of Comprehensive Income (Loss) for the fiscal years ended December 31, 2024, 2023 and 2022, (ii) Consolidated Balance Sheets as of December 31, 2024 and 2023, (iii) Consolidated Statements of Stockholders’ Equity for the fiscal years ended December 31, 2024, 2023 and 2022, (iv) Consolidated Statements of Cash Flows for the fiscal years ended December 31, 2024, 2023 and 2022, and (v) Notes to Consolidated Financial Statements.</w:t>
      </w:r>
    </w:p>
    <w:p>
      <w:pPr>
        <w:spacing w:after="0" w:line="9" w:lineRule="exact"/>
        <w:rPr>
          <w:rFonts w:ascii="Times New Roman" w:cs="Times New Roman" w:eastAsia="Times New Roman" w:hAnsi="Times New Roman"/>
          <w:sz w:val="16"/>
          <w:szCs w:val="16"/>
          <w:color w:val="auto"/>
        </w:rPr>
      </w:pPr>
    </w:p>
    <w:tbl>
      <w:tblPr>
        <w:tblLayout w:type="fixed"/>
        <w:tblInd w:w="420" w:type="dxa"/>
        <w:tblCellMar>
          <w:top w:w="0" w:type="dxa"/>
          <w:left w:w="0" w:type="dxa"/>
          <w:bottom w:w="0" w:type="dxa"/>
          <w:right w:w="0" w:type="dxa"/>
        </w:tblCellMar>
      </w:tblPr>
      <w:tr>
        <w:trPr>
          <w:trHeight w:val="210"/>
        </w:trPr>
        <w:tc>
          <w:tcPr>
            <w:tcW w:w="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101.INS</w:t>
            </w:r>
          </w:p>
        </w:tc>
        <w:tc>
          <w:tcPr>
            <w:tcW w:w="43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XBRL Instance Document</w:t>
            </w:r>
          </w:p>
        </w:tc>
      </w:tr>
      <w:tr>
        <w:trPr>
          <w:trHeight w:val="216"/>
        </w:trPr>
        <w:tc>
          <w:tcPr>
            <w:tcW w:w="860" w:type="dxa"/>
            <w:vAlign w:val="bottom"/>
          </w:tcPr>
          <w:p>
            <w:pPr>
              <w:spacing w:after="0"/>
              <w:rPr>
                <w:sz w:val="20"/>
                <w:szCs w:val="20"/>
                <w:color w:val="auto"/>
              </w:rPr>
            </w:pPr>
            <w:r>
              <w:rPr>
                <w:rFonts w:ascii="Times New Roman" w:cs="Times New Roman" w:eastAsia="Times New Roman" w:hAnsi="Times New Roman"/>
                <w:sz w:val="16"/>
                <w:szCs w:val="16"/>
                <w:color w:val="auto"/>
              </w:rPr>
              <w:t>101.SCH</w:t>
            </w:r>
          </w:p>
        </w:tc>
        <w:tc>
          <w:tcPr>
            <w:tcW w:w="43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XBRL Taxonomy Extension Schema Document</w:t>
            </w:r>
          </w:p>
        </w:tc>
      </w:tr>
      <w:tr>
        <w:trPr>
          <w:trHeight w:val="216"/>
        </w:trPr>
        <w:tc>
          <w:tcPr>
            <w:tcW w:w="860" w:type="dxa"/>
            <w:vAlign w:val="bottom"/>
          </w:tcPr>
          <w:p>
            <w:pPr>
              <w:spacing w:after="0"/>
              <w:rPr>
                <w:sz w:val="20"/>
                <w:szCs w:val="20"/>
                <w:color w:val="auto"/>
              </w:rPr>
            </w:pPr>
            <w:r>
              <w:rPr>
                <w:rFonts w:ascii="Times New Roman" w:cs="Times New Roman" w:eastAsia="Times New Roman" w:hAnsi="Times New Roman"/>
                <w:sz w:val="16"/>
                <w:szCs w:val="16"/>
                <w:color w:val="auto"/>
              </w:rPr>
              <w:t>101.CAL</w:t>
            </w:r>
          </w:p>
        </w:tc>
        <w:tc>
          <w:tcPr>
            <w:tcW w:w="43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XBRL Taxonomy Extension Calculation Linkbase Document</w:t>
            </w:r>
          </w:p>
        </w:tc>
      </w:tr>
      <w:tr>
        <w:trPr>
          <w:trHeight w:val="216"/>
        </w:trPr>
        <w:tc>
          <w:tcPr>
            <w:tcW w:w="860" w:type="dxa"/>
            <w:vAlign w:val="bottom"/>
          </w:tcPr>
          <w:p>
            <w:pPr>
              <w:spacing w:after="0"/>
              <w:rPr>
                <w:sz w:val="20"/>
                <w:szCs w:val="20"/>
                <w:color w:val="auto"/>
              </w:rPr>
            </w:pPr>
            <w:r>
              <w:rPr>
                <w:rFonts w:ascii="Times New Roman" w:cs="Times New Roman" w:eastAsia="Times New Roman" w:hAnsi="Times New Roman"/>
                <w:sz w:val="16"/>
                <w:szCs w:val="16"/>
                <w:color w:val="auto"/>
              </w:rPr>
              <w:t>101.DEF</w:t>
            </w:r>
          </w:p>
        </w:tc>
        <w:tc>
          <w:tcPr>
            <w:tcW w:w="43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XBRL Taxonomy Extension Definition Linkbase Document</w:t>
            </w:r>
          </w:p>
        </w:tc>
      </w:tr>
      <w:tr>
        <w:trPr>
          <w:trHeight w:val="216"/>
        </w:trPr>
        <w:tc>
          <w:tcPr>
            <w:tcW w:w="860" w:type="dxa"/>
            <w:vAlign w:val="bottom"/>
          </w:tcPr>
          <w:p>
            <w:pPr>
              <w:spacing w:after="0"/>
              <w:rPr>
                <w:sz w:val="20"/>
                <w:szCs w:val="20"/>
                <w:color w:val="auto"/>
              </w:rPr>
            </w:pPr>
            <w:r>
              <w:rPr>
                <w:rFonts w:ascii="Times New Roman" w:cs="Times New Roman" w:eastAsia="Times New Roman" w:hAnsi="Times New Roman"/>
                <w:sz w:val="16"/>
                <w:szCs w:val="16"/>
                <w:color w:val="auto"/>
              </w:rPr>
              <w:t>101.LAB</w:t>
            </w:r>
          </w:p>
        </w:tc>
        <w:tc>
          <w:tcPr>
            <w:tcW w:w="43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XBRL Taxonomy Extension Labels Linkbase Document</w:t>
            </w:r>
          </w:p>
        </w:tc>
      </w:tr>
      <w:tr>
        <w:trPr>
          <w:trHeight w:val="216"/>
        </w:trPr>
        <w:tc>
          <w:tcPr>
            <w:tcW w:w="860" w:type="dxa"/>
            <w:vAlign w:val="bottom"/>
          </w:tcPr>
          <w:p>
            <w:pPr>
              <w:spacing w:after="0"/>
              <w:rPr>
                <w:sz w:val="20"/>
                <w:szCs w:val="20"/>
                <w:color w:val="auto"/>
              </w:rPr>
            </w:pPr>
            <w:r>
              <w:rPr>
                <w:rFonts w:ascii="Times New Roman" w:cs="Times New Roman" w:eastAsia="Times New Roman" w:hAnsi="Times New Roman"/>
                <w:sz w:val="16"/>
                <w:szCs w:val="16"/>
                <w:color w:val="auto"/>
              </w:rPr>
              <w:t>101.PRE</w:t>
            </w:r>
          </w:p>
        </w:tc>
        <w:tc>
          <w:tcPr>
            <w:tcW w:w="43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XBRL Taxonomy Extension Presentation Linkbase Document</w:t>
            </w:r>
          </w:p>
        </w:tc>
      </w:tr>
      <w:tr>
        <w:trPr>
          <w:trHeight w:val="216"/>
        </w:trPr>
        <w:tc>
          <w:tcPr>
            <w:tcW w:w="8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104</w:t>
            </w:r>
          </w:p>
        </w:tc>
        <w:tc>
          <w:tcPr>
            <w:tcW w:w="43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XBRL Formatted Cover Page</w:t>
            </w:r>
          </w:p>
        </w:tc>
      </w:tr>
    </w:tbl>
    <w:p>
      <w:pPr>
        <w:spacing w:after="0" w:line="127" w:lineRule="exact"/>
        <w:rPr>
          <w:rFonts w:ascii="Times New Roman" w:cs="Times New Roman" w:eastAsia="Times New Roman" w:hAnsi="Times New Roman"/>
          <w:sz w:val="16"/>
          <w:szCs w:val="16"/>
          <w:color w:val="auto"/>
        </w:rPr>
      </w:pPr>
    </w:p>
    <w:p>
      <w:pPr>
        <w:ind w:left="1460" w:hanging="770"/>
        <w:spacing w:after="0"/>
        <w:tabs>
          <w:tab w:leader="none" w:pos="146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Designates the Company’s management contracts or compensatory plan or arrangement.</w:t>
      </w:r>
    </w:p>
    <w:p>
      <w:pPr>
        <w:spacing w:after="0" w:line="32" w:lineRule="exact"/>
        <w:rPr>
          <w:rFonts w:ascii="Times New Roman" w:cs="Times New Roman" w:eastAsia="Times New Roman" w:hAnsi="Times New Roman"/>
          <w:sz w:val="16"/>
          <w:szCs w:val="16"/>
          <w:color w:val="auto"/>
        </w:rPr>
      </w:pPr>
    </w:p>
    <w:p>
      <w:pPr>
        <w:ind w:left="1460" w:right="20" w:hanging="776"/>
        <w:spacing w:after="0" w:line="245" w:lineRule="auto"/>
        <w:tabs>
          <w:tab w:leader="none" w:pos="146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Certain schedules attached to the Agreement and Plan of Merger have been omitted pursuant to Item 601(b)(2) of Regulation S-K. The Company will furnish copies of the omitted schedules to the Securities and Exchange Commission upon request by the Commission.</w:t>
      </w:r>
    </w:p>
    <w:p>
      <w:pPr>
        <w:spacing w:after="0" w:line="250" w:lineRule="exact"/>
        <w:rPr>
          <w:rFonts w:ascii="Times New Roman" w:cs="Times New Roman" w:eastAsia="Times New Roman" w:hAnsi="Times New Roman"/>
          <w:sz w:val="16"/>
          <w:szCs w:val="16"/>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16.</w:t>
      </w:r>
      <w:r>
        <w:rPr>
          <w:sz w:val="20"/>
          <w:szCs w:val="20"/>
          <w:color w:val="auto"/>
        </w:rPr>
        <w:tab/>
      </w:r>
      <w:r>
        <w:rPr>
          <w:rFonts w:ascii="Times New Roman" w:cs="Times New Roman" w:eastAsia="Times New Roman" w:hAnsi="Times New Roman"/>
          <w:sz w:val="17"/>
          <w:szCs w:val="17"/>
          <w:b w:val="1"/>
          <w:bCs w:val="1"/>
          <w:i w:val="1"/>
          <w:iCs w:val="1"/>
          <w:color w:val="auto"/>
        </w:rPr>
        <w:t>Form 10-K Summary</w:t>
      </w:r>
    </w:p>
    <w:p>
      <w:pPr>
        <w:spacing w:after="0" w:line="189" w:lineRule="exact"/>
        <w:rPr>
          <w:rFonts w:ascii="Times New Roman" w:cs="Times New Roman" w:eastAsia="Times New Roman" w:hAnsi="Times New Roman"/>
          <w:sz w:val="16"/>
          <w:szCs w:val="16"/>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rFonts w:ascii="Times New Roman" w:cs="Times New Roman" w:eastAsia="Times New Roman" w:hAnsi="Times New Roman"/>
          <w:sz w:val="16"/>
          <w:szCs w:val="16"/>
          <w:color w:val="auto"/>
        </w:rPr>
      </w:pPr>
    </w:p>
    <w:p>
      <w:pPr>
        <w:spacing w:after="0" w:line="200" w:lineRule="exact"/>
        <w:rPr>
          <w:rFonts w:ascii="Times New Roman" w:cs="Times New Roman" w:eastAsia="Times New Roman" w:hAnsi="Times New Roman"/>
          <w:sz w:val="16"/>
          <w:szCs w:val="16"/>
          <w:color w:val="auto"/>
        </w:rPr>
      </w:pPr>
    </w:p>
    <w:p>
      <w:pPr>
        <w:spacing w:after="0" w:line="338" w:lineRule="exact"/>
        <w:rPr>
          <w:rFonts w:ascii="Times New Roman" w:cs="Times New Roman" w:eastAsia="Times New Roman" w:hAnsi="Times New Roman"/>
          <w:sz w:val="16"/>
          <w:szCs w:val="16"/>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type w:val="continuous"/>
        </w:sectPr>
      </w:pPr>
    </w:p>
    <w:bookmarkStart w:id="79" w:name="page80"/>
    <w:bookmarkEnd w:id="7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89" w:lineRule="exact"/>
        <w:rPr>
          <w:sz w:val="20"/>
          <w:szCs w:val="20"/>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 on February 26, 2025.</w:t>
      </w:r>
    </w:p>
    <w:p>
      <w:pPr>
        <w:spacing w:after="0" w:line="17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OPTION CARE HEALTH, INC.</w:t>
      </w:r>
    </w:p>
    <w:p>
      <w:pPr>
        <w:spacing w:after="0" w:line="25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/s/ Michael Shapiro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6153785</wp:posOffset>
            </wp:positionH>
            <wp:positionV relativeFrom="paragraph">
              <wp:posOffset>-5080</wp:posOffset>
            </wp:positionV>
            <wp:extent cx="97218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8">
                      <a:extLst>
                        <a:ext uri="{28A0092B-C50C-407E-A947-70E740481C1C}"/>
                      </a:extLst>
                    </a:blip>
                    <a:srcRect/>
                    <a:stretch>
                      <a:fillRect/>
                    </a:stretch>
                  </pic:blipFill>
                  <pic:spPr bwMode="auto">
                    <a:xfrm>
                      <a:off x="0" y="0"/>
                      <a:ext cx="972185" cy="8255"/>
                    </a:xfrm>
                    <a:prstGeom prst="rect">
                      <a:avLst/>
                    </a:prstGeom>
                    <a:noFill/>
                  </pic:spPr>
                </pic:pic>
              </a:graphicData>
            </a:graphic>
          </wp:anchor>
        </w:drawing>
      </w:r>
    </w:p>
    <w:p>
      <w:pPr>
        <w:spacing w:after="0" w:line="1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Michael Shapiro</w:t>
      </w:r>
    </w:p>
    <w:p>
      <w:pPr>
        <w:spacing w:after="0" w:line="16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Chief Financial Officer and Executive Vice President</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(Principal Financial Officer and Duly Authorized Officer)</w:t>
      </w:r>
    </w:p>
    <w:p>
      <w:pPr>
        <w:spacing w:after="0" w:line="293" w:lineRule="exact"/>
        <w:rPr>
          <w:sz w:val="20"/>
          <w:szCs w:val="20"/>
          <w:color w:val="auto"/>
        </w:rPr>
      </w:pPr>
    </w:p>
    <w:p>
      <w:pPr>
        <w:ind w:right="440"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on the dates indicated.</w:t>
      </w:r>
    </w:p>
    <w:p>
      <w:pPr>
        <w:spacing w:after="0" w:line="148"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3540" w:type="dxa"/>
            <w:vAlign w:val="bottom"/>
            <w:gridSpan w:val="16"/>
          </w:tcPr>
          <w:p>
            <w:pPr>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2840" w:type="dxa"/>
            <w:vAlign w:val="bottom"/>
          </w:tcPr>
          <w:p>
            <w:pPr>
              <w:spacing w:after="0"/>
              <w:rPr>
                <w:sz w:val="17"/>
                <w:szCs w:val="17"/>
                <w:color w:val="auto"/>
              </w:rPr>
            </w:pPr>
          </w:p>
        </w:tc>
        <w:tc>
          <w:tcPr>
            <w:tcW w:w="2740" w:type="dxa"/>
            <w:vAlign w:val="bottom"/>
            <w:gridSpan w:val="2"/>
          </w:tcPr>
          <w:p>
            <w:pPr>
              <w:jc w:val="center"/>
              <w:ind w:right="2200"/>
              <w:spacing w:after="0"/>
              <w:rPr>
                <w:sz w:val="20"/>
                <w:szCs w:val="20"/>
                <w:color w:val="auto"/>
              </w:rPr>
            </w:pPr>
            <w:r>
              <w:rPr>
                <w:rFonts w:ascii="Times New Roman" w:cs="Times New Roman" w:eastAsia="Times New Roman" w:hAnsi="Times New Roman"/>
                <w:sz w:val="18"/>
                <w:szCs w:val="18"/>
                <w:b w:val="1"/>
                <w:bCs w:val="1"/>
                <w:color w:val="auto"/>
                <w:w w:val="98"/>
              </w:rPr>
              <w:t>Title(s)</w:t>
            </w:r>
          </w:p>
        </w:tc>
        <w:tc>
          <w:tcPr>
            <w:tcW w:w="1040" w:type="dxa"/>
            <w:vAlign w:val="bottom"/>
          </w:tcPr>
          <w:p>
            <w:pPr>
              <w:spacing w:after="0"/>
              <w:rPr>
                <w:sz w:val="17"/>
                <w:szCs w:val="17"/>
                <w:color w:val="auto"/>
              </w:rPr>
            </w:pPr>
          </w:p>
        </w:tc>
        <w:tc>
          <w:tcPr>
            <w:tcW w:w="86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20"/>
        </w:trPr>
        <w:tc>
          <w:tcPr>
            <w:tcW w:w="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210"/>
        </w:trPr>
        <w:tc>
          <w:tcPr>
            <w:tcW w:w="354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/s/ John C. Rademacher</w:t>
            </w:r>
          </w:p>
        </w:tc>
        <w:tc>
          <w:tcPr>
            <w:tcW w:w="5580" w:type="dxa"/>
            <w:vAlign w:val="bottom"/>
            <w:gridSpan w:val="3"/>
          </w:tcPr>
          <w:p>
            <w:pPr>
              <w:jc w:val="center"/>
              <w:ind w:left="550"/>
              <w:spacing w:after="0"/>
              <w:rPr>
                <w:sz w:val="20"/>
                <w:szCs w:val="20"/>
                <w:color w:val="auto"/>
              </w:rPr>
            </w:pPr>
            <w:r>
              <w:rPr>
                <w:rFonts w:ascii="Times New Roman" w:cs="Times New Roman" w:eastAsia="Times New Roman" w:hAnsi="Times New Roman"/>
                <w:sz w:val="18"/>
                <w:szCs w:val="18"/>
                <w:color w:val="auto"/>
                <w:w w:val="99"/>
              </w:rPr>
              <w:t>Chief Executive Officer, President and Director</w:t>
            </w:r>
          </w:p>
        </w:tc>
        <w:tc>
          <w:tcPr>
            <w:tcW w:w="1900" w:type="dxa"/>
            <w:vAlign w:val="bottom"/>
            <w:gridSpan w:val="3"/>
          </w:tcPr>
          <w:p>
            <w:pPr>
              <w:jc w:val="center"/>
              <w:ind w:left="470"/>
              <w:spacing w:after="0"/>
              <w:rPr>
                <w:sz w:val="20"/>
                <w:szCs w:val="20"/>
                <w:color w:val="auto"/>
              </w:rPr>
            </w:pPr>
            <w:r>
              <w:rPr>
                <w:rFonts w:ascii="Times New Roman" w:cs="Times New Roman" w:eastAsia="Times New Roman" w:hAnsi="Times New Roman"/>
                <w:sz w:val="18"/>
                <w:szCs w:val="18"/>
                <w:color w:val="auto"/>
              </w:rPr>
              <w:t>February 26, 2025</w:t>
            </w:r>
          </w:p>
        </w:tc>
      </w:tr>
      <w:tr>
        <w:trPr>
          <w:trHeight w:val="228"/>
        </w:trPr>
        <w:tc>
          <w:tcPr>
            <w:tcW w:w="40" w:type="dxa"/>
            <w:vAlign w:val="bottom"/>
          </w:tcPr>
          <w:p>
            <w:pPr>
              <w:spacing w:after="0"/>
              <w:rPr>
                <w:sz w:val="19"/>
                <w:szCs w:val="19"/>
                <w:color w:val="auto"/>
              </w:rPr>
            </w:pPr>
          </w:p>
        </w:tc>
        <w:tc>
          <w:tcPr>
            <w:tcW w:w="1660" w:type="dxa"/>
            <w:vAlign w:val="bottom"/>
            <w:tcBorders>
              <w:top w:val="single" w:sz="8" w:color="auto"/>
            </w:tcBorders>
            <w:gridSpan w:val="12"/>
          </w:tcPr>
          <w:p>
            <w:pPr>
              <w:spacing w:after="0"/>
              <w:rPr>
                <w:sz w:val="20"/>
                <w:szCs w:val="20"/>
                <w:color w:val="auto"/>
              </w:rPr>
            </w:pPr>
            <w:r>
              <w:rPr>
                <w:rFonts w:ascii="Times New Roman" w:cs="Times New Roman" w:eastAsia="Times New Roman" w:hAnsi="Times New Roman"/>
                <w:sz w:val="18"/>
                <w:szCs w:val="18"/>
                <w:color w:val="auto"/>
              </w:rPr>
              <w:t>John C. Rademacher</w:t>
            </w: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5580" w:type="dxa"/>
            <w:vAlign w:val="bottom"/>
            <w:gridSpan w:val="3"/>
          </w:tcPr>
          <w:p>
            <w:pPr>
              <w:jc w:val="center"/>
              <w:ind w:left="55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10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333"/>
        </w:trPr>
        <w:tc>
          <w:tcPr>
            <w:tcW w:w="354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/s/ Michael Shapiro</w:t>
            </w:r>
          </w:p>
        </w:tc>
        <w:tc>
          <w:tcPr>
            <w:tcW w:w="5580" w:type="dxa"/>
            <w:vAlign w:val="bottom"/>
            <w:gridSpan w:val="3"/>
          </w:tcPr>
          <w:p>
            <w:pPr>
              <w:jc w:val="center"/>
              <w:ind w:left="550"/>
              <w:spacing w:after="0"/>
              <w:rPr>
                <w:sz w:val="20"/>
                <w:szCs w:val="20"/>
                <w:color w:val="auto"/>
              </w:rPr>
            </w:pPr>
            <w:r>
              <w:rPr>
                <w:rFonts w:ascii="Times New Roman" w:cs="Times New Roman" w:eastAsia="Times New Roman" w:hAnsi="Times New Roman"/>
                <w:sz w:val="18"/>
                <w:szCs w:val="18"/>
                <w:color w:val="auto"/>
                <w:w w:val="99"/>
              </w:rPr>
              <w:t>Chief Financial Officer and Executive Vice President</w:t>
            </w:r>
          </w:p>
        </w:tc>
        <w:tc>
          <w:tcPr>
            <w:tcW w:w="1900" w:type="dxa"/>
            <w:vAlign w:val="bottom"/>
            <w:gridSpan w:val="3"/>
          </w:tcPr>
          <w:p>
            <w:pPr>
              <w:jc w:val="center"/>
              <w:ind w:left="470"/>
              <w:spacing w:after="0"/>
              <w:rPr>
                <w:sz w:val="20"/>
                <w:szCs w:val="20"/>
                <w:color w:val="auto"/>
              </w:rPr>
            </w:pPr>
            <w:r>
              <w:rPr>
                <w:rFonts w:ascii="Times New Roman" w:cs="Times New Roman" w:eastAsia="Times New Roman" w:hAnsi="Times New Roman"/>
                <w:sz w:val="18"/>
                <w:szCs w:val="18"/>
                <w:color w:val="auto"/>
              </w:rPr>
              <w:t>February 26, 2025</w:t>
            </w:r>
          </w:p>
        </w:tc>
      </w:tr>
      <w:tr>
        <w:trPr>
          <w:trHeight w:val="228"/>
        </w:trPr>
        <w:tc>
          <w:tcPr>
            <w:tcW w:w="40" w:type="dxa"/>
            <w:vAlign w:val="bottom"/>
          </w:tcPr>
          <w:p>
            <w:pPr>
              <w:spacing w:after="0"/>
              <w:rPr>
                <w:sz w:val="19"/>
                <w:szCs w:val="19"/>
                <w:color w:val="auto"/>
              </w:rPr>
            </w:pPr>
          </w:p>
        </w:tc>
        <w:tc>
          <w:tcPr>
            <w:tcW w:w="1360" w:type="dxa"/>
            <w:vAlign w:val="bottom"/>
            <w:tcBorders>
              <w:top w:val="single" w:sz="8" w:color="auto"/>
            </w:tcBorders>
            <w:gridSpan w:val="5"/>
          </w:tcPr>
          <w:p>
            <w:pPr>
              <w:spacing w:after="0"/>
              <w:rPr>
                <w:sz w:val="20"/>
                <w:szCs w:val="20"/>
                <w:color w:val="auto"/>
              </w:rPr>
            </w:pPr>
            <w:r>
              <w:rPr>
                <w:rFonts w:ascii="Times New Roman" w:cs="Times New Roman" w:eastAsia="Times New Roman" w:hAnsi="Times New Roman"/>
                <w:sz w:val="18"/>
                <w:szCs w:val="18"/>
                <w:color w:val="auto"/>
              </w:rPr>
              <w:t>Michael Shapiro</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gridSpan w:val="2"/>
          </w:tcPr>
          <w:p>
            <w:pPr>
              <w:spacing w:after="0"/>
              <w:rPr>
                <w:sz w:val="19"/>
                <w:szCs w:val="19"/>
                <w:color w:val="auto"/>
              </w:rPr>
            </w:pPr>
          </w:p>
        </w:tc>
        <w:tc>
          <w:tcPr>
            <w:tcW w:w="4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5580" w:type="dxa"/>
            <w:vAlign w:val="bottom"/>
            <w:gridSpan w:val="3"/>
          </w:tcPr>
          <w:p>
            <w:pPr>
              <w:jc w:val="center"/>
              <w:ind w:left="550"/>
              <w:spacing w:after="0"/>
              <w:rPr>
                <w:sz w:val="20"/>
                <w:szCs w:val="20"/>
                <w:color w:val="auto"/>
              </w:rPr>
            </w:pPr>
            <w:r>
              <w:rPr>
                <w:rFonts w:ascii="Times New Roman" w:cs="Times New Roman" w:eastAsia="Times New Roman" w:hAnsi="Times New Roman"/>
                <w:sz w:val="18"/>
                <w:szCs w:val="18"/>
                <w:color w:val="auto"/>
              </w:rPr>
              <w:t>(Principal Financial Officer)</w:t>
            </w:r>
          </w:p>
        </w:tc>
        <w:tc>
          <w:tcPr>
            <w:tcW w:w="10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400"/>
        </w:trPr>
        <w:tc>
          <w:tcPr>
            <w:tcW w:w="354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/s/ Nicole Maggio</w:t>
            </w:r>
          </w:p>
        </w:tc>
        <w:tc>
          <w:tcPr>
            <w:tcW w:w="5580" w:type="dxa"/>
            <w:vAlign w:val="bottom"/>
            <w:gridSpan w:val="3"/>
          </w:tcPr>
          <w:p>
            <w:pPr>
              <w:jc w:val="center"/>
              <w:ind w:left="550"/>
              <w:spacing w:after="0"/>
              <w:rPr>
                <w:sz w:val="20"/>
                <w:szCs w:val="20"/>
                <w:color w:val="auto"/>
              </w:rPr>
            </w:pPr>
            <w:r>
              <w:rPr>
                <w:rFonts w:ascii="Times New Roman" w:cs="Times New Roman" w:eastAsia="Times New Roman" w:hAnsi="Times New Roman"/>
                <w:sz w:val="18"/>
                <w:szCs w:val="18"/>
                <w:color w:val="auto"/>
                <w:w w:val="99"/>
              </w:rPr>
              <w:t>Senior Vice President, Corporate Controller</w:t>
            </w:r>
          </w:p>
        </w:tc>
        <w:tc>
          <w:tcPr>
            <w:tcW w:w="1900" w:type="dxa"/>
            <w:vAlign w:val="bottom"/>
            <w:gridSpan w:val="3"/>
          </w:tcPr>
          <w:p>
            <w:pPr>
              <w:jc w:val="center"/>
              <w:ind w:left="470"/>
              <w:spacing w:after="0"/>
              <w:rPr>
                <w:sz w:val="20"/>
                <w:szCs w:val="20"/>
                <w:color w:val="auto"/>
              </w:rPr>
            </w:pPr>
            <w:r>
              <w:rPr>
                <w:rFonts w:ascii="Times New Roman" w:cs="Times New Roman" w:eastAsia="Times New Roman" w:hAnsi="Times New Roman"/>
                <w:sz w:val="18"/>
                <w:szCs w:val="18"/>
                <w:color w:val="auto"/>
              </w:rPr>
              <w:t>February 26, 2025</w:t>
            </w:r>
          </w:p>
        </w:tc>
      </w:tr>
      <w:tr>
        <w:trPr>
          <w:trHeight w:val="228"/>
        </w:trPr>
        <w:tc>
          <w:tcPr>
            <w:tcW w:w="40" w:type="dxa"/>
            <w:vAlign w:val="bottom"/>
          </w:tcPr>
          <w:p>
            <w:pPr>
              <w:spacing w:after="0"/>
              <w:rPr>
                <w:sz w:val="19"/>
                <w:szCs w:val="19"/>
                <w:color w:val="auto"/>
              </w:rPr>
            </w:pPr>
          </w:p>
        </w:tc>
        <w:tc>
          <w:tcPr>
            <w:tcW w:w="1260" w:type="dxa"/>
            <w:vAlign w:val="bottom"/>
            <w:tcBorders>
              <w:top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Nicole Maggio</w:t>
            </w:r>
          </w:p>
        </w:tc>
        <w:tc>
          <w:tcPr>
            <w:tcW w:w="24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gridSpan w:val="2"/>
          </w:tcPr>
          <w:p>
            <w:pPr>
              <w:spacing w:after="0"/>
              <w:rPr>
                <w:sz w:val="19"/>
                <w:szCs w:val="19"/>
                <w:color w:val="auto"/>
              </w:rPr>
            </w:pPr>
          </w:p>
        </w:tc>
        <w:tc>
          <w:tcPr>
            <w:tcW w:w="4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5580" w:type="dxa"/>
            <w:vAlign w:val="bottom"/>
            <w:gridSpan w:val="3"/>
          </w:tcPr>
          <w:p>
            <w:pPr>
              <w:jc w:val="center"/>
              <w:ind w:left="550"/>
              <w:spacing w:after="0"/>
              <w:rPr>
                <w:sz w:val="20"/>
                <w:szCs w:val="20"/>
                <w:color w:val="auto"/>
              </w:rPr>
            </w:pPr>
            <w:r>
              <w:rPr>
                <w:rFonts w:ascii="Times New Roman" w:cs="Times New Roman" w:eastAsia="Times New Roman" w:hAnsi="Times New Roman"/>
                <w:sz w:val="18"/>
                <w:szCs w:val="18"/>
                <w:color w:val="auto"/>
              </w:rPr>
              <w:t>(Principal Accounting Officer)</w:t>
            </w:r>
          </w:p>
        </w:tc>
        <w:tc>
          <w:tcPr>
            <w:tcW w:w="10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333"/>
        </w:trPr>
        <w:tc>
          <w:tcPr>
            <w:tcW w:w="354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/s/ Harry M. Jansen Kraemer, Jr.</w:t>
            </w:r>
          </w:p>
        </w:tc>
        <w:tc>
          <w:tcPr>
            <w:tcW w:w="5580" w:type="dxa"/>
            <w:vAlign w:val="bottom"/>
            <w:gridSpan w:val="3"/>
          </w:tcPr>
          <w:p>
            <w:pPr>
              <w:jc w:val="center"/>
              <w:ind w:left="550"/>
              <w:spacing w:after="0"/>
              <w:rPr>
                <w:sz w:val="20"/>
                <w:szCs w:val="20"/>
                <w:color w:val="auto"/>
              </w:rPr>
            </w:pPr>
            <w:r>
              <w:rPr>
                <w:rFonts w:ascii="Times New Roman" w:cs="Times New Roman" w:eastAsia="Times New Roman" w:hAnsi="Times New Roman"/>
                <w:sz w:val="18"/>
                <w:szCs w:val="18"/>
                <w:color w:val="auto"/>
                <w:w w:val="99"/>
              </w:rPr>
              <w:t>Non-Executive Chairman of the Board</w:t>
            </w:r>
          </w:p>
        </w:tc>
        <w:tc>
          <w:tcPr>
            <w:tcW w:w="1900" w:type="dxa"/>
            <w:vAlign w:val="bottom"/>
            <w:gridSpan w:val="3"/>
          </w:tcPr>
          <w:p>
            <w:pPr>
              <w:jc w:val="center"/>
              <w:ind w:left="470"/>
              <w:spacing w:after="0"/>
              <w:rPr>
                <w:sz w:val="20"/>
                <w:szCs w:val="20"/>
                <w:color w:val="auto"/>
              </w:rPr>
            </w:pPr>
            <w:r>
              <w:rPr>
                <w:rFonts w:ascii="Times New Roman" w:cs="Times New Roman" w:eastAsia="Times New Roman" w:hAnsi="Times New Roman"/>
                <w:sz w:val="18"/>
                <w:szCs w:val="18"/>
                <w:color w:val="auto"/>
              </w:rPr>
              <w:t>February 26, 2025</w:t>
            </w:r>
          </w:p>
        </w:tc>
      </w:tr>
      <w:tr>
        <w:trPr>
          <w:trHeight w:val="228"/>
        </w:trPr>
        <w:tc>
          <w:tcPr>
            <w:tcW w:w="2340" w:type="dxa"/>
            <w:vAlign w:val="bottom"/>
            <w:tcBorders>
              <w:top w:val="single" w:sz="8" w:color="auto"/>
            </w:tcBorders>
            <w:gridSpan w:val="15"/>
          </w:tcPr>
          <w:p>
            <w:pPr>
              <w:spacing w:after="0"/>
              <w:rPr>
                <w:sz w:val="20"/>
                <w:szCs w:val="20"/>
                <w:color w:val="auto"/>
              </w:rPr>
            </w:pPr>
            <w:r>
              <w:rPr>
                <w:rFonts w:ascii="Times New Roman" w:cs="Times New Roman" w:eastAsia="Times New Roman" w:hAnsi="Times New Roman"/>
                <w:sz w:val="18"/>
                <w:szCs w:val="18"/>
                <w:color w:val="auto"/>
              </w:rPr>
              <w:t>Harry M. Jansen Kraemer, Jr.</w:t>
            </w:r>
          </w:p>
        </w:tc>
        <w:tc>
          <w:tcPr>
            <w:tcW w:w="120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333"/>
        </w:trPr>
        <w:tc>
          <w:tcPr>
            <w:tcW w:w="354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/s/ Elizabeth Q. Betten</w:t>
            </w:r>
          </w:p>
        </w:tc>
        <w:tc>
          <w:tcPr>
            <w:tcW w:w="5580" w:type="dxa"/>
            <w:vAlign w:val="bottom"/>
            <w:gridSpan w:val="3"/>
          </w:tcPr>
          <w:p>
            <w:pPr>
              <w:jc w:val="center"/>
              <w:ind w:left="570"/>
              <w:spacing w:after="0"/>
              <w:rPr>
                <w:sz w:val="20"/>
                <w:szCs w:val="20"/>
                <w:color w:val="auto"/>
              </w:rPr>
            </w:pPr>
            <w:r>
              <w:rPr>
                <w:rFonts w:ascii="Times New Roman" w:cs="Times New Roman" w:eastAsia="Times New Roman" w:hAnsi="Times New Roman"/>
                <w:sz w:val="18"/>
                <w:szCs w:val="18"/>
                <w:color w:val="auto"/>
                <w:w w:val="99"/>
              </w:rPr>
              <w:t>Director</w:t>
            </w:r>
          </w:p>
        </w:tc>
        <w:tc>
          <w:tcPr>
            <w:tcW w:w="1900" w:type="dxa"/>
            <w:vAlign w:val="bottom"/>
            <w:gridSpan w:val="3"/>
          </w:tcPr>
          <w:p>
            <w:pPr>
              <w:jc w:val="center"/>
              <w:ind w:left="470"/>
              <w:spacing w:after="0"/>
              <w:rPr>
                <w:sz w:val="20"/>
                <w:szCs w:val="20"/>
                <w:color w:val="auto"/>
              </w:rPr>
            </w:pPr>
            <w:r>
              <w:rPr>
                <w:rFonts w:ascii="Times New Roman" w:cs="Times New Roman" w:eastAsia="Times New Roman" w:hAnsi="Times New Roman"/>
                <w:sz w:val="18"/>
                <w:szCs w:val="18"/>
                <w:color w:val="auto"/>
              </w:rPr>
              <w:t>February 26, 2025</w:t>
            </w:r>
          </w:p>
        </w:tc>
      </w:tr>
      <w:tr>
        <w:trPr>
          <w:trHeight w:val="228"/>
        </w:trPr>
        <w:tc>
          <w:tcPr>
            <w:tcW w:w="1640" w:type="dxa"/>
            <w:vAlign w:val="bottom"/>
            <w:tcBorders>
              <w:top w:val="single" w:sz="8" w:color="auto"/>
            </w:tcBorders>
            <w:gridSpan w:val="11"/>
          </w:tcPr>
          <w:p>
            <w:pPr>
              <w:spacing w:after="0"/>
              <w:rPr>
                <w:sz w:val="20"/>
                <w:szCs w:val="20"/>
                <w:color w:val="auto"/>
              </w:rPr>
            </w:pPr>
            <w:r>
              <w:rPr>
                <w:rFonts w:ascii="Times New Roman" w:cs="Times New Roman" w:eastAsia="Times New Roman" w:hAnsi="Times New Roman"/>
                <w:sz w:val="18"/>
                <w:szCs w:val="18"/>
                <w:color w:val="auto"/>
              </w:rPr>
              <w:t>Elizabeth Q. Betten</w:t>
            </w:r>
          </w:p>
        </w:tc>
        <w:tc>
          <w:tcPr>
            <w:tcW w:w="20" w:type="dxa"/>
            <w:vAlign w:val="bottom"/>
          </w:tcPr>
          <w:p>
            <w:pPr>
              <w:spacing w:after="0"/>
              <w:rPr>
                <w:sz w:val="19"/>
                <w:szCs w:val="19"/>
                <w:color w:val="auto"/>
              </w:rPr>
            </w:pPr>
          </w:p>
        </w:tc>
        <w:tc>
          <w:tcPr>
            <w:tcW w:w="260" w:type="dxa"/>
            <w:vAlign w:val="bottom"/>
            <w:gridSpan w:val="2"/>
          </w:tcPr>
          <w:p>
            <w:pPr>
              <w:spacing w:after="0"/>
              <w:rPr>
                <w:sz w:val="19"/>
                <w:szCs w:val="19"/>
                <w:color w:val="auto"/>
              </w:rPr>
            </w:pPr>
          </w:p>
        </w:tc>
        <w:tc>
          <w:tcPr>
            <w:tcW w:w="1620" w:type="dxa"/>
            <w:vAlign w:val="bottom"/>
            <w:gridSpan w:val="2"/>
          </w:tcPr>
          <w:p>
            <w:pPr>
              <w:spacing w:after="0"/>
              <w:rPr>
                <w:sz w:val="19"/>
                <w:szCs w:val="19"/>
                <w:color w:val="auto"/>
              </w:rPr>
            </w:pPr>
          </w:p>
        </w:tc>
        <w:tc>
          <w:tcPr>
            <w:tcW w:w="28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333"/>
        </w:trPr>
        <w:tc>
          <w:tcPr>
            <w:tcW w:w="354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/s/ Elizabeth D. Bierbower</w:t>
            </w:r>
          </w:p>
        </w:tc>
        <w:tc>
          <w:tcPr>
            <w:tcW w:w="5580" w:type="dxa"/>
            <w:vAlign w:val="bottom"/>
            <w:gridSpan w:val="3"/>
          </w:tcPr>
          <w:p>
            <w:pPr>
              <w:jc w:val="center"/>
              <w:ind w:left="570"/>
              <w:spacing w:after="0"/>
              <w:rPr>
                <w:sz w:val="20"/>
                <w:szCs w:val="20"/>
                <w:color w:val="auto"/>
              </w:rPr>
            </w:pPr>
            <w:r>
              <w:rPr>
                <w:rFonts w:ascii="Times New Roman" w:cs="Times New Roman" w:eastAsia="Times New Roman" w:hAnsi="Times New Roman"/>
                <w:sz w:val="18"/>
                <w:szCs w:val="18"/>
                <w:color w:val="auto"/>
                <w:w w:val="99"/>
              </w:rPr>
              <w:t>Director</w:t>
            </w:r>
          </w:p>
        </w:tc>
        <w:tc>
          <w:tcPr>
            <w:tcW w:w="1900" w:type="dxa"/>
            <w:vAlign w:val="bottom"/>
            <w:gridSpan w:val="3"/>
          </w:tcPr>
          <w:p>
            <w:pPr>
              <w:jc w:val="center"/>
              <w:ind w:left="470"/>
              <w:spacing w:after="0"/>
              <w:rPr>
                <w:sz w:val="20"/>
                <w:szCs w:val="20"/>
                <w:color w:val="auto"/>
              </w:rPr>
            </w:pPr>
            <w:r>
              <w:rPr>
                <w:rFonts w:ascii="Times New Roman" w:cs="Times New Roman" w:eastAsia="Times New Roman" w:hAnsi="Times New Roman"/>
                <w:sz w:val="18"/>
                <w:szCs w:val="18"/>
                <w:color w:val="auto"/>
              </w:rPr>
              <w:t>February 26, 2025</w:t>
            </w:r>
          </w:p>
        </w:tc>
      </w:tr>
      <w:tr>
        <w:trPr>
          <w:trHeight w:val="228"/>
        </w:trPr>
        <w:tc>
          <w:tcPr>
            <w:tcW w:w="1920" w:type="dxa"/>
            <w:vAlign w:val="bottom"/>
            <w:tcBorders>
              <w:top w:val="single" w:sz="8" w:color="auto"/>
            </w:tcBorders>
            <w:gridSpan w:val="14"/>
          </w:tcPr>
          <w:p>
            <w:pPr>
              <w:spacing w:after="0"/>
              <w:rPr>
                <w:sz w:val="20"/>
                <w:szCs w:val="20"/>
                <w:color w:val="auto"/>
              </w:rPr>
            </w:pPr>
            <w:r>
              <w:rPr>
                <w:rFonts w:ascii="Times New Roman" w:cs="Times New Roman" w:eastAsia="Times New Roman" w:hAnsi="Times New Roman"/>
                <w:sz w:val="18"/>
                <w:szCs w:val="18"/>
                <w:color w:val="auto"/>
              </w:rPr>
              <w:t>Elizabeth D. Bierbower</w:t>
            </w:r>
          </w:p>
        </w:tc>
        <w:tc>
          <w:tcPr>
            <w:tcW w:w="1620" w:type="dxa"/>
            <w:vAlign w:val="bottom"/>
            <w:gridSpan w:val="2"/>
          </w:tcPr>
          <w:p>
            <w:pPr>
              <w:spacing w:after="0"/>
              <w:rPr>
                <w:sz w:val="19"/>
                <w:szCs w:val="19"/>
                <w:color w:val="auto"/>
              </w:rPr>
            </w:pPr>
          </w:p>
        </w:tc>
        <w:tc>
          <w:tcPr>
            <w:tcW w:w="28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333"/>
        </w:trPr>
        <w:tc>
          <w:tcPr>
            <w:tcW w:w="354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/s/ Barbara W. Bodem</w:t>
            </w:r>
          </w:p>
        </w:tc>
        <w:tc>
          <w:tcPr>
            <w:tcW w:w="5580" w:type="dxa"/>
            <w:vAlign w:val="bottom"/>
            <w:gridSpan w:val="3"/>
          </w:tcPr>
          <w:p>
            <w:pPr>
              <w:jc w:val="center"/>
              <w:ind w:left="570"/>
              <w:spacing w:after="0"/>
              <w:rPr>
                <w:sz w:val="20"/>
                <w:szCs w:val="20"/>
                <w:color w:val="auto"/>
              </w:rPr>
            </w:pPr>
            <w:r>
              <w:rPr>
                <w:rFonts w:ascii="Times New Roman" w:cs="Times New Roman" w:eastAsia="Times New Roman" w:hAnsi="Times New Roman"/>
                <w:sz w:val="18"/>
                <w:szCs w:val="18"/>
                <w:color w:val="auto"/>
                <w:w w:val="99"/>
              </w:rPr>
              <w:t>Director</w:t>
            </w:r>
          </w:p>
        </w:tc>
        <w:tc>
          <w:tcPr>
            <w:tcW w:w="1900" w:type="dxa"/>
            <w:vAlign w:val="bottom"/>
            <w:gridSpan w:val="3"/>
          </w:tcPr>
          <w:p>
            <w:pPr>
              <w:jc w:val="center"/>
              <w:ind w:left="470"/>
              <w:spacing w:after="0"/>
              <w:rPr>
                <w:sz w:val="20"/>
                <w:szCs w:val="20"/>
                <w:color w:val="auto"/>
              </w:rPr>
            </w:pPr>
            <w:r>
              <w:rPr>
                <w:rFonts w:ascii="Times New Roman" w:cs="Times New Roman" w:eastAsia="Times New Roman" w:hAnsi="Times New Roman"/>
                <w:sz w:val="18"/>
                <w:szCs w:val="18"/>
                <w:color w:val="auto"/>
              </w:rPr>
              <w:t>February 26, 2025</w:t>
            </w:r>
          </w:p>
        </w:tc>
      </w:tr>
      <w:tr>
        <w:trPr>
          <w:trHeight w:val="228"/>
        </w:trPr>
        <w:tc>
          <w:tcPr>
            <w:tcW w:w="1600" w:type="dxa"/>
            <w:vAlign w:val="bottom"/>
            <w:tcBorders>
              <w:top w:val="single" w:sz="8" w:color="auto"/>
            </w:tcBorders>
            <w:gridSpan w:val="9"/>
          </w:tcPr>
          <w:p>
            <w:pPr>
              <w:spacing w:after="0"/>
              <w:rPr>
                <w:sz w:val="20"/>
                <w:szCs w:val="20"/>
                <w:color w:val="auto"/>
              </w:rPr>
            </w:pPr>
            <w:r>
              <w:rPr>
                <w:rFonts w:ascii="Times New Roman" w:cs="Times New Roman" w:eastAsia="Times New Roman" w:hAnsi="Times New Roman"/>
                <w:sz w:val="18"/>
                <w:szCs w:val="18"/>
                <w:color w:val="auto"/>
              </w:rPr>
              <w:t>Barbara W. Bodem</w:t>
            </w:r>
          </w:p>
        </w:tc>
        <w:tc>
          <w:tcPr>
            <w:tcW w:w="20" w:type="dxa"/>
            <w:vAlign w:val="bottom"/>
          </w:tcPr>
          <w:p>
            <w:pPr>
              <w:spacing w:after="0"/>
              <w:rPr>
                <w:sz w:val="19"/>
                <w:szCs w:val="19"/>
                <w:color w:val="auto"/>
              </w:rPr>
            </w:pPr>
          </w:p>
        </w:tc>
        <w:tc>
          <w:tcPr>
            <w:tcW w:w="40" w:type="dxa"/>
            <w:vAlign w:val="bottom"/>
            <w:gridSpan w:val="2"/>
          </w:tcPr>
          <w:p>
            <w:pPr>
              <w:spacing w:after="0"/>
              <w:rPr>
                <w:sz w:val="19"/>
                <w:szCs w:val="19"/>
                <w:color w:val="auto"/>
              </w:rPr>
            </w:pPr>
          </w:p>
        </w:tc>
        <w:tc>
          <w:tcPr>
            <w:tcW w:w="1880" w:type="dxa"/>
            <w:vAlign w:val="bottom"/>
            <w:gridSpan w:val="4"/>
          </w:tcPr>
          <w:p>
            <w:pPr>
              <w:spacing w:after="0"/>
              <w:rPr>
                <w:sz w:val="19"/>
                <w:szCs w:val="19"/>
                <w:color w:val="auto"/>
              </w:rPr>
            </w:pPr>
          </w:p>
        </w:tc>
        <w:tc>
          <w:tcPr>
            <w:tcW w:w="28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333"/>
        </w:trPr>
        <w:tc>
          <w:tcPr>
            <w:tcW w:w="354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/s/ Eric K. Brandt</w:t>
            </w:r>
          </w:p>
        </w:tc>
        <w:tc>
          <w:tcPr>
            <w:tcW w:w="5580" w:type="dxa"/>
            <w:vAlign w:val="bottom"/>
            <w:gridSpan w:val="3"/>
          </w:tcPr>
          <w:p>
            <w:pPr>
              <w:jc w:val="center"/>
              <w:ind w:left="570"/>
              <w:spacing w:after="0"/>
              <w:rPr>
                <w:sz w:val="20"/>
                <w:szCs w:val="20"/>
                <w:color w:val="auto"/>
              </w:rPr>
            </w:pPr>
            <w:r>
              <w:rPr>
                <w:rFonts w:ascii="Times New Roman" w:cs="Times New Roman" w:eastAsia="Times New Roman" w:hAnsi="Times New Roman"/>
                <w:sz w:val="18"/>
                <w:szCs w:val="18"/>
                <w:color w:val="auto"/>
                <w:w w:val="99"/>
              </w:rPr>
              <w:t>Director</w:t>
            </w:r>
          </w:p>
        </w:tc>
        <w:tc>
          <w:tcPr>
            <w:tcW w:w="1900" w:type="dxa"/>
            <w:vAlign w:val="bottom"/>
            <w:gridSpan w:val="3"/>
          </w:tcPr>
          <w:p>
            <w:pPr>
              <w:jc w:val="center"/>
              <w:ind w:left="470"/>
              <w:spacing w:after="0"/>
              <w:rPr>
                <w:sz w:val="20"/>
                <w:szCs w:val="20"/>
                <w:color w:val="auto"/>
              </w:rPr>
            </w:pPr>
            <w:r>
              <w:rPr>
                <w:rFonts w:ascii="Times New Roman" w:cs="Times New Roman" w:eastAsia="Times New Roman" w:hAnsi="Times New Roman"/>
                <w:sz w:val="18"/>
                <w:szCs w:val="18"/>
                <w:color w:val="auto"/>
              </w:rPr>
              <w:t>February 26, 2025</w:t>
            </w:r>
          </w:p>
        </w:tc>
      </w:tr>
      <w:tr>
        <w:trPr>
          <w:trHeight w:val="228"/>
        </w:trPr>
        <w:tc>
          <w:tcPr>
            <w:tcW w:w="1260" w:type="dxa"/>
            <w:vAlign w:val="bottom"/>
            <w:tcBorders>
              <w:top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Eric K. Brandt</w:t>
            </w:r>
          </w:p>
        </w:tc>
        <w:tc>
          <w:tcPr>
            <w:tcW w:w="280" w:type="dxa"/>
            <w:vAlign w:val="bottom"/>
            <w:gridSpan w:val="3"/>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gridSpan w:val="2"/>
          </w:tcPr>
          <w:p>
            <w:pPr>
              <w:spacing w:after="0"/>
              <w:rPr>
                <w:sz w:val="19"/>
                <w:szCs w:val="19"/>
                <w:color w:val="auto"/>
              </w:rPr>
            </w:pPr>
          </w:p>
        </w:tc>
        <w:tc>
          <w:tcPr>
            <w:tcW w:w="40" w:type="dxa"/>
            <w:vAlign w:val="bottom"/>
            <w:gridSpan w:val="2"/>
          </w:tcPr>
          <w:p>
            <w:pPr>
              <w:spacing w:after="0"/>
              <w:rPr>
                <w:sz w:val="19"/>
                <w:szCs w:val="19"/>
                <w:color w:val="auto"/>
              </w:rPr>
            </w:pPr>
          </w:p>
        </w:tc>
        <w:tc>
          <w:tcPr>
            <w:tcW w:w="1880" w:type="dxa"/>
            <w:vAlign w:val="bottom"/>
            <w:gridSpan w:val="4"/>
          </w:tcPr>
          <w:p>
            <w:pPr>
              <w:spacing w:after="0"/>
              <w:rPr>
                <w:sz w:val="19"/>
                <w:szCs w:val="19"/>
                <w:color w:val="auto"/>
              </w:rPr>
            </w:pPr>
          </w:p>
        </w:tc>
        <w:tc>
          <w:tcPr>
            <w:tcW w:w="28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333"/>
        </w:trPr>
        <w:tc>
          <w:tcPr>
            <w:tcW w:w="354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/s/ Natasha Deckmann</w:t>
            </w:r>
          </w:p>
        </w:tc>
        <w:tc>
          <w:tcPr>
            <w:tcW w:w="5580" w:type="dxa"/>
            <w:vAlign w:val="bottom"/>
            <w:gridSpan w:val="3"/>
          </w:tcPr>
          <w:p>
            <w:pPr>
              <w:jc w:val="center"/>
              <w:ind w:left="570"/>
              <w:spacing w:after="0"/>
              <w:rPr>
                <w:sz w:val="20"/>
                <w:szCs w:val="20"/>
                <w:color w:val="auto"/>
              </w:rPr>
            </w:pPr>
            <w:r>
              <w:rPr>
                <w:rFonts w:ascii="Times New Roman" w:cs="Times New Roman" w:eastAsia="Times New Roman" w:hAnsi="Times New Roman"/>
                <w:sz w:val="18"/>
                <w:szCs w:val="18"/>
                <w:color w:val="auto"/>
                <w:w w:val="99"/>
              </w:rPr>
              <w:t>Director</w:t>
            </w:r>
          </w:p>
        </w:tc>
        <w:tc>
          <w:tcPr>
            <w:tcW w:w="1900" w:type="dxa"/>
            <w:vAlign w:val="bottom"/>
            <w:gridSpan w:val="3"/>
          </w:tcPr>
          <w:p>
            <w:pPr>
              <w:jc w:val="center"/>
              <w:ind w:left="470"/>
              <w:spacing w:after="0"/>
              <w:rPr>
                <w:sz w:val="20"/>
                <w:szCs w:val="20"/>
                <w:color w:val="auto"/>
              </w:rPr>
            </w:pPr>
            <w:r>
              <w:rPr>
                <w:rFonts w:ascii="Times New Roman" w:cs="Times New Roman" w:eastAsia="Times New Roman" w:hAnsi="Times New Roman"/>
                <w:sz w:val="18"/>
                <w:szCs w:val="18"/>
                <w:color w:val="auto"/>
              </w:rPr>
              <w:t>February 26, 2025</w:t>
            </w:r>
          </w:p>
        </w:tc>
      </w:tr>
      <w:tr>
        <w:trPr>
          <w:trHeight w:val="228"/>
        </w:trPr>
        <w:tc>
          <w:tcPr>
            <w:tcW w:w="1620" w:type="dxa"/>
            <w:vAlign w:val="bottom"/>
            <w:tcBorders>
              <w:top w:val="single" w:sz="8" w:color="auto"/>
            </w:tcBorders>
            <w:gridSpan w:val="10"/>
          </w:tcPr>
          <w:p>
            <w:pPr>
              <w:spacing w:after="0"/>
              <w:rPr>
                <w:sz w:val="20"/>
                <w:szCs w:val="20"/>
                <w:color w:val="auto"/>
              </w:rPr>
            </w:pPr>
            <w:r>
              <w:rPr>
                <w:rFonts w:ascii="Times New Roman" w:cs="Times New Roman" w:eastAsia="Times New Roman" w:hAnsi="Times New Roman"/>
                <w:sz w:val="18"/>
                <w:szCs w:val="18"/>
                <w:color w:val="auto"/>
              </w:rPr>
              <w:t>Natasha Deckmann</w:t>
            </w:r>
          </w:p>
        </w:tc>
        <w:tc>
          <w:tcPr>
            <w:tcW w:w="40" w:type="dxa"/>
            <w:vAlign w:val="bottom"/>
            <w:gridSpan w:val="2"/>
          </w:tcPr>
          <w:p>
            <w:pPr>
              <w:spacing w:after="0"/>
              <w:rPr>
                <w:sz w:val="19"/>
                <w:szCs w:val="19"/>
                <w:color w:val="auto"/>
              </w:rPr>
            </w:pPr>
          </w:p>
        </w:tc>
        <w:tc>
          <w:tcPr>
            <w:tcW w:w="1880" w:type="dxa"/>
            <w:vAlign w:val="bottom"/>
            <w:gridSpan w:val="4"/>
          </w:tcPr>
          <w:p>
            <w:pPr>
              <w:spacing w:after="0"/>
              <w:rPr>
                <w:sz w:val="19"/>
                <w:szCs w:val="19"/>
                <w:color w:val="auto"/>
              </w:rPr>
            </w:pPr>
          </w:p>
        </w:tc>
        <w:tc>
          <w:tcPr>
            <w:tcW w:w="28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400"/>
        </w:trPr>
        <w:tc>
          <w:tcPr>
            <w:tcW w:w="354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/s/ David W. Golding</w:t>
            </w:r>
          </w:p>
        </w:tc>
        <w:tc>
          <w:tcPr>
            <w:tcW w:w="5580" w:type="dxa"/>
            <w:vAlign w:val="bottom"/>
            <w:gridSpan w:val="3"/>
          </w:tcPr>
          <w:p>
            <w:pPr>
              <w:jc w:val="center"/>
              <w:ind w:left="570"/>
              <w:spacing w:after="0"/>
              <w:rPr>
                <w:sz w:val="20"/>
                <w:szCs w:val="20"/>
                <w:color w:val="auto"/>
              </w:rPr>
            </w:pPr>
            <w:r>
              <w:rPr>
                <w:rFonts w:ascii="Times New Roman" w:cs="Times New Roman" w:eastAsia="Times New Roman" w:hAnsi="Times New Roman"/>
                <w:sz w:val="18"/>
                <w:szCs w:val="18"/>
                <w:color w:val="auto"/>
                <w:w w:val="99"/>
              </w:rPr>
              <w:t>Director</w:t>
            </w:r>
          </w:p>
        </w:tc>
        <w:tc>
          <w:tcPr>
            <w:tcW w:w="1900" w:type="dxa"/>
            <w:vAlign w:val="bottom"/>
            <w:gridSpan w:val="3"/>
          </w:tcPr>
          <w:p>
            <w:pPr>
              <w:jc w:val="center"/>
              <w:ind w:left="470"/>
              <w:spacing w:after="0"/>
              <w:rPr>
                <w:sz w:val="20"/>
                <w:szCs w:val="20"/>
                <w:color w:val="auto"/>
              </w:rPr>
            </w:pPr>
            <w:r>
              <w:rPr>
                <w:rFonts w:ascii="Times New Roman" w:cs="Times New Roman" w:eastAsia="Times New Roman" w:hAnsi="Times New Roman"/>
                <w:sz w:val="18"/>
                <w:szCs w:val="18"/>
                <w:color w:val="auto"/>
              </w:rPr>
              <w:t>February 26, 2025</w:t>
            </w:r>
          </w:p>
        </w:tc>
      </w:tr>
      <w:tr>
        <w:trPr>
          <w:trHeight w:val="228"/>
        </w:trPr>
        <w:tc>
          <w:tcPr>
            <w:tcW w:w="1540" w:type="dxa"/>
            <w:vAlign w:val="bottom"/>
            <w:tcBorders>
              <w:top w:val="single" w:sz="8" w:color="auto"/>
            </w:tcBorders>
            <w:gridSpan w:val="7"/>
          </w:tcPr>
          <w:p>
            <w:pPr>
              <w:spacing w:after="0"/>
              <w:rPr>
                <w:sz w:val="20"/>
                <w:szCs w:val="20"/>
                <w:color w:val="auto"/>
              </w:rPr>
            </w:pPr>
            <w:r>
              <w:rPr>
                <w:rFonts w:ascii="Times New Roman" w:cs="Times New Roman" w:eastAsia="Times New Roman" w:hAnsi="Times New Roman"/>
                <w:sz w:val="18"/>
                <w:szCs w:val="18"/>
                <w:color w:val="auto"/>
              </w:rPr>
              <w:t>David W. Golding</w:t>
            </w:r>
          </w:p>
        </w:tc>
        <w:tc>
          <w:tcPr>
            <w:tcW w:w="20" w:type="dxa"/>
            <w:vAlign w:val="bottom"/>
          </w:tcPr>
          <w:p>
            <w:pPr>
              <w:spacing w:after="0"/>
              <w:rPr>
                <w:sz w:val="19"/>
                <w:szCs w:val="19"/>
                <w:color w:val="auto"/>
              </w:rPr>
            </w:pPr>
          </w:p>
        </w:tc>
        <w:tc>
          <w:tcPr>
            <w:tcW w:w="100" w:type="dxa"/>
            <w:vAlign w:val="bottom"/>
            <w:gridSpan w:val="4"/>
          </w:tcPr>
          <w:p>
            <w:pPr>
              <w:spacing w:after="0"/>
              <w:rPr>
                <w:sz w:val="19"/>
                <w:szCs w:val="19"/>
                <w:color w:val="auto"/>
              </w:rPr>
            </w:pPr>
          </w:p>
        </w:tc>
        <w:tc>
          <w:tcPr>
            <w:tcW w:w="1880" w:type="dxa"/>
            <w:vAlign w:val="bottom"/>
            <w:gridSpan w:val="4"/>
          </w:tcPr>
          <w:p>
            <w:pPr>
              <w:spacing w:after="0"/>
              <w:rPr>
                <w:sz w:val="19"/>
                <w:szCs w:val="19"/>
                <w:color w:val="auto"/>
              </w:rPr>
            </w:pPr>
          </w:p>
        </w:tc>
        <w:tc>
          <w:tcPr>
            <w:tcW w:w="28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333"/>
        </w:trPr>
        <w:tc>
          <w:tcPr>
            <w:tcW w:w="354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/s/ R. Carter Pate</w:t>
            </w:r>
          </w:p>
        </w:tc>
        <w:tc>
          <w:tcPr>
            <w:tcW w:w="5580" w:type="dxa"/>
            <w:vAlign w:val="bottom"/>
            <w:gridSpan w:val="3"/>
          </w:tcPr>
          <w:p>
            <w:pPr>
              <w:jc w:val="center"/>
              <w:ind w:left="570"/>
              <w:spacing w:after="0"/>
              <w:rPr>
                <w:sz w:val="20"/>
                <w:szCs w:val="20"/>
                <w:color w:val="auto"/>
              </w:rPr>
            </w:pPr>
            <w:r>
              <w:rPr>
                <w:rFonts w:ascii="Times New Roman" w:cs="Times New Roman" w:eastAsia="Times New Roman" w:hAnsi="Times New Roman"/>
                <w:sz w:val="18"/>
                <w:szCs w:val="18"/>
                <w:color w:val="auto"/>
                <w:w w:val="99"/>
              </w:rPr>
              <w:t>Director</w:t>
            </w:r>
          </w:p>
        </w:tc>
        <w:tc>
          <w:tcPr>
            <w:tcW w:w="1900" w:type="dxa"/>
            <w:vAlign w:val="bottom"/>
            <w:gridSpan w:val="3"/>
          </w:tcPr>
          <w:p>
            <w:pPr>
              <w:jc w:val="center"/>
              <w:ind w:left="470"/>
              <w:spacing w:after="0"/>
              <w:rPr>
                <w:sz w:val="20"/>
                <w:szCs w:val="20"/>
                <w:color w:val="auto"/>
              </w:rPr>
            </w:pPr>
            <w:r>
              <w:rPr>
                <w:rFonts w:ascii="Times New Roman" w:cs="Times New Roman" w:eastAsia="Times New Roman" w:hAnsi="Times New Roman"/>
                <w:sz w:val="18"/>
                <w:szCs w:val="18"/>
                <w:color w:val="auto"/>
              </w:rPr>
              <w:t>February 26, 2025</w:t>
            </w:r>
          </w:p>
        </w:tc>
      </w:tr>
      <w:tr>
        <w:trPr>
          <w:trHeight w:val="228"/>
        </w:trPr>
        <w:tc>
          <w:tcPr>
            <w:tcW w:w="122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R. Carter Pate</w:t>
            </w:r>
          </w:p>
        </w:tc>
        <w:tc>
          <w:tcPr>
            <w:tcW w:w="340" w:type="dxa"/>
            <w:vAlign w:val="bottom"/>
            <w:gridSpan w:val="5"/>
          </w:tcPr>
          <w:p>
            <w:pPr>
              <w:spacing w:after="0"/>
              <w:rPr>
                <w:sz w:val="19"/>
                <w:szCs w:val="19"/>
                <w:color w:val="auto"/>
              </w:rPr>
            </w:pPr>
          </w:p>
        </w:tc>
        <w:tc>
          <w:tcPr>
            <w:tcW w:w="100" w:type="dxa"/>
            <w:vAlign w:val="bottom"/>
            <w:gridSpan w:val="4"/>
          </w:tcPr>
          <w:p>
            <w:pPr>
              <w:spacing w:after="0"/>
              <w:rPr>
                <w:sz w:val="19"/>
                <w:szCs w:val="19"/>
                <w:color w:val="auto"/>
              </w:rPr>
            </w:pPr>
          </w:p>
        </w:tc>
        <w:tc>
          <w:tcPr>
            <w:tcW w:w="1880" w:type="dxa"/>
            <w:vAlign w:val="bottom"/>
            <w:gridSpan w:val="4"/>
          </w:tcPr>
          <w:p>
            <w:pPr>
              <w:spacing w:after="0"/>
              <w:rPr>
                <w:sz w:val="19"/>
                <w:szCs w:val="19"/>
                <w:color w:val="auto"/>
              </w:rPr>
            </w:pPr>
          </w:p>
        </w:tc>
        <w:tc>
          <w:tcPr>
            <w:tcW w:w="28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333"/>
        </w:trPr>
        <w:tc>
          <w:tcPr>
            <w:tcW w:w="354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/s/ Timothy P. Sullivan</w:t>
            </w:r>
          </w:p>
        </w:tc>
        <w:tc>
          <w:tcPr>
            <w:tcW w:w="5580" w:type="dxa"/>
            <w:vAlign w:val="bottom"/>
            <w:gridSpan w:val="3"/>
          </w:tcPr>
          <w:p>
            <w:pPr>
              <w:jc w:val="center"/>
              <w:ind w:left="570"/>
              <w:spacing w:after="0"/>
              <w:rPr>
                <w:sz w:val="20"/>
                <w:szCs w:val="20"/>
                <w:color w:val="auto"/>
              </w:rPr>
            </w:pPr>
            <w:r>
              <w:rPr>
                <w:rFonts w:ascii="Times New Roman" w:cs="Times New Roman" w:eastAsia="Times New Roman" w:hAnsi="Times New Roman"/>
                <w:sz w:val="18"/>
                <w:szCs w:val="18"/>
                <w:color w:val="auto"/>
                <w:w w:val="99"/>
              </w:rPr>
              <w:t>Director</w:t>
            </w:r>
          </w:p>
        </w:tc>
        <w:tc>
          <w:tcPr>
            <w:tcW w:w="1900" w:type="dxa"/>
            <w:vAlign w:val="bottom"/>
            <w:gridSpan w:val="3"/>
          </w:tcPr>
          <w:p>
            <w:pPr>
              <w:jc w:val="center"/>
              <w:ind w:left="470"/>
              <w:spacing w:after="0"/>
              <w:rPr>
                <w:sz w:val="20"/>
                <w:szCs w:val="20"/>
                <w:color w:val="auto"/>
              </w:rPr>
            </w:pPr>
            <w:r>
              <w:rPr>
                <w:rFonts w:ascii="Times New Roman" w:cs="Times New Roman" w:eastAsia="Times New Roman" w:hAnsi="Times New Roman"/>
                <w:sz w:val="18"/>
                <w:szCs w:val="18"/>
                <w:color w:val="auto"/>
              </w:rPr>
              <w:t>February 26, 2025</w:t>
            </w:r>
          </w:p>
        </w:tc>
      </w:tr>
      <w:tr>
        <w:trPr>
          <w:trHeight w:val="228"/>
        </w:trPr>
        <w:tc>
          <w:tcPr>
            <w:tcW w:w="1660" w:type="dxa"/>
            <w:vAlign w:val="bottom"/>
            <w:tcBorders>
              <w:top w:val="single" w:sz="8" w:color="auto"/>
            </w:tcBorders>
            <w:gridSpan w:val="12"/>
          </w:tcPr>
          <w:p>
            <w:pPr>
              <w:spacing w:after="0"/>
              <w:rPr>
                <w:sz w:val="20"/>
                <w:szCs w:val="20"/>
                <w:color w:val="auto"/>
              </w:rPr>
            </w:pPr>
            <w:r>
              <w:rPr>
                <w:rFonts w:ascii="Times New Roman" w:cs="Times New Roman" w:eastAsia="Times New Roman" w:hAnsi="Times New Roman"/>
                <w:sz w:val="18"/>
                <w:szCs w:val="18"/>
                <w:color w:val="auto"/>
              </w:rPr>
              <w:t>Timothy P. Sullivan</w:t>
            </w:r>
          </w:p>
        </w:tc>
        <w:tc>
          <w:tcPr>
            <w:tcW w:w="1880" w:type="dxa"/>
            <w:vAlign w:val="bottom"/>
            <w:gridSpan w:val="4"/>
          </w:tcPr>
          <w:p>
            <w:pPr>
              <w:spacing w:after="0"/>
              <w:rPr>
                <w:sz w:val="19"/>
                <w:szCs w:val="19"/>
                <w:color w:val="auto"/>
              </w:rPr>
            </w:pPr>
          </w:p>
        </w:tc>
        <w:tc>
          <w:tcPr>
            <w:tcW w:w="28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333"/>
        </w:trPr>
        <w:tc>
          <w:tcPr>
            <w:tcW w:w="354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/s/ Norman L. Wright</w:t>
            </w:r>
          </w:p>
        </w:tc>
        <w:tc>
          <w:tcPr>
            <w:tcW w:w="5580" w:type="dxa"/>
            <w:vAlign w:val="bottom"/>
            <w:gridSpan w:val="3"/>
          </w:tcPr>
          <w:p>
            <w:pPr>
              <w:jc w:val="center"/>
              <w:ind w:left="570"/>
              <w:spacing w:after="0"/>
              <w:rPr>
                <w:sz w:val="20"/>
                <w:szCs w:val="20"/>
                <w:color w:val="auto"/>
              </w:rPr>
            </w:pPr>
            <w:r>
              <w:rPr>
                <w:rFonts w:ascii="Times New Roman" w:cs="Times New Roman" w:eastAsia="Times New Roman" w:hAnsi="Times New Roman"/>
                <w:sz w:val="18"/>
                <w:szCs w:val="18"/>
                <w:color w:val="auto"/>
                <w:w w:val="99"/>
              </w:rPr>
              <w:t>Director</w:t>
            </w:r>
          </w:p>
        </w:tc>
        <w:tc>
          <w:tcPr>
            <w:tcW w:w="1900" w:type="dxa"/>
            <w:vAlign w:val="bottom"/>
            <w:gridSpan w:val="3"/>
          </w:tcPr>
          <w:p>
            <w:pPr>
              <w:jc w:val="center"/>
              <w:ind w:left="470"/>
              <w:spacing w:after="0"/>
              <w:rPr>
                <w:sz w:val="20"/>
                <w:szCs w:val="20"/>
                <w:color w:val="auto"/>
              </w:rPr>
            </w:pPr>
            <w:r>
              <w:rPr>
                <w:rFonts w:ascii="Times New Roman" w:cs="Times New Roman" w:eastAsia="Times New Roman" w:hAnsi="Times New Roman"/>
                <w:sz w:val="18"/>
                <w:szCs w:val="18"/>
                <w:color w:val="auto"/>
              </w:rPr>
              <w:t>February 26, 2025</w:t>
            </w:r>
          </w:p>
        </w:tc>
      </w:tr>
      <w:tr>
        <w:trPr>
          <w:trHeight w:val="228"/>
        </w:trPr>
        <w:tc>
          <w:tcPr>
            <w:tcW w:w="1560" w:type="dxa"/>
            <w:vAlign w:val="bottom"/>
            <w:tcBorders>
              <w:top w:val="single" w:sz="8" w:color="auto"/>
            </w:tcBorders>
            <w:gridSpan w:val="8"/>
          </w:tcPr>
          <w:p>
            <w:pPr>
              <w:spacing w:after="0"/>
              <w:rPr>
                <w:sz w:val="20"/>
                <w:szCs w:val="20"/>
                <w:color w:val="auto"/>
              </w:rPr>
            </w:pPr>
            <w:r>
              <w:rPr>
                <w:rFonts w:ascii="Times New Roman" w:cs="Times New Roman" w:eastAsia="Times New Roman" w:hAnsi="Times New Roman"/>
                <w:sz w:val="18"/>
                <w:szCs w:val="18"/>
                <w:color w:val="auto"/>
              </w:rPr>
              <w:t>Norman L. Wright</w:t>
            </w:r>
          </w:p>
        </w:tc>
        <w:tc>
          <w:tcPr>
            <w:tcW w:w="1980" w:type="dxa"/>
            <w:vAlign w:val="bottom"/>
            <w:gridSpan w:val="8"/>
          </w:tcPr>
          <w:p>
            <w:pPr>
              <w:spacing w:after="0"/>
              <w:rPr>
                <w:sz w:val="19"/>
                <w:szCs w:val="19"/>
                <w:color w:val="auto"/>
              </w:rPr>
            </w:pPr>
          </w:p>
        </w:tc>
        <w:tc>
          <w:tcPr>
            <w:tcW w:w="28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846"/>
        </w:trPr>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4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79</w:t>
            </w:r>
          </w:p>
        </w:tc>
        <w:tc>
          <w:tcPr>
            <w:tcW w:w="54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r>
    </w:tbl>
    <w:p>
      <w:pPr>
        <w:sectPr>
          <w:pgSz w:w="11900" w:h="16838" w:orient="portrait"/>
          <w:cols w:equalWidth="0" w:num="1">
            <w:col w:w="11220"/>
          </w:cols>
          <w:pgMar w:left="320" w:top="118" w:right="359" w:bottom="1440" w:gutter="0" w:footer="0" w:header="0"/>
        </w:sectPr>
      </w:pPr>
    </w:p>
    <w:bookmarkStart w:id="80" w:name="page81"/>
    <w:bookmarkEnd w:id="80"/>
    <w:p>
      <w:pPr>
        <w:spacing w:after="0" w:line="200" w:lineRule="exact"/>
        <w:rPr>
          <w:sz w:val="20"/>
          <w:szCs w:val="20"/>
          <w:color w:val="auto"/>
        </w:rPr>
      </w:pPr>
    </w:p>
    <w:p>
      <w:pPr>
        <w:spacing w:after="0" w:line="267" w:lineRule="exact"/>
        <w:rPr>
          <w:sz w:val="20"/>
          <w:szCs w:val="20"/>
          <w:color w:val="auto"/>
        </w:rPr>
      </w:pPr>
    </w:p>
    <w:p>
      <w:pPr>
        <w:ind w:left="2600"/>
        <w:spacing w:after="0"/>
        <w:rPr>
          <w:sz w:val="20"/>
          <w:szCs w:val="20"/>
          <w:color w:val="auto"/>
        </w:rPr>
      </w:pPr>
      <w:r>
        <w:rPr>
          <w:rFonts w:ascii="Arial" w:cs="Arial" w:eastAsia="Arial" w:hAnsi="Arial"/>
          <w:sz w:val="22"/>
          <w:szCs w:val="22"/>
          <w:b w:val="1"/>
          <w:bCs w:val="1"/>
          <w:color w:val="auto"/>
        </w:rPr>
        <w:t>Insider Trading Policy</w:t>
      </w:r>
    </w:p>
    <w:p>
      <w:pPr>
        <w:spacing w:after="0" w:line="26"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(Effective December 13, 2024)</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22"/>
          <w:szCs w:val="22"/>
          <w:color w:val="auto"/>
        </w:rPr>
        <w:t>PURPOSE:</w:t>
      </w:r>
    </w:p>
    <w:p>
      <w:pPr>
        <w:spacing w:after="0" w:line="10" w:lineRule="exact"/>
        <w:rPr>
          <w:sz w:val="20"/>
          <w:szCs w:val="20"/>
          <w:color w:val="auto"/>
        </w:rPr>
      </w:pPr>
    </w:p>
    <w:p>
      <w:pPr>
        <w:jc w:val="both"/>
        <w:ind w:firstLine="252"/>
        <w:spacing w:after="0" w:line="219" w:lineRule="auto"/>
        <w:rPr>
          <w:sz w:val="20"/>
          <w:szCs w:val="20"/>
          <w:color w:val="auto"/>
        </w:rPr>
      </w:pPr>
      <w:r>
        <w:rPr>
          <w:rFonts w:ascii="Arial" w:cs="Arial" w:eastAsia="Arial" w:hAnsi="Arial"/>
          <w:sz w:val="21"/>
          <w:szCs w:val="21"/>
          <w:color w:val="auto"/>
        </w:rPr>
        <w:t>Federal and state securities laws prohibit individuals from trading in the securities of a company while they are aware of material information about that company that is not generally known or available to the public. Such trading is often referred to as “insider trading.” The purpose of this Insider Trading Policy (this “Policy”) is to prevent insider</w:t>
      </w:r>
    </w:p>
    <w:p>
      <w:pPr>
        <w:jc w:val="both"/>
        <w:spacing w:after="0" w:line="227" w:lineRule="auto"/>
        <w:rPr>
          <w:sz w:val="20"/>
          <w:szCs w:val="20"/>
          <w:color w:val="auto"/>
        </w:rPr>
      </w:pPr>
      <w:r>
        <w:rPr>
          <w:rFonts w:ascii="Arial" w:cs="Arial" w:eastAsia="Arial" w:hAnsi="Arial"/>
          <w:sz w:val="22"/>
          <w:szCs w:val="22"/>
          <w:color w:val="auto"/>
        </w:rPr>
        <w:t>trading or allegations of insider trading, and to protect the reputation for integrity and ethical conduct of Option Care Health, Inc. (“Option Care Health”).</w:t>
      </w:r>
    </w:p>
    <w:p>
      <w:pPr>
        <w:spacing w:after="0" w:line="190" w:lineRule="exact"/>
        <w:rPr>
          <w:sz w:val="20"/>
          <w:szCs w:val="20"/>
          <w:color w:val="auto"/>
        </w:rPr>
      </w:pPr>
    </w:p>
    <w:p>
      <w:pPr>
        <w:ind w:left="100"/>
        <w:spacing w:after="0"/>
        <w:rPr>
          <w:sz w:val="20"/>
          <w:szCs w:val="20"/>
          <w:color w:val="auto"/>
        </w:rPr>
      </w:pPr>
      <w:r>
        <w:rPr>
          <w:rFonts w:ascii="Arial" w:cs="Arial" w:eastAsia="Arial" w:hAnsi="Arial"/>
          <w:sz w:val="22"/>
          <w:szCs w:val="22"/>
          <w:color w:val="auto"/>
        </w:rPr>
        <w:t>POLICY:</w:t>
      </w:r>
    </w:p>
    <w:p>
      <w:pPr>
        <w:ind w:left="260"/>
        <w:spacing w:after="0" w:line="227" w:lineRule="auto"/>
        <w:rPr>
          <w:sz w:val="20"/>
          <w:szCs w:val="20"/>
          <w:color w:val="auto"/>
        </w:rPr>
      </w:pPr>
      <w:r>
        <w:rPr>
          <w:rFonts w:ascii="Arial" w:cs="Arial" w:eastAsia="Arial" w:hAnsi="Arial"/>
          <w:sz w:val="22"/>
          <w:szCs w:val="22"/>
          <w:color w:val="auto"/>
        </w:rPr>
        <w:t>Applicability of Policy and Certain Definitions</w:t>
      </w:r>
    </w:p>
    <w:p>
      <w:pPr>
        <w:jc w:val="right"/>
        <w:ind w:left="340"/>
        <w:spacing w:after="0" w:line="221" w:lineRule="auto"/>
        <w:rPr>
          <w:sz w:val="20"/>
          <w:szCs w:val="20"/>
          <w:color w:val="auto"/>
        </w:rPr>
      </w:pPr>
      <w:r>
        <w:rPr>
          <w:rFonts w:ascii="Arial" w:cs="Arial" w:eastAsia="Arial" w:hAnsi="Arial"/>
          <w:sz w:val="20"/>
          <w:szCs w:val="20"/>
          <w:color w:val="auto"/>
        </w:rPr>
        <w:t xml:space="preserve">A.  </w:t>
      </w:r>
      <w:r>
        <w:rPr>
          <w:rFonts w:ascii="Arial" w:cs="Arial" w:eastAsia="Arial" w:hAnsi="Arial"/>
          <w:sz w:val="21"/>
          <w:szCs w:val="21"/>
          <w:b w:val="1"/>
          <w:bCs w:val="1"/>
          <w:i w:val="1"/>
          <w:iCs w:val="1"/>
          <w:color w:val="auto"/>
        </w:rPr>
        <w:t>Material Nonpublic Information</w:t>
      </w:r>
      <w:r>
        <w:rPr>
          <w:rFonts w:ascii="Arial" w:cs="Arial" w:eastAsia="Arial" w:hAnsi="Arial"/>
          <w:sz w:val="20"/>
          <w:szCs w:val="20"/>
          <w:color w:val="auto"/>
        </w:rPr>
        <w:t xml:space="preserve"> </w:t>
      </w:r>
      <w:r>
        <w:rPr>
          <w:rFonts w:ascii="Arial" w:cs="Arial" w:eastAsia="Arial" w:hAnsi="Arial"/>
          <w:sz w:val="21"/>
          <w:szCs w:val="21"/>
          <w:color w:val="auto"/>
        </w:rPr>
        <w:t>means material information (described below) that has either not been</w:t>
      </w:r>
      <w:r>
        <w:rPr>
          <w:rFonts w:ascii="Arial" w:cs="Arial" w:eastAsia="Arial" w:hAnsi="Arial"/>
          <w:sz w:val="20"/>
          <w:szCs w:val="20"/>
          <w:color w:val="auto"/>
        </w:rPr>
        <w:t xml:space="preserve"> </w:t>
      </w:r>
      <w:r>
        <w:rPr>
          <w:rFonts w:ascii="Arial" w:cs="Arial" w:eastAsia="Arial" w:hAnsi="Arial"/>
          <w:sz w:val="21"/>
          <w:szCs w:val="21"/>
          <w:color w:val="auto"/>
        </w:rPr>
        <w:t>disclosed to the public generally or has been disclosed so recently that sufficient time has not yet passed to</w:t>
      </w:r>
    </w:p>
    <w:p>
      <w:pPr>
        <w:spacing w:after="0" w:line="1" w:lineRule="exact"/>
        <w:rPr>
          <w:sz w:val="20"/>
          <w:szCs w:val="20"/>
          <w:color w:val="auto"/>
        </w:rPr>
      </w:pPr>
    </w:p>
    <w:p>
      <w:pPr>
        <w:jc w:val="both"/>
        <w:ind w:left="660"/>
        <w:spacing w:after="0" w:line="209" w:lineRule="auto"/>
        <w:rPr>
          <w:sz w:val="20"/>
          <w:szCs w:val="20"/>
          <w:color w:val="auto"/>
        </w:rPr>
      </w:pPr>
      <w:r>
        <w:rPr>
          <w:rFonts w:ascii="Arial" w:cs="Arial" w:eastAsia="Arial" w:hAnsi="Arial"/>
          <w:sz w:val="22"/>
          <w:szCs w:val="22"/>
          <w:color w:val="auto"/>
        </w:rPr>
        <w:t>allow the information to become widely available among investors and the financial community. Generally, information is public only if it has been disseminated through a widely circulated press release, a filing made with the Securities and Exchange Commission or a conference call or webcast that was announced in</w:t>
      </w:r>
    </w:p>
    <w:p>
      <w:pPr>
        <w:ind w:left="660"/>
        <w:spacing w:after="0" w:line="205" w:lineRule="auto"/>
        <w:rPr>
          <w:sz w:val="20"/>
          <w:szCs w:val="20"/>
          <w:color w:val="auto"/>
        </w:rPr>
      </w:pPr>
      <w:r>
        <w:rPr>
          <w:rFonts w:ascii="Arial" w:cs="Arial" w:eastAsia="Arial" w:hAnsi="Arial"/>
          <w:sz w:val="22"/>
          <w:szCs w:val="22"/>
          <w:color w:val="auto"/>
        </w:rPr>
        <w:t>advance and publicly accessible.</w:t>
      </w:r>
    </w:p>
    <w:p>
      <w:pPr>
        <w:spacing w:after="0" w:line="1" w:lineRule="exact"/>
        <w:rPr>
          <w:sz w:val="20"/>
          <w:szCs w:val="20"/>
          <w:color w:val="auto"/>
        </w:rPr>
      </w:pPr>
    </w:p>
    <w:p>
      <w:pPr>
        <w:jc w:val="both"/>
        <w:ind w:left="660" w:hanging="328"/>
        <w:spacing w:after="0" w:line="210" w:lineRule="auto"/>
        <w:tabs>
          <w:tab w:leader="none" w:pos="658" w:val="left"/>
        </w:tabs>
        <w:numPr>
          <w:ilvl w:val="0"/>
          <w:numId w:val="17"/>
        </w:numPr>
        <w:rPr>
          <w:rFonts w:ascii="Arial" w:cs="Arial" w:eastAsia="Arial" w:hAnsi="Arial"/>
          <w:sz w:val="20"/>
          <w:szCs w:val="20"/>
          <w:color w:val="auto"/>
        </w:rPr>
      </w:pPr>
      <w:r>
        <w:rPr>
          <w:rFonts w:ascii="Arial" w:cs="Arial" w:eastAsia="Arial" w:hAnsi="Arial"/>
          <w:sz w:val="22"/>
          <w:szCs w:val="22"/>
          <w:b w:val="1"/>
          <w:bCs w:val="1"/>
          <w:i w:val="1"/>
          <w:iCs w:val="1"/>
          <w:color w:val="auto"/>
        </w:rPr>
        <w:t xml:space="preserve">Material Information </w:t>
      </w:r>
      <w:r>
        <w:rPr>
          <w:rFonts w:ascii="Arial" w:cs="Arial" w:eastAsia="Arial" w:hAnsi="Arial"/>
          <w:sz w:val="22"/>
          <w:szCs w:val="22"/>
          <w:color w:val="auto"/>
        </w:rPr>
        <w:t>means information about a company a reasonable investor would consider important to</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an investment decision, or information that could reasonably be expected to influence the price of that company’s securities. While the materiality of information will depend on the specific facts and circumstances, examples of categories of information that are more likely to be considered material, or may be presumptively material, include:</w:t>
      </w:r>
    </w:p>
    <w:p>
      <w:pPr>
        <w:ind w:left="1300" w:hanging="320"/>
        <w:spacing w:after="0" w:line="230" w:lineRule="auto"/>
        <w:tabs>
          <w:tab w:leader="none" w:pos="1300" w:val="left"/>
        </w:tabs>
        <w:numPr>
          <w:ilvl w:val="1"/>
          <w:numId w:val="17"/>
        </w:numPr>
        <w:rPr>
          <w:rFonts w:ascii="Arial" w:cs="Arial" w:eastAsia="Arial" w:hAnsi="Arial"/>
          <w:sz w:val="20"/>
          <w:szCs w:val="20"/>
          <w:color w:val="auto"/>
        </w:rPr>
      </w:pPr>
      <w:r>
        <w:rPr>
          <w:rFonts w:ascii="Arial" w:cs="Arial" w:eastAsia="Arial" w:hAnsi="Arial"/>
          <w:sz w:val="22"/>
          <w:szCs w:val="22"/>
          <w:color w:val="auto"/>
        </w:rPr>
        <w:t>Financial results or significant changes to financial condition</w:t>
      </w:r>
    </w:p>
    <w:p>
      <w:pPr>
        <w:ind w:left="1300" w:hanging="320"/>
        <w:spacing w:after="0" w:line="230" w:lineRule="auto"/>
        <w:tabs>
          <w:tab w:leader="none" w:pos="1300" w:val="left"/>
        </w:tabs>
        <w:numPr>
          <w:ilvl w:val="1"/>
          <w:numId w:val="17"/>
        </w:numPr>
        <w:rPr>
          <w:rFonts w:ascii="Arial" w:cs="Arial" w:eastAsia="Arial" w:hAnsi="Arial"/>
          <w:sz w:val="20"/>
          <w:szCs w:val="20"/>
          <w:color w:val="auto"/>
        </w:rPr>
      </w:pPr>
      <w:r>
        <w:rPr>
          <w:rFonts w:ascii="Arial" w:cs="Arial" w:eastAsia="Arial" w:hAnsi="Arial"/>
          <w:sz w:val="22"/>
          <w:szCs w:val="22"/>
          <w:color w:val="auto"/>
        </w:rPr>
        <w:t>Projections of future financial results, including earnings or losses</w:t>
      </w:r>
    </w:p>
    <w:p>
      <w:pPr>
        <w:ind w:left="1300" w:hanging="320"/>
        <w:spacing w:after="0" w:line="230" w:lineRule="auto"/>
        <w:tabs>
          <w:tab w:leader="none" w:pos="1300" w:val="left"/>
        </w:tabs>
        <w:numPr>
          <w:ilvl w:val="1"/>
          <w:numId w:val="17"/>
        </w:numPr>
        <w:rPr>
          <w:rFonts w:ascii="Arial" w:cs="Arial" w:eastAsia="Arial" w:hAnsi="Arial"/>
          <w:sz w:val="20"/>
          <w:szCs w:val="20"/>
          <w:color w:val="auto"/>
        </w:rPr>
      </w:pPr>
      <w:r>
        <w:rPr>
          <w:rFonts w:ascii="Arial" w:cs="Arial" w:eastAsia="Arial" w:hAnsi="Arial"/>
          <w:sz w:val="22"/>
          <w:szCs w:val="22"/>
          <w:color w:val="auto"/>
        </w:rPr>
        <w:t>Significant new products or services</w:t>
      </w:r>
    </w:p>
    <w:p>
      <w:pPr>
        <w:ind w:left="1300" w:hanging="320"/>
        <w:spacing w:after="0" w:line="230" w:lineRule="auto"/>
        <w:tabs>
          <w:tab w:leader="none" w:pos="1300" w:val="left"/>
        </w:tabs>
        <w:numPr>
          <w:ilvl w:val="1"/>
          <w:numId w:val="17"/>
        </w:numPr>
        <w:rPr>
          <w:rFonts w:ascii="Arial" w:cs="Arial" w:eastAsia="Arial" w:hAnsi="Arial"/>
          <w:sz w:val="20"/>
          <w:szCs w:val="20"/>
          <w:color w:val="auto"/>
        </w:rPr>
      </w:pPr>
      <w:r>
        <w:rPr>
          <w:rFonts w:ascii="Arial" w:cs="Arial" w:eastAsia="Arial" w:hAnsi="Arial"/>
          <w:sz w:val="22"/>
          <w:szCs w:val="22"/>
          <w:color w:val="auto"/>
        </w:rPr>
        <w:t>Significant pricing changes</w:t>
      </w:r>
    </w:p>
    <w:p>
      <w:pPr>
        <w:ind w:left="1300" w:hanging="320"/>
        <w:spacing w:after="0" w:line="230" w:lineRule="auto"/>
        <w:tabs>
          <w:tab w:leader="none" w:pos="1300" w:val="left"/>
        </w:tabs>
        <w:numPr>
          <w:ilvl w:val="1"/>
          <w:numId w:val="17"/>
        </w:numPr>
        <w:rPr>
          <w:rFonts w:ascii="Arial" w:cs="Arial" w:eastAsia="Arial" w:hAnsi="Arial"/>
          <w:sz w:val="20"/>
          <w:szCs w:val="20"/>
          <w:color w:val="auto"/>
        </w:rPr>
      </w:pPr>
      <w:r>
        <w:rPr>
          <w:rFonts w:ascii="Arial" w:cs="Arial" w:eastAsia="Arial" w:hAnsi="Arial"/>
          <w:sz w:val="22"/>
          <w:szCs w:val="22"/>
          <w:color w:val="auto"/>
        </w:rPr>
        <w:t>Gain or loss of a major contract or strategic alliance</w:t>
      </w:r>
    </w:p>
    <w:p>
      <w:pPr>
        <w:ind w:left="1300" w:hanging="320"/>
        <w:spacing w:after="0" w:line="230" w:lineRule="auto"/>
        <w:tabs>
          <w:tab w:leader="none" w:pos="1300" w:val="left"/>
        </w:tabs>
        <w:numPr>
          <w:ilvl w:val="1"/>
          <w:numId w:val="17"/>
        </w:numPr>
        <w:rPr>
          <w:rFonts w:ascii="Arial" w:cs="Arial" w:eastAsia="Arial" w:hAnsi="Arial"/>
          <w:sz w:val="20"/>
          <w:szCs w:val="20"/>
          <w:color w:val="auto"/>
        </w:rPr>
      </w:pPr>
      <w:r>
        <w:rPr>
          <w:rFonts w:ascii="Arial" w:cs="Arial" w:eastAsia="Arial" w:hAnsi="Arial"/>
          <w:sz w:val="22"/>
          <w:szCs w:val="22"/>
          <w:color w:val="auto"/>
        </w:rPr>
        <w:t>New equity or debt offerings or other significant financing transactions</w:t>
      </w:r>
    </w:p>
    <w:p>
      <w:pPr>
        <w:ind w:left="1300" w:hanging="320"/>
        <w:spacing w:after="0" w:line="230" w:lineRule="auto"/>
        <w:tabs>
          <w:tab w:leader="none" w:pos="1300" w:val="left"/>
        </w:tabs>
        <w:numPr>
          <w:ilvl w:val="1"/>
          <w:numId w:val="17"/>
        </w:numPr>
        <w:rPr>
          <w:rFonts w:ascii="Arial" w:cs="Arial" w:eastAsia="Arial" w:hAnsi="Arial"/>
          <w:sz w:val="20"/>
          <w:szCs w:val="20"/>
          <w:color w:val="auto"/>
        </w:rPr>
      </w:pPr>
      <w:r>
        <w:rPr>
          <w:rFonts w:ascii="Arial" w:cs="Arial" w:eastAsia="Arial" w:hAnsi="Arial"/>
          <w:sz w:val="22"/>
          <w:szCs w:val="22"/>
          <w:color w:val="auto"/>
        </w:rPr>
        <w:t>Significant litigation or regulatory exposure due to actual or threatened litigation or regulatory action</w:t>
      </w:r>
    </w:p>
    <w:p>
      <w:pPr>
        <w:ind w:left="1300" w:hanging="320"/>
        <w:spacing w:after="0" w:line="230" w:lineRule="auto"/>
        <w:tabs>
          <w:tab w:leader="none" w:pos="1300" w:val="left"/>
        </w:tabs>
        <w:numPr>
          <w:ilvl w:val="1"/>
          <w:numId w:val="17"/>
        </w:numPr>
        <w:rPr>
          <w:rFonts w:ascii="Arial" w:cs="Arial" w:eastAsia="Arial" w:hAnsi="Arial"/>
          <w:sz w:val="20"/>
          <w:szCs w:val="20"/>
          <w:color w:val="auto"/>
        </w:rPr>
      </w:pPr>
      <w:r>
        <w:rPr>
          <w:rFonts w:ascii="Arial" w:cs="Arial" w:eastAsia="Arial" w:hAnsi="Arial"/>
          <w:sz w:val="22"/>
          <w:szCs w:val="22"/>
          <w:color w:val="auto"/>
        </w:rPr>
        <w:t>Significant cybersecurity incidents</w:t>
      </w:r>
    </w:p>
    <w:p>
      <w:pPr>
        <w:ind w:left="1300" w:hanging="320"/>
        <w:spacing w:after="0" w:line="230" w:lineRule="auto"/>
        <w:tabs>
          <w:tab w:leader="none" w:pos="1300" w:val="left"/>
        </w:tabs>
        <w:numPr>
          <w:ilvl w:val="1"/>
          <w:numId w:val="17"/>
        </w:numPr>
        <w:rPr>
          <w:rFonts w:ascii="Arial" w:cs="Arial" w:eastAsia="Arial" w:hAnsi="Arial"/>
          <w:sz w:val="20"/>
          <w:szCs w:val="20"/>
          <w:color w:val="auto"/>
        </w:rPr>
      </w:pPr>
      <w:r>
        <w:rPr>
          <w:rFonts w:ascii="Arial" w:cs="Arial" w:eastAsia="Arial" w:hAnsi="Arial"/>
          <w:sz w:val="22"/>
          <w:szCs w:val="22"/>
          <w:color w:val="auto"/>
        </w:rPr>
        <w:t>Major management changes or changes in control of the company</w:t>
      </w:r>
    </w:p>
    <w:p>
      <w:pPr>
        <w:ind w:left="1300" w:hanging="320"/>
        <w:spacing w:after="0" w:line="217" w:lineRule="auto"/>
        <w:tabs>
          <w:tab w:leader="none" w:pos="1300" w:val="left"/>
        </w:tabs>
        <w:numPr>
          <w:ilvl w:val="1"/>
          <w:numId w:val="17"/>
        </w:numPr>
        <w:rPr>
          <w:rFonts w:ascii="Arial" w:cs="Arial" w:eastAsia="Arial" w:hAnsi="Arial"/>
          <w:sz w:val="20"/>
          <w:szCs w:val="20"/>
          <w:color w:val="auto"/>
        </w:rPr>
      </w:pPr>
      <w:r>
        <w:rPr>
          <w:rFonts w:ascii="Arial" w:cs="Arial" w:eastAsia="Arial" w:hAnsi="Arial"/>
          <w:sz w:val="22"/>
          <w:szCs w:val="22"/>
          <w:color w:val="auto"/>
        </w:rPr>
        <w:t>News of a pending or proposed merger, or significant divestiture or acquisition</w:t>
      </w:r>
    </w:p>
    <w:p>
      <w:pPr>
        <w:ind w:left="1300" w:hanging="320"/>
        <w:spacing w:after="0" w:line="230" w:lineRule="auto"/>
        <w:tabs>
          <w:tab w:leader="none" w:pos="1300" w:val="left"/>
        </w:tabs>
        <w:numPr>
          <w:ilvl w:val="1"/>
          <w:numId w:val="17"/>
        </w:numPr>
        <w:rPr>
          <w:rFonts w:ascii="Arial" w:cs="Arial" w:eastAsia="Arial" w:hAnsi="Arial"/>
          <w:sz w:val="20"/>
          <w:szCs w:val="20"/>
          <w:color w:val="auto"/>
        </w:rPr>
      </w:pPr>
      <w:r>
        <w:rPr>
          <w:rFonts w:ascii="Arial" w:cs="Arial" w:eastAsia="Arial" w:hAnsi="Arial"/>
          <w:sz w:val="22"/>
          <w:szCs w:val="22"/>
          <w:color w:val="auto"/>
        </w:rPr>
        <w:t>Default under a significant financing arrangement, or financial liquidity problems</w:t>
      </w:r>
    </w:p>
    <w:p>
      <w:pPr>
        <w:ind w:left="1300" w:hanging="320"/>
        <w:spacing w:after="0" w:line="230" w:lineRule="auto"/>
        <w:tabs>
          <w:tab w:leader="none" w:pos="1300" w:val="left"/>
        </w:tabs>
        <w:numPr>
          <w:ilvl w:val="1"/>
          <w:numId w:val="17"/>
        </w:numPr>
        <w:rPr>
          <w:rFonts w:ascii="Arial" w:cs="Arial" w:eastAsia="Arial" w:hAnsi="Arial"/>
          <w:sz w:val="20"/>
          <w:szCs w:val="20"/>
          <w:color w:val="auto"/>
        </w:rPr>
      </w:pPr>
      <w:r>
        <w:rPr>
          <w:rFonts w:ascii="Arial" w:cs="Arial" w:eastAsia="Arial" w:hAnsi="Arial"/>
          <w:sz w:val="22"/>
          <w:szCs w:val="22"/>
          <w:color w:val="auto"/>
        </w:rPr>
        <w:t>Major restructuring actions or asset impairments</w:t>
      </w:r>
    </w:p>
    <w:p>
      <w:pPr>
        <w:ind w:left="1300" w:hanging="320"/>
        <w:spacing w:after="0" w:line="230" w:lineRule="auto"/>
        <w:tabs>
          <w:tab w:leader="none" w:pos="1300" w:val="left"/>
        </w:tabs>
        <w:numPr>
          <w:ilvl w:val="1"/>
          <w:numId w:val="17"/>
        </w:numPr>
        <w:rPr>
          <w:rFonts w:ascii="Arial" w:cs="Arial" w:eastAsia="Arial" w:hAnsi="Arial"/>
          <w:sz w:val="20"/>
          <w:szCs w:val="20"/>
          <w:color w:val="auto"/>
        </w:rPr>
      </w:pPr>
      <w:r>
        <w:rPr>
          <w:rFonts w:ascii="Arial" w:cs="Arial" w:eastAsia="Arial" w:hAnsi="Arial"/>
          <w:sz w:val="22"/>
          <w:szCs w:val="22"/>
          <w:color w:val="auto"/>
        </w:rPr>
        <w:t>Changes in auditors</w:t>
      </w:r>
    </w:p>
    <w:p>
      <w:pPr>
        <w:ind w:left="1300" w:right="120" w:hanging="320"/>
        <w:spacing w:after="0" w:line="230" w:lineRule="auto"/>
        <w:tabs>
          <w:tab w:leader="none" w:pos="1289" w:val="left"/>
        </w:tabs>
        <w:numPr>
          <w:ilvl w:val="1"/>
          <w:numId w:val="17"/>
        </w:numPr>
        <w:rPr>
          <w:rFonts w:ascii="Arial" w:cs="Arial" w:eastAsia="Arial" w:hAnsi="Arial"/>
          <w:sz w:val="20"/>
          <w:szCs w:val="20"/>
          <w:color w:val="auto"/>
        </w:rPr>
      </w:pPr>
      <w:r>
        <w:rPr>
          <w:rFonts w:ascii="Arial" w:cs="Arial" w:eastAsia="Arial" w:hAnsi="Arial"/>
          <w:sz w:val="22"/>
          <w:szCs w:val="22"/>
          <w:color w:val="auto"/>
        </w:rPr>
        <w:t>Major events regarding a company’s securities (such as defaults, redemptions, stock splits, repurchase plans, changes in dividends)</w:t>
      </w:r>
    </w:p>
    <w:p>
      <w:pPr>
        <w:spacing w:after="0" w:line="1" w:lineRule="exact"/>
        <w:rPr>
          <w:sz w:val="20"/>
          <w:szCs w:val="20"/>
          <w:color w:val="auto"/>
        </w:rPr>
      </w:pPr>
    </w:p>
    <w:p>
      <w:pPr>
        <w:ind w:left="640" w:hanging="308"/>
        <w:spacing w:after="0"/>
        <w:tabs>
          <w:tab w:leader="none" w:pos="640" w:val="left"/>
        </w:tabs>
        <w:numPr>
          <w:ilvl w:val="0"/>
          <w:numId w:val="18"/>
        </w:numPr>
        <w:rPr>
          <w:rFonts w:ascii="Arial" w:cs="Arial" w:eastAsia="Arial" w:hAnsi="Arial"/>
          <w:sz w:val="20"/>
          <w:szCs w:val="20"/>
          <w:color w:val="auto"/>
        </w:rPr>
      </w:pPr>
      <w:r>
        <w:rPr>
          <w:rFonts w:ascii="Arial" w:cs="Arial" w:eastAsia="Arial" w:hAnsi="Arial"/>
          <w:sz w:val="22"/>
          <w:szCs w:val="22"/>
          <w:b w:val="1"/>
          <w:bCs w:val="1"/>
          <w:i w:val="1"/>
          <w:iCs w:val="1"/>
          <w:color w:val="auto"/>
        </w:rPr>
        <w:t>Covered Persons</w:t>
      </w:r>
      <w:r>
        <w:rPr>
          <w:rFonts w:ascii="Arial" w:cs="Arial" w:eastAsia="Arial" w:hAnsi="Arial"/>
          <w:sz w:val="22"/>
          <w:szCs w:val="22"/>
          <w:b w:val="1"/>
          <w:bCs w:val="1"/>
          <w:color w:val="auto"/>
        </w:rPr>
        <w:t>.</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This Policy applies to:</w:t>
      </w:r>
    </w:p>
    <w:p>
      <w:pPr>
        <w:sectPr>
          <w:pgSz w:w="11900" w:h="16838" w:orient="portrait"/>
          <w:cols w:equalWidth="0" w:num="1">
            <w:col w:w="11240"/>
          </w:cols>
          <w:pgMar w:left="320" w:top="1440" w:right="339" w:bottom="1440" w:gutter="0" w:footer="0" w:header="0"/>
        </w:sectPr>
      </w:pPr>
    </w:p>
    <w:bookmarkStart w:id="81" w:name="page82"/>
    <w:bookmarkEnd w:id="81"/>
    <w:p>
      <w:pPr>
        <w:jc w:val="both"/>
        <w:ind w:left="660" w:hanging="328"/>
        <w:spacing w:after="0" w:line="219" w:lineRule="auto"/>
        <w:tabs>
          <w:tab w:leader="none" w:pos="649" w:val="left"/>
        </w:tabs>
        <w:numPr>
          <w:ilvl w:val="0"/>
          <w:numId w:val="19"/>
        </w:numPr>
        <w:rPr>
          <w:rFonts w:ascii="Arial" w:cs="Arial" w:eastAsia="Arial" w:hAnsi="Arial"/>
          <w:sz w:val="20"/>
          <w:szCs w:val="20"/>
          <w:color w:val="auto"/>
        </w:rPr>
      </w:pPr>
      <w:r>
        <w:rPr>
          <w:rFonts w:ascii="Arial" w:cs="Arial" w:eastAsia="Arial" w:hAnsi="Arial"/>
          <w:sz w:val="22"/>
          <w:szCs w:val="22"/>
          <w:i w:val="1"/>
          <w:iCs w:val="1"/>
          <w:color w:val="auto"/>
        </w:rPr>
        <w:t xml:space="preserve">All Option Care Health Personnel. </w:t>
      </w:r>
      <w:r>
        <w:rPr>
          <w:rFonts w:ascii="Arial" w:cs="Arial" w:eastAsia="Arial" w:hAnsi="Arial"/>
          <w:sz w:val="22"/>
          <w:szCs w:val="22"/>
          <w:color w:val="auto"/>
        </w:rPr>
        <w:t>All directors, officers and employees of Option Care Health and its</w:t>
      </w:r>
      <w:r>
        <w:rPr>
          <w:rFonts w:ascii="Arial" w:cs="Arial" w:eastAsia="Arial" w:hAnsi="Arial"/>
          <w:sz w:val="22"/>
          <w:szCs w:val="22"/>
          <w:i w:val="1"/>
          <w:iCs w:val="1"/>
          <w:color w:val="auto"/>
        </w:rPr>
        <w:t xml:space="preserve"> </w:t>
      </w:r>
      <w:r>
        <w:rPr>
          <w:rFonts w:ascii="Arial" w:cs="Arial" w:eastAsia="Arial" w:hAnsi="Arial"/>
          <w:sz w:val="22"/>
          <w:szCs w:val="22"/>
          <w:color w:val="auto"/>
        </w:rPr>
        <w:t>subsidiaries (“Option Care Health Personnel”), as well as members of their immediate families and others living in the same household.</w:t>
      </w:r>
    </w:p>
    <w:p>
      <w:pPr>
        <w:spacing w:after="0" w:line="2" w:lineRule="exact"/>
        <w:rPr>
          <w:rFonts w:ascii="Arial" w:cs="Arial" w:eastAsia="Arial" w:hAnsi="Arial"/>
          <w:sz w:val="20"/>
          <w:szCs w:val="20"/>
          <w:color w:val="auto"/>
        </w:rPr>
      </w:pPr>
    </w:p>
    <w:p>
      <w:pPr>
        <w:jc w:val="both"/>
        <w:ind w:left="660" w:hanging="328"/>
        <w:spacing w:after="0" w:line="217" w:lineRule="auto"/>
        <w:tabs>
          <w:tab w:leader="none" w:pos="649" w:val="left"/>
        </w:tabs>
        <w:numPr>
          <w:ilvl w:val="0"/>
          <w:numId w:val="19"/>
        </w:numPr>
        <w:rPr>
          <w:rFonts w:ascii="Arial" w:cs="Arial" w:eastAsia="Arial" w:hAnsi="Arial"/>
          <w:sz w:val="20"/>
          <w:szCs w:val="20"/>
          <w:color w:val="auto"/>
        </w:rPr>
      </w:pPr>
      <w:r>
        <w:rPr>
          <w:rFonts w:ascii="Arial" w:cs="Arial" w:eastAsia="Arial" w:hAnsi="Arial"/>
          <w:sz w:val="22"/>
          <w:szCs w:val="22"/>
          <w:i w:val="1"/>
          <w:iCs w:val="1"/>
          <w:color w:val="auto"/>
        </w:rPr>
        <w:t>Related Parties. Any other person or entity, including a trust, corporation, partnership or other association, whose transactions in Option Care Health’s securities are directed by any person covered by paragraph C(1) or are subject to that person’s influence or control</w:t>
      </w:r>
      <w:r>
        <w:rPr>
          <w:rFonts w:ascii="Arial" w:cs="Arial" w:eastAsia="Arial" w:hAnsi="Arial"/>
          <w:sz w:val="22"/>
          <w:szCs w:val="22"/>
          <w:color w:val="auto"/>
        </w:rPr>
        <w:t>.</w:t>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color w:val="auto"/>
        </w:rPr>
        <w:t>The individuals and entities described in paragraphs C(1) and C(2) are “Covered Persons.”</w:t>
      </w:r>
    </w:p>
    <w:p>
      <w:pPr>
        <w:spacing w:after="0" w:line="213" w:lineRule="exact"/>
        <w:rPr>
          <w:sz w:val="20"/>
          <w:szCs w:val="20"/>
          <w:color w:val="auto"/>
        </w:rPr>
      </w:pPr>
    </w:p>
    <w:p>
      <w:pPr>
        <w:ind w:right="60" w:firstLine="252"/>
        <w:spacing w:after="0" w:line="234" w:lineRule="auto"/>
        <w:rPr>
          <w:sz w:val="20"/>
          <w:szCs w:val="20"/>
          <w:color w:val="auto"/>
        </w:rPr>
      </w:pPr>
      <w:r>
        <w:rPr>
          <w:rFonts w:ascii="Arial" w:cs="Arial" w:eastAsia="Arial" w:hAnsi="Arial"/>
          <w:sz w:val="22"/>
          <w:szCs w:val="22"/>
          <w:color w:val="auto"/>
        </w:rPr>
        <w:t>In the event of a termination of employment or service to Option Care Health, any person who ceases to be a Covered Person when they are aware of material nonpublic information will continue to be subject to the restrictions of this Policy until that information becomes public or is no longer material. Accordingly, the blackout periods and pre-clearance may continue to apply after ceasing to be a Covered Person based on the circumstances at the time of separation.</w:t>
      </w:r>
    </w:p>
    <w:p>
      <w:pPr>
        <w:spacing w:after="0" w:line="2" w:lineRule="exact"/>
        <w:rPr>
          <w:sz w:val="20"/>
          <w:szCs w:val="20"/>
          <w:color w:val="auto"/>
        </w:rPr>
      </w:pPr>
    </w:p>
    <w:p>
      <w:pPr>
        <w:jc w:val="both"/>
        <w:ind w:left="660" w:hanging="328"/>
        <w:spacing w:after="0" w:line="238" w:lineRule="auto"/>
        <w:tabs>
          <w:tab w:leader="none" w:pos="648" w:val="left"/>
        </w:tabs>
        <w:numPr>
          <w:ilvl w:val="0"/>
          <w:numId w:val="20"/>
        </w:numPr>
        <w:rPr>
          <w:rFonts w:ascii="Arial" w:cs="Arial" w:eastAsia="Arial" w:hAnsi="Arial"/>
          <w:sz w:val="19"/>
          <w:szCs w:val="19"/>
          <w:color w:val="auto"/>
        </w:rPr>
      </w:pPr>
      <w:r>
        <w:rPr>
          <w:rFonts w:ascii="Arial" w:cs="Arial" w:eastAsia="Arial" w:hAnsi="Arial"/>
          <w:sz w:val="21"/>
          <w:szCs w:val="21"/>
          <w:b w:val="1"/>
          <w:bCs w:val="1"/>
          <w:i w:val="1"/>
          <w:iCs w:val="1"/>
          <w:color w:val="auto"/>
        </w:rPr>
        <w:t>Covered Transactions</w:t>
      </w:r>
      <w:r>
        <w:rPr>
          <w:rFonts w:ascii="Arial" w:cs="Arial" w:eastAsia="Arial" w:hAnsi="Arial"/>
          <w:sz w:val="21"/>
          <w:szCs w:val="21"/>
          <w:b w:val="1"/>
          <w:bCs w:val="1"/>
          <w:color w:val="auto"/>
        </w:rPr>
        <w:t>.</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The securities trading that this Policy covers includes purchases and sales of Option</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Care Health common stock, options to acquire common stock and any other securities Option Care Health may issue from time to time, such as preferred stock, warrants and convertible debentures, and purchases and sales of derivative securities relating to Option Care Health’s stock, whether or not issued by Option Care Health, such as exchange- traded options. Trading covered by this Policy may or may not include transactions</w:t>
      </w:r>
    </w:p>
    <w:p>
      <w:pPr>
        <w:ind w:left="660"/>
        <w:spacing w:after="0" w:line="221" w:lineRule="auto"/>
        <w:rPr>
          <w:sz w:val="20"/>
          <w:szCs w:val="20"/>
          <w:color w:val="auto"/>
        </w:rPr>
      </w:pPr>
      <w:r>
        <w:rPr>
          <w:rFonts w:ascii="Arial" w:cs="Arial" w:eastAsia="Arial" w:hAnsi="Arial"/>
          <w:sz w:val="22"/>
          <w:szCs w:val="22"/>
          <w:color w:val="auto"/>
        </w:rPr>
        <w:t>under Option Care Health sponsored plans as follows:</w:t>
      </w:r>
    </w:p>
    <w:p>
      <w:pPr>
        <w:spacing w:after="0" w:line="1" w:lineRule="exact"/>
        <w:rPr>
          <w:sz w:val="20"/>
          <w:szCs w:val="20"/>
          <w:color w:val="auto"/>
        </w:rPr>
      </w:pPr>
    </w:p>
    <w:p>
      <w:pPr>
        <w:jc w:val="both"/>
        <w:ind w:left="660" w:hanging="328"/>
        <w:spacing w:after="0" w:line="212" w:lineRule="auto"/>
        <w:tabs>
          <w:tab w:leader="none" w:pos="649" w:val="left"/>
        </w:tabs>
        <w:numPr>
          <w:ilvl w:val="0"/>
          <w:numId w:val="21"/>
        </w:numPr>
        <w:rPr>
          <w:rFonts w:ascii="Arial" w:cs="Arial" w:eastAsia="Arial" w:hAnsi="Arial"/>
          <w:sz w:val="20"/>
          <w:szCs w:val="20"/>
          <w:color w:val="auto"/>
        </w:rPr>
      </w:pPr>
      <w:r>
        <w:rPr>
          <w:rFonts w:ascii="Arial" w:cs="Arial" w:eastAsia="Arial" w:hAnsi="Arial"/>
          <w:sz w:val="22"/>
          <w:szCs w:val="22"/>
          <w:i w:val="1"/>
          <w:iCs w:val="1"/>
          <w:color w:val="auto"/>
        </w:rPr>
        <w:t xml:space="preserve">Stock Option Exercises. </w:t>
      </w:r>
      <w:r>
        <w:rPr>
          <w:rFonts w:ascii="Arial" w:cs="Arial" w:eastAsia="Arial" w:hAnsi="Arial"/>
          <w:sz w:val="22"/>
          <w:szCs w:val="22"/>
          <w:color w:val="auto"/>
        </w:rPr>
        <w:t>The Policy’s trading restrictions do not apply to the purchase of Option Care Health</w:t>
      </w:r>
      <w:r>
        <w:rPr>
          <w:rFonts w:ascii="Arial" w:cs="Arial" w:eastAsia="Arial" w:hAnsi="Arial"/>
          <w:sz w:val="22"/>
          <w:szCs w:val="22"/>
          <w:i w:val="1"/>
          <w:iCs w:val="1"/>
          <w:color w:val="auto"/>
        </w:rPr>
        <w:t xml:space="preserve"> </w:t>
      </w:r>
      <w:r>
        <w:rPr>
          <w:rFonts w:ascii="Arial" w:cs="Arial" w:eastAsia="Arial" w:hAnsi="Arial"/>
          <w:sz w:val="22"/>
          <w:szCs w:val="22"/>
          <w:color w:val="auto"/>
        </w:rPr>
        <w:t>stock through the exercise of stock options granted by Option Care Health (whether by cash exercise, stock swap or net exercise, to the extent such forms of exercise are permitted by Option Care Health). The trading restrictions do apply to any subsequent sale of Option Care Health stock acquired through an option exercise; and, therefore, do apply to a broker-assisted cashless exercise.</w:t>
      </w:r>
    </w:p>
    <w:p>
      <w:pPr>
        <w:spacing w:after="0" w:line="3" w:lineRule="exact"/>
        <w:rPr>
          <w:rFonts w:ascii="Arial" w:cs="Arial" w:eastAsia="Arial" w:hAnsi="Arial"/>
          <w:sz w:val="20"/>
          <w:szCs w:val="20"/>
          <w:color w:val="auto"/>
        </w:rPr>
      </w:pPr>
    </w:p>
    <w:p>
      <w:pPr>
        <w:jc w:val="both"/>
        <w:ind w:left="660" w:hanging="328"/>
        <w:spacing w:after="0" w:line="212" w:lineRule="auto"/>
        <w:tabs>
          <w:tab w:leader="none" w:pos="649" w:val="left"/>
        </w:tabs>
        <w:numPr>
          <w:ilvl w:val="0"/>
          <w:numId w:val="21"/>
        </w:numPr>
        <w:rPr>
          <w:rFonts w:ascii="Arial" w:cs="Arial" w:eastAsia="Arial" w:hAnsi="Arial"/>
          <w:sz w:val="20"/>
          <w:szCs w:val="20"/>
          <w:color w:val="auto"/>
        </w:rPr>
      </w:pPr>
      <w:r>
        <w:rPr>
          <w:rFonts w:ascii="Arial" w:cs="Arial" w:eastAsia="Arial" w:hAnsi="Arial"/>
          <w:sz w:val="22"/>
          <w:szCs w:val="22"/>
          <w:i w:val="1"/>
          <w:iCs w:val="1"/>
          <w:color w:val="auto"/>
        </w:rPr>
        <w:t>Restricted Stock/Unit and Performance Stock/Unit Awards</w:t>
      </w:r>
      <w:r>
        <w:rPr>
          <w:rFonts w:ascii="Arial" w:cs="Arial" w:eastAsia="Arial" w:hAnsi="Arial"/>
          <w:sz w:val="22"/>
          <w:szCs w:val="22"/>
          <w:color w:val="auto"/>
        </w:rPr>
        <w:t>. The Policy’s trading restrictions do not apply to the</w:t>
      </w:r>
      <w:r>
        <w:rPr>
          <w:rFonts w:ascii="Arial" w:cs="Arial" w:eastAsia="Arial" w:hAnsi="Arial"/>
          <w:sz w:val="22"/>
          <w:szCs w:val="22"/>
          <w:i w:val="1"/>
          <w:iCs w:val="1"/>
          <w:color w:val="auto"/>
        </w:rPr>
        <w:t xml:space="preserve"> </w:t>
      </w:r>
      <w:r>
        <w:rPr>
          <w:rFonts w:ascii="Arial" w:cs="Arial" w:eastAsia="Arial" w:hAnsi="Arial"/>
          <w:sz w:val="22"/>
          <w:szCs w:val="22"/>
          <w:color w:val="auto"/>
        </w:rPr>
        <w:t>vesting of restricted stock/units or performance stock/units, or to the exercise of a tax withholding right pursuant to which the person elects to have Option Care Health withhold shares of stock to satisfy tax withholding requirements upon vesting, to the extent such withholding is permitted by Option Care Health. The trading restrictions do apply to any market sales of shares.</w:t>
      </w:r>
    </w:p>
    <w:p>
      <w:pPr>
        <w:spacing w:after="0" w:line="3" w:lineRule="exact"/>
        <w:rPr>
          <w:rFonts w:ascii="Arial" w:cs="Arial" w:eastAsia="Arial" w:hAnsi="Arial"/>
          <w:sz w:val="20"/>
          <w:szCs w:val="20"/>
          <w:color w:val="auto"/>
        </w:rPr>
      </w:pPr>
    </w:p>
    <w:p>
      <w:pPr>
        <w:jc w:val="both"/>
        <w:ind w:left="660" w:hanging="328"/>
        <w:spacing w:after="0" w:line="216" w:lineRule="auto"/>
        <w:tabs>
          <w:tab w:leader="none" w:pos="649" w:val="left"/>
        </w:tabs>
        <w:numPr>
          <w:ilvl w:val="0"/>
          <w:numId w:val="21"/>
        </w:numPr>
        <w:rPr>
          <w:rFonts w:ascii="Arial" w:cs="Arial" w:eastAsia="Arial" w:hAnsi="Arial"/>
          <w:sz w:val="20"/>
          <w:szCs w:val="20"/>
          <w:color w:val="auto"/>
        </w:rPr>
      </w:pPr>
      <w:r>
        <w:rPr>
          <w:rFonts w:ascii="Arial" w:cs="Arial" w:eastAsia="Arial" w:hAnsi="Arial"/>
          <w:sz w:val="22"/>
          <w:szCs w:val="22"/>
          <w:i w:val="1"/>
          <w:iCs w:val="1"/>
          <w:color w:val="auto"/>
        </w:rPr>
        <w:t>Certain Gifts</w:t>
      </w:r>
      <w:r>
        <w:rPr>
          <w:rFonts w:ascii="Arial" w:cs="Arial" w:eastAsia="Arial" w:hAnsi="Arial"/>
          <w:sz w:val="22"/>
          <w:szCs w:val="22"/>
          <w:color w:val="auto"/>
        </w:rPr>
        <w:t>. The Policy’s trading restrictions do not apply to a bona fide gift of Option Care Health stock so</w:t>
      </w:r>
      <w:r>
        <w:rPr>
          <w:rFonts w:ascii="Arial" w:cs="Arial" w:eastAsia="Arial" w:hAnsi="Arial"/>
          <w:sz w:val="22"/>
          <w:szCs w:val="22"/>
          <w:i w:val="1"/>
          <w:iCs w:val="1"/>
          <w:color w:val="auto"/>
        </w:rPr>
        <w:t xml:space="preserve"> </w:t>
      </w:r>
      <w:r>
        <w:rPr>
          <w:rFonts w:ascii="Arial" w:cs="Arial" w:eastAsia="Arial" w:hAnsi="Arial"/>
          <w:sz w:val="22"/>
          <w:szCs w:val="22"/>
          <w:color w:val="auto"/>
        </w:rPr>
        <w:t>long as either (i) the recipient of the gift is subject to the same trading restrictions under this Policy as are applicable to you, or (ii) you otherwise have no reason to believe that the recipient intends to sell the securities during any period in effect at the time of the gift pursuant to which you would not be permitted to trade pursuant to the terms of this Policy. Directors and Section 16 officers of Option Care Health must obtain pre-clearance of any gift of Option Care Health stock as set forth below.</w:t>
      </w:r>
    </w:p>
    <w:p>
      <w:pPr>
        <w:spacing w:after="0" w:line="193" w:lineRule="exact"/>
        <w:rPr>
          <w:sz w:val="20"/>
          <w:szCs w:val="20"/>
          <w:color w:val="auto"/>
        </w:rPr>
      </w:pPr>
    </w:p>
    <w:p>
      <w:pPr>
        <w:ind w:left="260"/>
        <w:spacing w:after="0"/>
        <w:rPr>
          <w:sz w:val="20"/>
          <w:szCs w:val="20"/>
          <w:color w:val="auto"/>
        </w:rPr>
      </w:pPr>
      <w:r>
        <w:rPr>
          <w:rFonts w:ascii="Arial" w:cs="Arial" w:eastAsia="Arial" w:hAnsi="Arial"/>
          <w:sz w:val="22"/>
          <w:szCs w:val="22"/>
          <w:color w:val="auto"/>
        </w:rPr>
        <w:t>Statement of Policy</w:t>
      </w:r>
    </w:p>
    <w:p>
      <w:pPr>
        <w:sectPr>
          <w:pgSz w:w="11900" w:h="16838" w:orient="portrait"/>
          <w:cols w:equalWidth="0" w:num="1">
            <w:col w:w="11240"/>
          </w:cols>
          <w:pgMar w:left="320" w:top="1396" w:right="339" w:bottom="1440" w:gutter="0" w:footer="0" w:header="0"/>
        </w:sectPr>
      </w:pPr>
    </w:p>
    <w:bookmarkStart w:id="82" w:name="page83"/>
    <w:bookmarkEnd w:id="82"/>
    <w:p>
      <w:pPr>
        <w:jc w:val="both"/>
        <w:spacing w:after="0" w:line="255" w:lineRule="auto"/>
        <w:rPr>
          <w:sz w:val="20"/>
          <w:szCs w:val="20"/>
          <w:color w:val="auto"/>
        </w:rPr>
      </w:pPr>
      <w:r>
        <w:rPr>
          <w:rFonts w:ascii="Arial" w:cs="Arial" w:eastAsia="Arial" w:hAnsi="Arial"/>
          <w:sz w:val="21"/>
          <w:szCs w:val="21"/>
          <w:color w:val="auto"/>
        </w:rPr>
        <w:t xml:space="preserve">Insider trading involves trading at any time when the person making the purchase or sale </w:t>
      </w:r>
      <w:r>
        <w:rPr>
          <w:rFonts w:ascii="Arial" w:cs="Arial" w:eastAsia="Arial" w:hAnsi="Arial"/>
          <w:sz w:val="21"/>
          <w:szCs w:val="21"/>
          <w:i w:val="1"/>
          <w:iCs w:val="1"/>
          <w:color w:val="auto"/>
        </w:rPr>
        <w:t>is aware</w:t>
      </w:r>
      <w:r>
        <w:rPr>
          <w:rFonts w:ascii="Arial" w:cs="Arial" w:eastAsia="Arial" w:hAnsi="Arial"/>
          <w:sz w:val="21"/>
          <w:szCs w:val="21"/>
          <w:color w:val="auto"/>
        </w:rPr>
        <w:t xml:space="preserve"> of material nonpublic information regarding the company whose securities are being traded. If you have a doubt or question about whether you are aware of material nonpublic information concerning Option Care Health or another company, you should contact Option Care Health’s General Counsel at OCH-CorporateSecretary@optioncare.com.</w:t>
      </w:r>
    </w:p>
    <w:p>
      <w:pPr>
        <w:spacing w:after="0" w:line="185"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20"/>
          <w:szCs w:val="20"/>
          <w:color w:val="auto"/>
        </w:rPr>
      </w:pPr>
      <w:r>
        <w:rPr>
          <w:rFonts w:ascii="Arial" w:cs="Arial" w:eastAsia="Arial" w:hAnsi="Arial"/>
          <w:sz w:val="22"/>
          <w:szCs w:val="22"/>
          <w:b w:val="1"/>
          <w:bCs w:val="1"/>
          <w:i w:val="1"/>
          <w:iCs w:val="1"/>
          <w:color w:val="auto"/>
        </w:rPr>
        <w:t>No Trading on Material Nonpublic Information</w:t>
      </w:r>
    </w:p>
    <w:p>
      <w:pPr>
        <w:jc w:val="both"/>
        <w:ind w:left="1300" w:hanging="320"/>
        <w:spacing w:after="0" w:line="204" w:lineRule="auto"/>
        <w:tabs>
          <w:tab w:leader="none" w:pos="1289" w:val="left"/>
        </w:tabs>
        <w:numPr>
          <w:ilvl w:val="1"/>
          <w:numId w:val="22"/>
        </w:numPr>
        <w:rPr>
          <w:rFonts w:ascii="Arial" w:cs="Arial" w:eastAsia="Arial" w:hAnsi="Arial"/>
          <w:sz w:val="20"/>
          <w:szCs w:val="20"/>
          <w:color w:val="auto"/>
        </w:rPr>
      </w:pPr>
      <w:r>
        <w:rPr>
          <w:rFonts w:ascii="Arial" w:cs="Arial" w:eastAsia="Arial" w:hAnsi="Arial"/>
          <w:sz w:val="22"/>
          <w:szCs w:val="22"/>
          <w:i w:val="1"/>
          <w:iCs w:val="1"/>
          <w:color w:val="auto"/>
        </w:rPr>
        <w:t>Option Care Health Securities</w:t>
      </w:r>
      <w:r>
        <w:rPr>
          <w:rFonts w:ascii="Arial" w:cs="Arial" w:eastAsia="Arial" w:hAnsi="Arial"/>
          <w:sz w:val="22"/>
          <w:szCs w:val="22"/>
          <w:color w:val="auto"/>
        </w:rPr>
        <w:t>. If you are a Covered Person, you must not purchase or sell any Option</w:t>
      </w:r>
      <w:r>
        <w:rPr>
          <w:rFonts w:ascii="Arial" w:cs="Arial" w:eastAsia="Arial" w:hAnsi="Arial"/>
          <w:sz w:val="22"/>
          <w:szCs w:val="22"/>
          <w:i w:val="1"/>
          <w:iCs w:val="1"/>
          <w:color w:val="auto"/>
        </w:rPr>
        <w:t xml:space="preserve"> </w:t>
      </w:r>
      <w:r>
        <w:rPr>
          <w:rFonts w:ascii="Arial" w:cs="Arial" w:eastAsia="Arial" w:hAnsi="Arial"/>
          <w:sz w:val="22"/>
          <w:szCs w:val="22"/>
          <w:color w:val="auto"/>
        </w:rPr>
        <w:t>Care Health securities, or otherwise advise or assist any third- party trading Option Care Health securities, while you are aware of material nonpublic information regarding Option Care Health.</w:t>
      </w:r>
    </w:p>
    <w:p>
      <w:pPr>
        <w:spacing w:after="0" w:line="2" w:lineRule="exact"/>
        <w:rPr>
          <w:rFonts w:ascii="Arial" w:cs="Arial" w:eastAsia="Arial" w:hAnsi="Arial"/>
          <w:sz w:val="20"/>
          <w:szCs w:val="20"/>
          <w:color w:val="auto"/>
        </w:rPr>
      </w:pPr>
    </w:p>
    <w:p>
      <w:pPr>
        <w:jc w:val="both"/>
        <w:ind w:left="1300" w:hanging="320"/>
        <w:spacing w:after="0" w:line="215" w:lineRule="auto"/>
        <w:tabs>
          <w:tab w:leader="none" w:pos="1289" w:val="left"/>
        </w:tabs>
        <w:numPr>
          <w:ilvl w:val="1"/>
          <w:numId w:val="22"/>
        </w:numPr>
        <w:rPr>
          <w:rFonts w:ascii="Arial" w:cs="Arial" w:eastAsia="Arial" w:hAnsi="Arial"/>
          <w:sz w:val="20"/>
          <w:szCs w:val="20"/>
          <w:color w:val="auto"/>
        </w:rPr>
      </w:pPr>
      <w:r>
        <w:rPr>
          <w:rFonts w:ascii="Arial" w:cs="Arial" w:eastAsia="Arial" w:hAnsi="Arial"/>
          <w:sz w:val="22"/>
          <w:szCs w:val="22"/>
          <w:i w:val="1"/>
          <w:iCs w:val="1"/>
          <w:color w:val="auto"/>
        </w:rPr>
        <w:t>Other Companies’ Securities</w:t>
      </w:r>
      <w:r>
        <w:rPr>
          <w:rFonts w:ascii="Arial" w:cs="Arial" w:eastAsia="Arial" w:hAnsi="Arial"/>
          <w:sz w:val="22"/>
          <w:szCs w:val="22"/>
          <w:color w:val="auto"/>
        </w:rPr>
        <w:t>. If you are a Covered Person and you obtain material nonpublic</w:t>
      </w:r>
      <w:r>
        <w:rPr>
          <w:rFonts w:ascii="Arial" w:cs="Arial" w:eastAsia="Arial" w:hAnsi="Arial"/>
          <w:sz w:val="22"/>
          <w:szCs w:val="22"/>
          <w:i w:val="1"/>
          <w:iCs w:val="1"/>
          <w:color w:val="auto"/>
        </w:rPr>
        <w:t xml:space="preserve"> </w:t>
      </w:r>
      <w:r>
        <w:rPr>
          <w:rFonts w:ascii="Arial" w:cs="Arial" w:eastAsia="Arial" w:hAnsi="Arial"/>
          <w:sz w:val="22"/>
          <w:szCs w:val="22"/>
          <w:color w:val="auto"/>
        </w:rPr>
        <w:t>information about any other publicly-held company as a result of your work on behalf of Option Care Health or any of its subsidiaries, you must not trade in that company’s securities. These other publicly-held companies may include suppliers, customers, business partners, competitors and potential merger or acquisition targets.</w:t>
      </w:r>
    </w:p>
    <w:p>
      <w:pPr>
        <w:jc w:val="both"/>
        <w:ind w:left="660" w:hanging="328"/>
        <w:spacing w:after="0" w:line="225" w:lineRule="auto"/>
        <w:tabs>
          <w:tab w:leader="none" w:pos="658" w:val="left"/>
        </w:tabs>
        <w:numPr>
          <w:ilvl w:val="0"/>
          <w:numId w:val="23"/>
        </w:numPr>
        <w:rPr>
          <w:rFonts w:ascii="Arial" w:cs="Arial" w:eastAsia="Arial" w:hAnsi="Arial"/>
          <w:sz w:val="19"/>
          <w:szCs w:val="19"/>
          <w:color w:val="auto"/>
        </w:rPr>
      </w:pPr>
      <w:r>
        <w:rPr>
          <w:rFonts w:ascii="Arial" w:cs="Arial" w:eastAsia="Arial" w:hAnsi="Arial"/>
          <w:sz w:val="21"/>
          <w:szCs w:val="21"/>
          <w:b w:val="1"/>
          <w:bCs w:val="1"/>
          <w:i w:val="1"/>
          <w:iCs w:val="1"/>
          <w:color w:val="auto"/>
        </w:rPr>
        <w:t>No Disclosure to Others Who Might Trade</w:t>
      </w:r>
      <w:r>
        <w:rPr>
          <w:rFonts w:ascii="Arial" w:cs="Arial" w:eastAsia="Arial" w:hAnsi="Arial"/>
          <w:sz w:val="21"/>
          <w:szCs w:val="21"/>
          <w:b w:val="1"/>
          <w:bCs w:val="1"/>
          <w:color w:val="auto"/>
        </w:rPr>
        <w:t>.</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If you are a Covered Person, you must not communicate</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material nonpublic information to any person who does not need that information for a legitimate business purpose or recommend to anyone the purchase or sale of securities when you are aware of material nonpublic information about the company involved. This practice, known as “tipping,” also violates the securities laws and can result in the same civil and criminal penalties that apply to insider trading, even though you did not</w:t>
      </w:r>
    </w:p>
    <w:p>
      <w:pPr>
        <w:ind w:left="660"/>
        <w:spacing w:after="0" w:line="219" w:lineRule="auto"/>
        <w:rPr>
          <w:sz w:val="20"/>
          <w:szCs w:val="20"/>
          <w:color w:val="auto"/>
        </w:rPr>
      </w:pPr>
      <w:r>
        <w:rPr>
          <w:rFonts w:ascii="Arial" w:cs="Arial" w:eastAsia="Arial" w:hAnsi="Arial"/>
          <w:sz w:val="22"/>
          <w:szCs w:val="22"/>
          <w:color w:val="auto"/>
        </w:rPr>
        <w:t>actually trade and did not benefit from another’s trading.</w:t>
      </w:r>
    </w:p>
    <w:p>
      <w:pPr>
        <w:spacing w:after="0" w:line="1" w:lineRule="exact"/>
        <w:rPr>
          <w:sz w:val="20"/>
          <w:szCs w:val="20"/>
          <w:color w:val="auto"/>
        </w:rPr>
      </w:pPr>
    </w:p>
    <w:p>
      <w:pPr>
        <w:ind w:left="660" w:hanging="328"/>
        <w:spacing w:after="0" w:line="217" w:lineRule="auto"/>
        <w:tabs>
          <w:tab w:leader="none" w:pos="658" w:val="left"/>
        </w:tabs>
        <w:numPr>
          <w:ilvl w:val="0"/>
          <w:numId w:val="24"/>
        </w:numPr>
        <w:rPr>
          <w:rFonts w:ascii="Arial" w:cs="Arial" w:eastAsia="Arial" w:hAnsi="Arial"/>
          <w:sz w:val="20"/>
          <w:szCs w:val="20"/>
          <w:color w:val="auto"/>
        </w:rPr>
      </w:pPr>
      <w:r>
        <w:rPr>
          <w:rFonts w:ascii="Arial" w:cs="Arial" w:eastAsia="Arial" w:hAnsi="Arial"/>
          <w:sz w:val="22"/>
          <w:szCs w:val="22"/>
          <w:b w:val="1"/>
          <w:bCs w:val="1"/>
          <w:i w:val="1"/>
          <w:iCs w:val="1"/>
          <w:color w:val="auto"/>
        </w:rPr>
        <w:t xml:space="preserve">Protect Material Nonpublic Information. </w:t>
      </w:r>
      <w:r>
        <w:rPr>
          <w:rFonts w:ascii="Arial" w:cs="Arial" w:eastAsia="Arial" w:hAnsi="Arial"/>
          <w:sz w:val="22"/>
          <w:szCs w:val="22"/>
          <w:color w:val="auto"/>
        </w:rPr>
        <w:t>To reduce the possibility that material nonpublic information will be</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inadvertently disclosed:</w:t>
      </w:r>
    </w:p>
    <w:p>
      <w:pPr>
        <w:spacing w:after="0" w:line="1" w:lineRule="exact"/>
        <w:rPr>
          <w:rFonts w:ascii="Arial" w:cs="Arial" w:eastAsia="Arial" w:hAnsi="Arial"/>
          <w:sz w:val="20"/>
          <w:szCs w:val="20"/>
          <w:color w:val="auto"/>
        </w:rPr>
      </w:pPr>
    </w:p>
    <w:p>
      <w:pPr>
        <w:jc w:val="both"/>
        <w:ind w:left="1300" w:hanging="320"/>
        <w:spacing w:after="0" w:line="209" w:lineRule="auto"/>
        <w:tabs>
          <w:tab w:leader="none" w:pos="1289" w:val="left"/>
        </w:tabs>
        <w:numPr>
          <w:ilvl w:val="1"/>
          <w:numId w:val="24"/>
        </w:numPr>
        <w:rPr>
          <w:rFonts w:ascii="Arial" w:cs="Arial" w:eastAsia="Arial" w:hAnsi="Arial"/>
          <w:sz w:val="20"/>
          <w:szCs w:val="20"/>
          <w:color w:val="auto"/>
        </w:rPr>
      </w:pPr>
      <w:r>
        <w:rPr>
          <w:rFonts w:ascii="Arial" w:cs="Arial" w:eastAsia="Arial" w:hAnsi="Arial"/>
          <w:sz w:val="22"/>
          <w:szCs w:val="22"/>
          <w:color w:val="auto"/>
        </w:rPr>
        <w:t>You must treat material nonpublic information as confidential, exercise the utmost caution in preserving the confidentiality of that information, and should not discuss it with any other person who does not need to know it for a legitimate business purpose.</w:t>
      </w:r>
    </w:p>
    <w:p>
      <w:pPr>
        <w:ind w:left="1300" w:right="20" w:hanging="320"/>
        <w:spacing w:after="0" w:line="211" w:lineRule="auto"/>
        <w:tabs>
          <w:tab w:leader="none" w:pos="1289" w:val="left"/>
        </w:tabs>
        <w:numPr>
          <w:ilvl w:val="1"/>
          <w:numId w:val="24"/>
        </w:numPr>
        <w:rPr>
          <w:rFonts w:ascii="Arial" w:cs="Arial" w:eastAsia="Arial" w:hAnsi="Arial"/>
          <w:sz w:val="20"/>
          <w:szCs w:val="20"/>
          <w:color w:val="auto"/>
        </w:rPr>
      </w:pPr>
      <w:r>
        <w:rPr>
          <w:rFonts w:ascii="Arial" w:cs="Arial" w:eastAsia="Arial" w:hAnsi="Arial"/>
          <w:sz w:val="22"/>
          <w:szCs w:val="22"/>
          <w:color w:val="auto"/>
        </w:rPr>
        <w:t>You should refrain from discussing material nonpublic information relating to Option Care Health or any public company in public places where such discussions can be overheard.</w:t>
      </w:r>
    </w:p>
    <w:p>
      <w:pPr>
        <w:ind w:left="1300" w:hanging="320"/>
        <w:spacing w:after="0" w:line="217" w:lineRule="auto"/>
        <w:tabs>
          <w:tab w:leader="none" w:pos="1300" w:val="left"/>
        </w:tabs>
        <w:numPr>
          <w:ilvl w:val="1"/>
          <w:numId w:val="24"/>
        </w:numPr>
        <w:rPr>
          <w:rFonts w:ascii="Arial" w:cs="Arial" w:eastAsia="Arial" w:hAnsi="Arial"/>
          <w:sz w:val="20"/>
          <w:szCs w:val="20"/>
          <w:color w:val="auto"/>
        </w:rPr>
      </w:pPr>
      <w:r>
        <w:rPr>
          <w:rFonts w:ascii="Arial" w:cs="Arial" w:eastAsia="Arial" w:hAnsi="Arial"/>
          <w:sz w:val="22"/>
          <w:szCs w:val="22"/>
          <w:color w:val="auto"/>
        </w:rPr>
        <w:t>If you become aware of any unauthorized disclosure of material nonpublic information, whether</w:t>
      </w:r>
    </w:p>
    <w:p>
      <w:pPr>
        <w:spacing w:after="0" w:line="1" w:lineRule="exact"/>
        <w:rPr>
          <w:sz w:val="20"/>
          <w:szCs w:val="20"/>
          <w:color w:val="auto"/>
        </w:rPr>
      </w:pPr>
    </w:p>
    <w:p>
      <w:pPr>
        <w:ind w:left="1300"/>
        <w:spacing w:after="0" w:line="204" w:lineRule="auto"/>
        <w:rPr>
          <w:sz w:val="20"/>
          <w:szCs w:val="20"/>
          <w:color w:val="auto"/>
        </w:rPr>
      </w:pPr>
      <w:r>
        <w:rPr>
          <w:rFonts w:ascii="Arial" w:cs="Arial" w:eastAsia="Arial" w:hAnsi="Arial"/>
          <w:sz w:val="22"/>
          <w:szCs w:val="22"/>
          <w:color w:val="auto"/>
        </w:rPr>
        <w:t>inadvertent or otherwise, you should report such disclosure immediately to Option Care Health’s General Counsel at OCH-CorporateSecretary@optioncare.com.</w:t>
      </w:r>
    </w:p>
    <w:p>
      <w:pPr>
        <w:spacing w:after="0" w:line="2" w:lineRule="exact"/>
        <w:rPr>
          <w:sz w:val="20"/>
          <w:szCs w:val="20"/>
          <w:color w:val="auto"/>
        </w:rPr>
      </w:pPr>
    </w:p>
    <w:p>
      <w:pPr>
        <w:jc w:val="both"/>
        <w:ind w:left="660" w:hanging="328"/>
        <w:spacing w:after="0" w:line="221" w:lineRule="auto"/>
        <w:tabs>
          <w:tab w:leader="none" w:pos="648" w:val="left"/>
        </w:tabs>
        <w:numPr>
          <w:ilvl w:val="0"/>
          <w:numId w:val="25"/>
        </w:numPr>
        <w:rPr>
          <w:rFonts w:ascii="Arial" w:cs="Arial" w:eastAsia="Arial" w:hAnsi="Arial"/>
          <w:sz w:val="20"/>
          <w:szCs w:val="20"/>
          <w:color w:val="auto"/>
        </w:rPr>
      </w:pPr>
      <w:r>
        <w:rPr>
          <w:rFonts w:ascii="Arial" w:cs="Arial" w:eastAsia="Arial" w:hAnsi="Arial"/>
          <w:sz w:val="22"/>
          <w:szCs w:val="22"/>
          <w:b w:val="1"/>
          <w:bCs w:val="1"/>
          <w:i w:val="1"/>
          <w:iCs w:val="1"/>
          <w:color w:val="auto"/>
        </w:rPr>
        <w:t>Specific Material Developments</w:t>
      </w:r>
      <w:r>
        <w:rPr>
          <w:rFonts w:ascii="Arial" w:cs="Arial" w:eastAsia="Arial" w:hAnsi="Arial"/>
          <w:sz w:val="22"/>
          <w:szCs w:val="22"/>
          <w:b w:val="1"/>
          <w:bCs w:val="1"/>
          <w:color w:val="auto"/>
        </w:rPr>
        <w:t>.</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From time to time, material developments known only to a limited number</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of Option Care Health Personnel may occur and cause Option Care Health to impose on an appropriate group of Option Care Health Personnel additional restrictions on trading. You will be notified if you become part of such a group, and you should not disclose to others the fact that you have been so notified or that additional restrictions on your trading have been imposed.</w:t>
      </w:r>
    </w:p>
    <w:p>
      <w:pPr>
        <w:spacing w:after="0" w:line="192" w:lineRule="exact"/>
        <w:rPr>
          <w:sz w:val="20"/>
          <w:szCs w:val="20"/>
          <w:color w:val="auto"/>
        </w:rPr>
      </w:pPr>
    </w:p>
    <w:p>
      <w:pPr>
        <w:ind w:left="260"/>
        <w:spacing w:after="0"/>
        <w:rPr>
          <w:sz w:val="20"/>
          <w:szCs w:val="20"/>
          <w:color w:val="auto"/>
        </w:rPr>
      </w:pPr>
      <w:r>
        <w:rPr>
          <w:rFonts w:ascii="Arial" w:cs="Arial" w:eastAsia="Arial" w:hAnsi="Arial"/>
          <w:sz w:val="22"/>
          <w:szCs w:val="22"/>
          <w:color w:val="auto"/>
        </w:rPr>
        <w:t>Policy Prohibiting Pledging, Hedging and Other Speculative Trading</w:t>
      </w:r>
    </w:p>
    <w:p>
      <w:pPr>
        <w:spacing w:after="0" w:line="220" w:lineRule="exact"/>
        <w:rPr>
          <w:sz w:val="20"/>
          <w:szCs w:val="20"/>
          <w:color w:val="auto"/>
        </w:rPr>
      </w:pPr>
    </w:p>
    <w:p>
      <w:pPr>
        <w:ind w:firstLine="252"/>
        <w:spacing w:after="0" w:line="246" w:lineRule="auto"/>
        <w:rPr>
          <w:sz w:val="20"/>
          <w:szCs w:val="20"/>
          <w:color w:val="auto"/>
        </w:rPr>
      </w:pPr>
      <w:r>
        <w:rPr>
          <w:rFonts w:ascii="Arial" w:cs="Arial" w:eastAsia="Arial" w:hAnsi="Arial"/>
          <w:sz w:val="22"/>
          <w:szCs w:val="22"/>
          <w:color w:val="auto"/>
        </w:rPr>
        <w:t>Option Care Health Personnel, as well as family members and anyone designated to engage in securities transactions on behalf of Option Care Health Personnel, are</w:t>
      </w:r>
    </w:p>
    <w:p>
      <w:pPr>
        <w:sectPr>
          <w:pgSz w:w="11900" w:h="16838" w:orient="portrait"/>
          <w:cols w:equalWidth="0" w:num="1">
            <w:col w:w="11240"/>
          </w:cols>
          <w:pgMar w:left="320" w:top="1409" w:right="339" w:bottom="1440" w:gutter="0" w:footer="0" w:header="0"/>
        </w:sectPr>
      </w:pPr>
    </w:p>
    <w:bookmarkStart w:id="83" w:name="page84"/>
    <w:bookmarkEnd w:id="83"/>
    <w:p>
      <w:pPr>
        <w:spacing w:after="0"/>
        <w:rPr>
          <w:sz w:val="20"/>
          <w:szCs w:val="20"/>
          <w:color w:val="auto"/>
        </w:rPr>
      </w:pPr>
      <w:r>
        <w:rPr>
          <w:rFonts w:ascii="Arial" w:cs="Arial" w:eastAsia="Arial" w:hAnsi="Arial"/>
          <w:sz w:val="22"/>
          <w:szCs w:val="22"/>
          <w:color w:val="auto"/>
        </w:rPr>
        <w:t>prohibited at all times from engaging in the following transactions with respect to Option Care Health securities:</w:t>
      </w:r>
    </w:p>
    <w:p>
      <w:pPr>
        <w:spacing w:after="0" w:line="10" w:lineRule="exact"/>
        <w:rPr>
          <w:sz w:val="20"/>
          <w:szCs w:val="20"/>
          <w:color w:val="auto"/>
        </w:rPr>
      </w:pPr>
    </w:p>
    <w:p>
      <w:pPr>
        <w:ind w:left="660" w:hanging="328"/>
        <w:spacing w:after="0" w:line="224" w:lineRule="auto"/>
        <w:tabs>
          <w:tab w:leader="none" w:pos="648" w:val="left"/>
        </w:tabs>
        <w:numPr>
          <w:ilvl w:val="0"/>
          <w:numId w:val="26"/>
        </w:numPr>
        <w:rPr>
          <w:rFonts w:ascii="Arial" w:cs="Arial" w:eastAsia="Arial" w:hAnsi="Arial"/>
          <w:sz w:val="20"/>
          <w:szCs w:val="20"/>
          <w:color w:val="auto"/>
        </w:rPr>
      </w:pPr>
      <w:r>
        <w:rPr>
          <w:rFonts w:ascii="Arial" w:cs="Arial" w:eastAsia="Arial" w:hAnsi="Arial"/>
          <w:sz w:val="22"/>
          <w:szCs w:val="22"/>
          <w:color w:val="auto"/>
        </w:rPr>
        <w:t>holding any Option Care Health securities in a margin account or pledging Option Care Health securities as collateral for a loan;</w:t>
      </w:r>
    </w:p>
    <w:p>
      <w:pPr>
        <w:ind w:left="660" w:hanging="328"/>
        <w:spacing w:after="0" w:line="230" w:lineRule="auto"/>
        <w:tabs>
          <w:tab w:leader="none" w:pos="648" w:val="left"/>
        </w:tabs>
        <w:numPr>
          <w:ilvl w:val="0"/>
          <w:numId w:val="26"/>
        </w:numPr>
        <w:rPr>
          <w:rFonts w:ascii="Arial" w:cs="Arial" w:eastAsia="Arial" w:hAnsi="Arial"/>
          <w:sz w:val="20"/>
          <w:szCs w:val="20"/>
          <w:color w:val="auto"/>
        </w:rPr>
      </w:pPr>
      <w:r>
        <w:rPr>
          <w:rFonts w:ascii="Arial" w:cs="Arial" w:eastAsia="Arial" w:hAnsi="Arial"/>
          <w:sz w:val="22"/>
          <w:szCs w:val="22"/>
          <w:color w:val="auto"/>
        </w:rPr>
        <w:t>engaging in transactions in puts, calls, or other derivative transactions relating to Option Care Health securities;</w:t>
      </w:r>
    </w:p>
    <w:p>
      <w:pPr>
        <w:spacing w:after="0" w:line="1" w:lineRule="exact"/>
        <w:rPr>
          <w:rFonts w:ascii="Arial" w:cs="Arial" w:eastAsia="Arial" w:hAnsi="Arial"/>
          <w:sz w:val="20"/>
          <w:szCs w:val="20"/>
          <w:color w:val="auto"/>
        </w:rPr>
      </w:pPr>
    </w:p>
    <w:p>
      <w:pPr>
        <w:ind w:left="640" w:hanging="308"/>
        <w:spacing w:after="0" w:line="217" w:lineRule="auto"/>
        <w:tabs>
          <w:tab w:leader="none" w:pos="640" w:val="left"/>
        </w:tabs>
        <w:numPr>
          <w:ilvl w:val="0"/>
          <w:numId w:val="26"/>
        </w:numPr>
        <w:rPr>
          <w:rFonts w:ascii="Arial" w:cs="Arial" w:eastAsia="Arial" w:hAnsi="Arial"/>
          <w:sz w:val="20"/>
          <w:szCs w:val="20"/>
          <w:color w:val="auto"/>
        </w:rPr>
      </w:pPr>
      <w:r>
        <w:rPr>
          <w:rFonts w:ascii="Arial" w:cs="Arial" w:eastAsia="Arial" w:hAnsi="Arial"/>
          <w:sz w:val="22"/>
          <w:szCs w:val="22"/>
          <w:color w:val="auto"/>
        </w:rPr>
        <w:t>short sales of Option Care Health securities (selling securities not owned at the time of sale); and</w:t>
      </w:r>
    </w:p>
    <w:p>
      <w:pPr>
        <w:ind w:left="640" w:hanging="308"/>
        <w:spacing w:after="0" w:line="217" w:lineRule="auto"/>
        <w:tabs>
          <w:tab w:leader="none" w:pos="640" w:val="left"/>
        </w:tabs>
        <w:numPr>
          <w:ilvl w:val="0"/>
          <w:numId w:val="26"/>
        </w:numPr>
        <w:rPr>
          <w:rFonts w:ascii="Arial" w:cs="Arial" w:eastAsia="Arial" w:hAnsi="Arial"/>
          <w:sz w:val="20"/>
          <w:szCs w:val="20"/>
          <w:color w:val="auto"/>
        </w:rPr>
      </w:pPr>
      <w:r>
        <w:rPr>
          <w:rFonts w:ascii="Arial" w:cs="Arial" w:eastAsia="Arial" w:hAnsi="Arial"/>
          <w:sz w:val="22"/>
          <w:szCs w:val="22"/>
          <w:color w:val="auto"/>
        </w:rPr>
        <w:t>purchasing any financial instruments (including prepaid variable forward contracts, equity swaps, zero cost</w:t>
      </w:r>
    </w:p>
    <w:p>
      <w:pPr>
        <w:spacing w:after="0" w:line="1" w:lineRule="exact"/>
        <w:rPr>
          <w:sz w:val="20"/>
          <w:szCs w:val="20"/>
          <w:color w:val="auto"/>
        </w:rPr>
      </w:pPr>
    </w:p>
    <w:p>
      <w:pPr>
        <w:ind w:left="660"/>
        <w:spacing w:after="0" w:line="211" w:lineRule="auto"/>
        <w:rPr>
          <w:sz w:val="20"/>
          <w:szCs w:val="20"/>
          <w:color w:val="auto"/>
        </w:rPr>
      </w:pPr>
      <w:r>
        <w:rPr>
          <w:rFonts w:ascii="Arial" w:cs="Arial" w:eastAsia="Arial" w:hAnsi="Arial"/>
          <w:sz w:val="22"/>
          <w:szCs w:val="22"/>
          <w:color w:val="auto"/>
        </w:rPr>
        <w:t>collars and exchange funds) that are designed to hedge or offset any decrease in the market value of Option Care Health securities.</w:t>
      </w:r>
    </w:p>
    <w:p>
      <w:pPr>
        <w:spacing w:after="0" w:line="1" w:lineRule="exact"/>
        <w:rPr>
          <w:sz w:val="20"/>
          <w:szCs w:val="20"/>
          <w:color w:val="auto"/>
        </w:rPr>
      </w:pPr>
    </w:p>
    <w:p>
      <w:pPr>
        <w:jc w:val="both"/>
        <w:ind w:firstLine="252"/>
        <w:spacing w:after="0" w:line="211" w:lineRule="auto"/>
        <w:rPr>
          <w:sz w:val="20"/>
          <w:szCs w:val="20"/>
          <w:color w:val="auto"/>
        </w:rPr>
      </w:pPr>
      <w:r>
        <w:rPr>
          <w:rFonts w:ascii="Arial" w:cs="Arial" w:eastAsia="Arial" w:hAnsi="Arial"/>
          <w:sz w:val="22"/>
          <w:szCs w:val="22"/>
          <w:color w:val="auto"/>
        </w:rPr>
        <w:t>These restrictions apply to all Option Care Health securities owned directly or indirectly by Option Care Health Personnel, including Option Care Health securities owned by family members where the Option Care Health</w:t>
      </w:r>
    </w:p>
    <w:p>
      <w:pPr>
        <w:spacing w:after="0" w:line="1" w:lineRule="exact"/>
        <w:rPr>
          <w:sz w:val="20"/>
          <w:szCs w:val="20"/>
          <w:color w:val="auto"/>
        </w:rPr>
      </w:pPr>
    </w:p>
    <w:p>
      <w:pPr>
        <w:jc w:val="both"/>
        <w:spacing w:after="0" w:line="219" w:lineRule="auto"/>
        <w:rPr>
          <w:sz w:val="20"/>
          <w:szCs w:val="20"/>
          <w:color w:val="auto"/>
        </w:rPr>
      </w:pPr>
      <w:r>
        <w:rPr>
          <w:rFonts w:ascii="Arial" w:cs="Arial" w:eastAsia="Arial" w:hAnsi="Arial"/>
          <w:sz w:val="22"/>
          <w:szCs w:val="22"/>
          <w:color w:val="auto"/>
        </w:rPr>
        <w:t>Personnel is deemed to beneficially own such securities, and their respective designees. However, the restrictions do not prevent any Option Care Health Personnel or their family members or their designees from engaging in general portfolio diversification or investing in broad-based index funds.</w:t>
      </w:r>
    </w:p>
    <w:p>
      <w:pPr>
        <w:spacing w:after="0" w:line="206" w:lineRule="exact"/>
        <w:rPr>
          <w:sz w:val="20"/>
          <w:szCs w:val="20"/>
          <w:color w:val="auto"/>
        </w:rPr>
      </w:pPr>
    </w:p>
    <w:p>
      <w:pPr>
        <w:ind w:left="260"/>
        <w:spacing w:after="0"/>
        <w:rPr>
          <w:sz w:val="20"/>
          <w:szCs w:val="20"/>
          <w:color w:val="auto"/>
        </w:rPr>
      </w:pPr>
      <w:r>
        <w:rPr>
          <w:rFonts w:ascii="Arial" w:cs="Arial" w:eastAsia="Arial" w:hAnsi="Arial"/>
          <w:sz w:val="22"/>
          <w:szCs w:val="22"/>
          <w:color w:val="auto"/>
        </w:rPr>
        <w:t>Additional Restrictions on Corporate Insiders</w:t>
      </w:r>
    </w:p>
    <w:p>
      <w:pPr>
        <w:spacing w:after="0" w:line="220" w:lineRule="exact"/>
        <w:rPr>
          <w:sz w:val="20"/>
          <w:szCs w:val="20"/>
          <w:color w:val="auto"/>
        </w:rPr>
      </w:pPr>
    </w:p>
    <w:p>
      <w:pPr>
        <w:jc w:val="both"/>
        <w:ind w:firstLine="252"/>
        <w:spacing w:after="0" w:line="220" w:lineRule="auto"/>
        <w:rPr>
          <w:sz w:val="20"/>
          <w:szCs w:val="20"/>
          <w:color w:val="auto"/>
        </w:rPr>
      </w:pPr>
      <w:r>
        <w:rPr>
          <w:rFonts w:ascii="Arial" w:cs="Arial" w:eastAsia="Arial" w:hAnsi="Arial"/>
          <w:sz w:val="22"/>
          <w:szCs w:val="22"/>
          <w:color w:val="auto"/>
        </w:rPr>
        <w:t>Directors and Section 16 officers of Option Care Health and other officers and key employees of Option Care Health and its subsidiaries who have been designated as “Corporate Insiders” by the General Counsel, as well as</w:t>
      </w:r>
    </w:p>
    <w:p>
      <w:pPr>
        <w:spacing w:after="0" w:line="2" w:lineRule="exact"/>
        <w:rPr>
          <w:sz w:val="20"/>
          <w:szCs w:val="20"/>
          <w:color w:val="auto"/>
        </w:rPr>
      </w:pPr>
    </w:p>
    <w:p>
      <w:pPr>
        <w:jc w:val="both"/>
        <w:spacing w:after="0" w:line="211" w:lineRule="auto"/>
        <w:rPr>
          <w:sz w:val="20"/>
          <w:szCs w:val="20"/>
          <w:color w:val="auto"/>
        </w:rPr>
      </w:pPr>
      <w:r>
        <w:rPr>
          <w:rFonts w:ascii="Arial" w:cs="Arial" w:eastAsia="Arial" w:hAnsi="Arial"/>
          <w:sz w:val="22"/>
          <w:szCs w:val="22"/>
          <w:color w:val="auto"/>
        </w:rPr>
        <w:t xml:space="preserve">related parties of such individuals, are subject to additional restrictions on trading Option Care Health securities as set out in the attached </w:t>
      </w:r>
      <w:r>
        <w:rPr>
          <w:rFonts w:ascii="Arial" w:cs="Arial" w:eastAsia="Arial" w:hAnsi="Arial"/>
          <w:sz w:val="22"/>
          <w:szCs w:val="22"/>
          <w:b w:val="1"/>
          <w:bCs w:val="1"/>
          <w:u w:val="single" w:color="auto"/>
          <w:color w:val="auto"/>
        </w:rPr>
        <w:t>Addendum</w:t>
      </w:r>
      <w:r>
        <w:rPr>
          <w:rFonts w:ascii="Arial" w:cs="Arial" w:eastAsia="Arial" w:hAnsi="Arial"/>
          <w:sz w:val="22"/>
          <w:szCs w:val="22"/>
          <w:color w:val="auto"/>
        </w:rPr>
        <w:t>. Option Care Health may also, from time to time, impose on all or an appropriate</w:t>
      </w:r>
    </w:p>
    <w:p>
      <w:pPr>
        <w:spacing w:after="0" w:line="218" w:lineRule="auto"/>
        <w:rPr>
          <w:sz w:val="20"/>
          <w:szCs w:val="20"/>
          <w:color w:val="auto"/>
        </w:rPr>
      </w:pPr>
      <w:r>
        <w:rPr>
          <w:rFonts w:ascii="Arial" w:cs="Arial" w:eastAsia="Arial" w:hAnsi="Arial"/>
          <w:sz w:val="22"/>
          <w:szCs w:val="22"/>
          <w:color w:val="auto"/>
        </w:rPr>
        <w:t>group of Covered Persons additional restrictions on trading Option Care Health securities when circumstances</w:t>
      </w:r>
    </w:p>
    <w:p>
      <w:pPr>
        <w:jc w:val="both"/>
        <w:spacing w:after="0" w:line="227" w:lineRule="auto"/>
        <w:rPr>
          <w:sz w:val="20"/>
          <w:szCs w:val="20"/>
          <w:color w:val="auto"/>
        </w:rPr>
      </w:pPr>
      <w:r>
        <w:rPr>
          <w:rFonts w:ascii="Arial" w:cs="Arial" w:eastAsia="Arial" w:hAnsi="Arial"/>
          <w:sz w:val="22"/>
          <w:szCs w:val="22"/>
          <w:color w:val="auto"/>
        </w:rPr>
        <w:t>warrant. You will be notified by the General Counsel if you are subject to these additional Covered Persons restrictions.</w:t>
      </w:r>
    </w:p>
    <w:p>
      <w:pPr>
        <w:spacing w:after="0" w:line="201" w:lineRule="exact"/>
        <w:rPr>
          <w:sz w:val="20"/>
          <w:szCs w:val="20"/>
          <w:color w:val="auto"/>
        </w:rPr>
      </w:pPr>
    </w:p>
    <w:p>
      <w:pPr>
        <w:ind w:left="260"/>
        <w:spacing w:after="0"/>
        <w:rPr>
          <w:sz w:val="20"/>
          <w:szCs w:val="20"/>
          <w:color w:val="auto"/>
        </w:rPr>
      </w:pPr>
      <w:r>
        <w:rPr>
          <w:rFonts w:ascii="Arial" w:cs="Arial" w:eastAsia="Arial" w:hAnsi="Arial"/>
          <w:sz w:val="22"/>
          <w:szCs w:val="22"/>
          <w:b w:val="1"/>
          <w:bCs w:val="1"/>
          <w:color w:val="auto"/>
        </w:rPr>
        <w:t>Application of the Policy to Option Care Health</w:t>
      </w:r>
    </w:p>
    <w:p>
      <w:pPr>
        <w:spacing w:after="0" w:line="235" w:lineRule="exact"/>
        <w:rPr>
          <w:sz w:val="20"/>
          <w:szCs w:val="20"/>
          <w:color w:val="auto"/>
        </w:rPr>
      </w:pPr>
    </w:p>
    <w:p>
      <w:pPr>
        <w:ind w:right="40" w:firstLine="243"/>
        <w:spacing w:after="0" w:line="245" w:lineRule="auto"/>
        <w:rPr>
          <w:sz w:val="20"/>
          <w:szCs w:val="20"/>
          <w:color w:val="auto"/>
        </w:rPr>
      </w:pPr>
      <w:r>
        <w:rPr>
          <w:rFonts w:ascii="Arial" w:cs="Arial" w:eastAsia="Arial" w:hAnsi="Arial"/>
          <w:sz w:val="22"/>
          <w:szCs w:val="22"/>
          <w:color w:val="auto"/>
        </w:rPr>
        <w:t>It is Option Care Health’s policy that any transactions by Option Care Health, including repurchases of Option Care Health securities, will comply with applicable laws with respect to insider trading, and Option Care Health will not trade in its own securities when there is material nonpublic information about Option Care Health.</w:t>
      </w:r>
    </w:p>
    <w:p>
      <w:pPr>
        <w:spacing w:after="0" w:line="180" w:lineRule="exact"/>
        <w:rPr>
          <w:sz w:val="20"/>
          <w:szCs w:val="20"/>
          <w:color w:val="auto"/>
        </w:rPr>
      </w:pPr>
    </w:p>
    <w:p>
      <w:pPr>
        <w:ind w:left="260"/>
        <w:spacing w:after="0"/>
        <w:rPr>
          <w:sz w:val="20"/>
          <w:szCs w:val="20"/>
          <w:color w:val="auto"/>
        </w:rPr>
      </w:pPr>
      <w:r>
        <w:rPr>
          <w:rFonts w:ascii="Arial" w:cs="Arial" w:eastAsia="Arial" w:hAnsi="Arial"/>
          <w:sz w:val="22"/>
          <w:szCs w:val="22"/>
          <w:color w:val="auto"/>
        </w:rPr>
        <w:t>Consequences of Violating Laws and Policy</w:t>
      </w:r>
    </w:p>
    <w:p>
      <w:pPr>
        <w:jc w:val="both"/>
        <w:ind w:left="660" w:hanging="328"/>
        <w:spacing w:after="0" w:line="209" w:lineRule="auto"/>
        <w:tabs>
          <w:tab w:leader="none" w:pos="658" w:val="left"/>
        </w:tabs>
        <w:numPr>
          <w:ilvl w:val="0"/>
          <w:numId w:val="27"/>
        </w:numPr>
        <w:rPr>
          <w:rFonts w:ascii="Arial" w:cs="Arial" w:eastAsia="Arial" w:hAnsi="Arial"/>
          <w:sz w:val="20"/>
          <w:szCs w:val="20"/>
          <w:color w:val="auto"/>
        </w:rPr>
      </w:pPr>
      <w:r>
        <w:rPr>
          <w:rFonts w:ascii="Arial" w:cs="Arial" w:eastAsia="Arial" w:hAnsi="Arial"/>
          <w:sz w:val="22"/>
          <w:szCs w:val="22"/>
          <w:b w:val="1"/>
          <w:bCs w:val="1"/>
          <w:i w:val="1"/>
          <w:iCs w:val="1"/>
          <w:color w:val="auto"/>
        </w:rPr>
        <w:t>Disciplinary Action</w:t>
      </w:r>
      <w:r>
        <w:rPr>
          <w:rFonts w:ascii="Arial" w:cs="Arial" w:eastAsia="Arial" w:hAnsi="Arial"/>
          <w:sz w:val="22"/>
          <w:szCs w:val="22"/>
          <w:i w:val="1"/>
          <w:iCs w:val="1"/>
          <w:color w:val="auto"/>
        </w:rPr>
        <w:t>.</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Option Care Health Personnel who fail to comply with this Policy will be subject to</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appropriate disciplinary action, which may include, among other consequences, the ineligibility to participate in Option Care Health’s equity incentive plans or termination of employment.</w:t>
      </w:r>
    </w:p>
    <w:p>
      <w:pPr>
        <w:ind w:left="660" w:hanging="328"/>
        <w:spacing w:after="0" w:line="228" w:lineRule="auto"/>
        <w:tabs>
          <w:tab w:leader="none" w:pos="660" w:val="left"/>
        </w:tabs>
        <w:numPr>
          <w:ilvl w:val="0"/>
          <w:numId w:val="27"/>
        </w:numPr>
        <w:rPr>
          <w:rFonts w:ascii="Arial" w:cs="Arial" w:eastAsia="Arial" w:hAnsi="Arial"/>
          <w:sz w:val="19"/>
          <w:szCs w:val="19"/>
          <w:color w:val="auto"/>
        </w:rPr>
      </w:pPr>
      <w:r>
        <w:rPr>
          <w:rFonts w:ascii="Arial" w:cs="Arial" w:eastAsia="Arial" w:hAnsi="Arial"/>
          <w:sz w:val="21"/>
          <w:szCs w:val="21"/>
          <w:b w:val="1"/>
          <w:bCs w:val="1"/>
          <w:i w:val="1"/>
          <w:iCs w:val="1"/>
          <w:color w:val="auto"/>
        </w:rPr>
        <w:t xml:space="preserve">Civil and Criminal Penalties. </w:t>
      </w:r>
      <w:r>
        <w:rPr>
          <w:rFonts w:ascii="Arial" w:cs="Arial" w:eastAsia="Arial" w:hAnsi="Arial"/>
          <w:sz w:val="21"/>
          <w:szCs w:val="21"/>
          <w:color w:val="auto"/>
        </w:rPr>
        <w:t>Under federal securities laws, the penalties for violating insider trading laws are</w:t>
      </w:r>
    </w:p>
    <w:p>
      <w:pPr>
        <w:ind w:left="660"/>
        <w:spacing w:after="0" w:line="211" w:lineRule="auto"/>
        <w:rPr>
          <w:sz w:val="20"/>
          <w:szCs w:val="20"/>
          <w:color w:val="auto"/>
        </w:rPr>
      </w:pPr>
      <w:r>
        <w:rPr>
          <w:rFonts w:ascii="Arial" w:cs="Arial" w:eastAsia="Arial" w:hAnsi="Arial"/>
          <w:sz w:val="22"/>
          <w:szCs w:val="22"/>
          <w:color w:val="auto"/>
        </w:rPr>
        <w:t>severe. If you trade on (or tip) material nonpublic information, you are subject to civil penalties of up to three times the profit gained or loss avoided, criminal fines of up to $5,000,000 and up to 20 years imprisonment.</w:t>
      </w:r>
    </w:p>
    <w:p>
      <w:pPr>
        <w:spacing w:after="0" w:line="1" w:lineRule="exact"/>
        <w:rPr>
          <w:sz w:val="20"/>
          <w:szCs w:val="20"/>
          <w:color w:val="auto"/>
        </w:rPr>
      </w:pPr>
    </w:p>
    <w:p>
      <w:pPr>
        <w:ind w:left="260"/>
        <w:spacing w:after="0"/>
        <w:rPr>
          <w:sz w:val="20"/>
          <w:szCs w:val="20"/>
          <w:color w:val="auto"/>
        </w:rPr>
      </w:pPr>
      <w:r>
        <w:rPr>
          <w:rFonts w:ascii="Arial" w:cs="Arial" w:eastAsia="Arial" w:hAnsi="Arial"/>
          <w:sz w:val="22"/>
          <w:szCs w:val="22"/>
          <w:color w:val="auto"/>
        </w:rPr>
        <w:t>Questions</w:t>
      </w:r>
    </w:p>
    <w:p>
      <w:pPr>
        <w:sectPr>
          <w:pgSz w:w="11900" w:h="16838" w:orient="portrait"/>
          <w:cols w:equalWidth="0" w:num="1">
            <w:col w:w="11240"/>
          </w:cols>
          <w:pgMar w:left="320" w:top="1396" w:right="339" w:bottom="1440" w:gutter="0" w:footer="0" w:header="0"/>
        </w:sectPr>
      </w:pPr>
    </w:p>
    <w:bookmarkStart w:id="84" w:name="page85"/>
    <w:bookmarkEnd w:id="84"/>
    <w:p>
      <w:pPr>
        <w:ind w:right="420" w:firstLine="243"/>
        <w:spacing w:after="0" w:line="259" w:lineRule="auto"/>
        <w:rPr>
          <w:sz w:val="20"/>
          <w:szCs w:val="20"/>
          <w:color w:val="auto"/>
        </w:rPr>
      </w:pPr>
      <w:r>
        <w:rPr>
          <w:rFonts w:ascii="Arial" w:cs="Arial" w:eastAsia="Arial" w:hAnsi="Arial"/>
          <w:sz w:val="22"/>
          <w:szCs w:val="22"/>
          <w:color w:val="auto"/>
        </w:rPr>
        <w:t>Questions regarding any of the provisions or procedures of this Insider Trading Policy should be directed to the General Counsel at OCH-CorporateSecretary@optioncare.com.</w:t>
      </w:r>
    </w:p>
    <w:p>
      <w:pPr>
        <w:spacing w:after="0" w:line="183" w:lineRule="exact"/>
        <w:rPr>
          <w:sz w:val="20"/>
          <w:szCs w:val="20"/>
          <w:color w:val="auto"/>
        </w:rPr>
      </w:pPr>
    </w:p>
    <w:p>
      <w:pPr>
        <w:ind w:left="260"/>
        <w:spacing w:after="0"/>
        <w:rPr>
          <w:sz w:val="20"/>
          <w:szCs w:val="20"/>
          <w:color w:val="auto"/>
        </w:rPr>
      </w:pPr>
      <w:r>
        <w:rPr>
          <w:rFonts w:ascii="Arial" w:cs="Arial" w:eastAsia="Arial" w:hAnsi="Arial"/>
          <w:sz w:val="22"/>
          <w:szCs w:val="22"/>
          <w:color w:val="auto"/>
        </w:rPr>
        <w:t>ADDENDUM TO INSIDER TRADING POLICY</w:t>
      </w:r>
    </w:p>
    <w:p>
      <w:pPr>
        <w:spacing w:after="0" w:line="10" w:lineRule="exact"/>
        <w:rPr>
          <w:sz w:val="20"/>
          <w:szCs w:val="20"/>
          <w:color w:val="auto"/>
        </w:rPr>
      </w:pPr>
    </w:p>
    <w:p>
      <w:pPr>
        <w:ind w:left="260"/>
        <w:spacing w:after="0"/>
        <w:rPr>
          <w:sz w:val="20"/>
          <w:szCs w:val="20"/>
          <w:color w:val="auto"/>
        </w:rPr>
      </w:pPr>
      <w:r>
        <w:rPr>
          <w:rFonts w:ascii="Arial" w:cs="Arial" w:eastAsia="Arial" w:hAnsi="Arial"/>
          <w:sz w:val="22"/>
          <w:szCs w:val="22"/>
          <w:b w:val="1"/>
          <w:bCs w:val="1"/>
          <w:color w:val="auto"/>
        </w:rPr>
        <w:t>Additional Requirements and Responsibilities for Corporate Insiders</w:t>
      </w:r>
    </w:p>
    <w:p>
      <w:pPr>
        <w:spacing w:after="0" w:line="211" w:lineRule="exact"/>
        <w:rPr>
          <w:sz w:val="20"/>
          <w:szCs w:val="20"/>
          <w:color w:val="auto"/>
        </w:rPr>
      </w:pPr>
    </w:p>
    <w:p>
      <w:pPr>
        <w:ind w:left="260"/>
        <w:spacing w:after="0"/>
        <w:rPr>
          <w:sz w:val="20"/>
          <w:szCs w:val="20"/>
          <w:color w:val="auto"/>
        </w:rPr>
      </w:pPr>
      <w:r>
        <w:rPr>
          <w:rFonts w:ascii="Arial" w:cs="Arial" w:eastAsia="Arial" w:hAnsi="Arial"/>
          <w:sz w:val="22"/>
          <w:szCs w:val="22"/>
          <w:b w:val="1"/>
          <w:bCs w:val="1"/>
          <w:color w:val="auto"/>
        </w:rPr>
        <w:t>Purpose</w:t>
      </w:r>
    </w:p>
    <w:p>
      <w:pPr>
        <w:spacing w:after="0" w:line="232" w:lineRule="exact"/>
        <w:rPr>
          <w:sz w:val="20"/>
          <w:szCs w:val="20"/>
          <w:color w:val="auto"/>
        </w:rPr>
      </w:pPr>
    </w:p>
    <w:p>
      <w:pPr>
        <w:ind w:left="260"/>
        <w:spacing w:after="0"/>
        <w:rPr>
          <w:sz w:val="20"/>
          <w:szCs w:val="20"/>
          <w:color w:val="auto"/>
        </w:rPr>
      </w:pPr>
      <w:r>
        <w:rPr>
          <w:rFonts w:ascii="Arial" w:cs="Arial" w:eastAsia="Arial" w:hAnsi="Arial"/>
          <w:sz w:val="22"/>
          <w:szCs w:val="22"/>
          <w:color w:val="auto"/>
        </w:rPr>
        <w:t>This Addendum supplements the Option Care Health Insider Trading Policy and applies to</w:t>
      </w:r>
    </w:p>
    <w:p>
      <w:pPr>
        <w:jc w:val="both"/>
        <w:ind w:firstLine="243"/>
        <w:spacing w:after="0" w:line="235" w:lineRule="auto"/>
        <w:rPr>
          <w:sz w:val="20"/>
          <w:szCs w:val="20"/>
          <w:color w:val="auto"/>
        </w:rPr>
      </w:pPr>
      <w:r>
        <w:rPr>
          <w:rFonts w:ascii="Arial" w:cs="Arial" w:eastAsia="Arial" w:hAnsi="Arial"/>
          <w:sz w:val="22"/>
          <w:szCs w:val="22"/>
          <w:color w:val="auto"/>
        </w:rPr>
        <w:t>Corporate Insiders, as defined below. Corporate Insiders are subject to both the requirements of the Insider Trading Policy as well as to additional procedures and requirements described below to help prevent inadvertent violations of federal securities laws, to avoid even the appearance of impermissible insider trading, and to facilitate their compliance with certain legal requirements not applicable to Option Care Health Personnel generally.</w:t>
      </w:r>
    </w:p>
    <w:p>
      <w:pPr>
        <w:spacing w:after="0" w:line="20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Persons Covered</w:t>
      </w:r>
    </w:p>
    <w:p>
      <w:pPr>
        <w:spacing w:after="0" w:line="233" w:lineRule="exact"/>
        <w:rPr>
          <w:sz w:val="20"/>
          <w:szCs w:val="20"/>
          <w:color w:val="auto"/>
        </w:rPr>
      </w:pPr>
    </w:p>
    <w:p>
      <w:pPr>
        <w:ind w:left="260"/>
        <w:spacing w:after="0"/>
        <w:rPr>
          <w:sz w:val="20"/>
          <w:szCs w:val="20"/>
          <w:color w:val="auto"/>
        </w:rPr>
      </w:pPr>
      <w:r>
        <w:rPr>
          <w:rFonts w:ascii="Arial" w:cs="Arial" w:eastAsia="Arial" w:hAnsi="Arial"/>
          <w:sz w:val="22"/>
          <w:szCs w:val="22"/>
          <w:color w:val="auto"/>
        </w:rPr>
        <w:t>The individuals and entities described below are “Corporate Insiders.”</w:t>
      </w:r>
    </w:p>
    <w:p>
      <w:pPr>
        <w:spacing w:after="0" w:line="233" w:lineRule="exact"/>
        <w:rPr>
          <w:sz w:val="20"/>
          <w:szCs w:val="20"/>
          <w:color w:val="auto"/>
        </w:rPr>
      </w:pPr>
    </w:p>
    <w:p>
      <w:pPr>
        <w:jc w:val="both"/>
        <w:ind w:left="660" w:hanging="328"/>
        <w:spacing w:after="0" w:line="236" w:lineRule="auto"/>
        <w:tabs>
          <w:tab w:leader="none" w:pos="648" w:val="left"/>
        </w:tabs>
        <w:numPr>
          <w:ilvl w:val="0"/>
          <w:numId w:val="28"/>
        </w:numPr>
        <w:rPr>
          <w:rFonts w:ascii="Arial" w:cs="Arial" w:eastAsia="Arial" w:hAnsi="Arial"/>
          <w:sz w:val="20"/>
          <w:szCs w:val="20"/>
          <w:color w:val="auto"/>
        </w:rPr>
      </w:pPr>
      <w:r>
        <w:rPr>
          <w:rFonts w:ascii="Arial" w:cs="Arial" w:eastAsia="Arial" w:hAnsi="Arial"/>
          <w:sz w:val="22"/>
          <w:szCs w:val="22"/>
          <w:b w:val="1"/>
          <w:bCs w:val="1"/>
          <w:i w:val="1"/>
          <w:iCs w:val="1"/>
          <w:color w:val="auto"/>
        </w:rPr>
        <w:t xml:space="preserve">Directors and Section 16 Officers. </w:t>
      </w:r>
      <w:r>
        <w:rPr>
          <w:rFonts w:ascii="Arial" w:cs="Arial" w:eastAsia="Arial" w:hAnsi="Arial"/>
          <w:sz w:val="22"/>
          <w:szCs w:val="22"/>
          <w:color w:val="auto"/>
        </w:rPr>
        <w:t>All provisions of this Addendum apply to the directors and officers of</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Option Care Health subject to Section 16 of the Securities Exchange Act of 1934 (together, referred to herein as “Section 16 Persons”).</w:t>
      </w:r>
    </w:p>
    <w:p>
      <w:pPr>
        <w:spacing w:after="0" w:line="2" w:lineRule="exact"/>
        <w:rPr>
          <w:rFonts w:ascii="Arial" w:cs="Arial" w:eastAsia="Arial" w:hAnsi="Arial"/>
          <w:sz w:val="20"/>
          <w:szCs w:val="20"/>
          <w:color w:val="auto"/>
        </w:rPr>
      </w:pPr>
    </w:p>
    <w:p>
      <w:pPr>
        <w:jc w:val="both"/>
        <w:ind w:left="660" w:hanging="328"/>
        <w:spacing w:after="0" w:line="227" w:lineRule="auto"/>
        <w:tabs>
          <w:tab w:leader="none" w:pos="648" w:val="left"/>
        </w:tabs>
        <w:numPr>
          <w:ilvl w:val="0"/>
          <w:numId w:val="28"/>
        </w:numPr>
        <w:rPr>
          <w:rFonts w:ascii="Arial" w:cs="Arial" w:eastAsia="Arial" w:hAnsi="Arial"/>
          <w:sz w:val="20"/>
          <w:szCs w:val="20"/>
          <w:color w:val="auto"/>
        </w:rPr>
      </w:pPr>
      <w:r>
        <w:rPr>
          <w:rFonts w:ascii="Arial" w:cs="Arial" w:eastAsia="Arial" w:hAnsi="Arial"/>
          <w:sz w:val="22"/>
          <w:szCs w:val="22"/>
          <w:b w:val="1"/>
          <w:bCs w:val="1"/>
          <w:i w:val="1"/>
          <w:iCs w:val="1"/>
          <w:color w:val="auto"/>
        </w:rPr>
        <w:t xml:space="preserve">Other Officers and Key Employees. </w:t>
      </w:r>
      <w:r>
        <w:rPr>
          <w:rFonts w:ascii="Arial" w:cs="Arial" w:eastAsia="Arial" w:hAnsi="Arial"/>
          <w:sz w:val="22"/>
          <w:szCs w:val="22"/>
          <w:color w:val="auto"/>
        </w:rPr>
        <w:t>Designated provisions of this Addendum apply to certain other officers</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and key employees of Option Care Health and its subsidiaries. These other officers and key employees, whose duties cause them to regularly have access to material nonpublic information about Option Care Health, will be notified by the General Counsel that they are subject to this Addendum.</w:t>
      </w:r>
    </w:p>
    <w:p>
      <w:pPr>
        <w:spacing w:after="0" w:line="1" w:lineRule="exact"/>
        <w:rPr>
          <w:rFonts w:ascii="Arial" w:cs="Arial" w:eastAsia="Arial" w:hAnsi="Arial"/>
          <w:sz w:val="20"/>
          <w:szCs w:val="20"/>
          <w:color w:val="auto"/>
        </w:rPr>
      </w:pPr>
    </w:p>
    <w:p>
      <w:pPr>
        <w:jc w:val="both"/>
        <w:ind w:left="660" w:hanging="328"/>
        <w:spacing w:after="0" w:line="230" w:lineRule="auto"/>
        <w:tabs>
          <w:tab w:leader="none" w:pos="648" w:val="left"/>
        </w:tabs>
        <w:numPr>
          <w:ilvl w:val="0"/>
          <w:numId w:val="28"/>
        </w:numPr>
        <w:rPr>
          <w:rFonts w:ascii="Arial" w:cs="Arial" w:eastAsia="Arial" w:hAnsi="Arial"/>
          <w:sz w:val="20"/>
          <w:szCs w:val="20"/>
          <w:color w:val="auto"/>
        </w:rPr>
      </w:pPr>
      <w:r>
        <w:rPr>
          <w:rFonts w:ascii="Arial" w:cs="Arial" w:eastAsia="Arial" w:hAnsi="Arial"/>
          <w:sz w:val="22"/>
          <w:szCs w:val="22"/>
          <w:b w:val="1"/>
          <w:bCs w:val="1"/>
          <w:i w:val="1"/>
          <w:iCs w:val="1"/>
          <w:color w:val="auto"/>
        </w:rPr>
        <w:t xml:space="preserve">Related Parties. </w:t>
      </w:r>
      <w:r>
        <w:rPr>
          <w:rFonts w:ascii="Arial" w:cs="Arial" w:eastAsia="Arial" w:hAnsi="Arial"/>
          <w:sz w:val="22"/>
          <w:szCs w:val="22"/>
          <w:color w:val="auto"/>
        </w:rPr>
        <w:t>If you are covered by either of the above categories, then this Addendum also applies to the</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same extent to your immediate family members and other individuals living in your household (“Family Members”), and to any other person or entity, including a trust, corporation, partnership or other association,</w:t>
      </w:r>
    </w:p>
    <w:p>
      <w:pPr>
        <w:spacing w:after="0" w:line="2" w:lineRule="exact"/>
        <w:rPr>
          <w:sz w:val="20"/>
          <w:szCs w:val="20"/>
          <w:color w:val="auto"/>
        </w:rPr>
      </w:pPr>
    </w:p>
    <w:p>
      <w:pPr>
        <w:jc w:val="both"/>
        <w:ind w:left="660"/>
        <w:spacing w:after="0" w:line="230" w:lineRule="auto"/>
        <w:rPr>
          <w:sz w:val="20"/>
          <w:szCs w:val="20"/>
          <w:color w:val="auto"/>
        </w:rPr>
      </w:pPr>
      <w:r>
        <w:rPr>
          <w:rFonts w:ascii="Arial" w:cs="Arial" w:eastAsia="Arial" w:hAnsi="Arial"/>
          <w:sz w:val="22"/>
          <w:szCs w:val="22"/>
          <w:color w:val="auto"/>
        </w:rPr>
        <w:t>whose transactions in Option Care Health securities are directed by you or your Family Members or are subject to the influence or control of you or your Family Members. Also, you are responsible for informing all Family Members and such related parties of the requirements of this Addendum.</w:t>
      </w:r>
    </w:p>
    <w:p>
      <w:pPr>
        <w:spacing w:after="0" w:line="2" w:lineRule="exact"/>
        <w:rPr>
          <w:sz w:val="20"/>
          <w:szCs w:val="20"/>
          <w:color w:val="auto"/>
        </w:rPr>
      </w:pPr>
    </w:p>
    <w:p>
      <w:pPr>
        <w:ind w:left="260"/>
        <w:spacing w:after="0"/>
        <w:rPr>
          <w:sz w:val="20"/>
          <w:szCs w:val="20"/>
          <w:color w:val="auto"/>
        </w:rPr>
      </w:pPr>
      <w:r>
        <w:rPr>
          <w:rFonts w:ascii="Arial" w:cs="Arial" w:eastAsia="Arial" w:hAnsi="Arial"/>
          <w:sz w:val="22"/>
          <w:szCs w:val="22"/>
          <w:color w:val="auto"/>
        </w:rPr>
        <w:t>Blackout Periods for Corporate Insiders</w:t>
      </w:r>
    </w:p>
    <w:p>
      <w:pPr>
        <w:spacing w:after="0" w:line="213" w:lineRule="exact"/>
        <w:rPr>
          <w:sz w:val="20"/>
          <w:szCs w:val="20"/>
          <w:color w:val="auto"/>
        </w:rPr>
      </w:pPr>
    </w:p>
    <w:p>
      <w:pPr>
        <w:jc w:val="both"/>
        <w:ind w:firstLine="243"/>
        <w:spacing w:after="0" w:line="235" w:lineRule="auto"/>
        <w:rPr>
          <w:sz w:val="20"/>
          <w:szCs w:val="20"/>
          <w:color w:val="auto"/>
        </w:rPr>
      </w:pPr>
      <w:r>
        <w:rPr>
          <w:rFonts w:ascii="Arial" w:cs="Arial" w:eastAsia="Arial" w:hAnsi="Arial"/>
          <w:sz w:val="22"/>
          <w:szCs w:val="22"/>
          <w:b w:val="1"/>
          <w:bCs w:val="1"/>
          <w:i w:val="1"/>
          <w:iCs w:val="1"/>
          <w:color w:val="auto"/>
        </w:rPr>
        <w:t xml:space="preserve">Trading Not Permitted During Blackout Periods. </w:t>
      </w:r>
      <w:r>
        <w:rPr>
          <w:rFonts w:ascii="Arial" w:cs="Arial" w:eastAsia="Arial" w:hAnsi="Arial"/>
          <w:sz w:val="22"/>
          <w:szCs w:val="22"/>
          <w:color w:val="auto"/>
        </w:rPr>
        <w:t>If you are a Corporate Insider, you may not purchase, sell or</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otherwise trade Option Care Health securities during the period beginning on the 15</w:t>
      </w:r>
      <w:r>
        <w:rPr>
          <w:rFonts w:ascii="Arial" w:cs="Arial" w:eastAsia="Arial" w:hAnsi="Arial"/>
          <w:sz w:val="12"/>
          <w:szCs w:val="12"/>
          <w:color w:val="auto"/>
        </w:rPr>
        <w:t>th</w:t>
      </w:r>
      <w:r>
        <w:rPr>
          <w:rFonts w:ascii="Arial" w:cs="Arial" w:eastAsia="Arial" w:hAnsi="Arial"/>
          <w:sz w:val="22"/>
          <w:szCs w:val="22"/>
          <w:color w:val="auto"/>
        </w:rPr>
        <w:t xml:space="preserve"> day of the last calendar month of each fiscal quarter and continuing through the second trading day following the public release of Option Care Health’s financial results for that fiscal quarter (each such period being a “blackout period”). For the sake of clarity, if quarterly financial results are release before the open</w:t>
      </w:r>
    </w:p>
    <w:p>
      <w:pPr>
        <w:sectPr>
          <w:pgSz w:w="11900" w:h="16838" w:orient="portrait"/>
          <w:cols w:equalWidth="0" w:num="1">
            <w:col w:w="11240"/>
          </w:cols>
          <w:pgMar w:left="320" w:top="1409" w:right="339" w:bottom="1440" w:gutter="0" w:footer="0" w:header="0"/>
        </w:sectPr>
      </w:pPr>
    </w:p>
    <w:bookmarkStart w:id="85" w:name="page86"/>
    <w:bookmarkEnd w:id="85"/>
    <w:p>
      <w:pPr>
        <w:jc w:val="both"/>
        <w:spacing w:after="0"/>
        <w:rPr>
          <w:sz w:val="20"/>
          <w:szCs w:val="20"/>
          <w:color w:val="auto"/>
        </w:rPr>
      </w:pPr>
      <w:r>
        <w:rPr>
          <w:rFonts w:ascii="Arial" w:cs="Arial" w:eastAsia="Arial" w:hAnsi="Arial"/>
          <w:sz w:val="22"/>
          <w:szCs w:val="22"/>
          <w:color w:val="auto"/>
        </w:rPr>
        <w:t>of market on a certain day, that day will count as the first trading day following the public release of such results. If a Corporate Insider wishes to trade outside of a blackout period, the person may do so only if he or she is not then aware of any material nonpublic information and has complied with the notification and pre-clearance procedures described below.</w:t>
      </w:r>
    </w:p>
    <w:p>
      <w:pPr>
        <w:spacing w:after="0" w:line="203" w:lineRule="exact"/>
        <w:rPr>
          <w:sz w:val="20"/>
          <w:szCs w:val="20"/>
          <w:color w:val="auto"/>
        </w:rPr>
      </w:pPr>
    </w:p>
    <w:p>
      <w:pPr>
        <w:jc w:val="both"/>
        <w:ind w:firstLine="243"/>
        <w:spacing w:after="0" w:line="235" w:lineRule="auto"/>
        <w:rPr>
          <w:sz w:val="20"/>
          <w:szCs w:val="20"/>
          <w:color w:val="auto"/>
        </w:rPr>
      </w:pPr>
      <w:r>
        <w:rPr>
          <w:rFonts w:ascii="Arial" w:cs="Arial" w:eastAsia="Arial" w:hAnsi="Arial"/>
          <w:sz w:val="22"/>
          <w:szCs w:val="22"/>
          <w:b w:val="1"/>
          <w:bCs w:val="1"/>
          <w:i w:val="1"/>
          <w:iCs w:val="1"/>
          <w:color w:val="auto"/>
        </w:rPr>
        <w:t xml:space="preserve">Illustration – Blackout Period: </w:t>
      </w:r>
      <w:r>
        <w:rPr>
          <w:rFonts w:ascii="Arial" w:cs="Arial" w:eastAsia="Arial" w:hAnsi="Arial"/>
          <w:sz w:val="22"/>
          <w:szCs w:val="22"/>
          <w:color w:val="auto"/>
        </w:rPr>
        <w:t>If financial results for the quarter ended March 31 are released after the stock</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market closes on April 26, then Corporate Insiders are prohibited from trading from March 1 through April 28, but could trade from April 29 through June 14, if April 27 and 28 are trading days on the Nasdaq Stock Market and unless they are aware of material nonpublic information or have not complied with the notification and pre-clearance procedures below.</w:t>
      </w:r>
    </w:p>
    <w:p>
      <w:pPr>
        <w:spacing w:after="0" w:line="206" w:lineRule="exact"/>
        <w:rPr>
          <w:sz w:val="20"/>
          <w:szCs w:val="20"/>
          <w:color w:val="auto"/>
        </w:rPr>
      </w:pPr>
    </w:p>
    <w:p>
      <w:pPr>
        <w:ind w:left="260"/>
        <w:spacing w:after="0"/>
        <w:rPr>
          <w:sz w:val="20"/>
          <w:szCs w:val="20"/>
          <w:color w:val="auto"/>
        </w:rPr>
      </w:pPr>
      <w:r>
        <w:rPr>
          <w:rFonts w:ascii="Arial" w:cs="Arial" w:eastAsia="Arial" w:hAnsi="Arial"/>
          <w:sz w:val="22"/>
          <w:szCs w:val="22"/>
          <w:color w:val="auto"/>
        </w:rPr>
        <w:t>Preclearance Requirements for Trades Outside of Blackout Periods</w:t>
      </w:r>
    </w:p>
    <w:p>
      <w:pPr>
        <w:spacing w:after="0" w:line="233" w:lineRule="exact"/>
        <w:rPr>
          <w:sz w:val="20"/>
          <w:szCs w:val="20"/>
          <w:color w:val="auto"/>
        </w:rPr>
      </w:pPr>
    </w:p>
    <w:p>
      <w:pPr>
        <w:jc w:val="both"/>
        <w:ind w:firstLine="243"/>
        <w:spacing w:after="0" w:line="233" w:lineRule="auto"/>
        <w:rPr>
          <w:sz w:val="20"/>
          <w:szCs w:val="20"/>
          <w:color w:val="auto"/>
        </w:rPr>
      </w:pPr>
      <w:r>
        <w:rPr>
          <w:rFonts w:ascii="Arial" w:cs="Arial" w:eastAsia="Arial" w:hAnsi="Arial"/>
          <w:sz w:val="22"/>
          <w:szCs w:val="22"/>
          <w:b w:val="1"/>
          <w:bCs w:val="1"/>
          <w:i w:val="1"/>
          <w:iCs w:val="1"/>
          <w:color w:val="auto"/>
        </w:rPr>
        <w:t xml:space="preserve">Notices of Intended Transaction and Requests for Approval. </w:t>
      </w:r>
      <w:r>
        <w:rPr>
          <w:rFonts w:ascii="Arial" w:cs="Arial" w:eastAsia="Arial" w:hAnsi="Arial"/>
          <w:sz w:val="22"/>
          <w:szCs w:val="22"/>
          <w:color w:val="auto"/>
        </w:rPr>
        <w:t>If you are a Corporate Insider, you may not</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 xml:space="preserve">engage in any transaction involving Option Care Health securities outside blackout periods without first obtaining pre-clearance of that transaction from Option Care Health’s General Counsel. Prior to initiating any transaction in Option Care Health securities outside a blackout period, you must deliver to the General Counsel an electronic notice (at the e-mail address below) that includes the type and maximum number of Option Care Health securities you wish to trade, the terms of the proposed transaction (if any), and the certifications set forth on the attached </w:t>
      </w:r>
      <w:r>
        <w:rPr>
          <w:rFonts w:ascii="Arial" w:cs="Arial" w:eastAsia="Arial" w:hAnsi="Arial"/>
          <w:sz w:val="22"/>
          <w:szCs w:val="22"/>
          <w:u w:val="single" w:color="auto"/>
          <w:color w:val="auto"/>
        </w:rPr>
        <w:t>Exhibit A.</w:t>
      </w:r>
      <w:r>
        <w:rPr>
          <w:rFonts w:ascii="Arial" w:cs="Arial" w:eastAsia="Arial" w:hAnsi="Arial"/>
          <w:sz w:val="22"/>
          <w:szCs w:val="22"/>
          <w:color w:val="auto"/>
        </w:rPr>
        <w:t xml:space="preserve"> This form should be submitted via e-mail to OCH-CorporateSecretary@optioncare.com. The General Counsel may approve modifications to this notice process and pre-clearance notice form or require additional certifications in connection with providing clearance.</w:t>
      </w:r>
    </w:p>
    <w:p>
      <w:pPr>
        <w:spacing w:after="0" w:line="206" w:lineRule="exact"/>
        <w:rPr>
          <w:sz w:val="20"/>
          <w:szCs w:val="20"/>
          <w:color w:val="auto"/>
        </w:rPr>
      </w:pPr>
    </w:p>
    <w:p>
      <w:pPr>
        <w:jc w:val="both"/>
        <w:ind w:firstLine="243"/>
        <w:spacing w:after="0" w:line="238" w:lineRule="auto"/>
        <w:rPr>
          <w:sz w:val="20"/>
          <w:szCs w:val="20"/>
          <w:color w:val="auto"/>
        </w:rPr>
      </w:pPr>
      <w:r>
        <w:rPr>
          <w:rFonts w:ascii="Arial" w:cs="Arial" w:eastAsia="Arial" w:hAnsi="Arial"/>
          <w:sz w:val="22"/>
          <w:szCs w:val="22"/>
          <w:b w:val="1"/>
          <w:bCs w:val="1"/>
          <w:i w:val="1"/>
          <w:iCs w:val="1"/>
          <w:color w:val="auto"/>
        </w:rPr>
        <w:t xml:space="preserve">Clearance to Proceed with a Transaction. </w:t>
      </w:r>
      <w:r>
        <w:rPr>
          <w:rFonts w:ascii="Arial" w:cs="Arial" w:eastAsia="Arial" w:hAnsi="Arial"/>
          <w:sz w:val="22"/>
          <w:szCs w:val="22"/>
          <w:color w:val="auto"/>
        </w:rPr>
        <w:t>No pre-clearance notice will be an effective clearance to a trade</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unless and until the General Counsel or his or her designee responds to the notice with his or her approval in writing. Any such approval will be valid for two full trading days following approval, unless an earlier deadline is imposed by the General Counsel. However, the overarching prohibition on trading when you are aware of material nonpublic information regarding Option Care Health remains in effect.</w:t>
      </w:r>
    </w:p>
    <w:p>
      <w:pPr>
        <w:spacing w:after="0" w:line="20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Exceptions for Approved 10b5-1 Plans</w:t>
      </w:r>
    </w:p>
    <w:p>
      <w:pPr>
        <w:spacing w:after="0" w:line="10" w:lineRule="exact"/>
        <w:rPr>
          <w:sz w:val="20"/>
          <w:szCs w:val="20"/>
          <w:color w:val="auto"/>
        </w:rPr>
      </w:pPr>
    </w:p>
    <w:p>
      <w:pPr>
        <w:jc w:val="both"/>
        <w:ind w:firstLine="243"/>
        <w:spacing w:after="0" w:line="232" w:lineRule="auto"/>
        <w:rPr>
          <w:sz w:val="20"/>
          <w:szCs w:val="20"/>
          <w:color w:val="auto"/>
        </w:rPr>
      </w:pPr>
      <w:r>
        <w:rPr>
          <w:rFonts w:ascii="Arial" w:cs="Arial" w:eastAsia="Arial" w:hAnsi="Arial"/>
          <w:sz w:val="22"/>
          <w:szCs w:val="22"/>
          <w:color w:val="auto"/>
        </w:rPr>
        <w:t>Transactions by Corporate Insiders in Option Care Health securities that are executed pursuant to a 10b5-1 plan approved in writing in advance by the General Counsel are not subject to prohibition on trading based on material nonpublic information or the restrictions in this Addendum relating to the pre-clearance approval process or window periods.</w:t>
      </w:r>
    </w:p>
    <w:p>
      <w:pPr>
        <w:spacing w:after="0" w:line="203" w:lineRule="exact"/>
        <w:rPr>
          <w:sz w:val="20"/>
          <w:szCs w:val="20"/>
          <w:color w:val="auto"/>
        </w:rPr>
      </w:pPr>
    </w:p>
    <w:p>
      <w:pPr>
        <w:ind w:right="100" w:firstLine="243"/>
        <w:spacing w:after="0"/>
        <w:rPr>
          <w:sz w:val="20"/>
          <w:szCs w:val="20"/>
          <w:color w:val="auto"/>
        </w:rPr>
      </w:pPr>
      <w:r>
        <w:rPr>
          <w:rFonts w:ascii="Arial" w:cs="Arial" w:eastAsia="Arial" w:hAnsi="Arial"/>
          <w:sz w:val="22"/>
          <w:szCs w:val="22"/>
          <w:color w:val="auto"/>
        </w:rPr>
        <w:t xml:space="preserve">Rule 10b5-1 provides an affirmative defense from insider trading liability under the federal securities laws for trading plans that meet certain requirements. In general, a 10b5-1 plan must be entered into during a permitted trading period and when you are not aware of material nonpublic information and comply with the other requirements set forth on </w:t>
      </w:r>
      <w:r>
        <w:rPr>
          <w:rFonts w:ascii="Arial" w:cs="Arial" w:eastAsia="Arial" w:hAnsi="Arial"/>
          <w:sz w:val="22"/>
          <w:szCs w:val="22"/>
          <w:u w:val="single" w:color="auto"/>
          <w:color w:val="auto"/>
        </w:rPr>
        <w:t>Exhibit B</w:t>
      </w:r>
    </w:p>
    <w:p>
      <w:pPr>
        <w:sectPr>
          <w:pgSz w:w="11900" w:h="16838" w:orient="portrait"/>
          <w:cols w:equalWidth="0" w:num="1">
            <w:col w:w="11240"/>
          </w:cols>
          <w:pgMar w:left="320" w:top="1409" w:right="339" w:bottom="1440" w:gutter="0" w:footer="0" w:header="0"/>
        </w:sectPr>
      </w:pPr>
    </w:p>
    <w:bookmarkStart w:id="86" w:name="page87"/>
    <w:bookmarkEnd w:id="86"/>
    <w:p>
      <w:pPr>
        <w:spacing w:after="0" w:line="213" w:lineRule="exact"/>
        <w:rPr>
          <w:sz w:val="20"/>
          <w:szCs w:val="20"/>
          <w:color w:val="auto"/>
        </w:rPr>
      </w:pPr>
    </w:p>
    <w:p>
      <w:pPr>
        <w:ind w:right="140" w:firstLine="243"/>
        <w:spacing w:after="0" w:line="245" w:lineRule="auto"/>
        <w:rPr>
          <w:sz w:val="20"/>
          <w:szCs w:val="20"/>
          <w:color w:val="auto"/>
        </w:rPr>
      </w:pPr>
      <w:r>
        <w:rPr>
          <w:rFonts w:ascii="Arial" w:cs="Arial" w:eastAsia="Arial" w:hAnsi="Arial"/>
          <w:sz w:val="22"/>
          <w:szCs w:val="22"/>
          <w:color w:val="auto"/>
        </w:rPr>
        <w:t>The rules related to the adoption and administration of 10b5-1 plans are under heavy regulatory scrutiny and are subject to change. For more information about adopting a 10b5-1 plan, please contact the General Counsel at OCH-CorporateSecretary@optioncare.com.</w:t>
      </w:r>
    </w:p>
    <w:p>
      <w:pPr>
        <w:spacing w:after="0" w:line="200" w:lineRule="exact"/>
        <w:rPr>
          <w:sz w:val="20"/>
          <w:szCs w:val="20"/>
          <w:color w:val="auto"/>
        </w:rPr>
      </w:pPr>
    </w:p>
    <w:p>
      <w:pPr>
        <w:spacing w:after="0" w:line="238" w:lineRule="exact"/>
        <w:rPr>
          <w:sz w:val="20"/>
          <w:szCs w:val="20"/>
          <w:color w:val="auto"/>
        </w:rPr>
      </w:pPr>
    </w:p>
    <w:p>
      <w:pPr>
        <w:ind w:left="7020"/>
        <w:spacing w:after="0"/>
        <w:rPr>
          <w:sz w:val="20"/>
          <w:szCs w:val="20"/>
          <w:color w:val="auto"/>
        </w:rPr>
      </w:pPr>
      <w:r>
        <w:rPr>
          <w:rFonts w:ascii="Arial" w:cs="Arial" w:eastAsia="Arial" w:hAnsi="Arial"/>
          <w:sz w:val="22"/>
          <w:szCs w:val="22"/>
          <w:b w:val="1"/>
          <w:bCs w:val="1"/>
          <w:u w:val="single" w:color="auto"/>
          <w:color w:val="auto"/>
        </w:rPr>
        <w:t>EXHIBIT A</w:t>
      </w:r>
    </w:p>
    <w:p>
      <w:pPr>
        <w:spacing w:after="0" w:line="235" w:lineRule="exact"/>
        <w:rPr>
          <w:sz w:val="20"/>
          <w:szCs w:val="20"/>
          <w:color w:val="auto"/>
        </w:rPr>
      </w:pPr>
    </w:p>
    <w:p>
      <w:pPr>
        <w:ind w:left="260"/>
        <w:spacing w:after="0"/>
        <w:rPr>
          <w:sz w:val="20"/>
          <w:szCs w:val="20"/>
          <w:color w:val="auto"/>
        </w:rPr>
      </w:pPr>
      <w:r>
        <w:rPr>
          <w:rFonts w:ascii="Arial" w:cs="Arial" w:eastAsia="Arial" w:hAnsi="Arial"/>
          <w:sz w:val="22"/>
          <w:szCs w:val="22"/>
          <w:color w:val="auto"/>
        </w:rPr>
        <w:t>GENERAL FORM OF CORPORATE INSIDER REQUEST FOR APPROVAL TO TRADE</w:t>
      </w:r>
    </w:p>
    <w:p>
      <w:pPr>
        <w:spacing w:after="0" w:line="230" w:lineRule="exact"/>
        <w:rPr>
          <w:sz w:val="20"/>
          <w:szCs w:val="20"/>
          <w:color w:val="auto"/>
        </w:rPr>
      </w:pPr>
    </w:p>
    <w:p>
      <w:pPr>
        <w:ind w:left="640" w:hanging="308"/>
        <w:spacing w:after="0"/>
        <w:tabs>
          <w:tab w:leader="none" w:pos="640" w:val="left"/>
        </w:tabs>
        <w:numPr>
          <w:ilvl w:val="0"/>
          <w:numId w:val="29"/>
        </w:numPr>
        <w:rPr>
          <w:rFonts w:ascii="Arial" w:cs="Arial" w:eastAsia="Arial" w:hAnsi="Arial"/>
          <w:sz w:val="20"/>
          <w:szCs w:val="20"/>
          <w:color w:val="auto"/>
        </w:rPr>
      </w:pPr>
      <w:r>
        <w:rPr>
          <w:rFonts w:ascii="Arial" w:cs="Arial" w:eastAsia="Arial" w:hAnsi="Arial"/>
          <w:sz w:val="22"/>
          <w:szCs w:val="22"/>
          <w:color w:val="auto"/>
        </w:rPr>
        <w:t>I certify I do not have any material non-public information related to Option Care Health;</w:t>
      </w:r>
    </w:p>
    <w:p>
      <w:pPr>
        <w:ind w:left="660" w:right="20" w:hanging="328"/>
        <w:spacing w:after="0" w:line="230" w:lineRule="auto"/>
        <w:tabs>
          <w:tab w:leader="none" w:pos="648" w:val="left"/>
        </w:tabs>
        <w:numPr>
          <w:ilvl w:val="0"/>
          <w:numId w:val="29"/>
        </w:numPr>
        <w:rPr>
          <w:rFonts w:ascii="Arial" w:cs="Arial" w:eastAsia="Arial" w:hAnsi="Arial"/>
          <w:sz w:val="20"/>
          <w:szCs w:val="20"/>
          <w:color w:val="auto"/>
        </w:rPr>
      </w:pPr>
      <w:r>
        <w:rPr>
          <w:rFonts w:ascii="Arial" w:cs="Arial" w:eastAsia="Arial" w:hAnsi="Arial"/>
          <w:sz w:val="22"/>
          <w:szCs w:val="22"/>
          <w:color w:val="auto"/>
        </w:rPr>
        <w:t>In connection with my proposed transaction, I certify that, in making this request, I am complying with the applicable provisions of the Option Care Health, Inc. Insider Trading Policy;</w:t>
      </w:r>
    </w:p>
    <w:p>
      <w:pPr>
        <w:spacing w:after="0" w:line="1" w:lineRule="exact"/>
        <w:rPr>
          <w:rFonts w:ascii="Arial" w:cs="Arial" w:eastAsia="Arial" w:hAnsi="Arial"/>
          <w:sz w:val="20"/>
          <w:szCs w:val="20"/>
          <w:color w:val="auto"/>
        </w:rPr>
      </w:pPr>
    </w:p>
    <w:p>
      <w:pPr>
        <w:ind w:left="660" w:right="20" w:hanging="328"/>
        <w:spacing w:after="0" w:line="230" w:lineRule="auto"/>
        <w:tabs>
          <w:tab w:leader="none" w:pos="648" w:val="left"/>
        </w:tabs>
        <w:numPr>
          <w:ilvl w:val="0"/>
          <w:numId w:val="29"/>
        </w:numPr>
        <w:rPr>
          <w:rFonts w:ascii="Arial" w:cs="Arial" w:eastAsia="Arial" w:hAnsi="Arial"/>
          <w:sz w:val="20"/>
          <w:szCs w:val="20"/>
          <w:color w:val="auto"/>
        </w:rPr>
      </w:pPr>
      <w:r>
        <w:rPr>
          <w:rFonts w:ascii="Arial" w:cs="Arial" w:eastAsia="Arial" w:hAnsi="Arial"/>
          <w:sz w:val="22"/>
          <w:szCs w:val="22"/>
          <w:color w:val="auto"/>
        </w:rPr>
        <w:t>I understand that clearance for the transaction(s), if granted, will be valid only until the earlier of (i) the two full trading days after clearance is granted and (ii) the trading window closing; and</w:t>
      </w:r>
    </w:p>
    <w:p>
      <w:pPr>
        <w:spacing w:after="0" w:line="1" w:lineRule="exact"/>
        <w:rPr>
          <w:rFonts w:ascii="Arial" w:cs="Arial" w:eastAsia="Arial" w:hAnsi="Arial"/>
          <w:sz w:val="20"/>
          <w:szCs w:val="20"/>
          <w:color w:val="auto"/>
        </w:rPr>
      </w:pPr>
    </w:p>
    <w:p>
      <w:pPr>
        <w:ind w:left="660" w:hanging="328"/>
        <w:spacing w:after="0"/>
        <w:tabs>
          <w:tab w:leader="none" w:pos="648" w:val="left"/>
        </w:tabs>
        <w:numPr>
          <w:ilvl w:val="0"/>
          <w:numId w:val="29"/>
        </w:numPr>
        <w:rPr>
          <w:rFonts w:ascii="Arial" w:cs="Arial" w:eastAsia="Arial" w:hAnsi="Arial"/>
          <w:sz w:val="20"/>
          <w:szCs w:val="20"/>
          <w:color w:val="auto"/>
        </w:rPr>
      </w:pPr>
      <w:r>
        <w:rPr>
          <w:rFonts w:ascii="Arial" w:cs="Arial" w:eastAsia="Arial" w:hAnsi="Arial"/>
          <w:sz w:val="22"/>
          <w:szCs w:val="22"/>
          <w:color w:val="auto"/>
        </w:rPr>
        <w:t>If I become aware of any material non-public information prior to the trade occurring, I will not execute the trade.</w:t>
      </w:r>
    </w:p>
    <w:p>
      <w:pPr>
        <w:spacing w:after="0" w:line="201" w:lineRule="exact"/>
        <w:rPr>
          <w:sz w:val="20"/>
          <w:szCs w:val="20"/>
          <w:color w:val="auto"/>
        </w:rPr>
      </w:pPr>
    </w:p>
    <w:p>
      <w:pPr>
        <w:ind w:left="5180"/>
        <w:spacing w:after="0"/>
        <w:rPr>
          <w:sz w:val="20"/>
          <w:szCs w:val="20"/>
          <w:color w:val="auto"/>
        </w:rPr>
      </w:pPr>
      <w:r>
        <w:rPr>
          <w:rFonts w:ascii="Arial" w:cs="Arial" w:eastAsia="Arial" w:hAnsi="Arial"/>
          <w:sz w:val="22"/>
          <w:szCs w:val="22"/>
          <w:b w:val="1"/>
          <w:bCs w:val="1"/>
          <w:u w:val="single" w:color="auto"/>
          <w:color w:val="auto"/>
        </w:rPr>
        <w:t>EXHIBIT B</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RULE 10B5-1 TRADING PLAN TRANSACTIONS POLICY</w:t>
      </w:r>
    </w:p>
    <w:p>
      <w:pPr>
        <w:spacing w:after="0" w:line="12" w:lineRule="exact"/>
        <w:rPr>
          <w:sz w:val="20"/>
          <w:szCs w:val="20"/>
          <w:color w:val="auto"/>
        </w:rPr>
      </w:pPr>
    </w:p>
    <w:p>
      <w:pPr>
        <w:jc w:val="both"/>
        <w:ind w:hanging="3"/>
        <w:spacing w:after="0" w:line="231" w:lineRule="auto"/>
        <w:rPr>
          <w:sz w:val="20"/>
          <w:szCs w:val="20"/>
          <w:color w:val="auto"/>
        </w:rPr>
      </w:pPr>
      <w:r>
        <w:rPr>
          <w:rFonts w:ascii="Arial" w:cs="Arial" w:eastAsia="Arial" w:hAnsi="Arial"/>
          <w:sz w:val="22"/>
          <w:szCs w:val="22"/>
          <w:color w:val="auto"/>
        </w:rPr>
        <w:t>Rule 10b5-1 under the Securities Exchange Act of 1934, as amended, provides a defense from insider trading liability under Rule 10b-5. In order to be eligible to rely on this defense, a person subject to this Policy must enter into a Rule 10b5-1 plan for transactions in Option Care Health securities that meets certain conditions specified in that rule. Once the plan is adopted, the person must not exercise any influence over the amount of securities to be traded, the price at which they are to be traded or the date of the trade. The plan must either specify the amount, pricing and timing of transactions in advance or delegate discretion on these matters to an independent third party.</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color w:val="auto"/>
        </w:rPr>
        <w:t>The following guidelines apply to all Rule 10b5-1 Plans (unless otherwise approved by the General Counsel):</w:t>
      </w:r>
    </w:p>
    <w:p>
      <w:pPr>
        <w:spacing w:after="0" w:line="233" w:lineRule="exact"/>
        <w:rPr>
          <w:sz w:val="20"/>
          <w:szCs w:val="20"/>
          <w:color w:val="auto"/>
        </w:rPr>
      </w:pPr>
    </w:p>
    <w:p>
      <w:pPr>
        <w:jc w:val="both"/>
        <w:ind w:left="660" w:hanging="328"/>
        <w:spacing w:after="0" w:line="249" w:lineRule="auto"/>
        <w:tabs>
          <w:tab w:leader="none" w:pos="648" w:val="left"/>
        </w:tabs>
        <w:numPr>
          <w:ilvl w:val="0"/>
          <w:numId w:val="30"/>
        </w:numPr>
        <w:rPr>
          <w:rFonts w:ascii="Arial" w:cs="Arial" w:eastAsia="Arial" w:hAnsi="Arial"/>
          <w:sz w:val="19"/>
          <w:szCs w:val="19"/>
          <w:color w:val="auto"/>
        </w:rPr>
      </w:pPr>
      <w:r>
        <w:rPr>
          <w:rFonts w:ascii="Arial" w:cs="Arial" w:eastAsia="Arial" w:hAnsi="Arial"/>
          <w:sz w:val="21"/>
          <w:szCs w:val="21"/>
          <w:color w:val="auto"/>
        </w:rPr>
        <w:t>For Section 16 Persons, no transaction may take place under a Rule 10b5-1 Plan until expiration of a cooling-off period consisting of the later of (a) 90 days after adoption or modification (as specified in Rule 10b5-1) of the Rule 10b5-1 Plan or (b) two business days following the disclosure of Option Care Health’s financial results in a Form 10-Q or Form 10-K for the fiscal quarter (Option Care Health’s fourth fiscal quarter in the case of a Form 10-K) in which the Rule 10b5-1 Plan was adopted or modified (as specified in Rule 10b5-1), but in any event, this required cooling-off period is subject to a maximum of 120 days after adoption of the plan.</w:t>
      </w:r>
    </w:p>
    <w:p>
      <w:pPr>
        <w:sectPr>
          <w:pgSz w:w="11900" w:h="16838" w:orient="portrait"/>
          <w:cols w:equalWidth="0" w:num="1">
            <w:col w:w="11240"/>
          </w:cols>
          <w:pgMar w:left="320" w:top="1440" w:right="339" w:bottom="1440" w:gutter="0" w:footer="0" w:header="0"/>
        </w:sectPr>
      </w:pPr>
    </w:p>
    <w:bookmarkStart w:id="87" w:name="page88"/>
    <w:bookmarkEnd w:id="87"/>
    <w:p>
      <w:pPr>
        <w:jc w:val="both"/>
        <w:ind w:left="660" w:hanging="328"/>
        <w:spacing w:after="0" w:line="236" w:lineRule="auto"/>
        <w:tabs>
          <w:tab w:leader="none" w:pos="648" w:val="left"/>
        </w:tabs>
        <w:numPr>
          <w:ilvl w:val="0"/>
          <w:numId w:val="31"/>
        </w:numPr>
        <w:rPr>
          <w:rFonts w:ascii="Arial" w:cs="Arial" w:eastAsia="Arial" w:hAnsi="Arial"/>
          <w:sz w:val="20"/>
          <w:szCs w:val="20"/>
          <w:color w:val="auto"/>
        </w:rPr>
      </w:pPr>
      <w:r>
        <w:rPr>
          <w:rFonts w:ascii="Arial" w:cs="Arial" w:eastAsia="Arial" w:hAnsi="Arial"/>
          <w:sz w:val="22"/>
          <w:szCs w:val="22"/>
          <w:color w:val="auto"/>
        </w:rPr>
        <w:t>For persons other than Section 16 Persons, no transaction may take place under a Rule 10b5-1 Plan until the expiration of a cooling-off period that is 30 days following the adoption or modification (as specified in Rule 10b5-1) of a Rule 10b5-1 Plan.</w:t>
      </w:r>
    </w:p>
    <w:p>
      <w:pPr>
        <w:spacing w:after="0" w:line="2" w:lineRule="exact"/>
        <w:rPr>
          <w:rFonts w:ascii="Arial" w:cs="Arial" w:eastAsia="Arial" w:hAnsi="Arial"/>
          <w:sz w:val="20"/>
          <w:szCs w:val="20"/>
          <w:color w:val="auto"/>
        </w:rPr>
      </w:pPr>
    </w:p>
    <w:p>
      <w:pPr>
        <w:ind w:left="660" w:hanging="328"/>
        <w:spacing w:after="0" w:line="230" w:lineRule="auto"/>
        <w:tabs>
          <w:tab w:leader="none" w:pos="648" w:val="left"/>
        </w:tabs>
        <w:numPr>
          <w:ilvl w:val="0"/>
          <w:numId w:val="31"/>
        </w:numPr>
        <w:rPr>
          <w:rFonts w:ascii="Arial" w:cs="Arial" w:eastAsia="Arial" w:hAnsi="Arial"/>
          <w:sz w:val="20"/>
          <w:szCs w:val="20"/>
          <w:color w:val="auto"/>
        </w:rPr>
      </w:pPr>
      <w:r>
        <w:rPr>
          <w:rFonts w:ascii="Arial" w:cs="Arial" w:eastAsia="Arial" w:hAnsi="Arial"/>
          <w:sz w:val="22"/>
          <w:szCs w:val="22"/>
          <w:color w:val="auto"/>
        </w:rPr>
        <w:t>Subject to certain limited exceptions specified in Rule 10b5-1, you may not have more than one Rule 10b5-1 Plan in effect at any same time.</w:t>
      </w:r>
    </w:p>
    <w:p>
      <w:pPr>
        <w:spacing w:after="0" w:line="1" w:lineRule="exact"/>
        <w:rPr>
          <w:rFonts w:ascii="Arial" w:cs="Arial" w:eastAsia="Arial" w:hAnsi="Arial"/>
          <w:sz w:val="20"/>
          <w:szCs w:val="20"/>
          <w:color w:val="auto"/>
        </w:rPr>
      </w:pPr>
    </w:p>
    <w:p>
      <w:pPr>
        <w:jc w:val="both"/>
        <w:ind w:left="660" w:hanging="328"/>
        <w:spacing w:after="0" w:line="227" w:lineRule="auto"/>
        <w:tabs>
          <w:tab w:leader="none" w:pos="648" w:val="left"/>
        </w:tabs>
        <w:numPr>
          <w:ilvl w:val="0"/>
          <w:numId w:val="31"/>
        </w:numPr>
        <w:rPr>
          <w:rFonts w:ascii="Arial" w:cs="Arial" w:eastAsia="Arial" w:hAnsi="Arial"/>
          <w:sz w:val="20"/>
          <w:szCs w:val="20"/>
          <w:color w:val="auto"/>
        </w:rPr>
      </w:pPr>
      <w:r>
        <w:rPr>
          <w:rFonts w:ascii="Arial" w:cs="Arial" w:eastAsia="Arial" w:hAnsi="Arial"/>
          <w:sz w:val="22"/>
          <w:szCs w:val="22"/>
          <w:color w:val="auto"/>
        </w:rPr>
        <w:t>Subject to certain limited exceptions specified in Rule 10b5-1, you may only enter into a Rule 10b5-1 Plan that is designed to effect an open market purchase or sale of the total amount of securities subject to the Rule 10b5-1 Plan as a single transaction (a “single-transaction plan”) if you have not entered into a “single-transaction plan” in the prior 12 months.</w:t>
      </w:r>
    </w:p>
    <w:p>
      <w:pPr>
        <w:spacing w:after="0" w:line="1" w:lineRule="exact"/>
        <w:rPr>
          <w:rFonts w:ascii="Arial" w:cs="Arial" w:eastAsia="Arial" w:hAnsi="Arial"/>
          <w:sz w:val="20"/>
          <w:szCs w:val="20"/>
          <w:color w:val="auto"/>
        </w:rPr>
      </w:pPr>
    </w:p>
    <w:p>
      <w:pPr>
        <w:jc w:val="both"/>
        <w:ind w:left="660" w:hanging="328"/>
        <w:spacing w:after="0" w:line="230" w:lineRule="auto"/>
        <w:tabs>
          <w:tab w:leader="none" w:pos="648" w:val="left"/>
        </w:tabs>
        <w:numPr>
          <w:ilvl w:val="0"/>
          <w:numId w:val="31"/>
        </w:numPr>
        <w:rPr>
          <w:rFonts w:ascii="Arial" w:cs="Arial" w:eastAsia="Arial" w:hAnsi="Arial"/>
          <w:sz w:val="20"/>
          <w:szCs w:val="20"/>
          <w:color w:val="auto"/>
        </w:rPr>
      </w:pPr>
      <w:r>
        <w:rPr>
          <w:rFonts w:ascii="Arial" w:cs="Arial" w:eastAsia="Arial" w:hAnsi="Arial"/>
          <w:sz w:val="22"/>
          <w:szCs w:val="22"/>
          <w:color w:val="auto"/>
        </w:rPr>
        <w:t>You must act in good faith with respect to a Rule 10b5-1 Plan. A Rule 10b5-1 Plan cannot be entered into as part of a plan or scheme to evade the prohibition of Rule 10b5. Therefore, although modifications to an existing Rule 10b5-1 Plan are not prohibited, a Rule 10b5-1 Plan should be adopted with the intention that it will not be amended or terminated prior to its expiration.</w:t>
      </w:r>
    </w:p>
    <w:p>
      <w:pPr>
        <w:spacing w:after="0" w:line="2" w:lineRule="exact"/>
        <w:rPr>
          <w:rFonts w:ascii="Arial" w:cs="Arial" w:eastAsia="Arial" w:hAnsi="Arial"/>
          <w:sz w:val="20"/>
          <w:szCs w:val="20"/>
          <w:color w:val="auto"/>
        </w:rPr>
      </w:pPr>
    </w:p>
    <w:p>
      <w:pPr>
        <w:ind w:left="640" w:hanging="308"/>
        <w:spacing w:after="0" w:line="230" w:lineRule="auto"/>
        <w:tabs>
          <w:tab w:leader="none" w:pos="640" w:val="left"/>
        </w:tabs>
        <w:numPr>
          <w:ilvl w:val="0"/>
          <w:numId w:val="31"/>
        </w:numPr>
        <w:rPr>
          <w:rFonts w:ascii="Arial" w:cs="Arial" w:eastAsia="Arial" w:hAnsi="Arial"/>
          <w:sz w:val="20"/>
          <w:szCs w:val="20"/>
          <w:color w:val="auto"/>
        </w:rPr>
      </w:pPr>
      <w:r>
        <w:rPr>
          <w:rFonts w:ascii="Arial" w:cs="Arial" w:eastAsia="Arial" w:hAnsi="Arial"/>
          <w:sz w:val="22"/>
          <w:szCs w:val="22"/>
          <w:color w:val="auto"/>
        </w:rPr>
        <w:t>Section 16 Persons must include a representation in the Rule 10b5-1 Plan that (i) the person is not aware of</w:t>
      </w:r>
    </w:p>
    <w:p>
      <w:pPr>
        <w:spacing w:after="0" w:line="1" w:lineRule="exact"/>
        <w:rPr>
          <w:sz w:val="20"/>
          <w:szCs w:val="20"/>
          <w:color w:val="auto"/>
        </w:rPr>
      </w:pPr>
    </w:p>
    <w:p>
      <w:pPr>
        <w:ind w:left="660"/>
        <w:spacing w:after="0" w:line="230" w:lineRule="auto"/>
        <w:rPr>
          <w:sz w:val="20"/>
          <w:szCs w:val="20"/>
          <w:color w:val="auto"/>
        </w:rPr>
      </w:pPr>
      <w:r>
        <w:rPr>
          <w:rFonts w:ascii="Arial" w:cs="Arial" w:eastAsia="Arial" w:hAnsi="Arial"/>
          <w:sz w:val="22"/>
          <w:szCs w:val="22"/>
          <w:color w:val="auto"/>
        </w:rPr>
        <w:t>material, nonpublic information about Option Care Health or Option Care Health securities and (ii) the person is adopting the plan in good faith and not as part of plan or scheme to evade the prohibitions of Rule 10b-5.</w:t>
      </w:r>
    </w:p>
    <w:p>
      <w:pPr>
        <w:spacing w:after="0" w:line="1" w:lineRule="exact"/>
        <w:rPr>
          <w:sz w:val="20"/>
          <w:szCs w:val="20"/>
          <w:color w:val="auto"/>
        </w:rPr>
      </w:pPr>
    </w:p>
    <w:p>
      <w:pPr>
        <w:ind w:hanging="11"/>
        <w:spacing w:after="0" w:line="233" w:lineRule="auto"/>
        <w:rPr>
          <w:sz w:val="20"/>
          <w:szCs w:val="20"/>
          <w:color w:val="auto"/>
        </w:rPr>
      </w:pPr>
      <w:r>
        <w:rPr>
          <w:rFonts w:ascii="Arial" w:cs="Arial" w:eastAsia="Arial" w:hAnsi="Arial"/>
          <w:sz w:val="22"/>
          <w:szCs w:val="22"/>
          <w:color w:val="auto"/>
        </w:rPr>
        <w:t>For purposes of the above, a modification as specified in Rule 10b5-1 includes any modification of a Rule 10b5-1 Plan that changes the amount, price or timing of the purchase or sale of securities underlying the 10b5-1 Plan.</w:t>
      </w:r>
    </w:p>
    <w:p>
      <w:pPr>
        <w:sectPr>
          <w:pgSz w:w="11900" w:h="16838" w:orient="portrait"/>
          <w:cols w:equalWidth="0" w:num="1">
            <w:col w:w="11240"/>
          </w:cols>
          <w:pgMar w:left="320" w:top="1409" w:right="339" w:bottom="1440" w:gutter="0" w:footer="0" w:header="0"/>
        </w:sectPr>
      </w:pPr>
    </w:p>
    <w:bookmarkStart w:id="88" w:name="page89"/>
    <w:bookmarkEnd w:id="88"/>
    <w:tbl>
      <w:tblPr>
        <w:tblLayout w:type="fixed"/>
        <w:tblInd w:w="10" w:type="dxa"/>
        <w:tblCellMar>
          <w:top w:w="0" w:type="dxa"/>
          <w:left w:w="0" w:type="dxa"/>
          <w:bottom w:w="0" w:type="dxa"/>
          <w:right w:w="0" w:type="dxa"/>
        </w:tblCellMar>
      </w:tblPr>
      <w:tr>
        <w:trPr>
          <w:trHeight w:val="212"/>
        </w:trPr>
        <w:tc>
          <w:tcPr>
            <w:tcW w:w="284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20" w:type="dxa"/>
            <w:vAlign w:val="bottom"/>
          </w:tcPr>
          <w:p>
            <w:pPr>
              <w:ind w:left="1560"/>
              <w:spacing w:after="0"/>
              <w:rPr>
                <w:sz w:val="20"/>
                <w:szCs w:val="20"/>
                <w:color w:val="auto"/>
              </w:rPr>
            </w:pPr>
            <w:r>
              <w:rPr>
                <w:rFonts w:ascii="Times New Roman" w:cs="Times New Roman" w:eastAsia="Times New Roman" w:hAnsi="Times New Roman"/>
                <w:sz w:val="16"/>
                <w:szCs w:val="16"/>
                <w:b w:val="1"/>
                <w:bCs w:val="1"/>
                <w:color w:val="auto"/>
              </w:rPr>
              <w:t>EXHIBIT 21.1</w:t>
            </w:r>
          </w:p>
        </w:tc>
        <w:tc>
          <w:tcPr>
            <w:tcW w:w="0" w:type="dxa"/>
            <w:vAlign w:val="bottom"/>
          </w:tcPr>
          <w:p>
            <w:pPr>
              <w:spacing w:after="0"/>
              <w:rPr>
                <w:sz w:val="1"/>
                <w:szCs w:val="1"/>
                <w:color w:val="auto"/>
              </w:rPr>
            </w:pPr>
          </w:p>
        </w:tc>
      </w:tr>
      <w:tr>
        <w:trPr>
          <w:trHeight w:val="452"/>
        </w:trPr>
        <w:tc>
          <w:tcPr>
            <w:tcW w:w="2840" w:type="dxa"/>
            <w:vAlign w:val="bottom"/>
          </w:tcPr>
          <w:p>
            <w:pPr>
              <w:spacing w:after="0"/>
              <w:rPr>
                <w:sz w:val="24"/>
                <w:szCs w:val="24"/>
                <w:color w:val="auto"/>
              </w:rPr>
            </w:pPr>
          </w:p>
        </w:tc>
        <w:tc>
          <w:tcPr>
            <w:tcW w:w="55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2"/>
                <w:szCs w:val="22"/>
                <w:b w:val="1"/>
                <w:bCs w:val="1"/>
                <w:color w:val="auto"/>
                <w:w w:val="97"/>
              </w:rPr>
              <w:t>OPTION CARE HEALTH, INC. AND ITS SUBSIDIARIES</w:t>
            </w:r>
          </w:p>
        </w:tc>
        <w:tc>
          <w:tcPr>
            <w:tcW w:w="22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5960" w:type="dxa"/>
            <w:vAlign w:val="bottom"/>
            <w:tcBorders>
              <w:bottom w:val="single" w:sz="8" w:color="auto"/>
            </w:tcBorders>
            <w:gridSpan w:val="2"/>
          </w:tcPr>
          <w:p>
            <w:pPr>
              <w:spacing w:after="0"/>
              <w:rPr>
                <w:sz w:val="12"/>
                <w:szCs w:val="12"/>
                <w:color w:val="auto"/>
              </w:rPr>
            </w:pPr>
          </w:p>
        </w:tc>
        <w:tc>
          <w:tcPr>
            <w:tcW w:w="24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26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23"/>
        </w:trPr>
        <w:tc>
          <w:tcPr>
            <w:tcW w:w="5960" w:type="dxa"/>
            <w:vAlign w:val="bottom"/>
            <w:tcBorders>
              <w:left w:val="single" w:sz="8" w:color="auto"/>
              <w:bottom w:val="single" w:sz="8" w:color="auto"/>
              <w:right w:val="single" w:sz="8" w:color="auto"/>
            </w:tcBorders>
            <w:gridSpan w:val="2"/>
          </w:tcPr>
          <w:p>
            <w:pPr>
              <w:ind w:left="2500"/>
              <w:spacing w:after="0"/>
              <w:rPr>
                <w:sz w:val="20"/>
                <w:szCs w:val="20"/>
                <w:color w:val="auto"/>
              </w:rPr>
            </w:pPr>
            <w:r>
              <w:rPr>
                <w:rFonts w:ascii="Times New Roman" w:cs="Times New Roman" w:eastAsia="Times New Roman" w:hAnsi="Times New Roman"/>
                <w:sz w:val="18"/>
                <w:szCs w:val="18"/>
                <w:b w:val="1"/>
                <w:bCs w:val="1"/>
                <w:color w:val="auto"/>
              </w:rPr>
              <w:t>Entity Name</w:t>
            </w:r>
          </w:p>
        </w:tc>
        <w:tc>
          <w:tcPr>
            <w:tcW w:w="242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8"/>
                <w:szCs w:val="18"/>
                <w:b w:val="1"/>
                <w:bCs w:val="1"/>
                <w:color w:val="auto"/>
              </w:rPr>
              <w:t>State of Incorporation</w:t>
            </w:r>
          </w:p>
        </w:tc>
        <w:tc>
          <w:tcPr>
            <w:tcW w:w="220" w:type="dxa"/>
            <w:vAlign w:val="bottom"/>
            <w:tcBorders>
              <w:bottom w:val="single" w:sz="8" w:color="auto"/>
              <w:right w:val="single" w:sz="8" w:color="auto"/>
            </w:tcBorders>
          </w:tcPr>
          <w:p>
            <w:pPr>
              <w:spacing w:after="0"/>
              <w:rPr>
                <w:sz w:val="19"/>
                <w:szCs w:val="19"/>
                <w:color w:val="auto"/>
              </w:rPr>
            </w:pPr>
          </w:p>
        </w:tc>
        <w:tc>
          <w:tcPr>
            <w:tcW w:w="2620" w:type="dxa"/>
            <w:vAlign w:val="bottom"/>
            <w:tcBorders>
              <w:bottom w:val="single" w:sz="8" w:color="auto"/>
              <w:right w:val="single" w:sz="8" w:color="auto"/>
            </w:tcBorders>
          </w:tcPr>
          <w:p>
            <w:pPr>
              <w:ind w:left="600"/>
              <w:spacing w:after="0"/>
              <w:rPr>
                <w:sz w:val="20"/>
                <w:szCs w:val="20"/>
                <w:color w:val="auto"/>
              </w:rPr>
            </w:pPr>
            <w:r>
              <w:rPr>
                <w:rFonts w:ascii="Times New Roman" w:cs="Times New Roman" w:eastAsia="Times New Roman" w:hAnsi="Times New Roman"/>
                <w:sz w:val="18"/>
                <w:szCs w:val="18"/>
                <w:b w:val="1"/>
                <w:bCs w:val="1"/>
                <w:color w:val="auto"/>
              </w:rPr>
              <w:t>Doing Business As</w:t>
            </w:r>
          </w:p>
        </w:tc>
        <w:tc>
          <w:tcPr>
            <w:tcW w:w="0" w:type="dxa"/>
            <w:vAlign w:val="bottom"/>
          </w:tcPr>
          <w:p>
            <w:pPr>
              <w:spacing w:after="0"/>
              <w:rPr>
                <w:sz w:val="1"/>
                <w:szCs w:val="1"/>
                <w:color w:val="auto"/>
              </w:rPr>
            </w:pPr>
          </w:p>
        </w:tc>
      </w:tr>
      <w:tr>
        <w:trPr>
          <w:trHeight w:val="223"/>
        </w:trPr>
        <w:tc>
          <w:tcPr>
            <w:tcW w:w="596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BioScrip Infusion Services, Inc.</w:t>
            </w:r>
          </w:p>
        </w:tc>
        <w:tc>
          <w:tcPr>
            <w:tcW w:w="2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California</w:t>
            </w:r>
          </w:p>
        </w:tc>
        <w:tc>
          <w:tcPr>
            <w:tcW w:w="220" w:type="dxa"/>
            <w:vAlign w:val="bottom"/>
            <w:tcBorders>
              <w:bottom w:val="single" w:sz="8" w:color="auto"/>
              <w:right w:val="single" w:sz="8" w:color="auto"/>
            </w:tcBorders>
          </w:tcPr>
          <w:p>
            <w:pPr>
              <w:spacing w:after="0"/>
              <w:rPr>
                <w:sz w:val="19"/>
                <w:szCs w:val="19"/>
                <w:color w:val="auto"/>
              </w:rPr>
            </w:pPr>
          </w:p>
        </w:tc>
        <w:tc>
          <w:tcPr>
            <w:tcW w:w="2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BioScrip Infusion Services</w:t>
            </w:r>
          </w:p>
        </w:tc>
        <w:tc>
          <w:tcPr>
            <w:tcW w:w="0" w:type="dxa"/>
            <w:vAlign w:val="bottom"/>
          </w:tcPr>
          <w:p>
            <w:pPr>
              <w:spacing w:after="0"/>
              <w:rPr>
                <w:sz w:val="1"/>
                <w:szCs w:val="1"/>
                <w:color w:val="auto"/>
              </w:rPr>
            </w:pPr>
          </w:p>
        </w:tc>
      </w:tr>
      <w:tr>
        <w:trPr>
          <w:trHeight w:val="223"/>
        </w:trPr>
        <w:tc>
          <w:tcPr>
            <w:tcW w:w="596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BioScrip Infusion Services, LLC</w:t>
            </w:r>
          </w:p>
        </w:tc>
        <w:tc>
          <w:tcPr>
            <w:tcW w:w="2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220" w:type="dxa"/>
            <w:vAlign w:val="bottom"/>
            <w:tcBorders>
              <w:bottom w:val="single" w:sz="8" w:color="auto"/>
              <w:right w:val="single" w:sz="8" w:color="auto"/>
            </w:tcBorders>
          </w:tcPr>
          <w:p>
            <w:pPr>
              <w:spacing w:after="0"/>
              <w:rPr>
                <w:sz w:val="19"/>
                <w:szCs w:val="19"/>
                <w:color w:val="auto"/>
              </w:rPr>
            </w:pPr>
          </w:p>
        </w:tc>
        <w:tc>
          <w:tcPr>
            <w:tcW w:w="2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BioScrip Infusion Services</w:t>
            </w:r>
          </w:p>
        </w:tc>
        <w:tc>
          <w:tcPr>
            <w:tcW w:w="0" w:type="dxa"/>
            <w:vAlign w:val="bottom"/>
          </w:tcPr>
          <w:p>
            <w:pPr>
              <w:spacing w:after="0"/>
              <w:rPr>
                <w:sz w:val="1"/>
                <w:szCs w:val="1"/>
                <w:color w:val="auto"/>
              </w:rPr>
            </w:pPr>
          </w:p>
        </w:tc>
      </w:tr>
      <w:tr>
        <w:trPr>
          <w:trHeight w:val="223"/>
        </w:trPr>
        <w:tc>
          <w:tcPr>
            <w:tcW w:w="596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BioScrip PBM Services, LLC</w:t>
            </w:r>
          </w:p>
        </w:tc>
        <w:tc>
          <w:tcPr>
            <w:tcW w:w="2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220" w:type="dxa"/>
            <w:vAlign w:val="bottom"/>
            <w:tcBorders>
              <w:bottom w:val="single" w:sz="8" w:color="auto"/>
              <w:right w:val="single" w:sz="8" w:color="auto"/>
            </w:tcBorders>
          </w:tcPr>
          <w:p>
            <w:pPr>
              <w:spacing w:after="0"/>
              <w:rPr>
                <w:sz w:val="19"/>
                <w:szCs w:val="19"/>
                <w:color w:val="auto"/>
              </w:rPr>
            </w:pPr>
          </w:p>
        </w:tc>
        <w:tc>
          <w:tcPr>
            <w:tcW w:w="2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BioScrip PBM Services</w:t>
            </w:r>
          </w:p>
        </w:tc>
        <w:tc>
          <w:tcPr>
            <w:tcW w:w="0" w:type="dxa"/>
            <w:vAlign w:val="bottom"/>
          </w:tcPr>
          <w:p>
            <w:pPr>
              <w:spacing w:after="0"/>
              <w:rPr>
                <w:sz w:val="1"/>
                <w:szCs w:val="1"/>
                <w:color w:val="auto"/>
              </w:rPr>
            </w:pPr>
          </w:p>
        </w:tc>
      </w:tr>
      <w:tr>
        <w:trPr>
          <w:trHeight w:val="223"/>
        </w:trPr>
        <w:tc>
          <w:tcPr>
            <w:tcW w:w="596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BioScrip Pharmacy Services, Inc.</w:t>
            </w:r>
          </w:p>
        </w:tc>
        <w:tc>
          <w:tcPr>
            <w:tcW w:w="2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Ohio</w:t>
            </w:r>
          </w:p>
        </w:tc>
        <w:tc>
          <w:tcPr>
            <w:tcW w:w="220" w:type="dxa"/>
            <w:vAlign w:val="bottom"/>
            <w:tcBorders>
              <w:bottom w:val="single" w:sz="8" w:color="auto"/>
              <w:right w:val="single" w:sz="8" w:color="auto"/>
            </w:tcBorders>
          </w:tcPr>
          <w:p>
            <w:pPr>
              <w:spacing w:after="0"/>
              <w:rPr>
                <w:sz w:val="19"/>
                <w:szCs w:val="19"/>
                <w:color w:val="auto"/>
              </w:rPr>
            </w:pPr>
          </w:p>
        </w:tc>
        <w:tc>
          <w:tcPr>
            <w:tcW w:w="2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BioScrip Pharmacy Services</w:t>
            </w:r>
          </w:p>
        </w:tc>
        <w:tc>
          <w:tcPr>
            <w:tcW w:w="0" w:type="dxa"/>
            <w:vAlign w:val="bottom"/>
          </w:tcPr>
          <w:p>
            <w:pPr>
              <w:spacing w:after="0"/>
              <w:rPr>
                <w:sz w:val="1"/>
                <w:szCs w:val="1"/>
                <w:color w:val="auto"/>
              </w:rPr>
            </w:pPr>
          </w:p>
        </w:tc>
      </w:tr>
      <w:tr>
        <w:trPr>
          <w:trHeight w:val="223"/>
        </w:trPr>
        <w:tc>
          <w:tcPr>
            <w:tcW w:w="596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CHI Holding Corporation</w:t>
            </w:r>
          </w:p>
        </w:tc>
        <w:tc>
          <w:tcPr>
            <w:tcW w:w="2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220" w:type="dxa"/>
            <w:vAlign w:val="bottom"/>
            <w:tcBorders>
              <w:bottom w:val="single" w:sz="8" w:color="auto"/>
              <w:right w:val="single" w:sz="8" w:color="auto"/>
            </w:tcBorders>
          </w:tcPr>
          <w:p>
            <w:pPr>
              <w:spacing w:after="0"/>
              <w:rPr>
                <w:sz w:val="19"/>
                <w:szCs w:val="19"/>
                <w:color w:val="auto"/>
              </w:rPr>
            </w:pPr>
          </w:p>
        </w:tc>
        <w:tc>
          <w:tcPr>
            <w:tcW w:w="2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 Holding Corporation</w:t>
            </w:r>
          </w:p>
        </w:tc>
        <w:tc>
          <w:tcPr>
            <w:tcW w:w="0" w:type="dxa"/>
            <w:vAlign w:val="bottom"/>
          </w:tcPr>
          <w:p>
            <w:pPr>
              <w:spacing w:after="0"/>
              <w:rPr>
                <w:sz w:val="1"/>
                <w:szCs w:val="1"/>
                <w:color w:val="auto"/>
              </w:rPr>
            </w:pPr>
          </w:p>
        </w:tc>
      </w:tr>
      <w:tr>
        <w:trPr>
          <w:trHeight w:val="223"/>
        </w:trPr>
        <w:tc>
          <w:tcPr>
            <w:tcW w:w="596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Chronimed, LLC</w:t>
            </w:r>
          </w:p>
        </w:tc>
        <w:tc>
          <w:tcPr>
            <w:tcW w:w="2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Minnesota</w:t>
            </w:r>
          </w:p>
        </w:tc>
        <w:tc>
          <w:tcPr>
            <w:tcW w:w="220" w:type="dxa"/>
            <w:vAlign w:val="bottom"/>
            <w:tcBorders>
              <w:bottom w:val="single" w:sz="8" w:color="auto"/>
              <w:right w:val="single" w:sz="8" w:color="auto"/>
            </w:tcBorders>
          </w:tcPr>
          <w:p>
            <w:pPr>
              <w:spacing w:after="0"/>
              <w:rPr>
                <w:sz w:val="19"/>
                <w:szCs w:val="19"/>
                <w:color w:val="auto"/>
              </w:rPr>
            </w:pPr>
          </w:p>
        </w:tc>
        <w:tc>
          <w:tcPr>
            <w:tcW w:w="2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Chronimed, LLC</w:t>
            </w:r>
          </w:p>
        </w:tc>
        <w:tc>
          <w:tcPr>
            <w:tcW w:w="0" w:type="dxa"/>
            <w:vAlign w:val="bottom"/>
          </w:tcPr>
          <w:p>
            <w:pPr>
              <w:spacing w:after="0"/>
              <w:rPr>
                <w:sz w:val="1"/>
                <w:szCs w:val="1"/>
                <w:color w:val="auto"/>
              </w:rPr>
            </w:pPr>
          </w:p>
        </w:tc>
      </w:tr>
      <w:tr>
        <w:trPr>
          <w:trHeight w:val="223"/>
        </w:trPr>
        <w:tc>
          <w:tcPr>
            <w:tcW w:w="596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CHS Holdings, LLC</w:t>
            </w:r>
          </w:p>
        </w:tc>
        <w:tc>
          <w:tcPr>
            <w:tcW w:w="2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220" w:type="dxa"/>
            <w:vAlign w:val="bottom"/>
            <w:tcBorders>
              <w:bottom w:val="single" w:sz="8" w:color="auto"/>
              <w:right w:val="single" w:sz="8" w:color="auto"/>
            </w:tcBorders>
          </w:tcPr>
          <w:p>
            <w:pPr>
              <w:spacing w:after="0"/>
              <w:rPr>
                <w:sz w:val="19"/>
                <w:szCs w:val="19"/>
                <w:color w:val="auto"/>
              </w:rPr>
            </w:pPr>
          </w:p>
        </w:tc>
        <w:tc>
          <w:tcPr>
            <w:tcW w:w="2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CHS Holdings, LLC</w:t>
            </w:r>
          </w:p>
        </w:tc>
        <w:tc>
          <w:tcPr>
            <w:tcW w:w="0" w:type="dxa"/>
            <w:vAlign w:val="bottom"/>
          </w:tcPr>
          <w:p>
            <w:pPr>
              <w:spacing w:after="0"/>
              <w:rPr>
                <w:sz w:val="1"/>
                <w:szCs w:val="1"/>
                <w:color w:val="auto"/>
              </w:rPr>
            </w:pPr>
          </w:p>
        </w:tc>
      </w:tr>
      <w:tr>
        <w:trPr>
          <w:trHeight w:val="223"/>
        </w:trPr>
        <w:tc>
          <w:tcPr>
            <w:tcW w:w="596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Clinical Holdings, Inc.</w:t>
            </w:r>
          </w:p>
        </w:tc>
        <w:tc>
          <w:tcPr>
            <w:tcW w:w="2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Ohio</w:t>
            </w:r>
          </w:p>
        </w:tc>
        <w:tc>
          <w:tcPr>
            <w:tcW w:w="220" w:type="dxa"/>
            <w:vAlign w:val="bottom"/>
            <w:tcBorders>
              <w:bottom w:val="single" w:sz="8" w:color="auto"/>
              <w:right w:val="single" w:sz="8" w:color="auto"/>
            </w:tcBorders>
          </w:tcPr>
          <w:p>
            <w:pPr>
              <w:spacing w:after="0"/>
              <w:rPr>
                <w:sz w:val="19"/>
                <w:szCs w:val="19"/>
                <w:color w:val="auto"/>
              </w:rPr>
            </w:pPr>
          </w:p>
        </w:tc>
        <w:tc>
          <w:tcPr>
            <w:tcW w:w="2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Clinical Holdings, Inc.</w:t>
            </w:r>
          </w:p>
        </w:tc>
        <w:tc>
          <w:tcPr>
            <w:tcW w:w="0" w:type="dxa"/>
            <w:vAlign w:val="bottom"/>
          </w:tcPr>
          <w:p>
            <w:pPr>
              <w:spacing w:after="0"/>
              <w:rPr>
                <w:sz w:val="1"/>
                <w:szCs w:val="1"/>
                <w:color w:val="auto"/>
              </w:rPr>
            </w:pPr>
          </w:p>
        </w:tc>
      </w:tr>
      <w:tr>
        <w:trPr>
          <w:trHeight w:val="178"/>
        </w:trPr>
        <w:tc>
          <w:tcPr>
            <w:tcW w:w="5960" w:type="dxa"/>
            <w:vAlign w:val="bottom"/>
            <w:tcBorders>
              <w:left w:val="single" w:sz="8" w:color="auto"/>
              <w:right w:val="single" w:sz="8" w:color="auto"/>
            </w:tcBorders>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Clinical Specialties Network Services of Illinois, Inc.</w:t>
            </w:r>
          </w:p>
        </w:tc>
        <w:tc>
          <w:tcPr>
            <w:tcW w:w="24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Ohio</w:t>
            </w:r>
          </w:p>
        </w:tc>
        <w:tc>
          <w:tcPr>
            <w:tcW w:w="220" w:type="dxa"/>
            <w:vAlign w:val="bottom"/>
            <w:tcBorders>
              <w:right w:val="single" w:sz="8" w:color="auto"/>
            </w:tcBorders>
          </w:tcPr>
          <w:p>
            <w:pPr>
              <w:spacing w:after="0"/>
              <w:rPr>
                <w:sz w:val="15"/>
                <w:szCs w:val="15"/>
                <w:color w:val="auto"/>
              </w:rPr>
            </w:pPr>
          </w:p>
        </w:tc>
        <w:tc>
          <w:tcPr>
            <w:tcW w:w="2620" w:type="dxa"/>
            <w:vAlign w:val="bottom"/>
            <w:tcBorders>
              <w:right w:val="single" w:sz="8" w:color="auto"/>
            </w:tcBorders>
          </w:tcPr>
          <w:p>
            <w:pPr>
              <w:spacing w:after="0" w:line="177" w:lineRule="exact"/>
              <w:rPr>
                <w:sz w:val="20"/>
                <w:szCs w:val="20"/>
                <w:color w:val="auto"/>
              </w:rPr>
            </w:pPr>
            <w:r>
              <w:rPr>
                <w:rFonts w:ascii="Times New Roman" w:cs="Times New Roman" w:eastAsia="Times New Roman" w:hAnsi="Times New Roman"/>
                <w:sz w:val="18"/>
                <w:szCs w:val="18"/>
                <w:color w:val="auto"/>
              </w:rPr>
              <w:t>Clinical Specialties Network</w:t>
            </w:r>
          </w:p>
        </w:tc>
        <w:tc>
          <w:tcPr>
            <w:tcW w:w="0" w:type="dxa"/>
            <w:vAlign w:val="bottom"/>
          </w:tcPr>
          <w:p>
            <w:pPr>
              <w:spacing w:after="0"/>
              <w:rPr>
                <w:sz w:val="1"/>
                <w:szCs w:val="1"/>
                <w:color w:val="auto"/>
              </w:rPr>
            </w:pPr>
          </w:p>
        </w:tc>
      </w:tr>
      <w:tr>
        <w:trPr>
          <w:trHeight w:val="140"/>
        </w:trPr>
        <w:tc>
          <w:tcPr>
            <w:tcW w:w="5960" w:type="dxa"/>
            <w:vAlign w:val="bottom"/>
            <w:tcBorders>
              <w:left w:val="single" w:sz="8" w:color="auto"/>
              <w:right w:val="single" w:sz="8" w:color="auto"/>
            </w:tcBorders>
            <w:gridSpan w:val="2"/>
            <w:vMerge w:val="continue"/>
          </w:tcPr>
          <w:p>
            <w:pPr>
              <w:spacing w:after="0"/>
              <w:rPr>
                <w:sz w:val="12"/>
                <w:szCs w:val="12"/>
                <w:color w:val="auto"/>
              </w:rPr>
            </w:pPr>
          </w:p>
        </w:tc>
        <w:tc>
          <w:tcPr>
            <w:tcW w:w="2420" w:type="dxa"/>
            <w:vAlign w:val="bottom"/>
            <w:vMerge w:val="continue"/>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26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Services of Illinois, Inc.</w:t>
            </w:r>
          </w:p>
        </w:tc>
        <w:tc>
          <w:tcPr>
            <w:tcW w:w="0" w:type="dxa"/>
            <w:vAlign w:val="bottom"/>
          </w:tcPr>
          <w:p>
            <w:pPr>
              <w:spacing w:after="0"/>
              <w:rPr>
                <w:sz w:val="1"/>
                <w:szCs w:val="1"/>
                <w:color w:val="auto"/>
              </w:rPr>
            </w:pPr>
          </w:p>
        </w:tc>
      </w:tr>
      <w:tr>
        <w:trPr>
          <w:trHeight w:val="95"/>
        </w:trPr>
        <w:tc>
          <w:tcPr>
            <w:tcW w:w="2840" w:type="dxa"/>
            <w:vAlign w:val="bottom"/>
            <w:tcBorders>
              <w:left w:val="single" w:sz="8" w:color="auto"/>
              <w:bottom w:val="single" w:sz="8" w:color="auto"/>
            </w:tcBorders>
          </w:tcPr>
          <w:p>
            <w:pPr>
              <w:spacing w:after="0"/>
              <w:rPr>
                <w:sz w:val="8"/>
                <w:szCs w:val="8"/>
                <w:color w:val="auto"/>
              </w:rPr>
            </w:pPr>
          </w:p>
        </w:tc>
        <w:tc>
          <w:tcPr>
            <w:tcW w:w="3120" w:type="dxa"/>
            <w:vAlign w:val="bottom"/>
            <w:tcBorders>
              <w:bottom w:val="single" w:sz="8" w:color="auto"/>
              <w:right w:val="single" w:sz="8" w:color="auto"/>
            </w:tcBorders>
          </w:tcPr>
          <w:p>
            <w:pPr>
              <w:spacing w:after="0"/>
              <w:rPr>
                <w:sz w:val="8"/>
                <w:szCs w:val="8"/>
                <w:color w:val="auto"/>
              </w:rPr>
            </w:pPr>
          </w:p>
        </w:tc>
        <w:tc>
          <w:tcPr>
            <w:tcW w:w="2420" w:type="dxa"/>
            <w:vAlign w:val="bottom"/>
            <w:tcBorders>
              <w:bottom w:val="single" w:sz="8" w:color="auto"/>
            </w:tcBorders>
          </w:tcPr>
          <w:p>
            <w:pPr>
              <w:spacing w:after="0"/>
              <w:rPr>
                <w:sz w:val="8"/>
                <w:szCs w:val="8"/>
                <w:color w:val="auto"/>
              </w:rPr>
            </w:pPr>
          </w:p>
        </w:tc>
        <w:tc>
          <w:tcPr>
            <w:tcW w:w="220" w:type="dxa"/>
            <w:vAlign w:val="bottom"/>
            <w:tcBorders>
              <w:bottom w:val="single" w:sz="8" w:color="auto"/>
              <w:right w:val="single" w:sz="8" w:color="auto"/>
            </w:tcBorders>
          </w:tcPr>
          <w:p>
            <w:pPr>
              <w:spacing w:after="0"/>
              <w:rPr>
                <w:sz w:val="8"/>
                <w:szCs w:val="8"/>
                <w:color w:val="auto"/>
              </w:rPr>
            </w:pPr>
          </w:p>
        </w:tc>
        <w:tc>
          <w:tcPr>
            <w:tcW w:w="2620" w:type="dxa"/>
            <w:vAlign w:val="bottom"/>
            <w:tcBorders>
              <w:bottom w:val="single" w:sz="8" w:color="auto"/>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596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Clinical Specialties, Inc.</w:t>
            </w:r>
          </w:p>
        </w:tc>
        <w:tc>
          <w:tcPr>
            <w:tcW w:w="2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Ohio</w:t>
            </w:r>
          </w:p>
        </w:tc>
        <w:tc>
          <w:tcPr>
            <w:tcW w:w="220" w:type="dxa"/>
            <w:vAlign w:val="bottom"/>
            <w:tcBorders>
              <w:bottom w:val="single" w:sz="8" w:color="auto"/>
              <w:right w:val="single" w:sz="8" w:color="auto"/>
            </w:tcBorders>
          </w:tcPr>
          <w:p>
            <w:pPr>
              <w:spacing w:after="0"/>
              <w:rPr>
                <w:sz w:val="19"/>
                <w:szCs w:val="19"/>
                <w:color w:val="auto"/>
              </w:rPr>
            </w:pPr>
          </w:p>
        </w:tc>
        <w:tc>
          <w:tcPr>
            <w:tcW w:w="2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Clinical Specialties</w:t>
            </w:r>
          </w:p>
        </w:tc>
        <w:tc>
          <w:tcPr>
            <w:tcW w:w="0" w:type="dxa"/>
            <w:vAlign w:val="bottom"/>
          </w:tcPr>
          <w:p>
            <w:pPr>
              <w:spacing w:after="0"/>
              <w:rPr>
                <w:sz w:val="1"/>
                <w:szCs w:val="1"/>
                <w:color w:val="auto"/>
              </w:rPr>
            </w:pPr>
          </w:p>
        </w:tc>
      </w:tr>
      <w:tr>
        <w:trPr>
          <w:trHeight w:val="223"/>
        </w:trPr>
        <w:tc>
          <w:tcPr>
            <w:tcW w:w="596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Crescent Healthcare, Inc.</w:t>
            </w:r>
          </w:p>
        </w:tc>
        <w:tc>
          <w:tcPr>
            <w:tcW w:w="2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California</w:t>
            </w:r>
          </w:p>
        </w:tc>
        <w:tc>
          <w:tcPr>
            <w:tcW w:w="220" w:type="dxa"/>
            <w:vAlign w:val="bottom"/>
            <w:tcBorders>
              <w:bottom w:val="single" w:sz="8" w:color="auto"/>
              <w:right w:val="single" w:sz="8" w:color="auto"/>
            </w:tcBorders>
          </w:tcPr>
          <w:p>
            <w:pPr>
              <w:spacing w:after="0"/>
              <w:rPr>
                <w:sz w:val="19"/>
                <w:szCs w:val="19"/>
                <w:color w:val="auto"/>
              </w:rPr>
            </w:pPr>
          </w:p>
        </w:tc>
        <w:tc>
          <w:tcPr>
            <w:tcW w:w="2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Crescent Healthcare</w:t>
            </w:r>
          </w:p>
        </w:tc>
        <w:tc>
          <w:tcPr>
            <w:tcW w:w="0" w:type="dxa"/>
            <w:vAlign w:val="bottom"/>
          </w:tcPr>
          <w:p>
            <w:pPr>
              <w:spacing w:after="0"/>
              <w:rPr>
                <w:sz w:val="1"/>
                <w:szCs w:val="1"/>
                <w:color w:val="auto"/>
              </w:rPr>
            </w:pPr>
          </w:p>
        </w:tc>
      </w:tr>
      <w:tr>
        <w:trPr>
          <w:trHeight w:val="178"/>
        </w:trPr>
        <w:tc>
          <w:tcPr>
            <w:tcW w:w="5960" w:type="dxa"/>
            <w:vAlign w:val="bottom"/>
            <w:tcBorders>
              <w:left w:val="single" w:sz="8" w:color="auto"/>
              <w:right w:val="single" w:sz="8" w:color="auto"/>
            </w:tcBorders>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Critical Care Systems of New York, Inc.</w:t>
            </w:r>
          </w:p>
        </w:tc>
        <w:tc>
          <w:tcPr>
            <w:tcW w:w="24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New York</w:t>
            </w:r>
          </w:p>
        </w:tc>
        <w:tc>
          <w:tcPr>
            <w:tcW w:w="220" w:type="dxa"/>
            <w:vAlign w:val="bottom"/>
            <w:tcBorders>
              <w:right w:val="single" w:sz="8" w:color="auto"/>
            </w:tcBorders>
          </w:tcPr>
          <w:p>
            <w:pPr>
              <w:spacing w:after="0"/>
              <w:rPr>
                <w:sz w:val="15"/>
                <w:szCs w:val="15"/>
                <w:color w:val="auto"/>
              </w:rPr>
            </w:pPr>
          </w:p>
        </w:tc>
        <w:tc>
          <w:tcPr>
            <w:tcW w:w="2620" w:type="dxa"/>
            <w:vAlign w:val="bottom"/>
            <w:tcBorders>
              <w:right w:val="single" w:sz="8" w:color="auto"/>
            </w:tcBorders>
          </w:tcPr>
          <w:p>
            <w:pPr>
              <w:spacing w:after="0" w:line="177" w:lineRule="exact"/>
              <w:rPr>
                <w:sz w:val="20"/>
                <w:szCs w:val="20"/>
                <w:color w:val="auto"/>
              </w:rPr>
            </w:pPr>
            <w:r>
              <w:rPr>
                <w:rFonts w:ascii="Times New Roman" w:cs="Times New Roman" w:eastAsia="Times New Roman" w:hAnsi="Times New Roman"/>
                <w:sz w:val="18"/>
                <w:szCs w:val="18"/>
                <w:color w:val="auto"/>
              </w:rPr>
              <w:t>Critical Care Systems of New</w:t>
            </w:r>
          </w:p>
        </w:tc>
        <w:tc>
          <w:tcPr>
            <w:tcW w:w="0" w:type="dxa"/>
            <w:vAlign w:val="bottom"/>
          </w:tcPr>
          <w:p>
            <w:pPr>
              <w:spacing w:after="0"/>
              <w:rPr>
                <w:sz w:val="1"/>
                <w:szCs w:val="1"/>
                <w:color w:val="auto"/>
              </w:rPr>
            </w:pPr>
          </w:p>
        </w:tc>
      </w:tr>
      <w:tr>
        <w:trPr>
          <w:trHeight w:val="140"/>
        </w:trPr>
        <w:tc>
          <w:tcPr>
            <w:tcW w:w="5960" w:type="dxa"/>
            <w:vAlign w:val="bottom"/>
            <w:tcBorders>
              <w:left w:val="single" w:sz="8" w:color="auto"/>
              <w:right w:val="single" w:sz="8" w:color="auto"/>
            </w:tcBorders>
            <w:gridSpan w:val="2"/>
            <w:vMerge w:val="continue"/>
          </w:tcPr>
          <w:p>
            <w:pPr>
              <w:spacing w:after="0"/>
              <w:rPr>
                <w:sz w:val="12"/>
                <w:szCs w:val="12"/>
                <w:color w:val="auto"/>
              </w:rPr>
            </w:pPr>
          </w:p>
        </w:tc>
        <w:tc>
          <w:tcPr>
            <w:tcW w:w="2420" w:type="dxa"/>
            <w:vAlign w:val="bottom"/>
            <w:vMerge w:val="continue"/>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26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York, Inc.</w:t>
            </w:r>
          </w:p>
        </w:tc>
        <w:tc>
          <w:tcPr>
            <w:tcW w:w="0" w:type="dxa"/>
            <w:vAlign w:val="bottom"/>
          </w:tcPr>
          <w:p>
            <w:pPr>
              <w:spacing w:after="0"/>
              <w:rPr>
                <w:sz w:val="1"/>
                <w:szCs w:val="1"/>
                <w:color w:val="auto"/>
              </w:rPr>
            </w:pPr>
          </w:p>
        </w:tc>
      </w:tr>
      <w:tr>
        <w:trPr>
          <w:trHeight w:val="94"/>
        </w:trPr>
        <w:tc>
          <w:tcPr>
            <w:tcW w:w="2840" w:type="dxa"/>
            <w:vAlign w:val="bottom"/>
            <w:tcBorders>
              <w:left w:val="single" w:sz="8" w:color="auto"/>
              <w:bottom w:val="single" w:sz="8" w:color="auto"/>
            </w:tcBorders>
          </w:tcPr>
          <w:p>
            <w:pPr>
              <w:spacing w:after="0"/>
              <w:rPr>
                <w:sz w:val="8"/>
                <w:szCs w:val="8"/>
                <w:color w:val="auto"/>
              </w:rPr>
            </w:pPr>
          </w:p>
        </w:tc>
        <w:tc>
          <w:tcPr>
            <w:tcW w:w="3120" w:type="dxa"/>
            <w:vAlign w:val="bottom"/>
            <w:tcBorders>
              <w:bottom w:val="single" w:sz="8" w:color="auto"/>
              <w:right w:val="single" w:sz="8" w:color="auto"/>
            </w:tcBorders>
          </w:tcPr>
          <w:p>
            <w:pPr>
              <w:spacing w:after="0"/>
              <w:rPr>
                <w:sz w:val="8"/>
                <w:szCs w:val="8"/>
                <w:color w:val="auto"/>
              </w:rPr>
            </w:pPr>
          </w:p>
        </w:tc>
        <w:tc>
          <w:tcPr>
            <w:tcW w:w="2420" w:type="dxa"/>
            <w:vAlign w:val="bottom"/>
            <w:tcBorders>
              <w:bottom w:val="single" w:sz="8" w:color="auto"/>
            </w:tcBorders>
          </w:tcPr>
          <w:p>
            <w:pPr>
              <w:spacing w:after="0"/>
              <w:rPr>
                <w:sz w:val="8"/>
                <w:szCs w:val="8"/>
                <w:color w:val="auto"/>
              </w:rPr>
            </w:pPr>
          </w:p>
        </w:tc>
        <w:tc>
          <w:tcPr>
            <w:tcW w:w="220" w:type="dxa"/>
            <w:vAlign w:val="bottom"/>
            <w:tcBorders>
              <w:bottom w:val="single" w:sz="8" w:color="auto"/>
              <w:right w:val="single" w:sz="8" w:color="auto"/>
            </w:tcBorders>
          </w:tcPr>
          <w:p>
            <w:pPr>
              <w:spacing w:after="0"/>
              <w:rPr>
                <w:sz w:val="8"/>
                <w:szCs w:val="8"/>
                <w:color w:val="auto"/>
              </w:rPr>
            </w:pPr>
          </w:p>
        </w:tc>
        <w:tc>
          <w:tcPr>
            <w:tcW w:w="2620" w:type="dxa"/>
            <w:vAlign w:val="bottom"/>
            <w:tcBorders>
              <w:bottom w:val="single" w:sz="8" w:color="auto"/>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596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Critical Care Systems, LLC</w:t>
            </w:r>
          </w:p>
        </w:tc>
        <w:tc>
          <w:tcPr>
            <w:tcW w:w="2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220" w:type="dxa"/>
            <w:vAlign w:val="bottom"/>
            <w:tcBorders>
              <w:bottom w:val="single" w:sz="8" w:color="auto"/>
              <w:right w:val="single" w:sz="8" w:color="auto"/>
            </w:tcBorders>
          </w:tcPr>
          <w:p>
            <w:pPr>
              <w:spacing w:after="0"/>
              <w:rPr>
                <w:sz w:val="19"/>
                <w:szCs w:val="19"/>
                <w:color w:val="auto"/>
              </w:rPr>
            </w:pPr>
          </w:p>
        </w:tc>
        <w:tc>
          <w:tcPr>
            <w:tcW w:w="2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Option Care</w:t>
            </w:r>
          </w:p>
        </w:tc>
        <w:tc>
          <w:tcPr>
            <w:tcW w:w="0" w:type="dxa"/>
            <w:vAlign w:val="bottom"/>
          </w:tcPr>
          <w:p>
            <w:pPr>
              <w:spacing w:after="0"/>
              <w:rPr>
                <w:sz w:val="1"/>
                <w:szCs w:val="1"/>
                <w:color w:val="auto"/>
              </w:rPr>
            </w:pPr>
          </w:p>
        </w:tc>
      </w:tr>
      <w:tr>
        <w:trPr>
          <w:trHeight w:val="223"/>
        </w:trPr>
        <w:tc>
          <w:tcPr>
            <w:tcW w:w="596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Critical Homecare Solutions, LLC</w:t>
            </w:r>
          </w:p>
        </w:tc>
        <w:tc>
          <w:tcPr>
            <w:tcW w:w="2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220" w:type="dxa"/>
            <w:vAlign w:val="bottom"/>
            <w:tcBorders>
              <w:bottom w:val="single" w:sz="8" w:color="auto"/>
              <w:right w:val="single" w:sz="8" w:color="auto"/>
            </w:tcBorders>
          </w:tcPr>
          <w:p>
            <w:pPr>
              <w:spacing w:after="0"/>
              <w:rPr>
                <w:sz w:val="19"/>
                <w:szCs w:val="19"/>
                <w:color w:val="auto"/>
              </w:rPr>
            </w:pPr>
          </w:p>
        </w:tc>
        <w:tc>
          <w:tcPr>
            <w:tcW w:w="2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Critical Homecare Solutions, LLC</w:t>
            </w:r>
          </w:p>
        </w:tc>
        <w:tc>
          <w:tcPr>
            <w:tcW w:w="0" w:type="dxa"/>
            <w:vAlign w:val="bottom"/>
          </w:tcPr>
          <w:p>
            <w:pPr>
              <w:spacing w:after="0"/>
              <w:rPr>
                <w:sz w:val="1"/>
                <w:szCs w:val="1"/>
                <w:color w:val="auto"/>
              </w:rPr>
            </w:pPr>
          </w:p>
        </w:tc>
      </w:tr>
      <w:tr>
        <w:trPr>
          <w:trHeight w:val="223"/>
        </w:trPr>
        <w:tc>
          <w:tcPr>
            <w:tcW w:w="596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CSI Managed Care, Inc.</w:t>
            </w:r>
          </w:p>
        </w:tc>
        <w:tc>
          <w:tcPr>
            <w:tcW w:w="2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Ohio</w:t>
            </w:r>
          </w:p>
        </w:tc>
        <w:tc>
          <w:tcPr>
            <w:tcW w:w="220" w:type="dxa"/>
            <w:vAlign w:val="bottom"/>
            <w:tcBorders>
              <w:bottom w:val="single" w:sz="8" w:color="auto"/>
              <w:right w:val="single" w:sz="8" w:color="auto"/>
            </w:tcBorders>
          </w:tcPr>
          <w:p>
            <w:pPr>
              <w:spacing w:after="0"/>
              <w:rPr>
                <w:sz w:val="19"/>
                <w:szCs w:val="19"/>
                <w:color w:val="auto"/>
              </w:rPr>
            </w:pPr>
          </w:p>
        </w:tc>
        <w:tc>
          <w:tcPr>
            <w:tcW w:w="2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CSI Managed Care, Inc.</w:t>
            </w:r>
          </w:p>
        </w:tc>
        <w:tc>
          <w:tcPr>
            <w:tcW w:w="0" w:type="dxa"/>
            <w:vAlign w:val="bottom"/>
          </w:tcPr>
          <w:p>
            <w:pPr>
              <w:spacing w:after="0"/>
              <w:rPr>
                <w:sz w:val="1"/>
                <w:szCs w:val="1"/>
                <w:color w:val="auto"/>
              </w:rPr>
            </w:pPr>
          </w:p>
        </w:tc>
      </w:tr>
      <w:tr>
        <w:trPr>
          <w:trHeight w:val="178"/>
        </w:trPr>
        <w:tc>
          <w:tcPr>
            <w:tcW w:w="5960" w:type="dxa"/>
            <w:vAlign w:val="bottom"/>
            <w:tcBorders>
              <w:left w:val="single" w:sz="8" w:color="auto"/>
              <w:right w:val="single" w:sz="8" w:color="auto"/>
            </w:tcBorders>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CSI Network Services of Indiana, Inc.</w:t>
            </w:r>
          </w:p>
        </w:tc>
        <w:tc>
          <w:tcPr>
            <w:tcW w:w="24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Ohio</w:t>
            </w:r>
          </w:p>
        </w:tc>
        <w:tc>
          <w:tcPr>
            <w:tcW w:w="220" w:type="dxa"/>
            <w:vAlign w:val="bottom"/>
            <w:tcBorders>
              <w:right w:val="single" w:sz="8" w:color="auto"/>
            </w:tcBorders>
          </w:tcPr>
          <w:p>
            <w:pPr>
              <w:spacing w:after="0"/>
              <w:rPr>
                <w:sz w:val="15"/>
                <w:szCs w:val="15"/>
                <w:color w:val="auto"/>
              </w:rPr>
            </w:pPr>
          </w:p>
        </w:tc>
        <w:tc>
          <w:tcPr>
            <w:tcW w:w="2620" w:type="dxa"/>
            <w:vAlign w:val="bottom"/>
            <w:tcBorders>
              <w:right w:val="single" w:sz="8" w:color="auto"/>
            </w:tcBorders>
          </w:tcPr>
          <w:p>
            <w:pPr>
              <w:spacing w:after="0" w:line="177" w:lineRule="exact"/>
              <w:rPr>
                <w:sz w:val="20"/>
                <w:szCs w:val="20"/>
                <w:color w:val="auto"/>
              </w:rPr>
            </w:pPr>
            <w:r>
              <w:rPr>
                <w:rFonts w:ascii="Times New Roman" w:cs="Times New Roman" w:eastAsia="Times New Roman" w:hAnsi="Times New Roman"/>
                <w:sz w:val="18"/>
                <w:szCs w:val="18"/>
                <w:color w:val="auto"/>
              </w:rPr>
              <w:t>CSI Network Services of Indiana,</w:t>
            </w:r>
          </w:p>
        </w:tc>
        <w:tc>
          <w:tcPr>
            <w:tcW w:w="0" w:type="dxa"/>
            <w:vAlign w:val="bottom"/>
          </w:tcPr>
          <w:p>
            <w:pPr>
              <w:spacing w:after="0"/>
              <w:rPr>
                <w:sz w:val="1"/>
                <w:szCs w:val="1"/>
                <w:color w:val="auto"/>
              </w:rPr>
            </w:pPr>
          </w:p>
        </w:tc>
      </w:tr>
      <w:tr>
        <w:trPr>
          <w:trHeight w:val="140"/>
        </w:trPr>
        <w:tc>
          <w:tcPr>
            <w:tcW w:w="5960" w:type="dxa"/>
            <w:vAlign w:val="bottom"/>
            <w:tcBorders>
              <w:left w:val="single" w:sz="8" w:color="auto"/>
              <w:right w:val="single" w:sz="8" w:color="auto"/>
            </w:tcBorders>
            <w:gridSpan w:val="2"/>
            <w:vMerge w:val="continue"/>
          </w:tcPr>
          <w:p>
            <w:pPr>
              <w:spacing w:after="0"/>
              <w:rPr>
                <w:sz w:val="12"/>
                <w:szCs w:val="12"/>
                <w:color w:val="auto"/>
              </w:rPr>
            </w:pPr>
          </w:p>
        </w:tc>
        <w:tc>
          <w:tcPr>
            <w:tcW w:w="2420" w:type="dxa"/>
            <w:vAlign w:val="bottom"/>
            <w:vMerge w:val="continue"/>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26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Inc.</w:t>
            </w:r>
          </w:p>
        </w:tc>
        <w:tc>
          <w:tcPr>
            <w:tcW w:w="0" w:type="dxa"/>
            <w:vAlign w:val="bottom"/>
          </w:tcPr>
          <w:p>
            <w:pPr>
              <w:spacing w:after="0"/>
              <w:rPr>
                <w:sz w:val="1"/>
                <w:szCs w:val="1"/>
                <w:color w:val="auto"/>
              </w:rPr>
            </w:pPr>
          </w:p>
        </w:tc>
      </w:tr>
      <w:tr>
        <w:trPr>
          <w:trHeight w:val="94"/>
        </w:trPr>
        <w:tc>
          <w:tcPr>
            <w:tcW w:w="2840" w:type="dxa"/>
            <w:vAlign w:val="bottom"/>
            <w:tcBorders>
              <w:left w:val="single" w:sz="8" w:color="auto"/>
              <w:bottom w:val="single" w:sz="8" w:color="auto"/>
            </w:tcBorders>
          </w:tcPr>
          <w:p>
            <w:pPr>
              <w:spacing w:after="0"/>
              <w:rPr>
                <w:sz w:val="8"/>
                <w:szCs w:val="8"/>
                <w:color w:val="auto"/>
              </w:rPr>
            </w:pPr>
          </w:p>
        </w:tc>
        <w:tc>
          <w:tcPr>
            <w:tcW w:w="3120" w:type="dxa"/>
            <w:vAlign w:val="bottom"/>
            <w:tcBorders>
              <w:bottom w:val="single" w:sz="8" w:color="auto"/>
              <w:right w:val="single" w:sz="8" w:color="auto"/>
            </w:tcBorders>
          </w:tcPr>
          <w:p>
            <w:pPr>
              <w:spacing w:after="0"/>
              <w:rPr>
                <w:sz w:val="8"/>
                <w:szCs w:val="8"/>
                <w:color w:val="auto"/>
              </w:rPr>
            </w:pPr>
          </w:p>
        </w:tc>
        <w:tc>
          <w:tcPr>
            <w:tcW w:w="2420" w:type="dxa"/>
            <w:vAlign w:val="bottom"/>
            <w:tcBorders>
              <w:bottom w:val="single" w:sz="8" w:color="auto"/>
            </w:tcBorders>
          </w:tcPr>
          <w:p>
            <w:pPr>
              <w:spacing w:after="0"/>
              <w:rPr>
                <w:sz w:val="8"/>
                <w:szCs w:val="8"/>
                <w:color w:val="auto"/>
              </w:rPr>
            </w:pPr>
          </w:p>
        </w:tc>
        <w:tc>
          <w:tcPr>
            <w:tcW w:w="220" w:type="dxa"/>
            <w:vAlign w:val="bottom"/>
            <w:tcBorders>
              <w:bottom w:val="single" w:sz="8" w:color="auto"/>
              <w:right w:val="single" w:sz="8" w:color="auto"/>
            </w:tcBorders>
          </w:tcPr>
          <w:p>
            <w:pPr>
              <w:spacing w:after="0"/>
              <w:rPr>
                <w:sz w:val="8"/>
                <w:szCs w:val="8"/>
                <w:color w:val="auto"/>
              </w:rPr>
            </w:pPr>
          </w:p>
        </w:tc>
        <w:tc>
          <w:tcPr>
            <w:tcW w:w="2620" w:type="dxa"/>
            <w:vAlign w:val="bottom"/>
            <w:tcBorders>
              <w:bottom w:val="single" w:sz="8" w:color="auto"/>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8"/>
        </w:trPr>
        <w:tc>
          <w:tcPr>
            <w:tcW w:w="5960" w:type="dxa"/>
            <w:vAlign w:val="bottom"/>
            <w:tcBorders>
              <w:left w:val="single" w:sz="8" w:color="auto"/>
              <w:right w:val="single" w:sz="8" w:color="auto"/>
            </w:tcBorders>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CSI Network Services of Michigan, Inc.</w:t>
            </w:r>
          </w:p>
        </w:tc>
        <w:tc>
          <w:tcPr>
            <w:tcW w:w="24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Ohio</w:t>
            </w:r>
          </w:p>
        </w:tc>
        <w:tc>
          <w:tcPr>
            <w:tcW w:w="220" w:type="dxa"/>
            <w:vAlign w:val="bottom"/>
            <w:tcBorders>
              <w:right w:val="single" w:sz="8" w:color="auto"/>
            </w:tcBorders>
          </w:tcPr>
          <w:p>
            <w:pPr>
              <w:spacing w:after="0"/>
              <w:rPr>
                <w:sz w:val="15"/>
                <w:szCs w:val="15"/>
                <w:color w:val="auto"/>
              </w:rPr>
            </w:pPr>
          </w:p>
        </w:tc>
        <w:tc>
          <w:tcPr>
            <w:tcW w:w="2620" w:type="dxa"/>
            <w:vAlign w:val="bottom"/>
            <w:tcBorders>
              <w:right w:val="single" w:sz="8" w:color="auto"/>
            </w:tcBorders>
          </w:tcPr>
          <w:p>
            <w:pPr>
              <w:spacing w:after="0" w:line="177" w:lineRule="exact"/>
              <w:rPr>
                <w:sz w:val="20"/>
                <w:szCs w:val="20"/>
                <w:color w:val="auto"/>
              </w:rPr>
            </w:pPr>
            <w:r>
              <w:rPr>
                <w:rFonts w:ascii="Times New Roman" w:cs="Times New Roman" w:eastAsia="Times New Roman" w:hAnsi="Times New Roman"/>
                <w:sz w:val="18"/>
                <w:szCs w:val="18"/>
                <w:color w:val="auto"/>
                <w:w w:val="99"/>
              </w:rPr>
              <w:t>CSI Network Services of Michigan,</w:t>
            </w:r>
          </w:p>
        </w:tc>
        <w:tc>
          <w:tcPr>
            <w:tcW w:w="0" w:type="dxa"/>
            <w:vAlign w:val="bottom"/>
          </w:tcPr>
          <w:p>
            <w:pPr>
              <w:spacing w:after="0"/>
              <w:rPr>
                <w:sz w:val="1"/>
                <w:szCs w:val="1"/>
                <w:color w:val="auto"/>
              </w:rPr>
            </w:pPr>
          </w:p>
        </w:tc>
      </w:tr>
      <w:tr>
        <w:trPr>
          <w:trHeight w:val="140"/>
        </w:trPr>
        <w:tc>
          <w:tcPr>
            <w:tcW w:w="5960" w:type="dxa"/>
            <w:vAlign w:val="bottom"/>
            <w:tcBorders>
              <w:left w:val="single" w:sz="8" w:color="auto"/>
              <w:right w:val="single" w:sz="8" w:color="auto"/>
            </w:tcBorders>
            <w:gridSpan w:val="2"/>
            <w:vMerge w:val="continue"/>
          </w:tcPr>
          <w:p>
            <w:pPr>
              <w:spacing w:after="0"/>
              <w:rPr>
                <w:sz w:val="12"/>
                <w:szCs w:val="12"/>
                <w:color w:val="auto"/>
              </w:rPr>
            </w:pPr>
          </w:p>
        </w:tc>
        <w:tc>
          <w:tcPr>
            <w:tcW w:w="2420" w:type="dxa"/>
            <w:vAlign w:val="bottom"/>
            <w:vMerge w:val="continue"/>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26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Inc.</w:t>
            </w:r>
          </w:p>
        </w:tc>
        <w:tc>
          <w:tcPr>
            <w:tcW w:w="0" w:type="dxa"/>
            <w:vAlign w:val="bottom"/>
          </w:tcPr>
          <w:p>
            <w:pPr>
              <w:spacing w:after="0"/>
              <w:rPr>
                <w:sz w:val="1"/>
                <w:szCs w:val="1"/>
                <w:color w:val="auto"/>
              </w:rPr>
            </w:pPr>
          </w:p>
        </w:tc>
      </w:tr>
      <w:tr>
        <w:trPr>
          <w:trHeight w:val="94"/>
        </w:trPr>
        <w:tc>
          <w:tcPr>
            <w:tcW w:w="2840" w:type="dxa"/>
            <w:vAlign w:val="bottom"/>
            <w:tcBorders>
              <w:left w:val="single" w:sz="8" w:color="auto"/>
              <w:bottom w:val="single" w:sz="8" w:color="auto"/>
            </w:tcBorders>
          </w:tcPr>
          <w:p>
            <w:pPr>
              <w:spacing w:after="0"/>
              <w:rPr>
                <w:sz w:val="8"/>
                <w:szCs w:val="8"/>
                <w:color w:val="auto"/>
              </w:rPr>
            </w:pPr>
          </w:p>
        </w:tc>
        <w:tc>
          <w:tcPr>
            <w:tcW w:w="3120" w:type="dxa"/>
            <w:vAlign w:val="bottom"/>
            <w:tcBorders>
              <w:bottom w:val="single" w:sz="8" w:color="auto"/>
              <w:right w:val="single" w:sz="8" w:color="auto"/>
            </w:tcBorders>
          </w:tcPr>
          <w:p>
            <w:pPr>
              <w:spacing w:after="0"/>
              <w:rPr>
                <w:sz w:val="8"/>
                <w:szCs w:val="8"/>
                <w:color w:val="auto"/>
              </w:rPr>
            </w:pPr>
          </w:p>
        </w:tc>
        <w:tc>
          <w:tcPr>
            <w:tcW w:w="2420" w:type="dxa"/>
            <w:vAlign w:val="bottom"/>
            <w:tcBorders>
              <w:bottom w:val="single" w:sz="8" w:color="auto"/>
            </w:tcBorders>
          </w:tcPr>
          <w:p>
            <w:pPr>
              <w:spacing w:after="0"/>
              <w:rPr>
                <w:sz w:val="8"/>
                <w:szCs w:val="8"/>
                <w:color w:val="auto"/>
              </w:rPr>
            </w:pPr>
          </w:p>
        </w:tc>
        <w:tc>
          <w:tcPr>
            <w:tcW w:w="220" w:type="dxa"/>
            <w:vAlign w:val="bottom"/>
            <w:tcBorders>
              <w:bottom w:val="single" w:sz="8" w:color="auto"/>
              <w:right w:val="single" w:sz="8" w:color="auto"/>
            </w:tcBorders>
          </w:tcPr>
          <w:p>
            <w:pPr>
              <w:spacing w:after="0"/>
              <w:rPr>
                <w:sz w:val="8"/>
                <w:szCs w:val="8"/>
                <w:color w:val="auto"/>
              </w:rPr>
            </w:pPr>
          </w:p>
        </w:tc>
        <w:tc>
          <w:tcPr>
            <w:tcW w:w="2620" w:type="dxa"/>
            <w:vAlign w:val="bottom"/>
            <w:tcBorders>
              <w:bottom w:val="single" w:sz="8" w:color="auto"/>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596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Deaconess Enterprises, LLC</w:t>
            </w:r>
          </w:p>
        </w:tc>
        <w:tc>
          <w:tcPr>
            <w:tcW w:w="2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Ohio</w:t>
            </w:r>
          </w:p>
        </w:tc>
        <w:tc>
          <w:tcPr>
            <w:tcW w:w="220" w:type="dxa"/>
            <w:vAlign w:val="bottom"/>
            <w:tcBorders>
              <w:bottom w:val="single" w:sz="8" w:color="auto"/>
              <w:right w:val="single" w:sz="8" w:color="auto"/>
            </w:tcBorders>
          </w:tcPr>
          <w:p>
            <w:pPr>
              <w:spacing w:after="0"/>
              <w:rPr>
                <w:sz w:val="19"/>
                <w:szCs w:val="19"/>
                <w:color w:val="auto"/>
              </w:rPr>
            </w:pPr>
          </w:p>
        </w:tc>
        <w:tc>
          <w:tcPr>
            <w:tcW w:w="2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Deaconess Enterprises, LLC</w:t>
            </w:r>
          </w:p>
        </w:tc>
        <w:tc>
          <w:tcPr>
            <w:tcW w:w="0" w:type="dxa"/>
            <w:vAlign w:val="bottom"/>
          </w:tcPr>
          <w:p>
            <w:pPr>
              <w:spacing w:after="0"/>
              <w:rPr>
                <w:sz w:val="1"/>
                <w:szCs w:val="1"/>
                <w:color w:val="auto"/>
              </w:rPr>
            </w:pPr>
          </w:p>
        </w:tc>
      </w:tr>
      <w:tr>
        <w:trPr>
          <w:trHeight w:val="223"/>
        </w:trPr>
        <w:tc>
          <w:tcPr>
            <w:tcW w:w="596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Deaconess HomeCare, LLC</w:t>
            </w:r>
          </w:p>
        </w:tc>
        <w:tc>
          <w:tcPr>
            <w:tcW w:w="2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220" w:type="dxa"/>
            <w:vAlign w:val="bottom"/>
            <w:tcBorders>
              <w:bottom w:val="single" w:sz="8" w:color="auto"/>
              <w:right w:val="single" w:sz="8" w:color="auto"/>
            </w:tcBorders>
          </w:tcPr>
          <w:p>
            <w:pPr>
              <w:spacing w:after="0"/>
              <w:rPr>
                <w:sz w:val="19"/>
                <w:szCs w:val="19"/>
                <w:color w:val="auto"/>
              </w:rPr>
            </w:pPr>
          </w:p>
        </w:tc>
        <w:tc>
          <w:tcPr>
            <w:tcW w:w="2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Deaconess HomeCare, LLC</w:t>
            </w:r>
          </w:p>
        </w:tc>
        <w:tc>
          <w:tcPr>
            <w:tcW w:w="0" w:type="dxa"/>
            <w:vAlign w:val="bottom"/>
          </w:tcPr>
          <w:p>
            <w:pPr>
              <w:spacing w:after="0"/>
              <w:rPr>
                <w:sz w:val="1"/>
                <w:szCs w:val="1"/>
                <w:color w:val="auto"/>
              </w:rPr>
            </w:pPr>
          </w:p>
        </w:tc>
      </w:tr>
      <w:tr>
        <w:trPr>
          <w:trHeight w:val="223"/>
        </w:trPr>
        <w:tc>
          <w:tcPr>
            <w:tcW w:w="596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East Goshen Pharmacy, LLC</w:t>
            </w:r>
          </w:p>
        </w:tc>
        <w:tc>
          <w:tcPr>
            <w:tcW w:w="2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Pennsylvania</w:t>
            </w:r>
          </w:p>
        </w:tc>
        <w:tc>
          <w:tcPr>
            <w:tcW w:w="220" w:type="dxa"/>
            <w:vAlign w:val="bottom"/>
            <w:tcBorders>
              <w:bottom w:val="single" w:sz="8" w:color="auto"/>
              <w:right w:val="single" w:sz="8" w:color="auto"/>
            </w:tcBorders>
          </w:tcPr>
          <w:p>
            <w:pPr>
              <w:spacing w:after="0"/>
              <w:rPr>
                <w:sz w:val="19"/>
                <w:szCs w:val="19"/>
                <w:color w:val="auto"/>
              </w:rPr>
            </w:pPr>
          </w:p>
        </w:tc>
        <w:tc>
          <w:tcPr>
            <w:tcW w:w="2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BioScrip Infusion Services</w:t>
            </w:r>
          </w:p>
        </w:tc>
        <w:tc>
          <w:tcPr>
            <w:tcW w:w="0" w:type="dxa"/>
            <w:vAlign w:val="bottom"/>
          </w:tcPr>
          <w:p>
            <w:pPr>
              <w:spacing w:after="0"/>
              <w:rPr>
                <w:sz w:val="1"/>
                <w:szCs w:val="1"/>
                <w:color w:val="auto"/>
              </w:rPr>
            </w:pPr>
          </w:p>
        </w:tc>
      </w:tr>
      <w:tr>
        <w:trPr>
          <w:trHeight w:val="223"/>
        </w:trPr>
        <w:tc>
          <w:tcPr>
            <w:tcW w:w="596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HC Group Holdings II, LLC</w:t>
            </w:r>
          </w:p>
        </w:tc>
        <w:tc>
          <w:tcPr>
            <w:tcW w:w="2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220" w:type="dxa"/>
            <w:vAlign w:val="bottom"/>
            <w:tcBorders>
              <w:bottom w:val="single" w:sz="8" w:color="auto"/>
              <w:right w:val="single" w:sz="8" w:color="auto"/>
            </w:tcBorders>
          </w:tcPr>
          <w:p>
            <w:pPr>
              <w:spacing w:after="0"/>
              <w:rPr>
                <w:sz w:val="19"/>
                <w:szCs w:val="19"/>
                <w:color w:val="auto"/>
              </w:rPr>
            </w:pPr>
          </w:p>
        </w:tc>
        <w:tc>
          <w:tcPr>
            <w:tcW w:w="2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HC Group Holdings II, LLC</w:t>
            </w:r>
          </w:p>
        </w:tc>
        <w:tc>
          <w:tcPr>
            <w:tcW w:w="0" w:type="dxa"/>
            <w:vAlign w:val="bottom"/>
          </w:tcPr>
          <w:p>
            <w:pPr>
              <w:spacing w:after="0"/>
              <w:rPr>
                <w:sz w:val="1"/>
                <w:szCs w:val="1"/>
                <w:color w:val="auto"/>
              </w:rPr>
            </w:pPr>
          </w:p>
        </w:tc>
      </w:tr>
      <w:tr>
        <w:trPr>
          <w:trHeight w:val="223"/>
        </w:trPr>
        <w:tc>
          <w:tcPr>
            <w:tcW w:w="596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HC Group Holdings III, Inc.</w:t>
            </w:r>
          </w:p>
        </w:tc>
        <w:tc>
          <w:tcPr>
            <w:tcW w:w="2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220" w:type="dxa"/>
            <w:vAlign w:val="bottom"/>
            <w:tcBorders>
              <w:bottom w:val="single" w:sz="8" w:color="auto"/>
              <w:right w:val="single" w:sz="8" w:color="auto"/>
            </w:tcBorders>
          </w:tcPr>
          <w:p>
            <w:pPr>
              <w:spacing w:after="0"/>
              <w:rPr>
                <w:sz w:val="19"/>
                <w:szCs w:val="19"/>
                <w:color w:val="auto"/>
              </w:rPr>
            </w:pPr>
          </w:p>
        </w:tc>
        <w:tc>
          <w:tcPr>
            <w:tcW w:w="2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HC Group Holdings III, Inc.</w:t>
            </w:r>
          </w:p>
        </w:tc>
        <w:tc>
          <w:tcPr>
            <w:tcW w:w="0" w:type="dxa"/>
            <w:vAlign w:val="bottom"/>
          </w:tcPr>
          <w:p>
            <w:pPr>
              <w:spacing w:after="0"/>
              <w:rPr>
                <w:sz w:val="1"/>
                <w:szCs w:val="1"/>
                <w:color w:val="auto"/>
              </w:rPr>
            </w:pPr>
          </w:p>
        </w:tc>
      </w:tr>
      <w:tr>
        <w:trPr>
          <w:trHeight w:val="223"/>
        </w:trPr>
        <w:tc>
          <w:tcPr>
            <w:tcW w:w="596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Healthy Connections Homecare Services, Inc.</w:t>
            </w:r>
          </w:p>
        </w:tc>
        <w:tc>
          <w:tcPr>
            <w:tcW w:w="2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Texas</w:t>
            </w:r>
          </w:p>
        </w:tc>
        <w:tc>
          <w:tcPr>
            <w:tcW w:w="220" w:type="dxa"/>
            <w:vAlign w:val="bottom"/>
            <w:tcBorders>
              <w:bottom w:val="single" w:sz="8" w:color="auto"/>
              <w:right w:val="single" w:sz="8" w:color="auto"/>
            </w:tcBorders>
          </w:tcPr>
          <w:p>
            <w:pPr>
              <w:spacing w:after="0"/>
              <w:rPr>
                <w:sz w:val="19"/>
                <w:szCs w:val="19"/>
                <w:color w:val="auto"/>
              </w:rPr>
            </w:pPr>
          </w:p>
        </w:tc>
        <w:tc>
          <w:tcPr>
            <w:tcW w:w="2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Option Care Women's Health</w:t>
            </w:r>
          </w:p>
        </w:tc>
        <w:tc>
          <w:tcPr>
            <w:tcW w:w="0" w:type="dxa"/>
            <w:vAlign w:val="bottom"/>
          </w:tcPr>
          <w:p>
            <w:pPr>
              <w:spacing w:after="0"/>
              <w:rPr>
                <w:sz w:val="1"/>
                <w:szCs w:val="1"/>
                <w:color w:val="auto"/>
              </w:rPr>
            </w:pPr>
          </w:p>
        </w:tc>
      </w:tr>
      <w:tr>
        <w:trPr>
          <w:trHeight w:val="223"/>
        </w:trPr>
        <w:tc>
          <w:tcPr>
            <w:tcW w:w="596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Home I.V. Specialists, Inc.</w:t>
            </w:r>
          </w:p>
        </w:tc>
        <w:tc>
          <w:tcPr>
            <w:tcW w:w="2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Arkansas</w:t>
            </w:r>
          </w:p>
        </w:tc>
        <w:tc>
          <w:tcPr>
            <w:tcW w:w="220" w:type="dxa"/>
            <w:vAlign w:val="bottom"/>
            <w:tcBorders>
              <w:bottom w:val="single" w:sz="8" w:color="auto"/>
              <w:right w:val="single" w:sz="8" w:color="auto"/>
            </w:tcBorders>
          </w:tcPr>
          <w:p>
            <w:pPr>
              <w:spacing w:after="0"/>
              <w:rPr>
                <w:sz w:val="19"/>
                <w:szCs w:val="19"/>
                <w:color w:val="auto"/>
              </w:rPr>
            </w:pPr>
          </w:p>
        </w:tc>
        <w:tc>
          <w:tcPr>
            <w:tcW w:w="2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Home IV Specialists</w:t>
            </w:r>
          </w:p>
        </w:tc>
        <w:tc>
          <w:tcPr>
            <w:tcW w:w="0" w:type="dxa"/>
            <w:vAlign w:val="bottom"/>
          </w:tcPr>
          <w:p>
            <w:pPr>
              <w:spacing w:after="0"/>
              <w:rPr>
                <w:sz w:val="1"/>
                <w:szCs w:val="1"/>
                <w:color w:val="auto"/>
              </w:rPr>
            </w:pPr>
          </w:p>
        </w:tc>
      </w:tr>
      <w:tr>
        <w:trPr>
          <w:trHeight w:val="223"/>
        </w:trPr>
        <w:tc>
          <w:tcPr>
            <w:tcW w:w="596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HomeChoice Partners, LLC</w:t>
            </w:r>
          </w:p>
        </w:tc>
        <w:tc>
          <w:tcPr>
            <w:tcW w:w="2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220" w:type="dxa"/>
            <w:vAlign w:val="bottom"/>
            <w:tcBorders>
              <w:bottom w:val="single" w:sz="8" w:color="auto"/>
              <w:right w:val="single" w:sz="8" w:color="auto"/>
            </w:tcBorders>
          </w:tcPr>
          <w:p>
            <w:pPr>
              <w:spacing w:after="0"/>
              <w:rPr>
                <w:sz w:val="19"/>
                <w:szCs w:val="19"/>
                <w:color w:val="auto"/>
              </w:rPr>
            </w:pPr>
          </w:p>
        </w:tc>
        <w:tc>
          <w:tcPr>
            <w:tcW w:w="2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BioScrip Infusion Services</w:t>
            </w:r>
          </w:p>
        </w:tc>
        <w:tc>
          <w:tcPr>
            <w:tcW w:w="0" w:type="dxa"/>
            <w:vAlign w:val="bottom"/>
          </w:tcPr>
          <w:p>
            <w:pPr>
              <w:spacing w:after="0"/>
              <w:rPr>
                <w:sz w:val="1"/>
                <w:szCs w:val="1"/>
                <w:color w:val="auto"/>
              </w:rPr>
            </w:pPr>
          </w:p>
        </w:tc>
      </w:tr>
      <w:tr>
        <w:trPr>
          <w:trHeight w:val="223"/>
        </w:trPr>
        <w:tc>
          <w:tcPr>
            <w:tcW w:w="596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InfuScience South Carolina, LLC</w:t>
            </w:r>
          </w:p>
        </w:tc>
        <w:tc>
          <w:tcPr>
            <w:tcW w:w="2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220" w:type="dxa"/>
            <w:vAlign w:val="bottom"/>
            <w:tcBorders>
              <w:bottom w:val="single" w:sz="8" w:color="auto"/>
              <w:right w:val="single" w:sz="8" w:color="auto"/>
            </w:tcBorders>
          </w:tcPr>
          <w:p>
            <w:pPr>
              <w:spacing w:after="0"/>
              <w:rPr>
                <w:sz w:val="19"/>
                <w:szCs w:val="19"/>
                <w:color w:val="auto"/>
              </w:rPr>
            </w:pPr>
          </w:p>
        </w:tc>
        <w:tc>
          <w:tcPr>
            <w:tcW w:w="2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BioScrip Infusion Services</w:t>
            </w:r>
          </w:p>
        </w:tc>
        <w:tc>
          <w:tcPr>
            <w:tcW w:w="0" w:type="dxa"/>
            <w:vAlign w:val="bottom"/>
          </w:tcPr>
          <w:p>
            <w:pPr>
              <w:spacing w:after="0"/>
              <w:rPr>
                <w:sz w:val="1"/>
                <w:szCs w:val="1"/>
                <w:color w:val="auto"/>
              </w:rPr>
            </w:pPr>
          </w:p>
        </w:tc>
      </w:tr>
      <w:tr>
        <w:trPr>
          <w:trHeight w:val="223"/>
        </w:trPr>
        <w:tc>
          <w:tcPr>
            <w:tcW w:w="596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InfuScience, LLC</w:t>
            </w:r>
          </w:p>
        </w:tc>
        <w:tc>
          <w:tcPr>
            <w:tcW w:w="2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220" w:type="dxa"/>
            <w:vAlign w:val="bottom"/>
            <w:tcBorders>
              <w:bottom w:val="single" w:sz="8" w:color="auto"/>
              <w:right w:val="single" w:sz="8" w:color="auto"/>
            </w:tcBorders>
          </w:tcPr>
          <w:p>
            <w:pPr>
              <w:spacing w:after="0"/>
              <w:rPr>
                <w:sz w:val="19"/>
                <w:szCs w:val="19"/>
                <w:color w:val="auto"/>
              </w:rPr>
            </w:pPr>
          </w:p>
        </w:tc>
        <w:tc>
          <w:tcPr>
            <w:tcW w:w="2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BioScrip Infusion Services</w:t>
            </w:r>
          </w:p>
        </w:tc>
        <w:tc>
          <w:tcPr>
            <w:tcW w:w="0" w:type="dxa"/>
            <w:vAlign w:val="bottom"/>
          </w:tcPr>
          <w:p>
            <w:pPr>
              <w:spacing w:after="0"/>
              <w:rPr>
                <w:sz w:val="1"/>
                <w:szCs w:val="1"/>
                <w:color w:val="auto"/>
              </w:rPr>
            </w:pPr>
          </w:p>
        </w:tc>
      </w:tr>
      <w:tr>
        <w:trPr>
          <w:trHeight w:val="223"/>
        </w:trPr>
        <w:tc>
          <w:tcPr>
            <w:tcW w:w="596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Infusion Partners of Melbourne, LLC</w:t>
            </w:r>
          </w:p>
        </w:tc>
        <w:tc>
          <w:tcPr>
            <w:tcW w:w="2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Georgia</w:t>
            </w:r>
          </w:p>
        </w:tc>
        <w:tc>
          <w:tcPr>
            <w:tcW w:w="220" w:type="dxa"/>
            <w:vAlign w:val="bottom"/>
            <w:tcBorders>
              <w:bottom w:val="single" w:sz="8" w:color="auto"/>
              <w:right w:val="single" w:sz="8" w:color="auto"/>
            </w:tcBorders>
          </w:tcPr>
          <w:p>
            <w:pPr>
              <w:spacing w:after="0"/>
              <w:rPr>
                <w:sz w:val="19"/>
                <w:szCs w:val="19"/>
                <w:color w:val="auto"/>
              </w:rPr>
            </w:pPr>
          </w:p>
        </w:tc>
        <w:tc>
          <w:tcPr>
            <w:tcW w:w="2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BioScrip Infusion Services</w:t>
            </w:r>
          </w:p>
        </w:tc>
        <w:tc>
          <w:tcPr>
            <w:tcW w:w="0" w:type="dxa"/>
            <w:vAlign w:val="bottom"/>
          </w:tcPr>
          <w:p>
            <w:pPr>
              <w:spacing w:after="0"/>
              <w:rPr>
                <w:sz w:val="1"/>
                <w:szCs w:val="1"/>
                <w:color w:val="auto"/>
              </w:rPr>
            </w:pPr>
          </w:p>
        </w:tc>
      </w:tr>
      <w:tr>
        <w:trPr>
          <w:trHeight w:val="223"/>
        </w:trPr>
        <w:tc>
          <w:tcPr>
            <w:tcW w:w="596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Infusion Partners, LLC</w:t>
            </w:r>
          </w:p>
        </w:tc>
        <w:tc>
          <w:tcPr>
            <w:tcW w:w="2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Ohio</w:t>
            </w:r>
          </w:p>
        </w:tc>
        <w:tc>
          <w:tcPr>
            <w:tcW w:w="220" w:type="dxa"/>
            <w:vAlign w:val="bottom"/>
            <w:tcBorders>
              <w:bottom w:val="single" w:sz="8" w:color="auto"/>
              <w:right w:val="single" w:sz="8" w:color="auto"/>
            </w:tcBorders>
          </w:tcPr>
          <w:p>
            <w:pPr>
              <w:spacing w:after="0"/>
              <w:rPr>
                <w:sz w:val="19"/>
                <w:szCs w:val="19"/>
                <w:color w:val="auto"/>
              </w:rPr>
            </w:pPr>
          </w:p>
        </w:tc>
        <w:tc>
          <w:tcPr>
            <w:tcW w:w="2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BioScrip Infusion Services</w:t>
            </w:r>
          </w:p>
        </w:tc>
        <w:tc>
          <w:tcPr>
            <w:tcW w:w="0" w:type="dxa"/>
            <w:vAlign w:val="bottom"/>
          </w:tcPr>
          <w:p>
            <w:pPr>
              <w:spacing w:after="0"/>
              <w:rPr>
                <w:sz w:val="1"/>
                <w:szCs w:val="1"/>
                <w:color w:val="auto"/>
              </w:rPr>
            </w:pPr>
          </w:p>
        </w:tc>
      </w:tr>
      <w:tr>
        <w:trPr>
          <w:trHeight w:val="223"/>
        </w:trPr>
        <w:tc>
          <w:tcPr>
            <w:tcW w:w="596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Infusion Solutions, Inc.</w:t>
            </w:r>
          </w:p>
        </w:tc>
        <w:tc>
          <w:tcPr>
            <w:tcW w:w="2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New Hampshire</w:t>
            </w:r>
          </w:p>
        </w:tc>
        <w:tc>
          <w:tcPr>
            <w:tcW w:w="220" w:type="dxa"/>
            <w:vAlign w:val="bottom"/>
            <w:tcBorders>
              <w:bottom w:val="single" w:sz="8" w:color="auto"/>
              <w:right w:val="single" w:sz="8" w:color="auto"/>
            </w:tcBorders>
          </w:tcPr>
          <w:p>
            <w:pPr>
              <w:spacing w:after="0"/>
              <w:rPr>
                <w:sz w:val="19"/>
                <w:szCs w:val="19"/>
                <w:color w:val="auto"/>
              </w:rPr>
            </w:pPr>
          </w:p>
        </w:tc>
        <w:tc>
          <w:tcPr>
            <w:tcW w:w="2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BioScrip Infusion Services</w:t>
            </w:r>
          </w:p>
        </w:tc>
        <w:tc>
          <w:tcPr>
            <w:tcW w:w="0" w:type="dxa"/>
            <w:vAlign w:val="bottom"/>
          </w:tcPr>
          <w:p>
            <w:pPr>
              <w:spacing w:after="0"/>
              <w:rPr>
                <w:sz w:val="1"/>
                <w:szCs w:val="1"/>
                <w:color w:val="auto"/>
              </w:rPr>
            </w:pPr>
          </w:p>
        </w:tc>
      </w:tr>
      <w:tr>
        <w:trPr>
          <w:trHeight w:val="223"/>
        </w:trPr>
        <w:tc>
          <w:tcPr>
            <w:tcW w:w="596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Knoxville Home Therapies, LLC</w:t>
            </w:r>
          </w:p>
        </w:tc>
        <w:tc>
          <w:tcPr>
            <w:tcW w:w="2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Tennessee</w:t>
            </w:r>
          </w:p>
        </w:tc>
        <w:tc>
          <w:tcPr>
            <w:tcW w:w="220" w:type="dxa"/>
            <w:vAlign w:val="bottom"/>
            <w:tcBorders>
              <w:bottom w:val="single" w:sz="8" w:color="auto"/>
              <w:right w:val="single" w:sz="8" w:color="auto"/>
            </w:tcBorders>
          </w:tcPr>
          <w:p>
            <w:pPr>
              <w:spacing w:after="0"/>
              <w:rPr>
                <w:sz w:val="19"/>
                <w:szCs w:val="19"/>
                <w:color w:val="auto"/>
              </w:rPr>
            </w:pPr>
          </w:p>
        </w:tc>
        <w:tc>
          <w:tcPr>
            <w:tcW w:w="2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BioScrip Infusion Services</w:t>
            </w:r>
          </w:p>
        </w:tc>
        <w:tc>
          <w:tcPr>
            <w:tcW w:w="0" w:type="dxa"/>
            <w:vAlign w:val="bottom"/>
          </w:tcPr>
          <w:p>
            <w:pPr>
              <w:spacing w:after="0"/>
              <w:rPr>
                <w:sz w:val="1"/>
                <w:szCs w:val="1"/>
                <w:color w:val="auto"/>
              </w:rPr>
            </w:pPr>
          </w:p>
        </w:tc>
      </w:tr>
      <w:tr>
        <w:trPr>
          <w:trHeight w:val="223"/>
        </w:trPr>
        <w:tc>
          <w:tcPr>
            <w:tcW w:w="596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MedNow Infusion, LLC</w:t>
            </w:r>
          </w:p>
        </w:tc>
        <w:tc>
          <w:tcPr>
            <w:tcW w:w="2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220" w:type="dxa"/>
            <w:vAlign w:val="bottom"/>
            <w:tcBorders>
              <w:bottom w:val="single" w:sz="8" w:color="auto"/>
              <w:right w:val="single" w:sz="8" w:color="auto"/>
            </w:tcBorders>
          </w:tcPr>
          <w:p>
            <w:pPr>
              <w:spacing w:after="0"/>
              <w:rPr>
                <w:sz w:val="19"/>
                <w:szCs w:val="19"/>
                <w:color w:val="auto"/>
              </w:rPr>
            </w:pPr>
          </w:p>
        </w:tc>
        <w:tc>
          <w:tcPr>
            <w:tcW w:w="2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Option Care</w:t>
            </w:r>
          </w:p>
        </w:tc>
        <w:tc>
          <w:tcPr>
            <w:tcW w:w="0" w:type="dxa"/>
            <w:vAlign w:val="bottom"/>
          </w:tcPr>
          <w:p>
            <w:pPr>
              <w:spacing w:after="0"/>
              <w:rPr>
                <w:sz w:val="1"/>
                <w:szCs w:val="1"/>
                <w:color w:val="auto"/>
              </w:rPr>
            </w:pPr>
          </w:p>
        </w:tc>
      </w:tr>
      <w:tr>
        <w:trPr>
          <w:trHeight w:val="223"/>
        </w:trPr>
        <w:tc>
          <w:tcPr>
            <w:tcW w:w="596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Naven Health, Inc.</w:t>
            </w:r>
          </w:p>
        </w:tc>
        <w:tc>
          <w:tcPr>
            <w:tcW w:w="2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Florida</w:t>
            </w:r>
          </w:p>
        </w:tc>
        <w:tc>
          <w:tcPr>
            <w:tcW w:w="220" w:type="dxa"/>
            <w:vAlign w:val="bottom"/>
            <w:tcBorders>
              <w:bottom w:val="single" w:sz="8" w:color="auto"/>
              <w:right w:val="single" w:sz="8" w:color="auto"/>
            </w:tcBorders>
          </w:tcPr>
          <w:p>
            <w:pPr>
              <w:spacing w:after="0"/>
              <w:rPr>
                <w:sz w:val="19"/>
                <w:szCs w:val="19"/>
                <w:color w:val="auto"/>
              </w:rPr>
            </w:pPr>
          </w:p>
        </w:tc>
        <w:tc>
          <w:tcPr>
            <w:tcW w:w="2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Naven Health, Inc.</w:t>
            </w:r>
          </w:p>
        </w:tc>
        <w:tc>
          <w:tcPr>
            <w:tcW w:w="0" w:type="dxa"/>
            <w:vAlign w:val="bottom"/>
          </w:tcPr>
          <w:p>
            <w:pPr>
              <w:spacing w:after="0"/>
              <w:rPr>
                <w:sz w:val="1"/>
                <w:szCs w:val="1"/>
                <w:color w:val="auto"/>
              </w:rPr>
            </w:pPr>
          </w:p>
        </w:tc>
      </w:tr>
      <w:tr>
        <w:trPr>
          <w:trHeight w:val="223"/>
        </w:trPr>
        <w:tc>
          <w:tcPr>
            <w:tcW w:w="596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New England Home Therapies, Inc.</w:t>
            </w:r>
          </w:p>
        </w:tc>
        <w:tc>
          <w:tcPr>
            <w:tcW w:w="2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Massachusetts</w:t>
            </w:r>
          </w:p>
        </w:tc>
        <w:tc>
          <w:tcPr>
            <w:tcW w:w="220" w:type="dxa"/>
            <w:vAlign w:val="bottom"/>
            <w:tcBorders>
              <w:bottom w:val="single" w:sz="8" w:color="auto"/>
              <w:right w:val="single" w:sz="8" w:color="auto"/>
            </w:tcBorders>
          </w:tcPr>
          <w:p>
            <w:pPr>
              <w:spacing w:after="0"/>
              <w:rPr>
                <w:sz w:val="19"/>
                <w:szCs w:val="19"/>
                <w:color w:val="auto"/>
              </w:rPr>
            </w:pPr>
          </w:p>
        </w:tc>
        <w:tc>
          <w:tcPr>
            <w:tcW w:w="2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BioScrip Infusion Services</w:t>
            </w:r>
          </w:p>
        </w:tc>
        <w:tc>
          <w:tcPr>
            <w:tcW w:w="0" w:type="dxa"/>
            <w:vAlign w:val="bottom"/>
          </w:tcPr>
          <w:p>
            <w:pPr>
              <w:spacing w:after="0"/>
              <w:rPr>
                <w:sz w:val="1"/>
                <w:szCs w:val="1"/>
                <w:color w:val="auto"/>
              </w:rPr>
            </w:pPr>
          </w:p>
        </w:tc>
      </w:tr>
      <w:tr>
        <w:trPr>
          <w:trHeight w:val="223"/>
        </w:trPr>
        <w:tc>
          <w:tcPr>
            <w:tcW w:w="596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Option Care Enterprises, Inc.</w:t>
            </w:r>
          </w:p>
        </w:tc>
        <w:tc>
          <w:tcPr>
            <w:tcW w:w="2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220" w:type="dxa"/>
            <w:vAlign w:val="bottom"/>
            <w:tcBorders>
              <w:bottom w:val="single" w:sz="8" w:color="auto"/>
              <w:right w:val="single" w:sz="8" w:color="auto"/>
            </w:tcBorders>
          </w:tcPr>
          <w:p>
            <w:pPr>
              <w:spacing w:after="0"/>
              <w:rPr>
                <w:sz w:val="19"/>
                <w:szCs w:val="19"/>
                <w:color w:val="auto"/>
              </w:rPr>
            </w:pPr>
          </w:p>
        </w:tc>
        <w:tc>
          <w:tcPr>
            <w:tcW w:w="2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Option Care</w:t>
            </w:r>
          </w:p>
        </w:tc>
        <w:tc>
          <w:tcPr>
            <w:tcW w:w="0" w:type="dxa"/>
            <w:vAlign w:val="bottom"/>
          </w:tcPr>
          <w:p>
            <w:pPr>
              <w:spacing w:after="0"/>
              <w:rPr>
                <w:sz w:val="1"/>
                <w:szCs w:val="1"/>
                <w:color w:val="auto"/>
              </w:rPr>
            </w:pPr>
          </w:p>
        </w:tc>
      </w:tr>
      <w:tr>
        <w:trPr>
          <w:trHeight w:val="178"/>
        </w:trPr>
        <w:tc>
          <w:tcPr>
            <w:tcW w:w="5960" w:type="dxa"/>
            <w:vAlign w:val="bottom"/>
            <w:tcBorders>
              <w:left w:val="single" w:sz="8" w:color="auto"/>
              <w:right w:val="single" w:sz="8" w:color="auto"/>
            </w:tcBorders>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Option Care Health, Inc. (f/k/a BioScrip, Inc.)</w:t>
            </w:r>
          </w:p>
        </w:tc>
        <w:tc>
          <w:tcPr>
            <w:tcW w:w="24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220" w:type="dxa"/>
            <w:vAlign w:val="bottom"/>
            <w:tcBorders>
              <w:right w:val="single" w:sz="8" w:color="auto"/>
            </w:tcBorders>
          </w:tcPr>
          <w:p>
            <w:pPr>
              <w:spacing w:after="0"/>
              <w:rPr>
                <w:sz w:val="15"/>
                <w:szCs w:val="15"/>
                <w:color w:val="auto"/>
              </w:rPr>
            </w:pPr>
          </w:p>
        </w:tc>
        <w:tc>
          <w:tcPr>
            <w:tcW w:w="2620" w:type="dxa"/>
            <w:vAlign w:val="bottom"/>
            <w:tcBorders>
              <w:right w:val="single" w:sz="8" w:color="auto"/>
            </w:tcBorders>
          </w:tcPr>
          <w:p>
            <w:pPr>
              <w:spacing w:after="0" w:line="177" w:lineRule="exact"/>
              <w:rPr>
                <w:sz w:val="20"/>
                <w:szCs w:val="20"/>
                <w:color w:val="auto"/>
              </w:rPr>
            </w:pPr>
            <w:r>
              <w:rPr>
                <w:rFonts w:ascii="Times New Roman" w:cs="Times New Roman" w:eastAsia="Times New Roman" w:hAnsi="Times New Roman"/>
                <w:sz w:val="18"/>
                <w:szCs w:val="18"/>
                <w:color w:val="auto"/>
              </w:rPr>
              <w:t>Option Care Health, Inc. (f/k/a</w:t>
            </w:r>
          </w:p>
        </w:tc>
        <w:tc>
          <w:tcPr>
            <w:tcW w:w="0" w:type="dxa"/>
            <w:vAlign w:val="bottom"/>
          </w:tcPr>
          <w:p>
            <w:pPr>
              <w:spacing w:after="0"/>
              <w:rPr>
                <w:sz w:val="1"/>
                <w:szCs w:val="1"/>
                <w:color w:val="auto"/>
              </w:rPr>
            </w:pPr>
          </w:p>
        </w:tc>
      </w:tr>
      <w:tr>
        <w:trPr>
          <w:trHeight w:val="140"/>
        </w:trPr>
        <w:tc>
          <w:tcPr>
            <w:tcW w:w="5960" w:type="dxa"/>
            <w:vAlign w:val="bottom"/>
            <w:tcBorders>
              <w:left w:val="single" w:sz="8" w:color="auto"/>
              <w:right w:val="single" w:sz="8" w:color="auto"/>
            </w:tcBorders>
            <w:gridSpan w:val="2"/>
            <w:vMerge w:val="continue"/>
          </w:tcPr>
          <w:p>
            <w:pPr>
              <w:spacing w:after="0"/>
              <w:rPr>
                <w:sz w:val="12"/>
                <w:szCs w:val="12"/>
                <w:color w:val="auto"/>
              </w:rPr>
            </w:pPr>
          </w:p>
        </w:tc>
        <w:tc>
          <w:tcPr>
            <w:tcW w:w="2420" w:type="dxa"/>
            <w:vAlign w:val="bottom"/>
            <w:vMerge w:val="continue"/>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26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BioScrip, Inc.)</w:t>
            </w:r>
          </w:p>
        </w:tc>
        <w:tc>
          <w:tcPr>
            <w:tcW w:w="0" w:type="dxa"/>
            <w:vAlign w:val="bottom"/>
          </w:tcPr>
          <w:p>
            <w:pPr>
              <w:spacing w:after="0"/>
              <w:rPr>
                <w:sz w:val="1"/>
                <w:szCs w:val="1"/>
                <w:color w:val="auto"/>
              </w:rPr>
            </w:pPr>
          </w:p>
        </w:tc>
      </w:tr>
      <w:tr>
        <w:trPr>
          <w:trHeight w:val="95"/>
        </w:trPr>
        <w:tc>
          <w:tcPr>
            <w:tcW w:w="2840" w:type="dxa"/>
            <w:vAlign w:val="bottom"/>
            <w:tcBorders>
              <w:left w:val="single" w:sz="8" w:color="auto"/>
              <w:bottom w:val="single" w:sz="8" w:color="auto"/>
            </w:tcBorders>
          </w:tcPr>
          <w:p>
            <w:pPr>
              <w:spacing w:after="0"/>
              <w:rPr>
                <w:sz w:val="8"/>
                <w:szCs w:val="8"/>
                <w:color w:val="auto"/>
              </w:rPr>
            </w:pPr>
          </w:p>
        </w:tc>
        <w:tc>
          <w:tcPr>
            <w:tcW w:w="3120" w:type="dxa"/>
            <w:vAlign w:val="bottom"/>
            <w:tcBorders>
              <w:bottom w:val="single" w:sz="8" w:color="auto"/>
              <w:right w:val="single" w:sz="8" w:color="auto"/>
            </w:tcBorders>
          </w:tcPr>
          <w:p>
            <w:pPr>
              <w:spacing w:after="0"/>
              <w:rPr>
                <w:sz w:val="8"/>
                <w:szCs w:val="8"/>
                <w:color w:val="auto"/>
              </w:rPr>
            </w:pPr>
          </w:p>
        </w:tc>
        <w:tc>
          <w:tcPr>
            <w:tcW w:w="2420" w:type="dxa"/>
            <w:vAlign w:val="bottom"/>
            <w:tcBorders>
              <w:bottom w:val="single" w:sz="8" w:color="auto"/>
            </w:tcBorders>
          </w:tcPr>
          <w:p>
            <w:pPr>
              <w:spacing w:after="0"/>
              <w:rPr>
                <w:sz w:val="8"/>
                <w:szCs w:val="8"/>
                <w:color w:val="auto"/>
              </w:rPr>
            </w:pPr>
          </w:p>
        </w:tc>
        <w:tc>
          <w:tcPr>
            <w:tcW w:w="220" w:type="dxa"/>
            <w:vAlign w:val="bottom"/>
            <w:tcBorders>
              <w:bottom w:val="single" w:sz="8" w:color="auto"/>
              <w:right w:val="single" w:sz="8" w:color="auto"/>
            </w:tcBorders>
          </w:tcPr>
          <w:p>
            <w:pPr>
              <w:spacing w:after="0"/>
              <w:rPr>
                <w:sz w:val="8"/>
                <w:szCs w:val="8"/>
                <w:color w:val="auto"/>
              </w:rPr>
            </w:pPr>
          </w:p>
        </w:tc>
        <w:tc>
          <w:tcPr>
            <w:tcW w:w="2620" w:type="dxa"/>
            <w:vAlign w:val="bottom"/>
            <w:tcBorders>
              <w:bottom w:val="single" w:sz="8" w:color="auto"/>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596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Option Care Home Care, Inc.</w:t>
            </w:r>
          </w:p>
        </w:tc>
        <w:tc>
          <w:tcPr>
            <w:tcW w:w="2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Illinois</w:t>
            </w:r>
          </w:p>
        </w:tc>
        <w:tc>
          <w:tcPr>
            <w:tcW w:w="220" w:type="dxa"/>
            <w:vAlign w:val="bottom"/>
            <w:tcBorders>
              <w:bottom w:val="single" w:sz="8" w:color="auto"/>
              <w:right w:val="single" w:sz="8" w:color="auto"/>
            </w:tcBorders>
          </w:tcPr>
          <w:p>
            <w:pPr>
              <w:spacing w:after="0"/>
              <w:rPr>
                <w:sz w:val="19"/>
                <w:szCs w:val="19"/>
                <w:color w:val="auto"/>
              </w:rPr>
            </w:pPr>
          </w:p>
        </w:tc>
        <w:tc>
          <w:tcPr>
            <w:tcW w:w="2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Option Care</w:t>
            </w:r>
          </w:p>
        </w:tc>
        <w:tc>
          <w:tcPr>
            <w:tcW w:w="0" w:type="dxa"/>
            <w:vAlign w:val="bottom"/>
          </w:tcPr>
          <w:p>
            <w:pPr>
              <w:spacing w:after="0"/>
              <w:rPr>
                <w:sz w:val="1"/>
                <w:szCs w:val="1"/>
                <w:color w:val="auto"/>
              </w:rPr>
            </w:pPr>
          </w:p>
        </w:tc>
      </w:tr>
    </w:tbl>
    <w:p>
      <w:pPr>
        <w:sectPr>
          <w:pgSz w:w="11900" w:h="16838" w:orient="portrait"/>
          <w:cols w:equalWidth="0" w:num="1">
            <w:col w:w="11220"/>
          </w:cols>
          <w:pgMar w:left="340" w:top="893" w:right="339" w:bottom="1440" w:gutter="0" w:footer="0" w:header="0"/>
        </w:sectPr>
      </w:pPr>
    </w:p>
    <w:bookmarkStart w:id="89" w:name="page90"/>
    <w:bookmarkEnd w:id="89"/>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596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Option Care Infusion Services, Inc.</w:t>
            </w:r>
          </w:p>
        </w:tc>
        <w:tc>
          <w:tcPr>
            <w:tcW w:w="2640" w:type="dxa"/>
            <w:vAlign w:val="bottom"/>
            <w:tcBorders>
              <w:top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262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Option Care Infusion Services, Inc.</w:t>
            </w:r>
          </w:p>
        </w:tc>
        <w:tc>
          <w:tcPr>
            <w:tcW w:w="0" w:type="dxa"/>
            <w:vAlign w:val="bottom"/>
          </w:tcPr>
          <w:p>
            <w:pPr>
              <w:spacing w:after="0"/>
              <w:rPr>
                <w:sz w:val="1"/>
                <w:szCs w:val="1"/>
                <w:color w:val="auto"/>
              </w:rPr>
            </w:pPr>
          </w:p>
        </w:tc>
      </w:tr>
      <w:tr>
        <w:trPr>
          <w:trHeight w:val="223"/>
        </w:trPr>
        <w:tc>
          <w:tcPr>
            <w:tcW w:w="59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Option Care Infusion Suites, LLC</w:t>
            </w:r>
          </w:p>
        </w:tc>
        <w:tc>
          <w:tcPr>
            <w:tcW w:w="2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2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Option Care Infusion Suites, LLC</w:t>
            </w:r>
          </w:p>
        </w:tc>
        <w:tc>
          <w:tcPr>
            <w:tcW w:w="0" w:type="dxa"/>
            <w:vAlign w:val="bottom"/>
          </w:tcPr>
          <w:p>
            <w:pPr>
              <w:spacing w:after="0"/>
              <w:rPr>
                <w:sz w:val="1"/>
                <w:szCs w:val="1"/>
                <w:color w:val="auto"/>
              </w:rPr>
            </w:pPr>
          </w:p>
        </w:tc>
      </w:tr>
      <w:tr>
        <w:trPr>
          <w:trHeight w:val="223"/>
        </w:trPr>
        <w:tc>
          <w:tcPr>
            <w:tcW w:w="59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Option Care of New York, Inc.</w:t>
            </w:r>
          </w:p>
        </w:tc>
        <w:tc>
          <w:tcPr>
            <w:tcW w:w="2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New York</w:t>
            </w:r>
          </w:p>
        </w:tc>
        <w:tc>
          <w:tcPr>
            <w:tcW w:w="2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Option Care of New York, Inc.</w:t>
            </w:r>
          </w:p>
        </w:tc>
        <w:tc>
          <w:tcPr>
            <w:tcW w:w="0" w:type="dxa"/>
            <w:vAlign w:val="bottom"/>
          </w:tcPr>
          <w:p>
            <w:pPr>
              <w:spacing w:after="0"/>
              <w:rPr>
                <w:sz w:val="1"/>
                <w:szCs w:val="1"/>
                <w:color w:val="auto"/>
              </w:rPr>
            </w:pPr>
          </w:p>
        </w:tc>
      </w:tr>
      <w:tr>
        <w:trPr>
          <w:trHeight w:val="223"/>
        </w:trPr>
        <w:tc>
          <w:tcPr>
            <w:tcW w:w="59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OptioNet, Inc.</w:t>
            </w:r>
          </w:p>
        </w:tc>
        <w:tc>
          <w:tcPr>
            <w:tcW w:w="2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2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OptioNet, Inc.</w:t>
            </w:r>
          </w:p>
        </w:tc>
        <w:tc>
          <w:tcPr>
            <w:tcW w:w="0" w:type="dxa"/>
            <w:vAlign w:val="bottom"/>
          </w:tcPr>
          <w:p>
            <w:pPr>
              <w:spacing w:after="0"/>
              <w:rPr>
                <w:sz w:val="1"/>
                <w:szCs w:val="1"/>
                <w:color w:val="auto"/>
              </w:rPr>
            </w:pPr>
          </w:p>
        </w:tc>
      </w:tr>
      <w:tr>
        <w:trPr>
          <w:trHeight w:val="169"/>
        </w:trPr>
        <w:tc>
          <w:tcPr>
            <w:tcW w:w="596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Professional Home Care Services, Inc.</w:t>
            </w:r>
          </w:p>
        </w:tc>
        <w:tc>
          <w:tcPr>
            <w:tcW w:w="26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2620" w:type="dxa"/>
            <w:vAlign w:val="bottom"/>
            <w:tcBorders>
              <w:right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auto"/>
              </w:rPr>
              <w:t>Professional Home Care Services,</w:t>
            </w:r>
          </w:p>
        </w:tc>
        <w:tc>
          <w:tcPr>
            <w:tcW w:w="0" w:type="dxa"/>
            <w:vAlign w:val="bottom"/>
          </w:tcPr>
          <w:p>
            <w:pPr>
              <w:spacing w:after="0"/>
              <w:rPr>
                <w:sz w:val="1"/>
                <w:szCs w:val="1"/>
                <w:color w:val="auto"/>
              </w:rPr>
            </w:pPr>
          </w:p>
        </w:tc>
      </w:tr>
      <w:tr>
        <w:trPr>
          <w:trHeight w:val="148"/>
        </w:trPr>
        <w:tc>
          <w:tcPr>
            <w:tcW w:w="5960" w:type="dxa"/>
            <w:vAlign w:val="bottom"/>
            <w:tcBorders>
              <w:left w:val="single" w:sz="8" w:color="auto"/>
              <w:right w:val="single" w:sz="8" w:color="auto"/>
            </w:tcBorders>
            <w:vMerge w:val="continue"/>
          </w:tcPr>
          <w:p>
            <w:pPr>
              <w:spacing w:after="0"/>
              <w:rPr>
                <w:sz w:val="12"/>
                <w:szCs w:val="12"/>
                <w:color w:val="auto"/>
              </w:rPr>
            </w:pPr>
          </w:p>
        </w:tc>
        <w:tc>
          <w:tcPr>
            <w:tcW w:w="2640" w:type="dxa"/>
            <w:vAlign w:val="bottom"/>
            <w:tcBorders>
              <w:right w:val="single" w:sz="8" w:color="auto"/>
            </w:tcBorders>
            <w:vMerge w:val="continue"/>
          </w:tcPr>
          <w:p>
            <w:pPr>
              <w:spacing w:after="0"/>
              <w:rPr>
                <w:sz w:val="12"/>
                <w:szCs w:val="12"/>
                <w:color w:val="auto"/>
              </w:rPr>
            </w:pPr>
          </w:p>
        </w:tc>
        <w:tc>
          <w:tcPr>
            <w:tcW w:w="26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Inc.</w:t>
            </w:r>
          </w:p>
        </w:tc>
        <w:tc>
          <w:tcPr>
            <w:tcW w:w="0" w:type="dxa"/>
            <w:vAlign w:val="bottom"/>
          </w:tcPr>
          <w:p>
            <w:pPr>
              <w:spacing w:after="0"/>
              <w:rPr>
                <w:sz w:val="1"/>
                <w:szCs w:val="1"/>
                <w:color w:val="auto"/>
              </w:rPr>
            </w:pPr>
          </w:p>
        </w:tc>
      </w:tr>
      <w:tr>
        <w:trPr>
          <w:trHeight w:val="90"/>
        </w:trPr>
        <w:tc>
          <w:tcPr>
            <w:tcW w:w="5960" w:type="dxa"/>
            <w:vAlign w:val="bottom"/>
            <w:tcBorders>
              <w:left w:val="single" w:sz="8" w:color="auto"/>
              <w:bottom w:val="single" w:sz="8" w:color="auto"/>
              <w:right w:val="single" w:sz="8" w:color="auto"/>
            </w:tcBorders>
          </w:tcPr>
          <w:p>
            <w:pPr>
              <w:spacing w:after="0"/>
              <w:rPr>
                <w:sz w:val="7"/>
                <w:szCs w:val="7"/>
                <w:color w:val="auto"/>
              </w:rPr>
            </w:pPr>
          </w:p>
        </w:tc>
        <w:tc>
          <w:tcPr>
            <w:tcW w:w="2640" w:type="dxa"/>
            <w:vAlign w:val="bottom"/>
            <w:tcBorders>
              <w:bottom w:val="single" w:sz="8" w:color="auto"/>
              <w:right w:val="single" w:sz="8" w:color="auto"/>
            </w:tcBorders>
          </w:tcPr>
          <w:p>
            <w:pPr>
              <w:spacing w:after="0"/>
              <w:rPr>
                <w:sz w:val="7"/>
                <w:szCs w:val="7"/>
                <w:color w:val="auto"/>
              </w:rPr>
            </w:pPr>
          </w:p>
        </w:tc>
        <w:tc>
          <w:tcPr>
            <w:tcW w:w="262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59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River City Pharmacy, Inc.</w:t>
            </w:r>
          </w:p>
        </w:tc>
        <w:tc>
          <w:tcPr>
            <w:tcW w:w="2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California</w:t>
            </w:r>
          </w:p>
        </w:tc>
        <w:tc>
          <w:tcPr>
            <w:tcW w:w="2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Option Care</w:t>
            </w:r>
          </w:p>
        </w:tc>
        <w:tc>
          <w:tcPr>
            <w:tcW w:w="0" w:type="dxa"/>
            <w:vAlign w:val="bottom"/>
          </w:tcPr>
          <w:p>
            <w:pPr>
              <w:spacing w:after="0"/>
              <w:rPr>
                <w:sz w:val="1"/>
                <w:szCs w:val="1"/>
                <w:color w:val="auto"/>
              </w:rPr>
            </w:pPr>
          </w:p>
        </w:tc>
      </w:tr>
      <w:tr>
        <w:trPr>
          <w:trHeight w:val="223"/>
        </w:trPr>
        <w:tc>
          <w:tcPr>
            <w:tcW w:w="59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Scott-Wilson, Inc.</w:t>
            </w:r>
          </w:p>
        </w:tc>
        <w:tc>
          <w:tcPr>
            <w:tcW w:w="2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Kentucky</w:t>
            </w:r>
          </w:p>
        </w:tc>
        <w:tc>
          <w:tcPr>
            <w:tcW w:w="2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BioScrip Infusion Services</w:t>
            </w:r>
          </w:p>
        </w:tc>
        <w:tc>
          <w:tcPr>
            <w:tcW w:w="0" w:type="dxa"/>
            <w:vAlign w:val="bottom"/>
          </w:tcPr>
          <w:p>
            <w:pPr>
              <w:spacing w:after="0"/>
              <w:rPr>
                <w:sz w:val="1"/>
                <w:szCs w:val="1"/>
                <w:color w:val="auto"/>
              </w:rPr>
            </w:pPr>
          </w:p>
        </w:tc>
      </w:tr>
      <w:tr>
        <w:trPr>
          <w:trHeight w:val="223"/>
        </w:trPr>
        <w:tc>
          <w:tcPr>
            <w:tcW w:w="59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Specialty Pharma, Inc.</w:t>
            </w:r>
          </w:p>
        </w:tc>
        <w:tc>
          <w:tcPr>
            <w:tcW w:w="2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2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Specialty Pharma, Inc.</w:t>
            </w:r>
          </w:p>
        </w:tc>
        <w:tc>
          <w:tcPr>
            <w:tcW w:w="0" w:type="dxa"/>
            <w:vAlign w:val="bottom"/>
          </w:tcPr>
          <w:p>
            <w:pPr>
              <w:spacing w:after="0"/>
              <w:rPr>
                <w:sz w:val="1"/>
                <w:szCs w:val="1"/>
                <w:color w:val="auto"/>
              </w:rPr>
            </w:pPr>
          </w:p>
        </w:tc>
      </w:tr>
      <w:tr>
        <w:trPr>
          <w:trHeight w:val="223"/>
        </w:trPr>
        <w:tc>
          <w:tcPr>
            <w:tcW w:w="59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Springville Pharmacy Infusion Therapy, Inc.</w:t>
            </w:r>
          </w:p>
        </w:tc>
        <w:tc>
          <w:tcPr>
            <w:tcW w:w="2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New York</w:t>
            </w:r>
          </w:p>
        </w:tc>
        <w:tc>
          <w:tcPr>
            <w:tcW w:w="2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Option Care</w:t>
            </w:r>
          </w:p>
        </w:tc>
        <w:tc>
          <w:tcPr>
            <w:tcW w:w="0" w:type="dxa"/>
            <w:vAlign w:val="bottom"/>
          </w:tcPr>
          <w:p>
            <w:pPr>
              <w:spacing w:after="0"/>
              <w:rPr>
                <w:sz w:val="1"/>
                <w:szCs w:val="1"/>
                <w:color w:val="auto"/>
              </w:rPr>
            </w:pPr>
          </w:p>
        </w:tc>
      </w:tr>
      <w:tr>
        <w:trPr>
          <w:trHeight w:val="223"/>
        </w:trPr>
        <w:tc>
          <w:tcPr>
            <w:tcW w:w="59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Trinity HomeCare, LLC</w:t>
            </w:r>
          </w:p>
        </w:tc>
        <w:tc>
          <w:tcPr>
            <w:tcW w:w="2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New Jersey</w:t>
            </w:r>
          </w:p>
        </w:tc>
        <w:tc>
          <w:tcPr>
            <w:tcW w:w="2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Option Care</w:t>
            </w:r>
          </w:p>
        </w:tc>
        <w:tc>
          <w:tcPr>
            <w:tcW w:w="0" w:type="dxa"/>
            <w:vAlign w:val="bottom"/>
          </w:tcPr>
          <w:p>
            <w:pPr>
              <w:spacing w:after="0"/>
              <w:rPr>
                <w:sz w:val="1"/>
                <w:szCs w:val="1"/>
                <w:color w:val="auto"/>
              </w:rPr>
            </w:pPr>
          </w:p>
        </w:tc>
      </w:tr>
      <w:tr>
        <w:trPr>
          <w:trHeight w:val="223"/>
        </w:trPr>
        <w:tc>
          <w:tcPr>
            <w:tcW w:w="59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Rochester Home Infusion, Inc.</w:t>
            </w:r>
          </w:p>
        </w:tc>
        <w:tc>
          <w:tcPr>
            <w:tcW w:w="2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Minnesota</w:t>
            </w:r>
          </w:p>
        </w:tc>
        <w:tc>
          <w:tcPr>
            <w:tcW w:w="2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Rochester Home Infusion</w:t>
            </w:r>
          </w:p>
        </w:tc>
        <w:tc>
          <w:tcPr>
            <w:tcW w:w="0" w:type="dxa"/>
            <w:vAlign w:val="bottom"/>
          </w:tcPr>
          <w:p>
            <w:pPr>
              <w:spacing w:after="0"/>
              <w:rPr>
                <w:sz w:val="1"/>
                <w:szCs w:val="1"/>
                <w:color w:val="auto"/>
              </w:rPr>
            </w:pPr>
          </w:p>
        </w:tc>
      </w:tr>
      <w:tr>
        <w:trPr>
          <w:trHeight w:val="223"/>
        </w:trPr>
        <w:tc>
          <w:tcPr>
            <w:tcW w:w="59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SPNN Holdings, LLC</w:t>
            </w:r>
          </w:p>
        </w:tc>
        <w:tc>
          <w:tcPr>
            <w:tcW w:w="2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2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SPNN Holdings, LLC</w:t>
            </w:r>
          </w:p>
        </w:tc>
        <w:tc>
          <w:tcPr>
            <w:tcW w:w="0" w:type="dxa"/>
            <w:vAlign w:val="bottom"/>
          </w:tcPr>
          <w:p>
            <w:pPr>
              <w:spacing w:after="0"/>
              <w:rPr>
                <w:sz w:val="1"/>
                <w:szCs w:val="1"/>
                <w:color w:val="auto"/>
              </w:rPr>
            </w:pPr>
          </w:p>
        </w:tc>
      </w:tr>
      <w:tr>
        <w:trPr>
          <w:trHeight w:val="223"/>
        </w:trPr>
        <w:tc>
          <w:tcPr>
            <w:tcW w:w="59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Option Care at Legacy Health, LLC</w:t>
            </w:r>
          </w:p>
        </w:tc>
        <w:tc>
          <w:tcPr>
            <w:tcW w:w="2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Oregon</w:t>
            </w:r>
          </w:p>
        </w:tc>
        <w:tc>
          <w:tcPr>
            <w:tcW w:w="2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Option Care at Legacy Health</w:t>
            </w:r>
          </w:p>
        </w:tc>
        <w:tc>
          <w:tcPr>
            <w:tcW w:w="0" w:type="dxa"/>
            <w:vAlign w:val="bottom"/>
          </w:tcPr>
          <w:p>
            <w:pPr>
              <w:spacing w:after="0"/>
              <w:rPr>
                <w:sz w:val="1"/>
                <w:szCs w:val="1"/>
                <w:color w:val="auto"/>
              </w:rPr>
            </w:pPr>
          </w:p>
        </w:tc>
      </w:tr>
      <w:tr>
        <w:trPr>
          <w:trHeight w:val="169"/>
        </w:trPr>
        <w:tc>
          <w:tcPr>
            <w:tcW w:w="596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Option Care Infusion Services, LLC</w:t>
            </w:r>
          </w:p>
        </w:tc>
        <w:tc>
          <w:tcPr>
            <w:tcW w:w="26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Tennessee</w:t>
            </w:r>
          </w:p>
        </w:tc>
        <w:tc>
          <w:tcPr>
            <w:tcW w:w="2620" w:type="dxa"/>
            <w:vAlign w:val="bottom"/>
            <w:tcBorders>
              <w:right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auto"/>
              </w:rPr>
              <w:t>Vanderbilt HC/Option Care IV</w:t>
            </w:r>
          </w:p>
        </w:tc>
        <w:tc>
          <w:tcPr>
            <w:tcW w:w="0" w:type="dxa"/>
            <w:vAlign w:val="bottom"/>
          </w:tcPr>
          <w:p>
            <w:pPr>
              <w:spacing w:after="0"/>
              <w:rPr>
                <w:sz w:val="1"/>
                <w:szCs w:val="1"/>
                <w:color w:val="auto"/>
              </w:rPr>
            </w:pPr>
          </w:p>
        </w:tc>
      </w:tr>
      <w:tr>
        <w:trPr>
          <w:trHeight w:val="148"/>
        </w:trPr>
        <w:tc>
          <w:tcPr>
            <w:tcW w:w="5960" w:type="dxa"/>
            <w:vAlign w:val="bottom"/>
            <w:tcBorders>
              <w:left w:val="single" w:sz="8" w:color="auto"/>
              <w:right w:val="single" w:sz="8" w:color="auto"/>
            </w:tcBorders>
            <w:vMerge w:val="continue"/>
          </w:tcPr>
          <w:p>
            <w:pPr>
              <w:spacing w:after="0"/>
              <w:rPr>
                <w:sz w:val="12"/>
                <w:szCs w:val="12"/>
                <w:color w:val="auto"/>
              </w:rPr>
            </w:pPr>
          </w:p>
        </w:tc>
        <w:tc>
          <w:tcPr>
            <w:tcW w:w="2640" w:type="dxa"/>
            <w:vAlign w:val="bottom"/>
            <w:tcBorders>
              <w:right w:val="single" w:sz="8" w:color="auto"/>
            </w:tcBorders>
            <w:vMerge w:val="continue"/>
          </w:tcPr>
          <w:p>
            <w:pPr>
              <w:spacing w:after="0"/>
              <w:rPr>
                <w:sz w:val="12"/>
                <w:szCs w:val="12"/>
                <w:color w:val="auto"/>
              </w:rPr>
            </w:pPr>
          </w:p>
        </w:tc>
        <w:tc>
          <w:tcPr>
            <w:tcW w:w="26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Services</w:t>
            </w:r>
          </w:p>
        </w:tc>
        <w:tc>
          <w:tcPr>
            <w:tcW w:w="0" w:type="dxa"/>
            <w:vAlign w:val="bottom"/>
          </w:tcPr>
          <w:p>
            <w:pPr>
              <w:spacing w:after="0"/>
              <w:rPr>
                <w:sz w:val="1"/>
                <w:szCs w:val="1"/>
                <w:color w:val="auto"/>
              </w:rPr>
            </w:pPr>
          </w:p>
        </w:tc>
      </w:tr>
      <w:tr>
        <w:trPr>
          <w:trHeight w:val="90"/>
        </w:trPr>
        <w:tc>
          <w:tcPr>
            <w:tcW w:w="5960" w:type="dxa"/>
            <w:vAlign w:val="bottom"/>
            <w:tcBorders>
              <w:left w:val="single" w:sz="8" w:color="auto"/>
              <w:bottom w:val="single" w:sz="8" w:color="auto"/>
              <w:right w:val="single" w:sz="8" w:color="auto"/>
            </w:tcBorders>
          </w:tcPr>
          <w:p>
            <w:pPr>
              <w:spacing w:after="0"/>
              <w:rPr>
                <w:sz w:val="7"/>
                <w:szCs w:val="7"/>
                <w:color w:val="auto"/>
              </w:rPr>
            </w:pPr>
          </w:p>
        </w:tc>
        <w:tc>
          <w:tcPr>
            <w:tcW w:w="2640" w:type="dxa"/>
            <w:vAlign w:val="bottom"/>
            <w:tcBorders>
              <w:bottom w:val="single" w:sz="8" w:color="auto"/>
              <w:right w:val="single" w:sz="8" w:color="auto"/>
            </w:tcBorders>
          </w:tcPr>
          <w:p>
            <w:pPr>
              <w:spacing w:after="0"/>
              <w:rPr>
                <w:sz w:val="7"/>
                <w:szCs w:val="7"/>
                <w:color w:val="auto"/>
              </w:rPr>
            </w:pPr>
          </w:p>
        </w:tc>
        <w:tc>
          <w:tcPr>
            <w:tcW w:w="262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59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OCH Infusion Centers (Colorado), LLC</w:t>
            </w:r>
          </w:p>
        </w:tc>
        <w:tc>
          <w:tcPr>
            <w:tcW w:w="2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2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Option Care Health Infusion Center</w:t>
            </w:r>
          </w:p>
        </w:tc>
        <w:tc>
          <w:tcPr>
            <w:tcW w:w="0" w:type="dxa"/>
            <w:vAlign w:val="bottom"/>
          </w:tcPr>
          <w:p>
            <w:pPr>
              <w:spacing w:after="0"/>
              <w:rPr>
                <w:sz w:val="1"/>
                <w:szCs w:val="1"/>
                <w:color w:val="auto"/>
              </w:rPr>
            </w:pPr>
          </w:p>
        </w:tc>
      </w:tr>
      <w:tr>
        <w:trPr>
          <w:trHeight w:val="223"/>
        </w:trPr>
        <w:tc>
          <w:tcPr>
            <w:tcW w:w="59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OCH Infusion Centers (Texas), LLC</w:t>
            </w:r>
          </w:p>
        </w:tc>
        <w:tc>
          <w:tcPr>
            <w:tcW w:w="2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2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Option Care Health Infusion Center</w:t>
            </w:r>
          </w:p>
        </w:tc>
        <w:tc>
          <w:tcPr>
            <w:tcW w:w="0" w:type="dxa"/>
            <w:vAlign w:val="bottom"/>
          </w:tcPr>
          <w:p>
            <w:pPr>
              <w:spacing w:after="0"/>
              <w:rPr>
                <w:sz w:val="1"/>
                <w:szCs w:val="1"/>
                <w:color w:val="auto"/>
              </w:rPr>
            </w:pPr>
          </w:p>
        </w:tc>
      </w:tr>
      <w:tr>
        <w:trPr>
          <w:trHeight w:val="223"/>
        </w:trPr>
        <w:tc>
          <w:tcPr>
            <w:tcW w:w="59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OCH Infusion Clinic (Arizona), LLC</w:t>
            </w:r>
          </w:p>
        </w:tc>
        <w:tc>
          <w:tcPr>
            <w:tcW w:w="2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2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Option Care Health Infusion Clinic</w:t>
            </w:r>
          </w:p>
        </w:tc>
        <w:tc>
          <w:tcPr>
            <w:tcW w:w="0" w:type="dxa"/>
            <w:vAlign w:val="bottom"/>
          </w:tcPr>
          <w:p>
            <w:pPr>
              <w:spacing w:after="0"/>
              <w:rPr>
                <w:sz w:val="1"/>
                <w:szCs w:val="1"/>
                <w:color w:val="auto"/>
              </w:rPr>
            </w:pPr>
          </w:p>
        </w:tc>
      </w:tr>
      <w:tr>
        <w:trPr>
          <w:trHeight w:val="223"/>
        </w:trPr>
        <w:tc>
          <w:tcPr>
            <w:tcW w:w="59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OCH Infusion Centers, LLC</w:t>
            </w:r>
          </w:p>
        </w:tc>
        <w:tc>
          <w:tcPr>
            <w:tcW w:w="2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2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OCH Infusion Centers, LLC</w:t>
            </w:r>
          </w:p>
        </w:tc>
        <w:tc>
          <w:tcPr>
            <w:tcW w:w="0" w:type="dxa"/>
            <w:vAlign w:val="bottom"/>
          </w:tcPr>
          <w:p>
            <w:pPr>
              <w:spacing w:after="0"/>
              <w:rPr>
                <w:sz w:val="1"/>
                <w:szCs w:val="1"/>
                <w:color w:val="auto"/>
              </w:rPr>
            </w:pPr>
          </w:p>
        </w:tc>
      </w:tr>
    </w:tbl>
    <w:p>
      <w:pPr>
        <w:sectPr>
          <w:pgSz w:w="11900" w:h="16838" w:orient="portrait"/>
          <w:cols w:equalWidth="0" w:num="1">
            <w:col w:w="11220"/>
          </w:cols>
          <w:pgMar w:left="340" w:top="1011" w:right="339" w:bottom="1440" w:gutter="0" w:footer="0" w:header="0"/>
        </w:sectPr>
      </w:pPr>
    </w:p>
    <w:bookmarkStart w:id="90" w:name="page91"/>
    <w:bookmarkEnd w:id="90"/>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0" w:lineRule="exact"/>
        <w:rPr>
          <w:sz w:val="20"/>
          <w:szCs w:val="20"/>
          <w:color w:val="auto"/>
        </w:rPr>
      </w:pPr>
    </w:p>
    <w:p>
      <w:pPr>
        <w:spacing w:after="0" w:line="295"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189"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statements (Nos. 333-214039, 333-216630, and 333-216631) on Form S-3 and the registration statements (Nos. 333-228310 and 333-281145) on Form S-8 of our reports dated February 26, 2025, with respect to the consolidated financial statements of Option Care Health, Inc. and the effectiveness of internal control over financial reporting.</w:t>
      </w:r>
    </w:p>
    <w:p>
      <w:pPr>
        <w:spacing w:after="0" w:line="14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 KPMG LLP</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Chicago, Illinois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26, 2025</w:t>
      </w:r>
    </w:p>
    <w:p>
      <w:pPr>
        <w:sectPr>
          <w:pgSz w:w="11900" w:h="16838" w:orient="portrait"/>
          <w:cols w:equalWidth="0" w:num="1">
            <w:col w:w="11200"/>
          </w:cols>
          <w:pgMar w:left="320" w:top="887" w:right="379" w:bottom="1440" w:gutter="0" w:footer="0" w:header="0"/>
        </w:sectPr>
      </w:pPr>
    </w:p>
    <w:bookmarkStart w:id="91" w:name="page92"/>
    <w:bookmarkEnd w:id="91"/>
    <w:p>
      <w:pPr>
        <w:ind w:left="10180"/>
        <w:spacing w:after="0"/>
        <w:rPr>
          <w:sz w:val="20"/>
          <w:szCs w:val="20"/>
          <w:color w:val="auto"/>
        </w:rPr>
      </w:pPr>
      <w:r>
        <w:rPr>
          <w:rFonts w:ascii="Times New Roman" w:cs="Times New Roman" w:eastAsia="Times New Roman" w:hAnsi="Times New Roman"/>
          <w:sz w:val="16"/>
          <w:szCs w:val="16"/>
          <w:b w:val="1"/>
          <w:bCs w:val="1"/>
          <w:color w:val="auto"/>
        </w:rPr>
        <w:t>EXHIBIT 31.1</w:t>
      </w:r>
    </w:p>
    <w:p>
      <w:pPr>
        <w:spacing w:after="0" w:line="242"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b w:val="1"/>
          <w:bCs w:val="1"/>
          <w:color w:val="auto"/>
        </w:rPr>
        <w:t>CERTIFICATION PURSUANT TO SECTION 302 OF THE SARBANES-OXLEY ACT OF 2002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John Rademacher, certify that:</w:t>
      </w:r>
    </w:p>
    <w:p>
      <w:pPr>
        <w:spacing w:after="0" w:line="104" w:lineRule="exact"/>
        <w:rPr>
          <w:sz w:val="20"/>
          <w:szCs w:val="20"/>
          <w:color w:val="auto"/>
        </w:rPr>
      </w:pPr>
    </w:p>
    <w:p>
      <w:pPr>
        <w:ind w:left="360" w:hanging="352"/>
        <w:spacing w:after="0"/>
        <w:tabs>
          <w:tab w:leader="none" w:pos="3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Option Care Health, Inc.;</w:t>
      </w:r>
    </w:p>
    <w:p>
      <w:pPr>
        <w:spacing w:after="0" w:line="103" w:lineRule="exact"/>
        <w:rPr>
          <w:rFonts w:ascii="Times New Roman" w:cs="Times New Roman" w:eastAsia="Times New Roman" w:hAnsi="Times New Roman"/>
          <w:sz w:val="18"/>
          <w:szCs w:val="18"/>
          <w:color w:val="auto"/>
        </w:rPr>
      </w:pPr>
    </w:p>
    <w:p>
      <w:pPr>
        <w:ind w:left="660" w:hanging="652"/>
        <w:spacing w:after="0" w:line="266" w:lineRule="auto"/>
        <w:tabs>
          <w:tab w:leader="none" w:pos="43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0" w:lineRule="exact"/>
        <w:rPr>
          <w:rFonts w:ascii="Times New Roman" w:cs="Times New Roman" w:eastAsia="Times New Roman" w:hAnsi="Times New Roman"/>
          <w:sz w:val="18"/>
          <w:szCs w:val="18"/>
          <w:color w:val="auto"/>
        </w:rPr>
      </w:pPr>
    </w:p>
    <w:p>
      <w:pPr>
        <w:ind w:left="660" w:hanging="652"/>
        <w:spacing w:after="0" w:line="282" w:lineRule="auto"/>
        <w:tabs>
          <w:tab w:leader="none" w:pos="442"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0" w:lineRule="exact"/>
        <w:rPr>
          <w:rFonts w:ascii="Times New Roman" w:cs="Times New Roman" w:eastAsia="Times New Roman" w:hAnsi="Times New Roman"/>
          <w:sz w:val="18"/>
          <w:szCs w:val="18"/>
          <w:color w:val="auto"/>
        </w:rPr>
      </w:pPr>
    </w:p>
    <w:p>
      <w:pPr>
        <w:ind w:left="660" w:hanging="652"/>
        <w:spacing w:after="0" w:line="266" w:lineRule="auto"/>
        <w:tabs>
          <w:tab w:leader="none" w:pos="456"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15d-15(f))for the registrant and have:</w:t>
      </w:r>
    </w:p>
    <w:p>
      <w:pPr>
        <w:spacing w:after="0" w:line="54" w:lineRule="exact"/>
        <w:rPr>
          <w:rFonts w:ascii="Times New Roman" w:cs="Times New Roman" w:eastAsia="Times New Roman" w:hAnsi="Times New Roman"/>
          <w:sz w:val="18"/>
          <w:szCs w:val="18"/>
          <w:color w:val="auto"/>
        </w:rPr>
      </w:pPr>
    </w:p>
    <w:p>
      <w:pPr>
        <w:ind w:left="1300" w:hanging="644"/>
        <w:spacing w:after="0" w:line="266" w:lineRule="auto"/>
        <w:tabs>
          <w:tab w:leader="none" w:pos="1106"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0" w:lineRule="exact"/>
        <w:rPr>
          <w:rFonts w:ascii="Times New Roman" w:cs="Times New Roman" w:eastAsia="Times New Roman" w:hAnsi="Times New Roman"/>
          <w:sz w:val="18"/>
          <w:szCs w:val="18"/>
          <w:color w:val="auto"/>
        </w:rPr>
      </w:pPr>
    </w:p>
    <w:p>
      <w:pPr>
        <w:ind w:left="1300" w:hanging="644"/>
        <w:spacing w:after="0" w:line="266" w:lineRule="auto"/>
        <w:tabs>
          <w:tab w:leader="none" w:pos="1154"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4" w:lineRule="exact"/>
        <w:rPr>
          <w:rFonts w:ascii="Times New Roman" w:cs="Times New Roman" w:eastAsia="Times New Roman" w:hAnsi="Times New Roman"/>
          <w:sz w:val="18"/>
          <w:szCs w:val="18"/>
          <w:color w:val="auto"/>
        </w:rPr>
      </w:pPr>
    </w:p>
    <w:p>
      <w:pPr>
        <w:ind w:left="1300" w:hanging="644"/>
        <w:spacing w:after="0" w:line="282" w:lineRule="auto"/>
        <w:tabs>
          <w:tab w:leader="none" w:pos="1179"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controls and procedures, as of the end of the period covered by this report based on such evaluation; and</w:t>
      </w:r>
    </w:p>
    <w:p>
      <w:pPr>
        <w:spacing w:after="0" w:line="40" w:lineRule="exact"/>
        <w:rPr>
          <w:rFonts w:ascii="Times New Roman" w:cs="Times New Roman" w:eastAsia="Times New Roman" w:hAnsi="Times New Roman"/>
          <w:sz w:val="18"/>
          <w:szCs w:val="18"/>
          <w:color w:val="auto"/>
        </w:rPr>
      </w:pPr>
    </w:p>
    <w:p>
      <w:pPr>
        <w:ind w:left="1300" w:hanging="644"/>
        <w:spacing w:after="0" w:line="266" w:lineRule="auto"/>
        <w:tabs>
          <w:tab w:leader="none" w:pos="118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0" w:lineRule="exact"/>
        <w:rPr>
          <w:rFonts w:ascii="Times New Roman" w:cs="Times New Roman" w:eastAsia="Times New Roman" w:hAnsi="Times New Roman"/>
          <w:sz w:val="18"/>
          <w:szCs w:val="18"/>
          <w:color w:val="auto"/>
        </w:rPr>
      </w:pPr>
    </w:p>
    <w:p>
      <w:pPr>
        <w:ind w:left="660" w:hanging="652"/>
        <w:spacing w:after="0" w:line="282" w:lineRule="auto"/>
        <w:tabs>
          <w:tab w:leader="none" w:pos="426"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0"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213"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0" w:lineRule="exact"/>
        <w:rPr>
          <w:rFonts w:ascii="Times New Roman" w:cs="Times New Roman" w:eastAsia="Times New Roman" w:hAnsi="Times New Roman"/>
          <w:sz w:val="18"/>
          <w:szCs w:val="18"/>
          <w:color w:val="auto"/>
        </w:rPr>
      </w:pPr>
    </w:p>
    <w:p>
      <w:pPr>
        <w:ind w:left="1300" w:hanging="644"/>
        <w:spacing w:after="0" w:line="282" w:lineRule="auto"/>
        <w:tabs>
          <w:tab w:leader="none" w:pos="1152"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26, 2025</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 John Rademacher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John Rademacher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 President and Director (Principal Executive Officer)</w:t>
      </w:r>
    </w:p>
    <w:p>
      <w:pPr>
        <w:sectPr>
          <w:pgSz w:w="11900" w:h="16838" w:orient="portrait"/>
          <w:cols w:equalWidth="0" w:num="1">
            <w:col w:w="11240"/>
          </w:cols>
          <w:pgMar w:left="320" w:top="893" w:right="339" w:bottom="1440" w:gutter="0" w:footer="0" w:header="0"/>
        </w:sectPr>
      </w:pPr>
    </w:p>
    <w:bookmarkStart w:id="92" w:name="page93"/>
    <w:bookmarkEnd w:id="92"/>
    <w:p>
      <w:pPr>
        <w:jc w:val="right"/>
        <w:spacing w:after="0"/>
        <w:rPr>
          <w:sz w:val="20"/>
          <w:szCs w:val="20"/>
          <w:color w:val="auto"/>
        </w:rPr>
      </w:pPr>
      <w:r>
        <w:rPr>
          <w:rFonts w:ascii="Times New Roman" w:cs="Times New Roman" w:eastAsia="Times New Roman" w:hAnsi="Times New Roman"/>
          <w:sz w:val="16"/>
          <w:szCs w:val="16"/>
          <w:b w:val="1"/>
          <w:bCs w:val="1"/>
          <w:color w:val="auto"/>
        </w:rPr>
        <w:t>EXHIBIT 31.2</w:t>
      </w:r>
    </w:p>
    <w:p>
      <w:pPr>
        <w:spacing w:after="0" w:line="242"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b w:val="1"/>
          <w:bCs w:val="1"/>
          <w:color w:val="auto"/>
        </w:rPr>
        <w:t>CERTIFICATION PURSUANT TO SECTION 302 OF THE SARBANES-OXLEY ACT OF 2002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Michael Shapiro, certify that:</w:t>
      </w:r>
    </w:p>
    <w:p>
      <w:pPr>
        <w:spacing w:after="0" w:line="104" w:lineRule="exact"/>
        <w:rPr>
          <w:sz w:val="20"/>
          <w:szCs w:val="20"/>
          <w:color w:val="auto"/>
        </w:rPr>
      </w:pPr>
    </w:p>
    <w:p>
      <w:pPr>
        <w:ind w:left="360" w:hanging="352"/>
        <w:spacing w:after="0"/>
        <w:tabs>
          <w:tab w:leader="none" w:pos="3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Option Care Health, Inc.;</w:t>
      </w:r>
    </w:p>
    <w:p>
      <w:pPr>
        <w:spacing w:after="0" w:line="103" w:lineRule="exact"/>
        <w:rPr>
          <w:rFonts w:ascii="Times New Roman" w:cs="Times New Roman" w:eastAsia="Times New Roman" w:hAnsi="Times New Roman"/>
          <w:sz w:val="18"/>
          <w:szCs w:val="18"/>
          <w:color w:val="auto"/>
        </w:rPr>
      </w:pPr>
    </w:p>
    <w:p>
      <w:pPr>
        <w:ind w:left="660" w:hanging="652"/>
        <w:spacing w:after="0" w:line="266" w:lineRule="auto"/>
        <w:tabs>
          <w:tab w:leader="none" w:pos="43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0" w:lineRule="exact"/>
        <w:rPr>
          <w:rFonts w:ascii="Times New Roman" w:cs="Times New Roman" w:eastAsia="Times New Roman" w:hAnsi="Times New Roman"/>
          <w:sz w:val="18"/>
          <w:szCs w:val="18"/>
          <w:color w:val="auto"/>
        </w:rPr>
      </w:pPr>
    </w:p>
    <w:p>
      <w:pPr>
        <w:ind w:left="660" w:hanging="652"/>
        <w:spacing w:after="0" w:line="282" w:lineRule="auto"/>
        <w:tabs>
          <w:tab w:leader="none" w:pos="442"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0" w:lineRule="exact"/>
        <w:rPr>
          <w:rFonts w:ascii="Times New Roman" w:cs="Times New Roman" w:eastAsia="Times New Roman" w:hAnsi="Times New Roman"/>
          <w:sz w:val="18"/>
          <w:szCs w:val="18"/>
          <w:color w:val="auto"/>
        </w:rPr>
      </w:pPr>
    </w:p>
    <w:p>
      <w:pPr>
        <w:ind w:left="660" w:hanging="652"/>
        <w:spacing w:after="0" w:line="266" w:lineRule="auto"/>
        <w:tabs>
          <w:tab w:leader="none" w:pos="456"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15d-15(f))for the registrant and have:</w:t>
      </w:r>
    </w:p>
    <w:p>
      <w:pPr>
        <w:spacing w:after="0" w:line="54" w:lineRule="exact"/>
        <w:rPr>
          <w:rFonts w:ascii="Times New Roman" w:cs="Times New Roman" w:eastAsia="Times New Roman" w:hAnsi="Times New Roman"/>
          <w:sz w:val="18"/>
          <w:szCs w:val="18"/>
          <w:color w:val="auto"/>
        </w:rPr>
      </w:pPr>
    </w:p>
    <w:p>
      <w:pPr>
        <w:ind w:left="1300" w:hanging="644"/>
        <w:spacing w:after="0" w:line="266" w:lineRule="auto"/>
        <w:tabs>
          <w:tab w:leader="none" w:pos="1106"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0" w:lineRule="exact"/>
        <w:rPr>
          <w:rFonts w:ascii="Times New Roman" w:cs="Times New Roman" w:eastAsia="Times New Roman" w:hAnsi="Times New Roman"/>
          <w:sz w:val="18"/>
          <w:szCs w:val="18"/>
          <w:color w:val="auto"/>
        </w:rPr>
      </w:pPr>
    </w:p>
    <w:p>
      <w:pPr>
        <w:ind w:left="1300" w:hanging="644"/>
        <w:spacing w:after="0" w:line="266" w:lineRule="auto"/>
        <w:tabs>
          <w:tab w:leader="none" w:pos="1154"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4" w:lineRule="exact"/>
        <w:rPr>
          <w:rFonts w:ascii="Times New Roman" w:cs="Times New Roman" w:eastAsia="Times New Roman" w:hAnsi="Times New Roman"/>
          <w:sz w:val="18"/>
          <w:szCs w:val="18"/>
          <w:color w:val="auto"/>
        </w:rPr>
      </w:pPr>
    </w:p>
    <w:p>
      <w:pPr>
        <w:ind w:left="1300" w:hanging="644"/>
        <w:spacing w:after="0" w:line="282" w:lineRule="auto"/>
        <w:tabs>
          <w:tab w:leader="none" w:pos="1179"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controls and procedures, as of the end of the period covered by this report based on such evaluation; and</w:t>
      </w:r>
    </w:p>
    <w:p>
      <w:pPr>
        <w:spacing w:after="0" w:line="40" w:lineRule="exact"/>
        <w:rPr>
          <w:rFonts w:ascii="Times New Roman" w:cs="Times New Roman" w:eastAsia="Times New Roman" w:hAnsi="Times New Roman"/>
          <w:sz w:val="18"/>
          <w:szCs w:val="18"/>
          <w:color w:val="auto"/>
        </w:rPr>
      </w:pPr>
    </w:p>
    <w:p>
      <w:pPr>
        <w:ind w:left="1300" w:hanging="644"/>
        <w:spacing w:after="0" w:line="266" w:lineRule="auto"/>
        <w:tabs>
          <w:tab w:leader="none" w:pos="118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0" w:lineRule="exact"/>
        <w:rPr>
          <w:rFonts w:ascii="Times New Roman" w:cs="Times New Roman" w:eastAsia="Times New Roman" w:hAnsi="Times New Roman"/>
          <w:sz w:val="18"/>
          <w:szCs w:val="18"/>
          <w:color w:val="auto"/>
        </w:rPr>
      </w:pPr>
    </w:p>
    <w:p>
      <w:pPr>
        <w:ind w:left="660" w:hanging="652"/>
        <w:spacing w:after="0" w:line="282" w:lineRule="auto"/>
        <w:tabs>
          <w:tab w:leader="none" w:pos="426"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0"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213"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0" w:lineRule="exact"/>
        <w:rPr>
          <w:rFonts w:ascii="Times New Roman" w:cs="Times New Roman" w:eastAsia="Times New Roman" w:hAnsi="Times New Roman"/>
          <w:sz w:val="18"/>
          <w:szCs w:val="18"/>
          <w:color w:val="auto"/>
        </w:rPr>
      </w:pPr>
    </w:p>
    <w:p>
      <w:pPr>
        <w:ind w:left="1300" w:hanging="644"/>
        <w:spacing w:after="0" w:line="282" w:lineRule="auto"/>
        <w:tabs>
          <w:tab w:leader="none" w:pos="1152"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26, 2025</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 Michael Shapiro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Michael Shapiro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 and Executive Vice President (Principal Financial Officer)</w:t>
      </w:r>
    </w:p>
    <w:p>
      <w:pPr>
        <w:sectPr>
          <w:pgSz w:w="11900" w:h="16838" w:orient="portrait"/>
          <w:cols w:equalWidth="0" w:num="1">
            <w:col w:w="11240"/>
          </w:cols>
          <w:pgMar w:left="320" w:top="893" w:right="339" w:bottom="1440" w:gutter="0" w:footer="0" w:header="0"/>
        </w:sectPr>
      </w:pPr>
    </w:p>
    <w:bookmarkStart w:id="93" w:name="page94"/>
    <w:bookmarkEnd w:id="93"/>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08" w:lineRule="exact"/>
        <w:rPr>
          <w:sz w:val="20"/>
          <w:szCs w:val="20"/>
          <w:color w:val="auto"/>
        </w:rPr>
      </w:pPr>
    </w:p>
    <w:p>
      <w:pPr>
        <w:jc w:val="both"/>
        <w:ind w:firstLine="202"/>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Option Care Health, Inc. (the “Company”) on Form 10-K for the year ended December 31, 2024, as filed with the Securities and Exchange Commission on the date hereof (the “Report”), I, John Rademacher, Chief Executive Officer of the Company, do hereby certify, pursuant to 18 U.S.C. Section 1350, as adopted pursuant to Section 906 of the Sarbanes-Oxley Act of 2002, that to my knowledge:</w:t>
      </w:r>
    </w:p>
    <w:p>
      <w:pPr>
        <w:spacing w:after="0" w:line="41" w:lineRule="exact"/>
        <w:rPr>
          <w:sz w:val="20"/>
          <w:szCs w:val="20"/>
          <w:color w:val="auto"/>
        </w:rPr>
      </w:pPr>
    </w:p>
    <w:p>
      <w:pPr>
        <w:ind w:left="440" w:hanging="432"/>
        <w:spacing w:after="0"/>
        <w:tabs>
          <w:tab w:leader="none" w:pos="4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03"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26, 2025</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 John Rademacher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John Rademacher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 President and Director (Principal Executive Officer)</w:t>
      </w:r>
    </w:p>
    <w:p>
      <w:pPr>
        <w:sectPr>
          <w:pgSz w:w="11900" w:h="16838" w:orient="portrait"/>
          <w:cols w:equalWidth="0" w:num="1">
            <w:col w:w="11240"/>
          </w:cols>
          <w:pgMar w:left="320" w:top="887" w:right="339" w:bottom="1440" w:gutter="0" w:footer="0" w:header="0"/>
        </w:sectPr>
      </w:pPr>
    </w:p>
    <w:bookmarkStart w:id="94" w:name="page95"/>
    <w:bookmarkEnd w:id="94"/>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08" w:lineRule="exact"/>
        <w:rPr>
          <w:sz w:val="20"/>
          <w:szCs w:val="20"/>
          <w:color w:val="auto"/>
        </w:rPr>
      </w:pPr>
    </w:p>
    <w:p>
      <w:pPr>
        <w:jc w:val="both"/>
        <w:ind w:firstLine="202"/>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Option Care Health, Inc. (the “Company”) on Form 10-K for the year ended December 31, 2024, as filed with the Securities and Exchange Commission on the date hereof (the “Report”), I, Michael Shapiro, Chief Financial Officer of the Company, do hereby certify, pursuant to 18 U.S.C. Section 1350, as adopted pursuant to Section 906 of the Sarbanes-Oxley Act of 2002, that to my knowledge:</w:t>
      </w:r>
    </w:p>
    <w:p>
      <w:pPr>
        <w:spacing w:after="0" w:line="41" w:lineRule="exact"/>
        <w:rPr>
          <w:sz w:val="20"/>
          <w:szCs w:val="20"/>
          <w:color w:val="auto"/>
        </w:rPr>
      </w:pPr>
    </w:p>
    <w:p>
      <w:pPr>
        <w:ind w:left="440" w:hanging="432"/>
        <w:spacing w:after="0"/>
        <w:tabs>
          <w:tab w:leader="none" w:pos="4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03"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26, 2025</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 Michael Shapiro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Michael Shapiro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 and Executive Vice President (Principal Financial Officer)</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31BD7B7"/>
    <w:multiLevelType w:val="hybridMultilevel"/>
    <w:lvl w:ilvl="0">
      <w:lvlJc w:val="left"/>
      <w:lvlText w:val="☑"/>
      <w:numFmt w:val="bullet"/>
      <w:start w:val="1"/>
    </w:lvl>
  </w:abstractNum>
  <w:abstractNum w:abstractNumId="1">
    <w:nsid w:val="3F2DBA31"/>
    <w:multiLevelType w:val="hybridMultilevel"/>
    <w:lvl w:ilvl="0">
      <w:lvlJc w:val="left"/>
      <w:lvlText w:val="☐"/>
      <w:numFmt w:val="bullet"/>
      <w:start w:val="1"/>
    </w:lvl>
  </w:abstractNum>
  <w:abstractNum w:abstractNumId="2">
    <w:nsid w:val="7C83E458"/>
    <w:multiLevelType w:val="hybridMultilevel"/>
    <w:lvl w:ilvl="0">
      <w:lvlJc w:val="left"/>
      <w:lvlText w:val="•"/>
      <w:numFmt w:val="bullet"/>
      <w:start w:val="1"/>
    </w:lvl>
  </w:abstractNum>
  <w:abstractNum w:abstractNumId="3">
    <w:nsid w:val="257130A3"/>
    <w:multiLevelType w:val="hybridMultilevel"/>
    <w:lvl w:ilvl="0">
      <w:lvlJc w:val="left"/>
      <w:lvlText w:val="•"/>
      <w:numFmt w:val="bullet"/>
      <w:start w:val="1"/>
    </w:lvl>
  </w:abstractNum>
  <w:abstractNum w:abstractNumId="4">
    <w:nsid w:val="62BBD95A"/>
    <w:multiLevelType w:val="hybridMultilevel"/>
    <w:lvl w:ilvl="0">
      <w:lvlJc w:val="left"/>
      <w:lvlText w:val="•"/>
      <w:numFmt w:val="bullet"/>
      <w:start w:val="1"/>
    </w:lvl>
  </w:abstractNum>
  <w:abstractNum w:abstractNumId="5">
    <w:nsid w:val="436C6125"/>
    <w:multiLevelType w:val="hybridMultilevel"/>
    <w:lvl w:ilvl="0">
      <w:lvlJc w:val="left"/>
      <w:lvlText w:val="•"/>
      <w:numFmt w:val="bullet"/>
      <w:start w:val="1"/>
    </w:lvl>
  </w:abstractNum>
  <w:abstractNum w:abstractNumId="6">
    <w:nsid w:val="628C895D"/>
    <w:multiLevelType w:val="hybridMultilevel"/>
    <w:lvl w:ilvl="0">
      <w:lvlJc w:val="left"/>
      <w:lvlText w:val="•"/>
      <w:numFmt w:val="bullet"/>
      <w:start w:val="1"/>
    </w:lvl>
  </w:abstractNum>
  <w:abstractNum w:abstractNumId="7">
    <w:nsid w:val="333AB105"/>
    <w:multiLevelType w:val="hybridMultilevel"/>
    <w:lvl w:ilvl="0">
      <w:lvlJc w:val="left"/>
      <w:lvlText w:val="•"/>
      <w:numFmt w:val="bullet"/>
      <w:start w:val="1"/>
    </w:lvl>
  </w:abstractNum>
  <w:abstractNum w:abstractNumId="8">
    <w:nsid w:val="721DA317"/>
    <w:multiLevelType w:val="hybridMultilevel"/>
    <w:lvl w:ilvl="0">
      <w:lvlJc w:val="left"/>
      <w:lvlText w:val="•"/>
      <w:numFmt w:val="bullet"/>
      <w:start w:val="1"/>
    </w:lvl>
  </w:abstractNum>
  <w:abstractNum w:abstractNumId="9">
    <w:nsid w:val="2443A858"/>
    <w:multiLevelType w:val="hybridMultilevel"/>
    <w:lvl w:ilvl="0">
      <w:lvlJc w:val="left"/>
      <w:lvlText w:val="(%1)"/>
      <w:numFmt w:val="decimal"/>
      <w:start w:val="1"/>
    </w:lvl>
  </w:abstractNum>
  <w:abstractNum w:abstractNumId="10">
    <w:nsid w:val="2D1D5AE9"/>
    <w:multiLevelType w:val="hybridMultilevel"/>
    <w:lvl w:ilvl="0">
      <w:lvlJc w:val="left"/>
      <w:lvlText w:val="%1"/>
      <w:numFmt w:val="decimal"/>
      <w:start w:val="1"/>
    </w:lvl>
    <w:lvl w:ilvl="1">
      <w:lvlJc w:val="left"/>
      <w:lvlText w:val="(%2)"/>
      <w:numFmt w:val="decimal"/>
      <w:start w:val="1"/>
    </w:lvl>
  </w:abstractNum>
  <w:abstractNum w:abstractNumId="11">
    <w:nsid w:val="6763845E"/>
    <w:multiLevelType w:val="hybridMultilevel"/>
    <w:lvl w:ilvl="0">
      <w:lvlJc w:val="left"/>
      <w:lvlText w:val="%1."/>
      <w:numFmt w:val="decimal"/>
      <w:start w:val="19"/>
    </w:lvl>
    <w:lvl w:ilvl="1">
      <w:lvlJc w:val="left"/>
      <w:lvlText w:val="%2"/>
      <w:numFmt w:val="decimal"/>
      <w:start w:val="1"/>
    </w:lvl>
  </w:abstractNum>
  <w:abstractNum w:abstractNumId="12">
    <w:nsid w:val="75A2A8D4"/>
    <w:multiLevelType w:val="hybridMultilevel"/>
    <w:lvl w:ilvl="0">
      <w:lvlJc w:val="left"/>
      <w:lvlText w:val="%1"/>
      <w:numFmt w:val="decimal"/>
      <w:start w:val="97"/>
    </w:lvl>
  </w:abstractNum>
  <w:abstractNum w:abstractNumId="13">
    <w:nsid w:val="8EDBDAB"/>
    <w:multiLevelType w:val="hybridMultilevel"/>
    <w:lvl w:ilvl="0">
      <w:lvlJc w:val="left"/>
      <w:lvlText w:val="%1"/>
      <w:numFmt w:val="decimal"/>
      <w:start w:val="101"/>
    </w:lvl>
  </w:abstractNum>
  <w:abstractNum w:abstractNumId="14">
    <w:nsid w:val="79838CB2"/>
    <w:multiLevelType w:val="hybridMultilevel"/>
    <w:lvl w:ilvl="0">
      <w:lvlJc w:val="left"/>
      <w:lvlText w:val="†"/>
      <w:numFmt w:val="bullet"/>
      <w:start w:val="1"/>
    </w:lvl>
  </w:abstractNum>
  <w:abstractNum w:abstractNumId="15">
    <w:nsid w:val="4353D0CD"/>
    <w:multiLevelType w:val="hybridMultilevel"/>
    <w:lvl w:ilvl="0">
      <w:lvlJc w:val="left"/>
      <w:lvlText w:val="+"/>
      <w:numFmt w:val="bullet"/>
      <w:start w:val="1"/>
    </w:lvl>
  </w:abstractNum>
  <w:abstractNum w:abstractNumId="16">
    <w:nsid w:val="B03E0C6"/>
    <w:multiLevelType w:val="hybridMultilevel"/>
    <w:lvl w:ilvl="0">
      <w:lvlJc w:val="left"/>
      <w:lvlText w:val="%1."/>
      <w:numFmt w:val="upperLetter"/>
      <w:start w:val="2"/>
    </w:lvl>
    <w:lvl w:ilvl="1">
      <w:lvlJc w:val="left"/>
      <w:lvlText w:val="◦"/>
      <w:numFmt w:val="bullet"/>
      <w:start w:val="1"/>
    </w:lvl>
  </w:abstractNum>
  <w:abstractNum w:abstractNumId="17">
    <w:nsid w:val="189A769B"/>
    <w:multiLevelType w:val="hybridMultilevel"/>
    <w:lvl w:ilvl="0">
      <w:lvlJc w:val="left"/>
      <w:lvlText w:val="%1."/>
      <w:numFmt w:val="upperLetter"/>
      <w:start w:val="9"/>
    </w:lvl>
  </w:abstractNum>
  <w:abstractNum w:abstractNumId="18">
    <w:nsid w:val="54E49EB4"/>
    <w:multiLevelType w:val="hybridMultilevel"/>
    <w:lvl w:ilvl="0">
      <w:lvlJc w:val="left"/>
      <w:lvlText w:val="%1."/>
      <w:numFmt w:val="decimal"/>
      <w:start w:val="1"/>
    </w:lvl>
  </w:abstractNum>
  <w:abstractNum w:abstractNumId="19">
    <w:nsid w:val="71F32454"/>
    <w:multiLevelType w:val="hybridMultilevel"/>
    <w:lvl w:ilvl="0">
      <w:lvlJc w:val="left"/>
      <w:lvlText w:val="%1."/>
      <w:numFmt w:val="upperLetter"/>
      <w:start w:val="9"/>
    </w:lvl>
  </w:abstractNum>
  <w:abstractNum w:abstractNumId="20">
    <w:nsid w:val="2CA88611"/>
    <w:multiLevelType w:val="hybridMultilevel"/>
    <w:lvl w:ilvl="0">
      <w:lvlJc w:val="left"/>
      <w:lvlText w:val="%1."/>
      <w:numFmt w:val="decimal"/>
      <w:start w:val="1"/>
    </w:lvl>
  </w:abstractNum>
  <w:abstractNum w:abstractNumId="21">
    <w:nsid w:val="836C40E"/>
    <w:multiLevelType w:val="hybridMultilevel"/>
    <w:lvl w:ilvl="0">
      <w:lvlJc w:val="left"/>
      <w:lvlText w:val="%1."/>
      <w:numFmt w:val="upperLetter"/>
      <w:start w:val="1"/>
    </w:lvl>
    <w:lvl w:ilvl="1">
      <w:lvlJc w:val="left"/>
      <w:lvlText w:val="%2."/>
      <w:numFmt w:val="lowerLetter"/>
      <w:start w:val="1"/>
    </w:lvl>
  </w:abstractNum>
  <w:abstractNum w:abstractNumId="22">
    <w:nsid w:val="2901D82"/>
    <w:multiLevelType w:val="hybridMultilevel"/>
    <w:lvl w:ilvl="0">
      <w:lvlJc w:val="left"/>
      <w:lvlText w:val="%1."/>
      <w:numFmt w:val="upperLetter"/>
      <w:start w:val="1"/>
    </w:lvl>
    <w:lvl w:ilvl="1">
      <w:lvlJc w:val="left"/>
      <w:lvlText w:val="%2"/>
      <w:numFmt w:val="lowerLetter"/>
      <w:start w:val="1"/>
    </w:lvl>
  </w:abstractNum>
  <w:abstractNum w:abstractNumId="23">
    <w:nsid w:val="3A95F874"/>
    <w:multiLevelType w:val="hybridMultilevel"/>
    <w:lvl w:ilvl="0">
      <w:lvlJc w:val="left"/>
      <w:lvlText w:val="%1."/>
      <w:numFmt w:val="upperLetter"/>
      <w:start w:val="2"/>
    </w:lvl>
    <w:lvl w:ilvl="1">
      <w:lvlJc w:val="left"/>
      <w:lvlText w:val="%2."/>
      <w:numFmt w:val="lowerLetter"/>
      <w:start w:val="1"/>
    </w:lvl>
  </w:abstractNum>
  <w:abstractNum w:abstractNumId="24">
    <w:nsid w:val="8138641"/>
    <w:multiLevelType w:val="hybridMultilevel"/>
    <w:lvl w:ilvl="0">
      <w:lvlJc w:val="left"/>
      <w:lvlText w:val="%1."/>
      <w:numFmt w:val="upperLetter"/>
      <w:start w:val="9"/>
    </w:lvl>
  </w:abstractNum>
  <w:abstractNum w:abstractNumId="25">
    <w:nsid w:val="1E7FF521"/>
    <w:multiLevelType w:val="hybridMultilevel"/>
    <w:lvl w:ilvl="0">
      <w:lvlJc w:val="left"/>
      <w:lvlText w:val="•"/>
      <w:numFmt w:val="bullet"/>
      <w:start w:val="1"/>
    </w:lvl>
  </w:abstractNum>
  <w:abstractNum w:abstractNumId="26">
    <w:nsid w:val="7C3DBD3D"/>
    <w:multiLevelType w:val="hybridMultilevel"/>
    <w:lvl w:ilvl="0">
      <w:lvlJc w:val="left"/>
      <w:lvlText w:val="%1."/>
      <w:numFmt w:val="upperLetter"/>
      <w:start w:val="1"/>
    </w:lvl>
  </w:abstractNum>
  <w:abstractNum w:abstractNumId="27">
    <w:nsid w:val="737B8DDC"/>
    <w:multiLevelType w:val="hybridMultilevel"/>
    <w:lvl w:ilvl="0">
      <w:lvlJc w:val="left"/>
      <w:lvlText w:val="•"/>
      <w:numFmt w:val="bullet"/>
      <w:start w:val="1"/>
    </w:lvl>
  </w:abstractNum>
  <w:abstractNum w:abstractNumId="28">
    <w:nsid w:val="6CEAF087"/>
    <w:multiLevelType w:val="hybridMultilevel"/>
    <w:lvl w:ilvl="0">
      <w:lvlJc w:val="left"/>
      <w:lvlText w:val="•"/>
      <w:numFmt w:val="bullet"/>
      <w:start w:val="1"/>
    </w:lvl>
  </w:abstractNum>
  <w:abstractNum w:abstractNumId="29">
    <w:nsid w:val="22221A70"/>
    <w:multiLevelType w:val="hybridMultilevel"/>
    <w:lvl w:ilvl="0">
      <w:lvlJc w:val="left"/>
      <w:lvlText w:val="•"/>
      <w:numFmt w:val="bullet"/>
      <w:start w:val="1"/>
    </w:lvl>
  </w:abstractNum>
  <w:abstractNum w:abstractNumId="30">
    <w:nsid w:val="4516DDE9"/>
    <w:multiLevelType w:val="hybridMultilevel"/>
    <w:lvl w:ilvl="0">
      <w:lvlJc w:val="left"/>
      <w:lvlText w:val="•"/>
      <w:numFmt w:val="bullet"/>
      <w:start w:val="1"/>
    </w:lvl>
  </w:abstractNum>
  <w:abstractNum w:abstractNumId="31">
    <w:nsid w:val="3006C83E"/>
    <w:multiLevelType w:val="hybridMultilevel"/>
    <w:lvl w:ilvl="0">
      <w:lvlJc w:val="left"/>
      <w:lvlText w:val="%1."/>
      <w:numFmt w:val="decimal"/>
      <w:start w:val="1"/>
    </w:lvl>
    <w:lvl w:ilvl="1">
      <w:lvlJc w:val="left"/>
      <w:lvlText w:val="(%2)"/>
      <w:numFmt w:val="lowerLetter"/>
      <w:start w:val="1"/>
    </w:lvl>
  </w:abstractNum>
  <w:abstractNum w:abstractNumId="32">
    <w:nsid w:val="614FD4A1"/>
    <w:multiLevelType w:val="hybridMultilevel"/>
    <w:lvl w:ilvl="0">
      <w:lvlJc w:val="left"/>
      <w:lvlText w:val="%1."/>
      <w:numFmt w:val="decimal"/>
      <w:start w:val="1"/>
    </w:lvl>
    <w:lvl w:ilvl="1">
      <w:lvlJc w:val="left"/>
      <w:lvlText w:val="(%2)"/>
      <w:numFmt w:val="lowerLetter"/>
      <w:start w:val="1"/>
    </w:lvl>
  </w:abstractNum>
  <w:abstractNum w:abstractNumId="33">
    <w:nsid w:val="419AC241"/>
    <w:multiLevelType w:val="hybridMultilevel"/>
    <w:lvl w:ilvl="0">
      <w:lvlJc w:val="left"/>
      <w:lvlText w:val="(%1)"/>
      <w:numFmt w:val="decimal"/>
      <w:start w:val="1"/>
    </w:lvl>
  </w:abstractNum>
  <w:abstractNum w:abstractNumId="34">
    <w:nsid w:val="5577F8E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106" Type="http://schemas.openxmlformats.org/officeDocument/2006/relationships/image" Target="media/image87.png"/><Relationship Id="rId107" Type="http://schemas.openxmlformats.org/officeDocument/2006/relationships/image" Target="media/image88.png"/><Relationship Id="rId117" Type="http://schemas.openxmlformats.org/officeDocument/2006/relationships/image" Target="media/image89.png"/><Relationship Id="rId118" Type="http://schemas.openxmlformats.org/officeDocument/2006/relationships/image" Target="media/image90.png"/><Relationship Id="rId94" Type="http://schemas.openxmlformats.org/officeDocument/2006/relationships/hyperlink" Target="https://www.sec.gov/Archives/edgar/data/1014739/000114420419038047/tv526734_ex3-1.htm" TargetMode="External"/><Relationship Id="rId95" Type="http://schemas.openxmlformats.org/officeDocument/2006/relationships/hyperlink" Target="https://www.sec.gov/Archives/edgar/data/1014739/000114420419038047/tv526734_ex3-3.htm" TargetMode="External"/><Relationship Id="rId96" Type="http://schemas.openxmlformats.org/officeDocument/2006/relationships/hyperlink" Target="https://www.sec.gov/Archives/edgar/data/1014739/000110465920009797/tm206375d1_ex3-1.htm" TargetMode="External"/><Relationship Id="rId97" Type="http://schemas.openxmlformats.org/officeDocument/2006/relationships/hyperlink" Target="https://www.sec.gov/Archives/edgar/data/1014739/000110465923125031/tm2332364d1_ex3-1.htm" TargetMode="External"/><Relationship Id="rId98" Type="http://schemas.openxmlformats.org/officeDocument/2006/relationships/hyperlink" Target="https://www.sec.gov/Archives/edgar/data/1014739/000114420415044654/v416452_ex4-1.htm" TargetMode="External"/><Relationship Id="rId99" Type="http://schemas.openxmlformats.org/officeDocument/2006/relationships/hyperlink" Target="https://www.sec.gov/Archives/edgar/data/1014739/000101473920000013/bios-ex412x20191231x10k.htm" TargetMode="External"/><Relationship Id="rId100" Type="http://schemas.openxmlformats.org/officeDocument/2006/relationships/hyperlink" Target="https://www.sec.gov/Archives/edgar/data/1014739/000114420419014367/tv516369_ex10-2.htm" TargetMode="External"/><Relationship Id="rId101" Type="http://schemas.openxmlformats.org/officeDocument/2006/relationships/hyperlink" Target="https://www.sec.gov/Archives/edgar/data/1014739/000101473923000009/opch-ex105x20221231x10xkxo.htm" TargetMode="External"/><Relationship Id="rId102" Type="http://schemas.openxmlformats.org/officeDocument/2006/relationships/hyperlink" Target="https://www.sec.gov/ix?doc=/Archives/edgar/data/1014739/000114036124017579/ny20022039x1_def14a.htm" TargetMode="External"/><Relationship Id="rId103" Type="http://schemas.openxmlformats.org/officeDocument/2006/relationships/hyperlink" Target="https://www.sec.gov/Archives/edgar/data/1014739/000110465921131786/tm2131162d1_ex4-1.htm" TargetMode="External"/><Relationship Id="rId104" Type="http://schemas.openxmlformats.org/officeDocument/2006/relationships/hyperlink" Target="https://www.sec.gov/Archives/edgar/data/1014739/000110465921131786/tm2131162d1_ex10-1.htm" TargetMode="External"/><Relationship Id="rId105" Type="http://schemas.openxmlformats.org/officeDocument/2006/relationships/hyperlink" Target="https://www.sec.gov/Archives/edgar/data/1014739/000110465923125031/tm2332364d1_ex10-1.htm" TargetMode="External"/><Relationship Id="rId108" Type="http://schemas.openxmlformats.org/officeDocument/2006/relationships/hyperlink" Target="https://www.sec.gov/Archives/edgar/data/1014739/000110465924059895/tm2413986d1_ex10-1.htm" TargetMode="External"/><Relationship Id="rId109" Type="http://schemas.openxmlformats.org/officeDocument/2006/relationships/hyperlink" Target="https://www.sec.gov/Archives/edgar/data/1014739/000110465923125031/tm2332364d1_ex10-2.htm" TargetMode="External"/><Relationship Id="rId110" Type="http://schemas.openxmlformats.org/officeDocument/2006/relationships/hyperlink" Target="https://www.sec.gov/Archives/edgar/data/1014739/000110465923125031/tm2332364d1_ex10-3.htm" TargetMode="External"/><Relationship Id="rId111" Type="http://schemas.openxmlformats.org/officeDocument/2006/relationships/hyperlink" Target="https://www.sec.gov/Archives/edgar/data/1014739/000101473924000009/ex1016-formofletteragreeme.htm" TargetMode="External"/><Relationship Id="rId112" Type="http://schemas.openxmlformats.org/officeDocument/2006/relationships/hyperlink" Target="https://www.sec.gov/Archives/edgar/data/1014739/000101473924000022/ex101-optioncarexexecutive.htm" TargetMode="External"/><Relationship Id="rId113" Type="http://schemas.openxmlformats.org/officeDocument/2006/relationships/hyperlink" Target="https://www.sec.gov/Archives/edgar/data/1014739/000101473924000022/ex102-optioncarexexecutive.htm" TargetMode="External"/><Relationship Id="rId114" Type="http://schemas.openxmlformats.org/officeDocument/2006/relationships/hyperlink" Target="https://www.sec.gov/Archives/edgar/data/1014739/000101473924000022/ex103-optioncarexexecutive.htm" TargetMode="External"/><Relationship Id="rId115" Type="http://schemas.openxmlformats.org/officeDocument/2006/relationships/hyperlink" Target="https://www.sec.gov/Archives/edgar/data/1014739/000101473924000022/ex104-optioncarexdirectorx.htm" TargetMode="External"/><Relationship Id="rId116" Type="http://schemas.openxmlformats.org/officeDocument/2006/relationships/hyperlink" Target="https://www.sec.gov/Archives/edgar/data/1014739/000101473924000009/ex97-requiredexecutivecomp.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2025-02-26T15:07:43Z</dcterms:created>
  <dcterms:modified xsi:type="dcterms:W3CDTF">2025-02-26T15:07:43Z</dcterms:modified>
</cp:coreProperties>
</file>