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344805</wp:posOffset>
            </wp:positionH>
            <wp:positionV relativeFrom="page">
              <wp:posOffset>712470</wp:posOffset>
            </wp:positionV>
            <wp:extent cx="686752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7525" cy="4127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36"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23" w:lineRule="exact"/>
        <w:rPr>
          <w:sz w:val="24"/>
          <w:szCs w:val="24"/>
          <w:color w:val="auto"/>
        </w:rPr>
      </w:pPr>
    </w:p>
    <w:p>
      <w:pPr>
        <w:ind w:left="1100" w:right="2260" w:hanging="625"/>
        <w:spacing w:after="0" w:line="269" w:lineRule="auto"/>
        <w:tabs>
          <w:tab w:leader="none" w:pos="11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23" w:lineRule="exact"/>
        <w:rPr>
          <w:sz w:val="24"/>
          <w:szCs w:val="24"/>
          <w:color w:val="auto"/>
        </w:rPr>
      </w:pPr>
    </w:p>
    <w:p>
      <w:pPr>
        <w:ind w:left="1100" w:hanging="625"/>
        <w:spacing w:after="0"/>
        <w:tabs>
          <w:tab w:leader="none" w:pos="11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 w:lineRule="exact"/>
        <w:rPr>
          <w:sz w:val="24"/>
          <w:szCs w:val="24"/>
          <w:color w:val="auto"/>
        </w:rPr>
      </w:pPr>
    </w:p>
    <w:p>
      <w:pPr>
        <w:ind w:left="1100"/>
        <w:spacing w:after="0"/>
        <w:tabs>
          <w:tab w:leader="none" w:pos="32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6985</wp:posOffset>
            </wp:positionV>
            <wp:extent cx="164084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0840" cy="664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OPTION CARE HEALTH,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95" w:lineRule="exact"/>
        <w:rPr>
          <w:sz w:val="24"/>
          <w:szCs w:val="24"/>
          <w:color w:val="auto"/>
        </w:rPr>
      </w:pPr>
    </w:p>
    <w:tbl>
      <w:tblPr>
        <w:tblLayout w:type="fixed"/>
        <w:tblInd w:w="3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260" w:type="dxa"/>
            <w:vAlign w:val="bottom"/>
          </w:tcPr>
          <w:p>
            <w:pPr>
              <w:jc w:val="center"/>
              <w:ind w:left="162"/>
              <w:spacing w:after="0"/>
              <w:rPr>
                <w:sz w:val="20"/>
                <w:szCs w:val="20"/>
                <w:color w:val="auto"/>
              </w:rPr>
            </w:pPr>
            <w:r>
              <w:rPr>
                <w:rFonts w:ascii="Arial" w:cs="Arial" w:eastAsia="Arial" w:hAnsi="Arial"/>
                <w:sz w:val="16"/>
                <w:szCs w:val="16"/>
                <w:b w:val="1"/>
                <w:bCs w:val="1"/>
                <w:color w:val="auto"/>
                <w:w w:val="88"/>
              </w:rPr>
              <w:t>Delaware</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0" w:type="dxa"/>
            <w:vAlign w:val="bottom"/>
          </w:tcPr>
          <w:p>
            <w:pPr>
              <w:jc w:val="right"/>
              <w:ind w:right="2142"/>
              <w:spacing w:after="0"/>
              <w:rPr>
                <w:sz w:val="20"/>
                <w:szCs w:val="20"/>
                <w:color w:val="auto"/>
              </w:rPr>
            </w:pPr>
            <w:r>
              <w:rPr>
                <w:rFonts w:ascii="Arial" w:cs="Arial" w:eastAsia="Arial" w:hAnsi="Arial"/>
                <w:sz w:val="16"/>
                <w:szCs w:val="16"/>
                <w:b w:val="1"/>
                <w:bCs w:val="1"/>
                <w:color w:val="auto"/>
              </w:rPr>
              <w:t>05-0489664</w:t>
            </w:r>
          </w:p>
        </w:tc>
      </w:tr>
      <w:tr>
        <w:trPr>
          <w:trHeight w:val="207"/>
        </w:trPr>
        <w:tc>
          <w:tcPr>
            <w:tcW w:w="2540" w:type="dxa"/>
            <w:vAlign w:val="bottom"/>
          </w:tcPr>
          <w:p>
            <w:pPr>
              <w:spacing w:after="0"/>
              <w:rPr>
                <w:sz w:val="17"/>
                <w:szCs w:val="17"/>
                <w:color w:val="auto"/>
              </w:rPr>
            </w:pPr>
          </w:p>
        </w:tc>
        <w:tc>
          <w:tcPr>
            <w:tcW w:w="2480" w:type="dxa"/>
            <w:vAlign w:val="bottom"/>
            <w:gridSpan w:val="2"/>
          </w:tcPr>
          <w:p>
            <w:pPr>
              <w:jc w:val="center"/>
              <w:ind w:right="922"/>
              <w:spacing w:after="0"/>
              <w:rPr>
                <w:sz w:val="20"/>
                <w:szCs w:val="20"/>
                <w:color w:val="auto"/>
              </w:rPr>
            </w:pPr>
            <w:r>
              <w:rPr>
                <w:rFonts w:ascii="Arial" w:cs="Arial" w:eastAsia="Arial" w:hAnsi="Arial"/>
                <w:sz w:val="16"/>
                <w:szCs w:val="16"/>
                <w:i w:val="1"/>
                <w:iCs w:val="1"/>
                <w:color w:val="auto"/>
                <w:w w:val="90"/>
              </w:rPr>
              <w:t>(State of incorporation)</w:t>
            </w:r>
          </w:p>
        </w:tc>
        <w:tc>
          <w:tcPr>
            <w:tcW w:w="1300" w:type="dxa"/>
            <w:vAlign w:val="bottom"/>
          </w:tcPr>
          <w:p>
            <w:pPr>
              <w:spacing w:after="0"/>
              <w:rPr>
                <w:sz w:val="17"/>
                <w:szCs w:val="17"/>
                <w:color w:val="auto"/>
              </w:rPr>
            </w:pPr>
          </w:p>
        </w:tc>
        <w:tc>
          <w:tcPr>
            <w:tcW w:w="4920" w:type="dxa"/>
            <w:vAlign w:val="bottom"/>
            <w:gridSpan w:val="2"/>
          </w:tcPr>
          <w:p>
            <w:pPr>
              <w:jc w:val="center"/>
              <w:ind w:right="182"/>
              <w:spacing w:after="0"/>
              <w:rPr>
                <w:sz w:val="20"/>
                <w:szCs w:val="20"/>
                <w:color w:val="auto"/>
              </w:rPr>
            </w:pPr>
            <w:r>
              <w:rPr>
                <w:rFonts w:ascii="Arial" w:cs="Arial" w:eastAsia="Arial" w:hAnsi="Arial"/>
                <w:sz w:val="16"/>
                <w:szCs w:val="16"/>
                <w:i w:val="1"/>
                <w:iCs w:val="1"/>
                <w:color w:val="auto"/>
                <w:w w:val="90"/>
              </w:rPr>
              <w:t>(I.R.S. Employer Identification No.)</w:t>
            </w:r>
          </w:p>
        </w:tc>
      </w:tr>
      <w:tr>
        <w:trPr>
          <w:trHeight w:val="207"/>
        </w:trPr>
        <w:tc>
          <w:tcPr>
            <w:tcW w:w="2540" w:type="dxa"/>
            <w:vAlign w:val="bottom"/>
          </w:tcPr>
          <w:p>
            <w:pPr>
              <w:ind w:left="1360"/>
              <w:spacing w:after="0"/>
              <w:rPr>
                <w:sz w:val="20"/>
                <w:szCs w:val="20"/>
                <w:color w:val="auto"/>
              </w:rPr>
            </w:pPr>
            <w:r>
              <w:rPr>
                <w:rFonts w:ascii="Arial" w:cs="Arial" w:eastAsia="Arial" w:hAnsi="Arial"/>
                <w:sz w:val="16"/>
                <w:szCs w:val="16"/>
                <w:b w:val="1"/>
                <w:bCs w:val="1"/>
                <w:color w:val="auto"/>
                <w:w w:val="85"/>
              </w:rPr>
              <w:t>3000 Lakeside Dr.</w:t>
            </w:r>
          </w:p>
        </w:tc>
        <w:tc>
          <w:tcPr>
            <w:tcW w:w="1260" w:type="dxa"/>
            <w:vAlign w:val="bottom"/>
          </w:tcPr>
          <w:p>
            <w:pPr>
              <w:ind w:left="300"/>
              <w:spacing w:after="0"/>
              <w:rPr>
                <w:sz w:val="20"/>
                <w:szCs w:val="20"/>
                <w:color w:val="auto"/>
              </w:rPr>
            </w:pPr>
            <w:r>
              <w:rPr>
                <w:rFonts w:ascii="Arial" w:cs="Arial" w:eastAsia="Arial" w:hAnsi="Arial"/>
                <w:sz w:val="16"/>
                <w:szCs w:val="16"/>
                <w:b w:val="1"/>
                <w:bCs w:val="1"/>
                <w:color w:val="auto"/>
              </w:rPr>
              <w:t>Suite 300N,</w:t>
            </w: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w w:val="98"/>
              </w:rPr>
              <w:t>Bannockburn,</w:t>
            </w:r>
          </w:p>
        </w:tc>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IL</w:t>
            </w:r>
          </w:p>
        </w:tc>
        <w:tc>
          <w:tcPr>
            <w:tcW w:w="1520" w:type="dxa"/>
            <w:vAlign w:val="bottom"/>
          </w:tcPr>
          <w:p>
            <w:pPr>
              <w:spacing w:after="0"/>
              <w:rPr>
                <w:sz w:val="17"/>
                <w:szCs w:val="17"/>
                <w:color w:val="auto"/>
              </w:rPr>
            </w:pPr>
          </w:p>
        </w:tc>
        <w:tc>
          <w:tcPr>
            <w:tcW w:w="3400" w:type="dxa"/>
            <w:vAlign w:val="bottom"/>
          </w:tcPr>
          <w:p>
            <w:pPr>
              <w:jc w:val="right"/>
              <w:ind w:right="2322"/>
              <w:spacing w:after="0"/>
              <w:rPr>
                <w:sz w:val="20"/>
                <w:szCs w:val="20"/>
                <w:color w:val="auto"/>
              </w:rPr>
            </w:pPr>
            <w:r>
              <w:rPr>
                <w:rFonts w:ascii="Arial" w:cs="Arial" w:eastAsia="Arial" w:hAnsi="Arial"/>
                <w:sz w:val="16"/>
                <w:szCs w:val="16"/>
                <w:b w:val="1"/>
                <w:bCs w:val="1"/>
                <w:color w:val="auto"/>
              </w:rPr>
              <w:t>60015</w:t>
            </w:r>
          </w:p>
        </w:tc>
      </w:tr>
      <w:tr>
        <w:trPr>
          <w:trHeight w:val="207"/>
        </w:trPr>
        <w:tc>
          <w:tcPr>
            <w:tcW w:w="5020" w:type="dxa"/>
            <w:vAlign w:val="bottom"/>
            <w:gridSpan w:val="3"/>
          </w:tcPr>
          <w:p>
            <w:pPr>
              <w:jc w:val="center"/>
              <w:ind w:left="1482"/>
              <w:spacing w:after="0"/>
              <w:rPr>
                <w:sz w:val="20"/>
                <w:szCs w:val="20"/>
                <w:color w:val="auto"/>
              </w:rPr>
            </w:pPr>
            <w:r>
              <w:rPr>
                <w:rFonts w:ascii="Arial" w:cs="Arial" w:eastAsia="Arial" w:hAnsi="Arial"/>
                <w:sz w:val="16"/>
                <w:szCs w:val="16"/>
                <w:i w:val="1"/>
                <w:iCs w:val="1"/>
                <w:color w:val="auto"/>
                <w:w w:val="88"/>
              </w:rPr>
              <w:t>(Address of principal executive offices)</w:t>
            </w: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0" w:type="dxa"/>
            <w:vAlign w:val="bottom"/>
          </w:tcPr>
          <w:p>
            <w:pPr>
              <w:jc w:val="center"/>
              <w:ind w:right="1722"/>
              <w:spacing w:after="0"/>
              <w:rPr>
                <w:sz w:val="20"/>
                <w:szCs w:val="20"/>
                <w:color w:val="auto"/>
              </w:rPr>
            </w:pPr>
            <w:r>
              <w:rPr>
                <w:rFonts w:ascii="Arial" w:cs="Arial" w:eastAsia="Arial" w:hAnsi="Arial"/>
                <w:sz w:val="16"/>
                <w:szCs w:val="16"/>
                <w:i w:val="1"/>
                <w:iCs w:val="1"/>
                <w:color w:val="auto"/>
                <w:w w:val="89"/>
              </w:rPr>
              <w:t>(Zip Code)</w:t>
            </w:r>
          </w:p>
        </w:tc>
      </w:tr>
      <w:tr>
        <w:trPr>
          <w:trHeight w:val="263"/>
        </w:trPr>
        <w:tc>
          <w:tcPr>
            <w:tcW w:w="2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40" w:type="dxa"/>
            <w:vAlign w:val="bottom"/>
            <w:gridSpan w:val="3"/>
          </w:tcPr>
          <w:p>
            <w:pPr>
              <w:ind w:left="80"/>
              <w:spacing w:after="0"/>
              <w:rPr>
                <w:sz w:val="20"/>
                <w:szCs w:val="20"/>
                <w:color w:val="auto"/>
              </w:rPr>
            </w:pPr>
            <w:r>
              <w:rPr>
                <w:rFonts w:ascii="Arial" w:cs="Arial" w:eastAsia="Arial" w:hAnsi="Arial"/>
                <w:sz w:val="16"/>
                <w:szCs w:val="16"/>
                <w:b w:val="1"/>
                <w:bCs w:val="1"/>
                <w:color w:val="auto"/>
                <w:w w:val="97"/>
              </w:rPr>
              <w:t>Registrant’s telephone number, including area code:</w:t>
            </w:r>
          </w:p>
        </w:tc>
        <w:tc>
          <w:tcPr>
            <w:tcW w:w="3400" w:type="dxa"/>
            <w:vAlign w:val="bottom"/>
          </w:tcPr>
          <w:p>
            <w:pPr>
              <w:spacing w:after="0"/>
              <w:rPr>
                <w:sz w:val="22"/>
                <w:szCs w:val="22"/>
                <w:color w:val="auto"/>
              </w:rPr>
            </w:pPr>
          </w:p>
        </w:tc>
      </w:tr>
      <w:tr>
        <w:trPr>
          <w:trHeight w:val="202"/>
        </w:trPr>
        <w:tc>
          <w:tcPr>
            <w:tcW w:w="2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312-940-2443</w:t>
            </w:r>
          </w:p>
        </w:tc>
        <w:tc>
          <w:tcPr>
            <w:tcW w:w="152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20"/>
        </w:trPr>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40" w:type="dxa"/>
            <w:vAlign w:val="bottom"/>
            <w:gridSpan w:val="3"/>
          </w:tcPr>
          <w:p>
            <w:pPr>
              <w:ind w:left="1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3400" w:type="dxa"/>
            <w:vAlign w:val="bottom"/>
          </w:tcPr>
          <w:p>
            <w:pPr>
              <w:spacing w:after="0"/>
              <w:rPr>
                <w:sz w:val="19"/>
                <w:szCs w:val="19"/>
                <w:color w:val="auto"/>
              </w:rPr>
            </w:pPr>
          </w:p>
        </w:tc>
      </w:tr>
      <w:tr>
        <w:trPr>
          <w:trHeight w:val="148"/>
        </w:trPr>
        <w:tc>
          <w:tcPr>
            <w:tcW w:w="2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tcPr>
          <w:p>
            <w:pPr>
              <w:spacing w:after="0"/>
              <w:rPr>
                <w:sz w:val="12"/>
                <w:szCs w:val="12"/>
                <w:color w:val="auto"/>
              </w:rPr>
            </w:pPr>
          </w:p>
        </w:tc>
      </w:tr>
      <w:tr>
        <w:trPr>
          <w:trHeight w:val="197"/>
        </w:trPr>
        <w:tc>
          <w:tcPr>
            <w:tcW w:w="2540" w:type="dxa"/>
            <w:vAlign w:val="bottom"/>
            <w:tcBorders>
              <w:left w:val="single" w:sz="8" w:color="auto"/>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122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5020" w:type="dxa"/>
            <w:vAlign w:val="bottom"/>
            <w:tcBorders>
              <w:left w:val="single" w:sz="8" w:color="auto"/>
              <w:bottom w:val="single" w:sz="8" w:color="auto"/>
            </w:tcBorders>
            <w:gridSpan w:val="3"/>
          </w:tcPr>
          <w:p>
            <w:pPr>
              <w:jc w:val="center"/>
              <w:ind w:left="1222"/>
              <w:spacing w:after="0"/>
              <w:rPr>
                <w:sz w:val="20"/>
                <w:szCs w:val="20"/>
                <w:color w:val="auto"/>
              </w:rPr>
            </w:pPr>
            <w:r>
              <w:rPr>
                <w:rFonts w:ascii="Arial" w:cs="Arial" w:eastAsia="Arial" w:hAnsi="Arial"/>
                <w:sz w:val="16"/>
                <w:szCs w:val="16"/>
                <w:color w:val="auto"/>
                <w:w w:val="86"/>
              </w:rPr>
              <w:t>Common Stock, $0.0001 par value per share</w:t>
            </w: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OPCH</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Nasdaq Global Select Market</w:t>
            </w:r>
          </w:p>
        </w:tc>
      </w:tr>
    </w:tbl>
    <w:p>
      <w:pPr>
        <w:spacing w:after="0" w:line="70" w:lineRule="exact"/>
        <w:rPr>
          <w:sz w:val="24"/>
          <w:szCs w:val="24"/>
          <w:color w:val="auto"/>
        </w:rPr>
      </w:pPr>
    </w:p>
    <w:p>
      <w:pPr>
        <w:ind w:firstLine="155"/>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jc w:val="both"/>
        <w:ind w:firstLine="155"/>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jc w:val="both"/>
        <w:ind w:firstLine="155"/>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7" w:lineRule="exact"/>
        <w:rPr>
          <w:sz w:val="24"/>
          <w:szCs w:val="24"/>
          <w:color w:val="auto"/>
        </w:rPr>
      </w:pPr>
    </w:p>
    <w:p>
      <w:pPr>
        <w:jc w:val="center"/>
        <w:ind w:right="-159"/>
        <w:spacing w:after="0" w:line="184" w:lineRule="exact"/>
        <w:tabs>
          <w:tab w:leader="none" w:pos="180" w:val="left"/>
          <w:tab w:leader="none" w:pos="180" w:val="left"/>
          <w:tab w:leader="none" w:pos="2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59" w:lineRule="exact"/>
        <w:rPr>
          <w:sz w:val="24"/>
          <w:szCs w:val="24"/>
          <w:color w:val="auto"/>
        </w:rPr>
      </w:pPr>
    </w:p>
    <w:p>
      <w:pPr>
        <w:jc w:val="both"/>
        <w:ind w:firstLine="155"/>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ind w:left="160"/>
        <w:spacing w:after="0" w:line="161" w:lineRule="exact"/>
        <w:tabs>
          <w:tab w:leader="none" w:pos="78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ind w:left="160"/>
        <w:spacing w:after="0"/>
        <w:rPr>
          <w:sz w:val="20"/>
          <w:szCs w:val="20"/>
          <w:color w:val="auto"/>
        </w:rPr>
      </w:pPr>
      <w:r>
        <w:rPr>
          <w:rFonts w:ascii="Arial" w:cs="Arial" w:eastAsia="Arial" w:hAnsi="Arial"/>
          <w:sz w:val="16"/>
          <w:szCs w:val="16"/>
          <w:color w:val="auto"/>
        </w:rPr>
        <w:t>On November 2, 2021, there were 179,875,193 shares of the registrant’s Common Stock outstanding.</w:t>
      </w:r>
    </w:p>
    <w:p>
      <w:pPr>
        <w:sectPr>
          <w:pgSz w:w="11900" w:h="16838" w:orient="portrait"/>
          <w:cols w:equalWidth="0" w:num="1">
            <w:col w:w="11240"/>
          </w:cols>
          <w:pgMar w:left="320" w:top="12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5"/>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80" w:type="dxa"/>
            <w:vAlign w:val="bottom"/>
            <w:gridSpan w:val="7"/>
          </w:tcPr>
          <w:p>
            <w:pPr>
              <w:jc w:val="center"/>
              <w:ind w:right="1680"/>
              <w:spacing w:after="0"/>
              <w:rPr>
                <w:sz w:val="20"/>
                <w:szCs w:val="20"/>
                <w:color w:val="auto"/>
              </w:rPr>
            </w:pPr>
            <w:r>
              <w:rPr>
                <w:rFonts w:ascii="Arial" w:cs="Arial" w:eastAsia="Arial" w:hAnsi="Arial"/>
                <w:sz w:val="17"/>
                <w:szCs w:val="17"/>
                <w:b w:val="1"/>
                <w:bCs w:val="1"/>
                <w:color w:val="auto"/>
              </w:rPr>
              <w:t>TABLE OF CONTENTS</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91"/>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0" w:type="dxa"/>
            <w:vAlign w:val="bottom"/>
            <w:gridSpan w:val="3"/>
          </w:tcPr>
          <w:p>
            <w:pPr>
              <w:jc w:val="center"/>
              <w:ind w:left="1562"/>
              <w:spacing w:after="0"/>
              <w:rPr>
                <w:sz w:val="20"/>
                <w:szCs w:val="20"/>
                <w:color w:val="auto"/>
              </w:rPr>
            </w:pPr>
            <w:r>
              <w:rPr>
                <w:rFonts w:ascii="Arial" w:cs="Arial" w:eastAsia="Arial" w:hAnsi="Arial"/>
                <w:sz w:val="16"/>
                <w:szCs w:val="16"/>
                <w:b w:val="1"/>
                <w:bCs w:val="1"/>
                <w:color w:val="auto"/>
                <w:w w:val="83"/>
              </w:rPr>
              <w:t>Page</w:t>
            </w:r>
          </w:p>
        </w:tc>
      </w:tr>
      <w:tr>
        <w:trPr>
          <w:trHeight w:val="202"/>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gridSpan w:val="3"/>
          </w:tcPr>
          <w:p>
            <w:pPr>
              <w:jc w:val="center"/>
              <w:ind w:left="1582"/>
              <w:spacing w:after="0"/>
              <w:rPr>
                <w:sz w:val="20"/>
                <w:szCs w:val="20"/>
                <w:color w:val="auto"/>
              </w:rPr>
            </w:pPr>
            <w:r>
              <w:rPr>
                <w:rFonts w:ascii="Arial" w:cs="Arial" w:eastAsia="Arial" w:hAnsi="Arial"/>
                <w:sz w:val="16"/>
                <w:szCs w:val="16"/>
                <w:b w:val="1"/>
                <w:bCs w:val="1"/>
                <w:color w:val="auto"/>
                <w:w w:val="89"/>
              </w:rPr>
              <w:t>Number</w:t>
            </w:r>
          </w:p>
        </w:tc>
      </w:tr>
      <w:tr>
        <w:trPr>
          <w:trHeight w:val="206"/>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40" w:type="dxa"/>
            <w:vAlign w:val="bottom"/>
            <w:gridSpan w:val="6"/>
          </w:tcPr>
          <w:p>
            <w:pPr>
              <w:jc w:val="center"/>
              <w:ind w:right="2940"/>
              <w:spacing w:after="0"/>
              <w:rPr>
                <w:sz w:val="20"/>
                <w:szCs w:val="20"/>
                <w:color w:val="auto"/>
              </w:rPr>
            </w:pPr>
            <w:r>
              <w:rPr>
                <w:rFonts w:ascii="Arial" w:cs="Arial" w:eastAsia="Arial" w:hAnsi="Arial"/>
                <w:sz w:val="16"/>
                <w:szCs w:val="16"/>
                <w:b w:val="1"/>
                <w:bCs w:val="1"/>
                <w:color w:val="auto"/>
                <w:w w:val="95"/>
              </w:rPr>
              <w:t>PART I</w:t>
            </w: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29"/>
        </w:trPr>
        <w:tc>
          <w:tcPr>
            <w:tcW w:w="440" w:type="dxa"/>
            <w:vAlign w:val="bottom"/>
          </w:tcPr>
          <w:p>
            <w:pPr>
              <w:spacing w:after="0"/>
              <w:rPr>
                <w:rFonts w:ascii="Arial" w:cs="Arial" w:eastAsia="Arial" w:hAnsi="Arial"/>
                <w:sz w:val="16"/>
                <w:szCs w:val="16"/>
                <w:color w:val="0000FF"/>
                <w:w w:val="85"/>
              </w:rPr>
            </w:pPr>
            <w:hyperlink w:anchor="page3">
              <w:r>
                <w:rPr>
                  <w:rFonts w:ascii="Arial" w:cs="Arial" w:eastAsia="Arial" w:hAnsi="Arial"/>
                  <w:sz w:val="16"/>
                  <w:szCs w:val="16"/>
                  <w:color w:val="0000FF"/>
                  <w:w w:val="85"/>
                </w:rPr>
                <w:t>Item 1.</w:t>
              </w:r>
            </w:hyperlink>
          </w:p>
        </w:tc>
        <w:tc>
          <w:tcPr>
            <w:tcW w:w="1140" w:type="dxa"/>
            <w:vAlign w:val="bottom"/>
            <w:gridSpan w:val="3"/>
          </w:tcPr>
          <w:p>
            <w:pPr>
              <w:spacing w:after="0"/>
              <w:rPr>
                <w:sz w:val="24"/>
                <w:szCs w:val="24"/>
                <w:color w:val="auto"/>
              </w:rPr>
            </w:pPr>
          </w:p>
        </w:tc>
        <w:tc>
          <w:tcPr>
            <w:tcW w:w="1300" w:type="dxa"/>
            <w:vAlign w:val="bottom"/>
            <w:gridSpan w:val="4"/>
          </w:tcPr>
          <w:p>
            <w:pPr>
              <w:spacing w:after="0"/>
              <w:rPr>
                <w:rFonts w:ascii="Arial" w:cs="Arial" w:eastAsia="Arial" w:hAnsi="Arial"/>
                <w:sz w:val="16"/>
                <w:szCs w:val="16"/>
                <w:color w:val="0000FF"/>
                <w:w w:val="85"/>
              </w:rPr>
            </w:pPr>
            <w:hyperlink w:anchor="page3">
              <w:r>
                <w:rPr>
                  <w:rFonts w:ascii="Arial" w:cs="Arial" w:eastAsia="Arial" w:hAnsi="Arial"/>
                  <w:sz w:val="16"/>
                  <w:szCs w:val="16"/>
                  <w:color w:val="0000FF"/>
                  <w:w w:val="85"/>
                </w:rPr>
                <w:t>Financial Statements</w:t>
              </w:r>
            </w:hyperlink>
          </w:p>
        </w:tc>
        <w:tc>
          <w:tcPr>
            <w:tcW w:w="5900" w:type="dxa"/>
            <w:vAlign w:val="bottom"/>
            <w:gridSpan w:val="9"/>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c>
          <w:tcPr>
            <w:tcW w:w="24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0" w:type="dxa"/>
            <w:vAlign w:val="bottom"/>
            <w:gridSpan w:val="1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w:t>
              </w:r>
            </w:hyperlink>
          </w:p>
        </w:tc>
        <w:tc>
          <w:tcPr>
            <w:tcW w:w="1960" w:type="dxa"/>
            <w:vAlign w:val="bottom"/>
            <w:gridSpan w:val="2"/>
          </w:tcPr>
          <w:p>
            <w:pPr>
              <w:jc w:val="center"/>
              <w:ind w:left="1802"/>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5</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color w:val="0000FF"/>
                <w:w w:val="95"/>
              </w:rPr>
            </w:pPr>
            <w:hyperlink w:anchor="page4">
              <w:r>
                <w:rPr>
                  <w:rFonts w:ascii="Arial" w:cs="Arial" w:eastAsia="Arial" w:hAnsi="Arial"/>
                  <w:sz w:val="16"/>
                  <w:szCs w:val="16"/>
                  <w:color w:val="0000FF"/>
                  <w:w w:val="95"/>
                </w:rPr>
                <w:t>Unaudited Condensed Consolidated Statements of Comprehensive Income (Loss)</w:t>
              </w:r>
            </w:hyperlink>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6</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Unaudited Condensed Consolidated Statements of Cash Flows</w:t>
              </w:r>
            </w:hyperlink>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7</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Statements of Stockholders’ Equity</w:t>
              </w:r>
            </w:hyperlink>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8</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Unaudited Condensed Consolidated Financial Statements</w:t>
              </w:r>
            </w:hyperlink>
          </w:p>
        </w:tc>
        <w:tc>
          <w:tcPr>
            <w:tcW w:w="1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9</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23">
              <w:r>
                <w:rPr>
                  <w:rFonts w:ascii="Arial" w:cs="Arial" w:eastAsia="Arial" w:hAnsi="Arial"/>
                  <w:sz w:val="16"/>
                  <w:szCs w:val="16"/>
                  <w:color w:val="0000FF"/>
                  <w:w w:val="85"/>
                </w:rPr>
                <w:t>Item 2.</w:t>
              </w:r>
            </w:hyperlink>
          </w:p>
        </w:tc>
        <w:tc>
          <w:tcPr>
            <w:tcW w:w="1140" w:type="dxa"/>
            <w:vAlign w:val="bottom"/>
            <w:gridSpan w:val="3"/>
          </w:tcPr>
          <w:p>
            <w:pPr>
              <w:spacing w:after="0"/>
              <w:rPr>
                <w:sz w:val="16"/>
                <w:szCs w:val="16"/>
                <w:color w:val="auto"/>
              </w:rPr>
            </w:pPr>
          </w:p>
        </w:tc>
        <w:tc>
          <w:tcPr>
            <w:tcW w:w="7200" w:type="dxa"/>
            <w:vAlign w:val="bottom"/>
            <w:gridSpan w:val="13"/>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Management’s Discussion and Analysis of Financial Condition and Results of Operations</w:t>
              </w:r>
            </w:hyperlink>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23">
              <w:r>
                <w:rPr>
                  <w:rFonts w:ascii="Arial" w:cs="Arial" w:eastAsia="Arial" w:hAnsi="Arial"/>
                  <w:sz w:val="16"/>
                  <w:szCs w:val="16"/>
                  <w:color w:val="0000FF"/>
                  <w:w w:val="78"/>
                </w:rPr>
                <w:t>25</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37">
              <w:r>
                <w:rPr>
                  <w:rFonts w:ascii="Arial" w:cs="Arial" w:eastAsia="Arial" w:hAnsi="Arial"/>
                  <w:sz w:val="16"/>
                  <w:szCs w:val="16"/>
                  <w:color w:val="0000FF"/>
                  <w:w w:val="85"/>
                </w:rPr>
                <w:t>Item 3.</w:t>
              </w:r>
            </w:hyperlink>
          </w:p>
        </w:tc>
        <w:tc>
          <w:tcPr>
            <w:tcW w:w="1140" w:type="dxa"/>
            <w:vAlign w:val="bottom"/>
            <w:gridSpan w:val="3"/>
          </w:tcPr>
          <w:p>
            <w:pPr>
              <w:spacing w:after="0"/>
              <w:rPr>
                <w:sz w:val="16"/>
                <w:szCs w:val="16"/>
                <w:color w:val="auto"/>
              </w:rPr>
            </w:pPr>
          </w:p>
        </w:tc>
        <w:tc>
          <w:tcPr>
            <w:tcW w:w="3760" w:type="dxa"/>
            <w:vAlign w:val="bottom"/>
            <w:gridSpan w:val="7"/>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Quantitative and Qualitative Disclosures About Market Risk</w:t>
              </w:r>
            </w:hyperlink>
          </w:p>
        </w:tc>
        <w:tc>
          <w:tcPr>
            <w:tcW w:w="1800" w:type="dxa"/>
            <w:vAlign w:val="bottom"/>
            <w:gridSpan w:val="5"/>
          </w:tcPr>
          <w:p>
            <w:pPr>
              <w:spacing w:after="0"/>
              <w:rPr>
                <w:sz w:val="16"/>
                <w:szCs w:val="16"/>
                <w:color w:val="auto"/>
              </w:rPr>
            </w:pPr>
          </w:p>
        </w:tc>
        <w:tc>
          <w:tcPr>
            <w:tcW w:w="1640" w:type="dxa"/>
            <w:vAlign w:val="bottom"/>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7">
              <w:r>
                <w:rPr>
                  <w:rFonts w:ascii="Arial" w:cs="Arial" w:eastAsia="Arial" w:hAnsi="Arial"/>
                  <w:sz w:val="16"/>
                  <w:szCs w:val="16"/>
                  <w:color w:val="0000FF"/>
                  <w:w w:val="78"/>
                </w:rPr>
                <w:t>39</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38">
              <w:r>
                <w:rPr>
                  <w:rFonts w:ascii="Arial" w:cs="Arial" w:eastAsia="Arial" w:hAnsi="Arial"/>
                  <w:sz w:val="16"/>
                  <w:szCs w:val="16"/>
                  <w:color w:val="0000FF"/>
                  <w:w w:val="85"/>
                </w:rPr>
                <w:t>Item 4.</w:t>
              </w:r>
            </w:hyperlink>
          </w:p>
        </w:tc>
        <w:tc>
          <w:tcPr>
            <w:tcW w:w="1140" w:type="dxa"/>
            <w:vAlign w:val="bottom"/>
            <w:gridSpan w:val="3"/>
          </w:tcPr>
          <w:p>
            <w:pPr>
              <w:spacing w:after="0"/>
              <w:rPr>
                <w:sz w:val="16"/>
                <w:szCs w:val="16"/>
                <w:color w:val="auto"/>
              </w:rPr>
            </w:pPr>
          </w:p>
        </w:tc>
        <w:tc>
          <w:tcPr>
            <w:tcW w:w="3760" w:type="dxa"/>
            <w:vAlign w:val="bottom"/>
            <w:gridSpan w:val="7"/>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Controls and Procedures</w:t>
              </w:r>
            </w:hyperlink>
          </w:p>
        </w:tc>
        <w:tc>
          <w:tcPr>
            <w:tcW w:w="3440" w:type="dxa"/>
            <w:vAlign w:val="bottom"/>
            <w:gridSpan w:val="6"/>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8">
              <w:r>
                <w:rPr>
                  <w:rFonts w:ascii="Arial" w:cs="Arial" w:eastAsia="Arial" w:hAnsi="Arial"/>
                  <w:sz w:val="16"/>
                  <w:szCs w:val="16"/>
                  <w:color w:val="0000FF"/>
                  <w:w w:val="78"/>
                </w:rPr>
                <w:t>39</w:t>
              </w:r>
            </w:hyperlink>
          </w:p>
        </w:tc>
      </w:tr>
      <w:tr>
        <w:trPr>
          <w:trHeight w:val="375"/>
        </w:trPr>
        <w:tc>
          <w:tcPr>
            <w:tcW w:w="4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4680" w:type="dxa"/>
            <w:vAlign w:val="bottom"/>
            <w:gridSpan w:val="7"/>
          </w:tcPr>
          <w:p>
            <w:pPr>
              <w:ind w:left="1180"/>
              <w:spacing w:after="0"/>
              <w:rPr>
                <w:sz w:val="20"/>
                <w:szCs w:val="20"/>
                <w:color w:val="auto"/>
              </w:rPr>
            </w:pPr>
            <w:r>
              <w:rPr>
                <w:rFonts w:ascii="Arial" w:cs="Arial" w:eastAsia="Arial" w:hAnsi="Arial"/>
                <w:sz w:val="16"/>
                <w:szCs w:val="16"/>
                <w:b w:val="1"/>
                <w:bCs w:val="1"/>
                <w:color w:val="auto"/>
              </w:rPr>
              <w:t>PART II</w:t>
            </w:r>
          </w:p>
        </w:tc>
        <w:tc>
          <w:tcPr>
            <w:tcW w:w="18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29"/>
        </w:trPr>
        <w:tc>
          <w:tcPr>
            <w:tcW w:w="440" w:type="dxa"/>
            <w:vAlign w:val="bottom"/>
          </w:tcPr>
          <w:p>
            <w:pPr>
              <w:spacing w:after="0"/>
              <w:rPr>
                <w:rFonts w:ascii="Arial" w:cs="Arial" w:eastAsia="Arial" w:hAnsi="Arial"/>
                <w:sz w:val="16"/>
                <w:szCs w:val="16"/>
                <w:color w:val="0000FF"/>
                <w:w w:val="85"/>
              </w:rPr>
            </w:pPr>
            <w:hyperlink w:anchor="page39">
              <w:r>
                <w:rPr>
                  <w:rFonts w:ascii="Arial" w:cs="Arial" w:eastAsia="Arial" w:hAnsi="Arial"/>
                  <w:sz w:val="16"/>
                  <w:szCs w:val="16"/>
                  <w:color w:val="0000FF"/>
                  <w:w w:val="85"/>
                </w:rPr>
                <w:t>Item 1.</w:t>
              </w:r>
            </w:hyperlink>
          </w:p>
        </w:tc>
        <w:tc>
          <w:tcPr>
            <w:tcW w:w="1140" w:type="dxa"/>
            <w:vAlign w:val="bottom"/>
            <w:gridSpan w:val="3"/>
          </w:tcPr>
          <w:p>
            <w:pPr>
              <w:spacing w:after="0"/>
              <w:rPr>
                <w:sz w:val="24"/>
                <w:szCs w:val="24"/>
                <w:color w:val="auto"/>
              </w:rPr>
            </w:pPr>
          </w:p>
        </w:tc>
        <w:tc>
          <w:tcPr>
            <w:tcW w:w="7200" w:type="dxa"/>
            <w:vAlign w:val="bottom"/>
            <w:gridSpan w:val="1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Legal Proceedings</w:t>
              </w:r>
            </w:hyperlink>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40</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560" w:type="dxa"/>
            <w:vAlign w:val="bottom"/>
            <w:gridSpan w:val="2"/>
          </w:tcPr>
          <w:p>
            <w:pPr>
              <w:spacing w:after="0"/>
              <w:rPr>
                <w:rFonts w:ascii="Arial" w:cs="Arial" w:eastAsia="Arial" w:hAnsi="Arial"/>
                <w:sz w:val="16"/>
                <w:szCs w:val="16"/>
                <w:color w:val="0000FF"/>
                <w:w w:val="90"/>
              </w:rPr>
            </w:pPr>
            <w:hyperlink w:anchor="page39">
              <w:r>
                <w:rPr>
                  <w:rFonts w:ascii="Arial" w:cs="Arial" w:eastAsia="Arial" w:hAnsi="Arial"/>
                  <w:sz w:val="16"/>
                  <w:szCs w:val="16"/>
                  <w:color w:val="0000FF"/>
                  <w:w w:val="90"/>
                </w:rPr>
                <w:t>Item 1A.</w:t>
              </w:r>
            </w:hyperlink>
          </w:p>
        </w:tc>
        <w:tc>
          <w:tcPr>
            <w:tcW w:w="1020" w:type="dxa"/>
            <w:vAlign w:val="bottom"/>
            <w:gridSpan w:val="2"/>
          </w:tcPr>
          <w:p>
            <w:pPr>
              <w:spacing w:after="0"/>
              <w:rPr>
                <w:sz w:val="16"/>
                <w:szCs w:val="16"/>
                <w:color w:val="auto"/>
              </w:rPr>
            </w:pPr>
          </w:p>
        </w:tc>
        <w:tc>
          <w:tcPr>
            <w:tcW w:w="780" w:type="dxa"/>
            <w:vAlign w:val="bottom"/>
            <w:gridSpan w:val="2"/>
          </w:tcPr>
          <w:p>
            <w:pPr>
              <w:spacing w:after="0"/>
              <w:rPr>
                <w:rFonts w:ascii="Arial" w:cs="Arial" w:eastAsia="Arial" w:hAnsi="Arial"/>
                <w:sz w:val="16"/>
                <w:szCs w:val="16"/>
                <w:color w:val="0000FF"/>
                <w:w w:val="85"/>
              </w:rPr>
            </w:pPr>
            <w:hyperlink w:anchor="page39">
              <w:r>
                <w:rPr>
                  <w:rFonts w:ascii="Arial" w:cs="Arial" w:eastAsia="Arial" w:hAnsi="Arial"/>
                  <w:sz w:val="16"/>
                  <w:szCs w:val="16"/>
                  <w:color w:val="0000FF"/>
                  <w:w w:val="85"/>
                </w:rPr>
                <w:t>Risk Factors</w:t>
              </w:r>
            </w:hyperlink>
          </w:p>
        </w:tc>
        <w:tc>
          <w:tcPr>
            <w:tcW w:w="6420" w:type="dxa"/>
            <w:vAlign w:val="bottom"/>
            <w:gridSpan w:val="11"/>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40</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39">
              <w:r>
                <w:rPr>
                  <w:rFonts w:ascii="Arial" w:cs="Arial" w:eastAsia="Arial" w:hAnsi="Arial"/>
                  <w:sz w:val="16"/>
                  <w:szCs w:val="16"/>
                  <w:color w:val="0000FF"/>
                  <w:w w:val="85"/>
                </w:rPr>
                <w:t>Item 6.</w:t>
              </w:r>
            </w:hyperlink>
          </w:p>
        </w:tc>
        <w:tc>
          <w:tcPr>
            <w:tcW w:w="12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520" w:type="dxa"/>
            <w:vAlign w:val="bottom"/>
          </w:tcPr>
          <w:p>
            <w:pPr>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Exhibits</w:t>
              </w:r>
            </w:hyperlink>
          </w:p>
        </w:tc>
        <w:tc>
          <w:tcPr>
            <w:tcW w:w="260" w:type="dxa"/>
            <w:vAlign w:val="bottom"/>
          </w:tcPr>
          <w:p>
            <w:pPr>
              <w:spacing w:after="0"/>
              <w:rPr>
                <w:sz w:val="16"/>
                <w:szCs w:val="16"/>
                <w:color w:val="auto"/>
              </w:rPr>
            </w:pPr>
          </w:p>
        </w:tc>
        <w:tc>
          <w:tcPr>
            <w:tcW w:w="6420" w:type="dxa"/>
            <w:vAlign w:val="bottom"/>
            <w:gridSpan w:val="11"/>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40</w:t>
              </w:r>
            </w:hyperlink>
          </w:p>
        </w:tc>
      </w:tr>
      <w:tr>
        <w:trPr>
          <w:trHeight w:val="20"/>
        </w:trPr>
        <w:tc>
          <w:tcPr>
            <w:tcW w:w="4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342"/>
        </w:trPr>
        <w:tc>
          <w:tcPr>
            <w:tcW w:w="1580" w:type="dxa"/>
            <w:vAlign w:val="bottom"/>
            <w:gridSpan w:val="4"/>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SIGNATURES</w:t>
              </w:r>
            </w:hyperlink>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40</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80"/>
          </w:cols>
          <w:pgMar w:left="340" w:top="1142" w:right="57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PART I</w:t>
      </w:r>
    </w:p>
    <w:p>
      <w:pPr>
        <w:spacing w:after="0" w:line="30"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FINANCIAL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SHARES AND PER SHARE AMOUNTS)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color w:val="auto"/>
                <w:w w:val="86"/>
              </w:rPr>
              <w:t>(unaudited)</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September 30, 2021</w:t>
            </w:r>
          </w:p>
        </w:tc>
        <w:tc>
          <w:tcPr>
            <w:tcW w:w="180" w:type="dxa"/>
            <w:vAlign w:val="bottom"/>
          </w:tcPr>
          <w:p>
            <w:pPr>
              <w:spacing w:after="0"/>
              <w:rPr>
                <w:sz w:val="18"/>
                <w:szCs w:val="18"/>
                <w:color w:val="auto"/>
              </w:rPr>
            </w:pPr>
          </w:p>
        </w:tc>
        <w:tc>
          <w:tcPr>
            <w:tcW w:w="1640" w:type="dxa"/>
            <w:vAlign w:val="bottom"/>
          </w:tcPr>
          <w:p>
            <w:pPr>
              <w:jc w:val="right"/>
              <w:ind w:right="202"/>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190"/>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0" w:type="dxa"/>
            <w:vAlign w:val="bottom"/>
          </w:tcPr>
          <w:p>
            <w:pPr>
              <w:spacing w:after="0"/>
              <w:rPr>
                <w:sz w:val="1"/>
                <w:szCs w:val="1"/>
                <w:color w:val="auto"/>
              </w:rPr>
            </w:pPr>
          </w:p>
        </w:tc>
      </w:tr>
      <w:tr>
        <w:trPr>
          <w:trHeight w:val="204"/>
        </w:trPr>
        <w:tc>
          <w:tcPr>
            <w:tcW w:w="744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355,650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328,340</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158,601</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64,848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70,806</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811,184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657,012</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106,788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121,149</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68,795</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343,764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351,052</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1,428,610</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20,821</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1,974,960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1,990,427</w:t>
            </w:r>
          </w:p>
        </w:tc>
        <w:tc>
          <w:tcPr>
            <w:tcW w:w="0" w:type="dxa"/>
            <w:vAlign w:val="bottom"/>
          </w:tcPr>
          <w:p>
            <w:pPr>
              <w:spacing w:after="0"/>
              <w:rPr>
                <w:sz w:val="1"/>
                <w:szCs w:val="1"/>
                <w:color w:val="auto"/>
              </w:rPr>
            </w:pPr>
          </w:p>
        </w:tc>
      </w:tr>
      <w:tr>
        <w:trPr>
          <w:trHeight w:val="202"/>
        </w:trPr>
        <w:tc>
          <w:tcPr>
            <w:tcW w:w="74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2,786,144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2,647,439</w:t>
            </w:r>
          </w:p>
        </w:tc>
        <w:tc>
          <w:tcPr>
            <w:tcW w:w="0" w:type="dxa"/>
            <w:vAlign w:val="bottom"/>
          </w:tcPr>
          <w:p>
            <w:pPr>
              <w:spacing w:after="0"/>
              <w:rPr>
                <w:sz w:val="1"/>
                <w:szCs w:val="1"/>
                <w:color w:val="auto"/>
              </w:rPr>
            </w:pPr>
          </w:p>
        </w:tc>
      </w:tr>
      <w:tr>
        <w:trPr>
          <w:trHeight w:val="38"/>
        </w:trPr>
        <w:tc>
          <w:tcPr>
            <w:tcW w:w="74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318,561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282,913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58,899</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71,759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64,075</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18,886</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485,664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434,023</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1,117,823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1,115,103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70,776</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3,339</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1,203,000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1,197,692</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1,688,664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1,631,715</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40" w:type="dxa"/>
            <w:vAlign w:val="bottom"/>
          </w:tcPr>
          <w:p>
            <w:pPr>
              <w:ind w:left="140"/>
              <w:spacing w:after="0" w:line="160" w:lineRule="exact"/>
              <w:rPr>
                <w:sz w:val="20"/>
                <w:szCs w:val="20"/>
                <w:color w:val="auto"/>
              </w:rPr>
            </w:pPr>
            <w:r>
              <w:rPr>
                <w:rFonts w:ascii="Arial" w:cs="Arial" w:eastAsia="Arial" w:hAnsi="Arial"/>
                <w:sz w:val="16"/>
                <w:szCs w:val="16"/>
                <w:color w:val="auto"/>
                <w:w w:val="88"/>
              </w:rPr>
              <w:t>Preferred stock; $0.0001 par value; 12,500,000 shares authorized, no shares outstanding as of September 30, 2021</w:t>
            </w:r>
          </w:p>
        </w:tc>
        <w:tc>
          <w:tcPr>
            <w:tcW w:w="180" w:type="dxa"/>
            <w:vAlign w:val="bottom"/>
          </w:tcPr>
          <w:p>
            <w:pPr>
              <w:spacing w:after="0"/>
              <w:rPr>
                <w:sz w:val="13"/>
                <w:szCs w:val="13"/>
                <w:color w:val="auto"/>
              </w:rPr>
            </w:pPr>
          </w:p>
        </w:tc>
        <w:tc>
          <w:tcPr>
            <w:tcW w:w="1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9"/>
        </w:trPr>
        <w:tc>
          <w:tcPr>
            <w:tcW w:w="7440" w:type="dxa"/>
            <w:vAlign w:val="bottom"/>
            <w:vMerge w:val="restart"/>
          </w:tcPr>
          <w:p>
            <w:pPr>
              <w:ind w:left="140"/>
              <w:spacing w:after="0"/>
              <w:rPr>
                <w:sz w:val="20"/>
                <w:szCs w:val="20"/>
                <w:color w:val="auto"/>
              </w:rPr>
            </w:pPr>
            <w:r>
              <w:rPr>
                <w:rFonts w:ascii="Arial" w:cs="Arial" w:eastAsia="Arial" w:hAnsi="Arial"/>
                <w:sz w:val="16"/>
                <w:szCs w:val="16"/>
                <w:color w:val="auto"/>
              </w:rPr>
              <w:t>and December 31, 2020, respectively</w:t>
            </w:r>
          </w:p>
        </w:tc>
        <w:tc>
          <w:tcPr>
            <w:tcW w:w="18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74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w w:val="91"/>
              </w:rPr>
              <w:t>Common stock; $0.0001 par value: 250,000,000 shares authorized, 180,258,555 shares issued and 179,874,833</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40" w:type="dxa"/>
            <w:vAlign w:val="bottom"/>
            <w:shd w:val="clear" w:color="auto" w:fill="CCEEFF"/>
          </w:tcPr>
          <w:p>
            <w:pPr>
              <w:ind w:left="140"/>
              <w:spacing w:after="0" w:line="155" w:lineRule="exact"/>
              <w:rPr>
                <w:sz w:val="20"/>
                <w:szCs w:val="20"/>
                <w:color w:val="auto"/>
              </w:rPr>
            </w:pPr>
            <w:r>
              <w:rPr>
                <w:rFonts w:ascii="Arial" w:cs="Arial" w:eastAsia="Arial" w:hAnsi="Arial"/>
                <w:sz w:val="16"/>
                <w:szCs w:val="16"/>
                <w:color w:val="auto"/>
                <w:w w:val="87"/>
              </w:rPr>
              <w:t>shares outstanding as of September 30, 2021; 180,178,308 shares issued and 179,794,586 shares outstanding as of</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2020</w:t>
            </w:r>
          </w:p>
        </w:tc>
        <w:tc>
          <w:tcPr>
            <w:tcW w:w="18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w w:val="87"/>
              </w:rPr>
              <w:t>Treasury stock; 383,722 shares outstanding, at cost, as of September 30, 2021 and December 31, 2020, respectively</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 capital</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1,135,465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(35,600)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(100,031)</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1,097,480</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22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2,786,144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2,647,439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CONDENSED CONSOLIDATED STATEMENTS OF COMPREHENSIVE INCOME (LOSS)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4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4"/>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891,937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2,511,446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2,227,897</w:t>
            </w:r>
          </w:p>
        </w:tc>
        <w:tc>
          <w:tcPr>
            <w:tcW w:w="0" w:type="dxa"/>
            <w:vAlign w:val="bottom"/>
          </w:tcPr>
          <w:p>
            <w:pPr>
              <w:spacing w:after="0"/>
              <w:rPr>
                <w:sz w:val="1"/>
                <w:szCs w:val="1"/>
                <w:color w:val="auto"/>
              </w:rPr>
            </w:pPr>
          </w:p>
        </w:tc>
      </w:tr>
      <w:tr>
        <w:trPr>
          <w:trHeight w:val="204"/>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688,969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607,456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1,944,037</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1,729,395</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202,968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567,409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498,502</w:t>
            </w:r>
          </w:p>
        </w:tc>
        <w:tc>
          <w:tcPr>
            <w:tcW w:w="0" w:type="dxa"/>
            <w:vAlign w:val="bottom"/>
          </w:tcPr>
          <w:p>
            <w:pPr>
              <w:spacing w:after="0"/>
              <w:rPr>
                <w:sz w:val="1"/>
                <w:szCs w:val="1"/>
                <w:color w:val="auto"/>
              </w:rPr>
            </w:pPr>
          </w:p>
        </w:tc>
      </w:tr>
      <w:tr>
        <w:trPr>
          <w:trHeight w:val="245"/>
        </w:trPr>
        <w:tc>
          <w:tcPr>
            <w:tcW w:w="5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8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134,633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388,930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377,198</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48,410</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54,892</w:t>
            </w:r>
          </w:p>
        </w:tc>
        <w:tc>
          <w:tcPr>
            <w:tcW w:w="0" w:type="dxa"/>
            <w:vAlign w:val="bottom"/>
          </w:tcPr>
          <w:p>
            <w:pPr>
              <w:spacing w:after="0"/>
              <w:rPr>
                <w:sz w:val="1"/>
                <w:szCs w:val="1"/>
                <w:color w:val="auto"/>
              </w:rPr>
            </w:pPr>
          </w:p>
        </w:tc>
      </w:tr>
      <w:tr>
        <w:trPr>
          <w:trHeight w:val="197"/>
        </w:trPr>
        <w:tc>
          <w:tcPr>
            <w:tcW w:w="56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150,085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437,340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432,090</w:t>
            </w:r>
          </w:p>
        </w:tc>
        <w:tc>
          <w:tcPr>
            <w:tcW w:w="0" w:type="dxa"/>
            <w:vAlign w:val="bottom"/>
          </w:tcPr>
          <w:p>
            <w:pPr>
              <w:spacing w:after="0"/>
              <w:rPr>
                <w:sz w:val="1"/>
                <w:szCs w:val="1"/>
                <w:color w:val="auto"/>
              </w:rPr>
            </w:pPr>
          </w:p>
        </w:tc>
      </w:tr>
      <w:tr>
        <w:trPr>
          <w:trHeight w:val="200"/>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52,883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130,069</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66,412</w:t>
            </w: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(52,717)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(84,102)</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0" w:type="dxa"/>
            <w:vAlign w:val="bottom"/>
          </w:tcPr>
          <w:p>
            <w:pPr>
              <w:spacing w:after="0"/>
              <w:rPr>
                <w:sz w:val="1"/>
                <w:szCs w:val="1"/>
                <w:color w:val="auto"/>
              </w:rPr>
            </w:pPr>
          </w:p>
        </w:tc>
      </w:tr>
      <w:tr>
        <w:trPr>
          <w:trHeight w:val="204"/>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(8,322)</w:t>
            </w:r>
          </w:p>
        </w:tc>
        <w:tc>
          <w:tcPr>
            <w:tcW w:w="0" w:type="dxa"/>
            <w:vAlign w:val="bottom"/>
          </w:tcPr>
          <w:p>
            <w:pPr>
              <w:spacing w:after="0"/>
              <w:rPr>
                <w:sz w:val="1"/>
                <w:szCs w:val="1"/>
                <w:color w:val="auto"/>
              </w:rPr>
            </w:pPr>
          </w:p>
        </w:tc>
      </w:tr>
      <w:tr>
        <w:trPr>
          <w:trHeight w:val="200"/>
        </w:trPr>
        <w:tc>
          <w:tcPr>
            <w:tcW w:w="5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(14,320)</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(32,137)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(60,542)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(90,060)</w:t>
            </w: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69,527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(23,648)</w:t>
            </w:r>
          </w:p>
        </w:tc>
        <w:tc>
          <w:tcPr>
            <w:tcW w:w="0" w:type="dxa"/>
            <w:vAlign w:val="bottom"/>
          </w:tcPr>
          <w:p>
            <w:pPr>
              <w:spacing w:after="0"/>
              <w:rPr>
                <w:sz w:val="1"/>
                <w:szCs w:val="1"/>
                <w:color w:val="auto"/>
              </w:rPr>
            </w:pPr>
          </w:p>
        </w:tc>
      </w:tr>
      <w:tr>
        <w:trPr>
          <w:trHeight w:val="204"/>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28"/>
        </w:trPr>
        <w:tc>
          <w:tcPr>
            <w:tcW w:w="5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64,431</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(25,915)</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93"/>
              </w:rPr>
              <w:t>Change in unrealized gains (losses) on cash flow hedges, net of income tax expense</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of $0, $0, $0 and $0, respectively</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w:t>
            </w:r>
          </w:p>
        </w:tc>
        <w:tc>
          <w:tcPr>
            <w:tcW w:w="0" w:type="dxa"/>
            <w:vAlign w:val="bottom"/>
          </w:tcPr>
          <w:p>
            <w:pPr>
              <w:spacing w:after="0"/>
              <w:rPr>
                <w:sz w:val="1"/>
                <w:szCs w:val="1"/>
                <w:color w:val="auto"/>
              </w:rPr>
            </w:pPr>
          </w:p>
        </w:tc>
      </w:tr>
      <w:tr>
        <w:trPr>
          <w:trHeight w:val="22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75,603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(33,949)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80" w:type="dxa"/>
            <w:vAlign w:val="bottom"/>
          </w:tcPr>
          <w:p>
            <w:pPr>
              <w:ind w:left="140"/>
              <w:spacing w:after="0"/>
              <w:rPr>
                <w:sz w:val="20"/>
                <w:szCs w:val="20"/>
                <w:color w:val="auto"/>
              </w:rPr>
            </w:pPr>
            <w:r>
              <w:rPr>
                <w:rFonts w:ascii="Arial" w:cs="Arial" w:eastAsia="Arial" w:hAnsi="Arial"/>
                <w:sz w:val="16"/>
                <w:szCs w:val="16"/>
                <w:color w:val="auto"/>
              </w:rPr>
              <w:t>Earnings (loss) per share, basic</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per share, diluted</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179,872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179,841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179,220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80" w:type="dxa"/>
            <w:vAlign w:val="bottom"/>
          </w:tcPr>
          <w:p>
            <w:pPr>
              <w:ind w:left="20"/>
              <w:spacing w:after="0" w:line="178" w:lineRule="exact"/>
              <w:rPr>
                <w:sz w:val="20"/>
                <w:szCs w:val="20"/>
                <w:color w:val="auto"/>
              </w:rPr>
            </w:pPr>
            <w:r>
              <w:rPr>
                <w:rFonts w:ascii="Arial" w:cs="Arial" w:eastAsia="Arial" w:hAnsi="Arial"/>
                <w:sz w:val="16"/>
                <w:szCs w:val="16"/>
                <w:color w:val="auto"/>
              </w:rPr>
              <w:t>Weighted average common shares outstanding, diluted</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181,430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184,822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181,055</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179,220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ind w:right="4980"/>
        <w:spacing w:after="0" w:line="267" w:lineRule="auto"/>
        <w:rPr>
          <w:sz w:val="20"/>
          <w:szCs w:val="20"/>
          <w:color w:val="auto"/>
        </w:rPr>
      </w:pPr>
      <w:r>
        <w:rPr>
          <w:rFonts w:ascii="Arial" w:cs="Arial" w:eastAsia="Arial" w:hAnsi="Arial"/>
          <w:sz w:val="17"/>
          <w:szCs w:val="17"/>
          <w:b w:val="1"/>
          <w:bCs w:val="1"/>
          <w:color w:val="auto"/>
        </w:rPr>
        <w:t>UNAUDITED CONDENSED CONSOLIDATED STATEMENTS OF CASH FLOWS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4"/>
          </w:tcPr>
          <w:p>
            <w:pPr>
              <w:jc w:val="right"/>
              <w:ind w:right="322"/>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7"/>
        </w:trPr>
        <w:tc>
          <w:tcPr>
            <w:tcW w:w="8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r>
      <w:tr>
        <w:trPr>
          <w:trHeight w:val="190"/>
        </w:trPr>
        <w:tc>
          <w:tcPr>
            <w:tcW w:w="812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(25,915)</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Adjustments to reconcile net income (loss) to net cash provided by operations: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60,054</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13,020</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Paid-in-kind interest capitalized as principal</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Deferred income taxes - net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897</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8,349</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4,153</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interest rate swaps upon discontinuing hedge accounting</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(4,567)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(2,364)</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Other adjustments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1,589</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(27,310)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3,496</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(39,602)</w:t>
            </w: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5,958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(8,724)</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66,508</w:t>
            </w: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5,461</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16,768</w:t>
            </w: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(11,976)</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(3,845)</w:t>
            </w:r>
          </w:p>
        </w:tc>
      </w:tr>
      <w:tr>
        <w:trPr>
          <w:trHeight w:val="236"/>
        </w:trPr>
        <w:tc>
          <w:tcPr>
            <w:tcW w:w="81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143,259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101,728</w:t>
            </w:r>
          </w:p>
        </w:tc>
      </w:tr>
      <w:tr>
        <w:trPr>
          <w:trHeight w:val="204"/>
        </w:trPr>
        <w:tc>
          <w:tcPr>
            <w:tcW w:w="81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and equipment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(12,871)</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Other investing cash flows</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acquisitions, net of cash acquired</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1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(12,330)</w:t>
            </w:r>
          </w:p>
        </w:tc>
      </w:tr>
      <w:tr>
        <w:trPr>
          <w:trHeight w:val="204"/>
        </w:trPr>
        <w:tc>
          <w:tcPr>
            <w:tcW w:w="81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Proceeds from issuance of debt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355,200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debt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(6,937)</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Retirement of debt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(352,009)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(125,000)</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financing costs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Net proceeds from issuance of common stock</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118,934</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prepayment fees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Other financing cash flows</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02"/>
        </w:trPr>
        <w:tc>
          <w:tcPr>
            <w:tcW w:w="8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(11,072)</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w:t>
            </w:r>
          </w:p>
        </w:tc>
      </w:tr>
      <w:tr>
        <w:trPr>
          <w:trHeight w:val="197"/>
        </w:trPr>
        <w:tc>
          <w:tcPr>
            <w:tcW w:w="81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101,591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72,991</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r>
      <w:tr>
        <w:trPr>
          <w:trHeight w:val="202"/>
        </w:trPr>
        <w:tc>
          <w:tcPr>
            <w:tcW w:w="812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200,856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140,047</w:t>
            </w:r>
          </w:p>
        </w:tc>
      </w:tr>
      <w:tr>
        <w:trPr>
          <w:trHeight w:val="38"/>
        </w:trPr>
        <w:tc>
          <w:tcPr>
            <w:tcW w:w="8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73,224</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2,719</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2,373</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operating leases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19,941</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ind w:right="3900"/>
        <w:spacing w:after="0" w:line="267" w:lineRule="auto"/>
        <w:rPr>
          <w:sz w:val="20"/>
          <w:szCs w:val="20"/>
          <w:color w:val="auto"/>
        </w:rPr>
      </w:pPr>
      <w:r>
        <w:rPr>
          <w:rFonts w:ascii="Arial" w:cs="Arial" w:eastAsia="Arial" w:hAnsi="Arial"/>
          <w:sz w:val="17"/>
          <w:szCs w:val="17"/>
          <w:b w:val="1"/>
          <w:bCs w:val="1"/>
          <w:color w:val="auto"/>
        </w:rPr>
        <w:t>UNAUDITED CONDENSED CONSOLIDATED STATEMENTS OF STOCKHOLDERS’ EQUITY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6"/>
                <w:szCs w:val="16"/>
                <w:color w:val="auto"/>
              </w:rPr>
            </w:pPr>
          </w:p>
        </w:tc>
        <w:tc>
          <w:tcPr>
            <w:tcW w:w="114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5"/>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6"/>
              </w:rPr>
              <w:t>Common</w:t>
            </w:r>
          </w:p>
        </w:tc>
        <w:tc>
          <w:tcPr>
            <w:tcW w:w="14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7"/>
              </w:rPr>
              <w:t>Accumulated</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4"/>
              </w:rPr>
              <w:t>Comprehensive</w:t>
            </w: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83"/>
              </w:rPr>
              <w:t>(Loss)</w:t>
            </w:r>
          </w:p>
        </w:tc>
        <w:tc>
          <w:tcPr>
            <w:tcW w:w="140" w:type="dxa"/>
            <w:vAlign w:val="bottom"/>
          </w:tcPr>
          <w:p>
            <w:pPr>
              <w:spacing w:after="0"/>
              <w:rPr>
                <w:sz w:val="13"/>
                <w:szCs w:val="13"/>
                <w:color w:val="auto"/>
              </w:rPr>
            </w:pPr>
          </w:p>
        </w:tc>
        <w:tc>
          <w:tcPr>
            <w:tcW w:w="1140" w:type="dxa"/>
            <w:vAlign w:val="bottom"/>
          </w:tcPr>
          <w:p>
            <w:pPr>
              <w:jc w:val="center"/>
              <w:ind w:right="62"/>
              <w:spacing w:after="0" w:line="155"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204"/>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Stock</w:t>
            </w:r>
          </w:p>
        </w:tc>
        <w:tc>
          <w:tcPr>
            <w:tcW w:w="1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Deficit</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7"/>
                <w:szCs w:val="17"/>
                <w:color w:val="auto"/>
              </w:rPr>
            </w:pPr>
          </w:p>
        </w:tc>
        <w:tc>
          <w:tcPr>
            <w:tcW w:w="1140" w:type="dxa"/>
            <w:vAlign w:val="bottom"/>
          </w:tcPr>
          <w:p>
            <w:pPr>
              <w:jc w:val="center"/>
              <w:ind w:right="62"/>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1,008,362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line="160"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140"/>
              <w:spacing w:after="0" w:line="155" w:lineRule="exact"/>
              <w:rPr>
                <w:sz w:val="20"/>
                <w:szCs w:val="20"/>
                <w:color w:val="auto"/>
              </w:rPr>
            </w:pPr>
            <w:r>
              <w:rPr>
                <w:rFonts w:ascii="Arial" w:cs="Arial" w:eastAsia="Arial" w:hAnsi="Arial"/>
                <w:sz w:val="16"/>
                <w:szCs w:val="16"/>
                <w:color w:val="auto"/>
              </w:rPr>
              <w:t>restricted stock and related tax</w:t>
            </w:r>
          </w:p>
        </w:tc>
        <w:tc>
          <w:tcPr>
            <w:tcW w:w="140" w:type="dxa"/>
            <w:vAlign w:val="bottom"/>
          </w:tcPr>
          <w:p>
            <w:pPr>
              <w:spacing w:after="0"/>
              <w:rPr>
                <w:sz w:val="13"/>
                <w:szCs w:val="13"/>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199"/>
        </w:trPr>
        <w:tc>
          <w:tcPr>
            <w:tcW w:w="2840" w:type="dxa"/>
            <w:vAlign w:val="bottom"/>
          </w:tcPr>
          <w:p>
            <w:pPr>
              <w:ind w:left="140"/>
              <w:spacing w:after="0"/>
              <w:rPr>
                <w:sz w:val="20"/>
                <w:szCs w:val="20"/>
                <w:color w:val="auto"/>
              </w:rPr>
            </w:pPr>
            <w:r>
              <w:rPr>
                <w:rFonts w:ascii="Arial" w:cs="Arial" w:eastAsia="Arial" w:hAnsi="Arial"/>
                <w:sz w:val="16"/>
                <w:szCs w:val="16"/>
                <w:color w:val="auto"/>
              </w:rPr>
              <w:t>withholdings</w:t>
            </w: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04"/>
        </w:trPr>
        <w:tc>
          <w:tcPr>
            <w:tcW w:w="28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(19,910)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197"/>
        </w:trPr>
        <w:tc>
          <w:tcPr>
            <w:tcW w:w="2840" w:type="dxa"/>
            <w:vAlign w:val="bottom"/>
          </w:tcPr>
          <w:p>
            <w:pPr>
              <w:ind w:left="20"/>
              <w:spacing w:after="0"/>
              <w:rPr>
                <w:sz w:val="20"/>
                <w:szCs w:val="20"/>
                <w:color w:val="auto"/>
              </w:rPr>
            </w:pPr>
            <w:r>
              <w:rPr>
                <w:rFonts w:ascii="Arial" w:cs="Arial" w:eastAsia="Arial" w:hAnsi="Arial"/>
                <w:sz w:val="16"/>
                <w:szCs w:val="16"/>
                <w:color w:val="auto"/>
              </w:rPr>
              <w:t>Balance - March 31,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1,008,570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(111,865)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(23,827)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870,493</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shd w:val="clear" w:color="auto" w:fill="CCEEFF"/>
          </w:tcPr>
          <w:p>
            <w:pPr>
              <w:ind w:left="120"/>
              <w:spacing w:after="0" w:line="155" w:lineRule="exact"/>
              <w:rPr>
                <w:sz w:val="20"/>
                <w:szCs w:val="20"/>
                <w:color w:val="auto"/>
              </w:rPr>
            </w:pPr>
            <w:r>
              <w:rPr>
                <w:rFonts w:ascii="Arial" w:cs="Arial" w:eastAsia="Arial" w:hAnsi="Arial"/>
                <w:sz w:val="16"/>
                <w:szCs w:val="16"/>
                <w:color w:val="auto"/>
              </w:rPr>
              <w:t>restricted stock and related tax</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40" w:type="dxa"/>
            <w:vAlign w:val="bottom"/>
          </w:tcPr>
          <w:p>
            <w:pPr>
              <w:ind w:left="12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0" w:type="dxa"/>
            <w:vAlign w:val="bottom"/>
          </w:tcPr>
          <w:p>
            <w:pPr>
              <w:spacing w:after="0"/>
              <w:rPr>
                <w:sz w:val="1"/>
                <w:szCs w:val="1"/>
                <w:color w:val="auto"/>
              </w:rPr>
            </w:pPr>
          </w:p>
        </w:tc>
      </w:tr>
      <w:tr>
        <w:trPr>
          <w:trHeight w:val="204"/>
        </w:trPr>
        <w:tc>
          <w:tcPr>
            <w:tcW w:w="2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1,009,135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867,966</w:t>
            </w:r>
          </w:p>
        </w:tc>
        <w:tc>
          <w:tcPr>
            <w:tcW w:w="0" w:type="dxa"/>
            <w:vAlign w:val="bottom"/>
          </w:tcPr>
          <w:p>
            <w:pPr>
              <w:spacing w:after="0"/>
              <w:rPr>
                <w:sz w:val="1"/>
                <w:szCs w:val="1"/>
                <w:color w:val="auto"/>
              </w:rPr>
            </w:pPr>
          </w:p>
        </w:tc>
      </w:tr>
      <w:tr>
        <w:trPr>
          <w:trHeight w:val="160"/>
        </w:trPr>
        <w:tc>
          <w:tcPr>
            <w:tcW w:w="2840" w:type="dxa"/>
            <w:vAlign w:val="bottom"/>
          </w:tcPr>
          <w:p>
            <w:pPr>
              <w:ind w:left="120"/>
              <w:spacing w:after="0" w:line="160"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120"/>
              <w:spacing w:after="0" w:line="155" w:lineRule="exact"/>
              <w:rPr>
                <w:sz w:val="20"/>
                <w:szCs w:val="20"/>
                <w:color w:val="auto"/>
              </w:rPr>
            </w:pPr>
            <w:r>
              <w:rPr>
                <w:rFonts w:ascii="Arial" w:cs="Arial" w:eastAsia="Arial" w:hAnsi="Arial"/>
                <w:sz w:val="16"/>
                <w:szCs w:val="16"/>
                <w:color w:val="auto"/>
              </w:rPr>
              <w:t>restricted stock and related tax</w:t>
            </w:r>
          </w:p>
        </w:tc>
        <w:tc>
          <w:tcPr>
            <w:tcW w:w="140" w:type="dxa"/>
            <w:vAlign w:val="bottom"/>
          </w:tcPr>
          <w:p>
            <w:pPr>
              <w:spacing w:after="0"/>
              <w:rPr>
                <w:sz w:val="13"/>
                <w:szCs w:val="13"/>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99"/>
        </w:trPr>
        <w:tc>
          <w:tcPr>
            <w:tcW w:w="2840" w:type="dxa"/>
            <w:vAlign w:val="bottom"/>
          </w:tcPr>
          <w:p>
            <w:pPr>
              <w:ind w:left="120"/>
              <w:spacing w:after="0"/>
              <w:rPr>
                <w:sz w:val="20"/>
                <w:szCs w:val="20"/>
                <w:color w:val="auto"/>
              </w:rPr>
            </w:pPr>
            <w:r>
              <w:rPr>
                <w:rFonts w:ascii="Arial" w:cs="Arial" w:eastAsia="Arial" w:hAnsi="Arial"/>
                <w:sz w:val="16"/>
                <w:szCs w:val="16"/>
                <w:color w:val="auto"/>
              </w:rPr>
              <w:t>withholdings</w:t>
            </w: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160"/>
        </w:trPr>
        <w:tc>
          <w:tcPr>
            <w:tcW w:w="2840" w:type="dxa"/>
            <w:vAlign w:val="bottom"/>
          </w:tcPr>
          <w:p>
            <w:pPr>
              <w:ind w:left="120"/>
              <w:spacing w:after="0" w:line="160" w:lineRule="exact"/>
              <w:rPr>
                <w:sz w:val="20"/>
                <w:szCs w:val="20"/>
                <w:color w:val="auto"/>
              </w:rPr>
            </w:pPr>
            <w:r>
              <w:rPr>
                <w:rFonts w:ascii="Arial" w:cs="Arial" w:eastAsia="Arial" w:hAnsi="Arial"/>
                <w:sz w:val="16"/>
                <w:szCs w:val="16"/>
                <w:color w:val="auto"/>
                <w:w w:val="87"/>
              </w:rPr>
              <w:t>Net proceeds from the issuance of common</w:t>
            </w:r>
          </w:p>
        </w:tc>
        <w:tc>
          <w:tcPr>
            <w:tcW w:w="140" w:type="dxa"/>
            <w:vAlign w:val="bottom"/>
          </w:tcPr>
          <w:p>
            <w:pPr>
              <w:spacing w:after="0"/>
              <w:rPr>
                <w:sz w:val="13"/>
                <w:szCs w:val="13"/>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118,933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118,934</w:t>
            </w:r>
          </w:p>
        </w:tc>
        <w:tc>
          <w:tcPr>
            <w:tcW w:w="0" w:type="dxa"/>
            <w:vAlign w:val="bottom"/>
          </w:tcPr>
          <w:p>
            <w:pPr>
              <w:spacing w:after="0"/>
              <w:rPr>
                <w:sz w:val="1"/>
                <w:szCs w:val="1"/>
                <w:color w:val="auto"/>
              </w:rPr>
            </w:pPr>
          </w:p>
        </w:tc>
      </w:tr>
      <w:tr>
        <w:trPr>
          <w:trHeight w:val="199"/>
        </w:trPr>
        <w:tc>
          <w:tcPr>
            <w:tcW w:w="2840" w:type="dxa"/>
            <w:vAlign w:val="bottom"/>
          </w:tcPr>
          <w:p>
            <w:pPr>
              <w:ind w:left="120"/>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04"/>
        </w:trPr>
        <w:tc>
          <w:tcPr>
            <w:tcW w:w="2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September 30, 2020</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993,496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line="160"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140"/>
              <w:spacing w:after="0" w:line="155" w:lineRule="exact"/>
              <w:rPr>
                <w:sz w:val="20"/>
                <w:szCs w:val="20"/>
                <w:color w:val="auto"/>
              </w:rPr>
            </w:pPr>
            <w:r>
              <w:rPr>
                <w:rFonts w:ascii="Arial" w:cs="Arial" w:eastAsia="Arial" w:hAnsi="Arial"/>
                <w:sz w:val="16"/>
                <w:szCs w:val="16"/>
                <w:color w:val="auto"/>
              </w:rPr>
              <w:t>restricted stock, and related tax</w:t>
            </w:r>
          </w:p>
        </w:tc>
        <w:tc>
          <w:tcPr>
            <w:tcW w:w="140" w:type="dxa"/>
            <w:vAlign w:val="bottom"/>
          </w:tcPr>
          <w:p>
            <w:pPr>
              <w:spacing w:after="0"/>
              <w:rPr>
                <w:sz w:val="13"/>
                <w:szCs w:val="13"/>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9"/>
        </w:trPr>
        <w:tc>
          <w:tcPr>
            <w:tcW w:w="2840" w:type="dxa"/>
            <w:vAlign w:val="bottom"/>
          </w:tcPr>
          <w:p>
            <w:pPr>
              <w:ind w:left="140"/>
              <w:spacing w:after="0"/>
              <w:rPr>
                <w:sz w:val="20"/>
                <w:szCs w:val="20"/>
                <w:color w:val="auto"/>
              </w:rPr>
            </w:pPr>
            <w:r>
              <w:rPr>
                <w:rFonts w:ascii="Arial" w:cs="Arial" w:eastAsia="Arial" w:hAnsi="Arial"/>
                <w:sz w:val="16"/>
                <w:szCs w:val="16"/>
                <w:color w:val="auto"/>
              </w:rPr>
              <w:t>withholdings</w:t>
            </w: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4"/>
        </w:trPr>
        <w:tc>
          <w:tcPr>
            <w:tcW w:w="28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0" w:type="dxa"/>
            <w:vAlign w:val="bottom"/>
          </w:tcPr>
          <w:p>
            <w:pPr>
              <w:spacing w:after="0"/>
              <w:rPr>
                <w:sz w:val="1"/>
                <w:szCs w:val="1"/>
                <w:color w:val="auto"/>
              </w:rPr>
            </w:pPr>
          </w:p>
        </w:tc>
      </w:tr>
      <w:tr>
        <w:trPr>
          <w:trHeight w:val="197"/>
        </w:trPr>
        <w:tc>
          <w:tcPr>
            <w:tcW w:w="2840" w:type="dxa"/>
            <w:vAlign w:val="bottom"/>
          </w:tcPr>
          <w:p>
            <w:pPr>
              <w:ind w:left="20"/>
              <w:spacing w:after="0"/>
              <w:rPr>
                <w:sz w:val="20"/>
                <w:szCs w:val="20"/>
                <w:color w:val="auto"/>
              </w:rPr>
            </w:pPr>
            <w:r>
              <w:rPr>
                <w:rFonts w:ascii="Arial" w:cs="Arial" w:eastAsia="Arial" w:hAnsi="Arial"/>
                <w:sz w:val="16"/>
                <w:szCs w:val="16"/>
                <w:color w:val="auto"/>
              </w:rPr>
              <w:t>Balance - March 31, 2021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1,130,448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(102,892)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(7,091)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1,018,080</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shd w:val="clear" w:color="auto" w:fill="CCEEFF"/>
          </w:tcPr>
          <w:p>
            <w:pPr>
              <w:ind w:left="120"/>
              <w:spacing w:after="0" w:line="155" w:lineRule="exact"/>
              <w:rPr>
                <w:sz w:val="20"/>
                <w:szCs w:val="20"/>
                <w:color w:val="auto"/>
              </w:rPr>
            </w:pPr>
            <w:r>
              <w:rPr>
                <w:rFonts w:ascii="Arial" w:cs="Arial" w:eastAsia="Arial" w:hAnsi="Arial"/>
                <w:sz w:val="16"/>
                <w:szCs w:val="16"/>
                <w:color w:val="auto"/>
              </w:rPr>
              <w:t>restricted stock, and related tax</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40" w:type="dxa"/>
            <w:vAlign w:val="bottom"/>
          </w:tcPr>
          <w:p>
            <w:pPr>
              <w:ind w:left="12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0" w:type="dxa"/>
            <w:vAlign w:val="bottom"/>
          </w:tcPr>
          <w:p>
            <w:pPr>
              <w:spacing w:after="0"/>
              <w:rPr>
                <w:sz w:val="1"/>
                <w:szCs w:val="1"/>
                <w:color w:val="auto"/>
              </w:rPr>
            </w:pPr>
          </w:p>
        </w:tc>
      </w:tr>
      <w:tr>
        <w:trPr>
          <w:trHeight w:val="204"/>
        </w:trPr>
        <w:tc>
          <w:tcPr>
            <w:tcW w:w="2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1,056,611</w:t>
            </w:r>
          </w:p>
        </w:tc>
        <w:tc>
          <w:tcPr>
            <w:tcW w:w="0" w:type="dxa"/>
            <w:vAlign w:val="bottom"/>
          </w:tcPr>
          <w:p>
            <w:pPr>
              <w:spacing w:after="0"/>
              <w:rPr>
                <w:sz w:val="1"/>
                <w:szCs w:val="1"/>
                <w:color w:val="auto"/>
              </w:rPr>
            </w:pPr>
          </w:p>
        </w:tc>
      </w:tr>
      <w:tr>
        <w:trPr>
          <w:trHeight w:val="160"/>
        </w:trPr>
        <w:tc>
          <w:tcPr>
            <w:tcW w:w="2840" w:type="dxa"/>
            <w:vAlign w:val="bottom"/>
          </w:tcPr>
          <w:p>
            <w:pPr>
              <w:ind w:left="20"/>
              <w:spacing w:after="0" w:line="160"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tcPr>
          <w:p>
            <w:pPr>
              <w:spacing w:after="0"/>
              <w:rPr>
                <w:sz w:val="13"/>
                <w:szCs w:val="13"/>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9"/>
        </w:trPr>
        <w:tc>
          <w:tcPr>
            <w:tcW w:w="2840" w:type="dxa"/>
            <w:vAlign w:val="bottom"/>
          </w:tcPr>
          <w:p>
            <w:pPr>
              <w:ind w:left="20"/>
              <w:spacing w:after="0"/>
              <w:rPr>
                <w:sz w:val="20"/>
                <w:szCs w:val="20"/>
                <w:color w:val="auto"/>
              </w:rPr>
            </w:pPr>
            <w:r>
              <w:rPr>
                <w:rFonts w:ascii="Arial" w:cs="Arial" w:eastAsia="Arial" w:hAnsi="Arial"/>
                <w:sz w:val="16"/>
                <w:szCs w:val="16"/>
                <w:color w:val="auto"/>
                <w:w w:val="88"/>
              </w:rPr>
              <w:t>restricted stock, and related tax withholdings</w:t>
            </w: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204"/>
        </w:trPr>
        <w:tc>
          <w:tcPr>
            <w:tcW w:w="2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35,476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35,476</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Arial" w:cs="Arial" w:eastAsia="Arial" w:hAnsi="Arial"/>
                <w:sz w:val="16"/>
                <w:szCs w:val="16"/>
                <w:color w:val="auto"/>
              </w:rPr>
              <w:t>Balance - September 30, 2021</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1,135,465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(35,600)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1,097,480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OPERATIONS AND PRESENTATION OF FINANCIAL STATEMENTS</w:t>
      </w:r>
    </w:p>
    <w:p>
      <w:pPr>
        <w:spacing w:after="0" w:line="179" w:lineRule="exact"/>
        <w:rPr>
          <w:sz w:val="20"/>
          <w:szCs w:val="20"/>
          <w:color w:val="auto"/>
        </w:rPr>
      </w:pPr>
    </w:p>
    <w:p>
      <w:pPr>
        <w:ind w:right="80" w:firstLine="310"/>
        <w:spacing w:after="0" w:line="272"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 7,</w:t>
      </w:r>
      <w:r>
        <w:rPr>
          <w:rFonts w:ascii="Arial" w:cs="Arial" w:eastAsia="Arial" w:hAnsi="Arial"/>
          <w:sz w:val="17"/>
          <w:szCs w:val="17"/>
          <w:b w:val="1"/>
          <w:bCs w:val="1"/>
          <w:color w:val="auto"/>
        </w:rPr>
        <w:t xml:space="preserve"> </w:t>
      </w:r>
      <w:r>
        <w:rPr>
          <w:rFonts w:ascii="Arial" w:cs="Arial" w:eastAsia="Arial" w:hAnsi="Arial"/>
          <w:sz w:val="17"/>
          <w:szCs w:val="17"/>
          <w:color w:val="auto"/>
        </w:rPr>
        <w:t>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30" w:lineRule="exact"/>
        <w:rPr>
          <w:sz w:val="20"/>
          <w:szCs w:val="20"/>
          <w:color w:val="auto"/>
        </w:rPr>
      </w:pPr>
    </w:p>
    <w:p>
      <w:pPr>
        <w:ind w:firstLine="310"/>
        <w:spacing w:after="0" w:line="258" w:lineRule="auto"/>
        <w:rPr>
          <w:sz w:val="20"/>
          <w:szCs w:val="20"/>
          <w:color w:val="auto"/>
        </w:rPr>
      </w:pPr>
      <w:r>
        <w:rPr>
          <w:rFonts w:ascii="Arial" w:cs="Arial" w:eastAsia="Arial" w:hAnsi="Arial"/>
          <w:sz w:val="17"/>
          <w:szCs w:val="17"/>
          <w:color w:val="auto"/>
        </w:rPr>
        <w:t xml:space="preserve">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(“Option Care Health”, or the “Company”). The combined Company’s stock is listed on the Nasdaq Global Select Market as of September 30, 2021. See Note 15, </w:t>
      </w:r>
      <w:r>
        <w:rPr>
          <w:rFonts w:ascii="Arial" w:cs="Arial" w:eastAsia="Arial" w:hAnsi="Arial"/>
          <w:sz w:val="17"/>
          <w:szCs w:val="17"/>
          <w:i w:val="1"/>
          <w:iCs w:val="1"/>
          <w:color w:val="auto"/>
        </w:rPr>
        <w:t>Stockholders’ Equity</w:t>
      </w:r>
      <w:r>
        <w:rPr>
          <w:rFonts w:ascii="Arial" w:cs="Arial" w:eastAsia="Arial" w:hAnsi="Arial"/>
          <w:sz w:val="17"/>
          <w:szCs w:val="17"/>
          <w:color w:val="auto"/>
        </w:rPr>
        <w:t>, for further discussion of HC I’s ownership as of September 30, 2021.</w:t>
      </w:r>
    </w:p>
    <w:p>
      <w:pPr>
        <w:spacing w:after="0" w:line="157" w:lineRule="exact"/>
        <w:rPr>
          <w:sz w:val="20"/>
          <w:szCs w:val="20"/>
          <w:color w:val="auto"/>
        </w:rPr>
      </w:pPr>
    </w:p>
    <w:p>
      <w:pPr>
        <w:ind w:right="160" w:firstLine="310"/>
        <w:spacing w:after="0" w:line="263" w:lineRule="auto"/>
        <w:rPr>
          <w:sz w:val="20"/>
          <w:szCs w:val="20"/>
          <w:color w:val="auto"/>
        </w:rPr>
      </w:pPr>
      <w:r>
        <w:rPr>
          <w:rFonts w:ascii="Arial" w:cs="Arial" w:eastAsia="Arial" w:hAnsi="Arial"/>
          <w:sz w:val="17"/>
          <w:szCs w:val="17"/>
          <w:color w:val="auto"/>
        </w:rPr>
        <w:t>Option Care Health, and its wholly-owned subsidiaries, provides infusion therapy and other ancillary health care services through a national network of 98 full service pharmacies.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32" w:lineRule="exact"/>
        <w:rPr>
          <w:sz w:val="20"/>
          <w:szCs w:val="20"/>
          <w:color w:val="auto"/>
        </w:rPr>
      </w:pPr>
    </w:p>
    <w:p>
      <w:pPr>
        <w:ind w:right="40" w:firstLine="310"/>
        <w:spacing w:after="0" w:line="25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unaudited condensed consolidated financial statements have been prepared in conformity with 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2020 audited consolidated financial statements, including the notes thereto, as presented in the Annual Report on Form 10-K filed with the Securities and Exchange Commission on March 11, 2021.</w:t>
      </w:r>
    </w:p>
    <w:p>
      <w:pPr>
        <w:spacing w:after="0" w:line="138" w:lineRule="exact"/>
        <w:rPr>
          <w:sz w:val="20"/>
          <w:szCs w:val="20"/>
          <w:color w:val="auto"/>
        </w:rPr>
      </w:pPr>
    </w:p>
    <w:p>
      <w:pPr>
        <w:ind w:right="80" w:firstLine="310"/>
        <w:spacing w:after="0" w:line="290"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 The Company’s unaudited condensed consolidated financial statements include the accounts of Option Care Health, Inc.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subsidiaries. All intercompany transactions and balances are eliminated in consolidation.</w:t>
      </w:r>
    </w:p>
    <w:p>
      <w:pPr>
        <w:spacing w:after="0" w:line="128" w:lineRule="exact"/>
        <w:rPr>
          <w:sz w:val="20"/>
          <w:szCs w:val="20"/>
          <w:color w:val="auto"/>
        </w:rPr>
      </w:pPr>
    </w:p>
    <w:p>
      <w:pPr>
        <w:ind w:firstLine="310"/>
        <w:spacing w:after="0" w:line="263" w:lineRule="auto"/>
        <w:rPr>
          <w:sz w:val="20"/>
          <w:szCs w:val="20"/>
          <w:color w:val="auto"/>
        </w:rPr>
      </w:pPr>
      <w:r>
        <w:rPr>
          <w:rFonts w:ascii="Arial" w:cs="Arial" w:eastAsia="Arial" w:hAnsi="Arial"/>
          <w:sz w:val="17"/>
          <w:szCs w:val="17"/>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(loss). See Equity-Method Investments within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Cash and Cash Equivalents </w:t>
      </w:r>
      <w:r>
        <w:rPr>
          <w:rFonts w:ascii="Arial" w:cs="Arial" w:eastAsia="Arial" w:hAnsi="Arial"/>
          <w:sz w:val="15"/>
          <w:szCs w:val="15"/>
          <w:color w:val="auto"/>
        </w:rPr>
        <w:t>— The Company considers all highly liquid investments with original maturities of three months or less to be cash equivalents.</w:t>
      </w:r>
    </w:p>
    <w:p>
      <w:pPr>
        <w:spacing w:after="0" w:line="208" w:lineRule="exact"/>
        <w:rPr>
          <w:sz w:val="20"/>
          <w:szCs w:val="20"/>
          <w:color w:val="auto"/>
        </w:rPr>
      </w:pPr>
    </w:p>
    <w:p>
      <w:pPr>
        <w:ind w:right="200" w:firstLine="310"/>
        <w:spacing w:after="0" w:line="309" w:lineRule="auto"/>
        <w:rPr>
          <w:sz w:val="20"/>
          <w:szCs w:val="20"/>
          <w:color w:val="auto"/>
        </w:rPr>
      </w:pPr>
      <w:r>
        <w:rPr>
          <w:rFonts w:ascii="Arial" w:cs="Arial" w:eastAsia="Arial" w:hAnsi="Arial"/>
          <w:sz w:val="15"/>
          <w:szCs w:val="15"/>
          <w:color w:val="auto"/>
        </w:rPr>
        <w:t>In April 2020, the Company received $11.7 million in Coronavirus Aid, Relief, and Economic Security Act (“CARES Act”) grant funds from the federal government, which was reflected in the second quarter 2020 as a cash inflow from financing activities within other financing cash flows in the unaudited condensed consolidated statements of cash flows. During the third quarter 2020, the Company returned the funds as unused to the federal government, which was reflected as a cash outflow from financing activities within other financing cash flows in the unaudited condensed consolidated statements of cash flows.</w:t>
      </w:r>
    </w:p>
    <w:p>
      <w:pPr>
        <w:spacing w:after="0" w:line="101" w:lineRule="exact"/>
        <w:rPr>
          <w:sz w:val="20"/>
          <w:szCs w:val="20"/>
          <w:color w:val="auto"/>
        </w:rPr>
      </w:pPr>
    </w:p>
    <w:p>
      <w:pPr>
        <w:ind w:right="140" w:firstLine="310"/>
        <w:spacing w:after="0" w:line="272" w:lineRule="auto"/>
        <w:rPr>
          <w:sz w:val="20"/>
          <w:szCs w:val="20"/>
          <w:color w:val="auto"/>
        </w:rPr>
      </w:pPr>
      <w:r>
        <w:rPr>
          <w:rFonts w:ascii="Arial" w:cs="Arial" w:eastAsia="Arial" w:hAnsi="Arial"/>
          <w:sz w:val="17"/>
          <w:szCs w:val="17"/>
          <w:b w:val="1"/>
          <w:bCs w:val="1"/>
          <w:color w:val="auto"/>
        </w:rPr>
        <w:t xml:space="preserve">Prepaid expenses and other current assets </w:t>
      </w:r>
      <w:r>
        <w:rPr>
          <w:rFonts w:ascii="Arial" w:cs="Arial" w:eastAsia="Arial" w:hAnsi="Arial"/>
          <w:sz w:val="17"/>
          <w:szCs w:val="17"/>
          <w:color w:val="auto"/>
        </w:rPr>
        <w:t>— Included in prepaid expenses and other current assets are rebates receivable from pharmaceutical and medical</w:t>
      </w:r>
      <w:r>
        <w:rPr>
          <w:rFonts w:ascii="Arial" w:cs="Arial" w:eastAsia="Arial" w:hAnsi="Arial"/>
          <w:sz w:val="17"/>
          <w:szCs w:val="17"/>
          <w:b w:val="1"/>
          <w:bCs w:val="1"/>
          <w:color w:val="auto"/>
        </w:rPr>
        <w:t xml:space="preserve"> </w:t>
      </w:r>
      <w:r>
        <w:rPr>
          <w:rFonts w:ascii="Arial" w:cs="Arial" w:eastAsia="Arial" w:hAnsi="Arial"/>
          <w:sz w:val="17"/>
          <w:szCs w:val="17"/>
          <w:color w:val="auto"/>
        </w:rPr>
        <w:t>supply manufacturers of $36.9 million and $35.2 million as of September 30, 2021 and December 31, 2020, respectively. There were no other items included in prepaid expenses and other current assets that comprised 5% or more of total current assets.</w:t>
      </w:r>
    </w:p>
    <w:p>
      <w:pPr>
        <w:spacing w:after="0" w:line="188" w:lineRule="exact"/>
        <w:rPr>
          <w:sz w:val="20"/>
          <w:szCs w:val="20"/>
          <w:color w:val="auto"/>
        </w:rPr>
      </w:pPr>
    </w:p>
    <w:p>
      <w:pPr>
        <w:ind w:right="100" w:firstLine="310"/>
        <w:spacing w:after="0" w:line="274" w:lineRule="auto"/>
        <w:rPr>
          <w:sz w:val="20"/>
          <w:szCs w:val="20"/>
          <w:color w:val="auto"/>
        </w:rPr>
      </w:pPr>
      <w:r>
        <w:rPr>
          <w:rFonts w:ascii="Arial" w:cs="Arial" w:eastAsia="Arial" w:hAnsi="Arial"/>
          <w:sz w:val="16"/>
          <w:szCs w:val="16"/>
          <w:b w:val="1"/>
          <w:bCs w:val="1"/>
          <w:color w:val="auto"/>
        </w:rPr>
        <w:t xml:space="preserve">Equity Method Investments </w:t>
      </w:r>
      <w:r>
        <w:rPr>
          <w:rFonts w:ascii="Arial" w:cs="Arial" w:eastAsia="Arial" w:hAnsi="Arial"/>
          <w:sz w:val="16"/>
          <w:szCs w:val="16"/>
          <w:color w:val="auto"/>
        </w:rPr>
        <w:t>— The Company’s investments in certain unconsolidated entities are accounted for under the equity method. The balance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these investments is included in other noncurrent assets in the accompanying condensed consolidated balance sheets. As of September 30, 2021 and December 31, 2020, the balance of the investments were $20.3 million and $17.0 million, respectively. The investments are increased to reflect the Company’s capital contributions and equity in earnings of the investees. The investments are decreased to reflect the Company’s equity in losses of the investees and for distributions received that are not in excess of the carrying amount of the investments. The Company’s proportionate share of earnings or losses of the investees are recorded in equity in earnings of joint ventures in the accompanying unaudited condensed consolidated statements of comprehensive income (loss). The Company’s proportionate share of earnings was $1.7 million and $4.6 million for the three and nine months ended September 30, 2021. The Company’s proportionate share of earnings was $0.8 million and $2.4 million for the three and nine months ended September 30, 2020. Distributions from the investees are treated as cash inflows from operating activities within other adjustments in the unaudited condensed consolidated statements of cash flows. During the three and nine months ended September 30, 2021, the Company received distributions from the investees of $1.3 million and $1.3 million, respectively. During the three and nine months ended September 30, 2020, the Company received distributions from the investees of $2.3 million and $2.8 million, respectively. See Footnote 16, </w:t>
      </w:r>
      <w:r>
        <w:rPr>
          <w:rFonts w:ascii="Arial" w:cs="Arial" w:eastAsia="Arial" w:hAnsi="Arial"/>
          <w:sz w:val="16"/>
          <w:szCs w:val="16"/>
          <w:i w:val="1"/>
          <w:iCs w:val="1"/>
          <w:color w:val="auto"/>
        </w:rPr>
        <w:t>Related-Party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for discussion of related-party transactions with these investees.</w:t>
      </w:r>
    </w:p>
    <w:p>
      <w:pPr>
        <w:spacing w:after="0" w:line="128" w:lineRule="exact"/>
        <w:rPr>
          <w:sz w:val="20"/>
          <w:szCs w:val="20"/>
          <w:color w:val="auto"/>
        </w:rPr>
      </w:pPr>
    </w:p>
    <w:p>
      <w:pPr>
        <w:ind w:right="100" w:firstLine="310"/>
        <w:spacing w:after="0" w:line="231" w:lineRule="auto"/>
        <w:rPr>
          <w:sz w:val="20"/>
          <w:szCs w:val="20"/>
          <w:color w:val="auto"/>
        </w:rPr>
      </w:pPr>
      <w:r>
        <w:rPr>
          <w:rFonts w:ascii="Arial" w:cs="Arial" w:eastAsia="Arial" w:hAnsi="Arial"/>
          <w:sz w:val="17"/>
          <w:szCs w:val="17"/>
          <w:b w:val="1"/>
          <w:bCs w:val="1"/>
          <w:color w:val="auto"/>
        </w:rPr>
        <w:t xml:space="preserve">Immaterial Error Correction </w:t>
      </w:r>
      <w:r>
        <w:rPr>
          <w:rFonts w:ascii="Arial" w:cs="Arial" w:eastAsia="Arial" w:hAnsi="Arial"/>
          <w:sz w:val="17"/>
          <w:szCs w:val="17"/>
          <w:color w:val="auto"/>
        </w:rPr>
        <w:t>— During the three months ended June 30, 2021, the Company identified prior period misstatements related to the net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earned by category of payer for the periods ended September 30, 2020, December 31, 2020, March 31, 2021, and June 30, 2021. Certain individual payers were improperly classified as direct government and instead should have been classified as commercial payers. This error over-stated the Company’s government revenues and under-stated the Company’s commercial revenues in those periods. The Company assessed the materiality of these misstatements both quantitatively and qualitatively and determined the correction of these errors to be immaterial to the prior consolidated financial statements taken as a whole. As a result, the Company has corrected the misstatements as disclosed in the following tables:</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w w:val="99"/>
              </w:rPr>
              <w:t>Three Months ended</w:t>
            </w:r>
          </w:p>
        </w:tc>
        <w:tc>
          <w:tcPr>
            <w:tcW w:w="340" w:type="dxa"/>
            <w:vAlign w:val="bottom"/>
          </w:tcPr>
          <w:p>
            <w:pPr>
              <w:spacing w:after="0"/>
              <w:rPr>
                <w:sz w:val="16"/>
                <w:szCs w:val="16"/>
                <w:color w:val="auto"/>
              </w:rPr>
            </w:pPr>
          </w:p>
        </w:tc>
        <w:tc>
          <w:tcPr>
            <w:tcW w:w="25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6"/>
              </w:rPr>
              <w:t>Nine Months ended September</w:t>
            </w:r>
          </w:p>
        </w:tc>
        <w:tc>
          <w:tcPr>
            <w:tcW w:w="320" w:type="dxa"/>
            <w:vAlign w:val="bottom"/>
          </w:tcPr>
          <w:p>
            <w:pPr>
              <w:spacing w:after="0"/>
              <w:rPr>
                <w:sz w:val="16"/>
                <w:szCs w:val="16"/>
                <w:color w:val="auto"/>
              </w:rPr>
            </w:pPr>
          </w:p>
        </w:tc>
        <w:tc>
          <w:tcPr>
            <w:tcW w:w="174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w w:val="98"/>
              </w:rPr>
              <w:t>Three Months ended</w:t>
            </w:r>
          </w:p>
        </w:tc>
        <w:tc>
          <w:tcPr>
            <w:tcW w:w="34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c>
          <w:tcPr>
            <w:tcW w:w="0" w:type="dxa"/>
            <w:vAlign w:val="bottom"/>
          </w:tcPr>
          <w:p>
            <w:pPr>
              <w:spacing w:after="0"/>
              <w:rPr>
                <w:sz w:val="1"/>
                <w:szCs w:val="1"/>
                <w:color w:val="auto"/>
              </w:rPr>
            </w:pPr>
          </w:p>
        </w:tc>
      </w:tr>
      <w:tr>
        <w:trPr>
          <w:trHeight w:val="204"/>
        </w:trPr>
        <w:tc>
          <w:tcPr>
            <w:tcW w:w="1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6"/>
                <w:szCs w:val="16"/>
                <w:b w:val="1"/>
                <w:bCs w:val="1"/>
                <w:color w:val="auto"/>
                <w:w w:val="90"/>
              </w:rPr>
              <w:t>September 30, 2020</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30, 2020</w:t>
            </w: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6"/>
                <w:szCs w:val="16"/>
                <w:b w:val="1"/>
                <w:bCs w:val="1"/>
                <w:color w:val="auto"/>
                <w:w w:val="92"/>
              </w:rPr>
              <w:t>December 31, 2020</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31, 2020</w:t>
            </w: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b w:val="1"/>
                <w:bCs w:val="1"/>
                <w:color w:val="auto"/>
                <w:w w:val="95"/>
              </w:rPr>
              <w:t>Amount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Amount</w:t>
            </w: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b w:val="1"/>
                <w:bCs w:val="1"/>
                <w:color w:val="auto"/>
                <w:w w:val="95"/>
              </w:rPr>
              <w:t>Amount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Amount</w:t>
            </w: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92"/>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92"/>
              </w:rPr>
              <w:t>Revenue</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320"/>
              <w:spacing w:after="0" w:line="182" w:lineRule="exact"/>
              <w:rPr>
                <w:sz w:val="20"/>
                <w:szCs w:val="20"/>
                <w:color w:val="auto"/>
              </w:rPr>
            </w:pPr>
            <w:r>
              <w:rPr>
                <w:rFonts w:ascii="Arial" w:cs="Arial" w:eastAsia="Arial" w:hAnsi="Arial"/>
                <w:sz w:val="16"/>
                <w:szCs w:val="16"/>
                <w:b w:val="1"/>
                <w:bCs w:val="1"/>
                <w:color w:val="auto"/>
                <w:w w:val="92"/>
              </w:rPr>
              <w:t>Commercial:</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w w:val="92"/>
              </w:rPr>
              <w:t>As Previously</w:t>
            </w: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644,385</w:t>
            </w:r>
          </w:p>
        </w:tc>
        <w:tc>
          <w:tcPr>
            <w:tcW w:w="8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82.4</w:t>
            </w:r>
          </w:p>
        </w:tc>
        <w:tc>
          <w:tcPr>
            <w:tcW w:w="3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2"/>
              <w:spacing w:after="0" w:line="162" w:lineRule="exact"/>
              <w:rPr>
                <w:sz w:val="20"/>
                <w:szCs w:val="20"/>
                <w:color w:val="auto"/>
              </w:rPr>
            </w:pPr>
            <w:r>
              <w:rPr>
                <w:rFonts w:ascii="Arial" w:cs="Arial" w:eastAsia="Arial" w:hAnsi="Arial"/>
                <w:sz w:val="16"/>
                <w:szCs w:val="16"/>
                <w:color w:val="auto"/>
              </w:rPr>
              <w:t>1,893,105</w:t>
            </w:r>
          </w:p>
        </w:tc>
        <w:tc>
          <w:tcPr>
            <w:tcW w:w="720" w:type="dxa"/>
            <w:vAlign w:val="bottom"/>
            <w:shd w:val="clear" w:color="auto" w:fill="CCEEFF"/>
          </w:tcPr>
          <w:p>
            <w:pPr>
              <w:jc w:val="right"/>
              <w:ind w:right="222"/>
              <w:spacing w:after="0" w:line="162" w:lineRule="exact"/>
              <w:rPr>
                <w:sz w:val="20"/>
                <w:szCs w:val="20"/>
                <w:color w:val="auto"/>
              </w:rPr>
            </w:pPr>
            <w:r>
              <w:rPr>
                <w:rFonts w:ascii="Arial" w:cs="Arial" w:eastAsia="Arial" w:hAnsi="Arial"/>
                <w:sz w:val="16"/>
                <w:szCs w:val="16"/>
                <w:color w:val="auto"/>
              </w:rPr>
              <w:t>85.0</w:t>
            </w:r>
          </w:p>
        </w:tc>
        <w:tc>
          <w:tcPr>
            <w:tcW w:w="340" w:type="dxa"/>
            <w:vAlign w:val="bottom"/>
            <w:shd w:val="clear" w:color="auto" w:fill="CCEEFF"/>
          </w:tcPr>
          <w:p>
            <w:pPr>
              <w:jc w:val="right"/>
              <w:ind w:right="82"/>
              <w:spacing w:after="0" w:line="162"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649,880</w:t>
            </w:r>
          </w:p>
        </w:tc>
        <w:tc>
          <w:tcPr>
            <w:tcW w:w="8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80.8</w:t>
            </w:r>
          </w:p>
        </w:tc>
        <w:tc>
          <w:tcPr>
            <w:tcW w:w="3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2"/>
              <w:spacing w:after="0" w:line="162" w:lineRule="exact"/>
              <w:rPr>
                <w:sz w:val="20"/>
                <w:szCs w:val="20"/>
                <w:color w:val="auto"/>
              </w:rPr>
            </w:pPr>
            <w:r>
              <w:rPr>
                <w:rFonts w:ascii="Arial" w:cs="Arial" w:eastAsia="Arial" w:hAnsi="Arial"/>
                <w:sz w:val="16"/>
                <w:szCs w:val="16"/>
                <w:color w:val="auto"/>
              </w:rPr>
              <w:t>2,542,985</w:t>
            </w:r>
          </w:p>
        </w:tc>
        <w:tc>
          <w:tcPr>
            <w:tcW w:w="72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83.9</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40" w:type="dxa"/>
            <w:vAlign w:val="bottom"/>
          </w:tcPr>
          <w:p>
            <w:pPr>
              <w:ind w:left="320"/>
              <w:spacing w:after="0"/>
              <w:rPr>
                <w:sz w:val="20"/>
                <w:szCs w:val="20"/>
                <w:color w:val="auto"/>
              </w:rPr>
            </w:pPr>
            <w:r>
              <w:rPr>
                <w:rFonts w:ascii="Arial" w:cs="Arial" w:eastAsia="Arial" w:hAnsi="Arial"/>
                <w:sz w:val="16"/>
                <w:szCs w:val="16"/>
                <w:color w:val="auto"/>
              </w:rPr>
              <w:t>Adjustment</w:t>
            </w:r>
          </w:p>
        </w:tc>
        <w:tc>
          <w:tcPr>
            <w:tcW w:w="4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34,321</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4.4</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34,321</w:t>
            </w:r>
          </w:p>
        </w:tc>
        <w:tc>
          <w:tcPr>
            <w:tcW w:w="720" w:type="dxa"/>
            <w:vAlign w:val="bottom"/>
          </w:tcPr>
          <w:p>
            <w:pPr>
              <w:jc w:val="right"/>
              <w:ind w:right="242"/>
              <w:spacing w:after="0"/>
              <w:rPr>
                <w:sz w:val="20"/>
                <w:szCs w:val="20"/>
                <w:color w:val="auto"/>
              </w:rPr>
            </w:pPr>
            <w:r>
              <w:rPr>
                <w:rFonts w:ascii="Arial" w:cs="Arial" w:eastAsia="Arial" w:hAnsi="Arial"/>
                <w:sz w:val="16"/>
                <w:szCs w:val="16"/>
                <w:color w:val="auto"/>
              </w:rPr>
              <w:t>1.5</w:t>
            </w:r>
          </w:p>
        </w:tc>
        <w:tc>
          <w:tcPr>
            <w:tcW w:w="3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40,806</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5.1</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75,127</w:t>
            </w:r>
          </w:p>
        </w:tc>
        <w:tc>
          <w:tcPr>
            <w:tcW w:w="720" w:type="dxa"/>
            <w:vAlign w:val="bottom"/>
          </w:tcPr>
          <w:p>
            <w:pPr>
              <w:jc w:val="right"/>
              <w:ind w:right="242"/>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 Revised</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678,706</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86.8</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1,927,426</w:t>
            </w:r>
          </w:p>
        </w:tc>
        <w:tc>
          <w:tcPr>
            <w:tcW w:w="7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86.5</w:t>
            </w: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690,686</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85.9</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2,618,112</w:t>
            </w:r>
          </w:p>
        </w:tc>
        <w:tc>
          <w:tcPr>
            <w:tcW w:w="7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w w:val="90"/>
              </w:rPr>
              <w:t>Government:</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320"/>
              <w:spacing w:after="0" w:line="160" w:lineRule="exact"/>
              <w:rPr>
                <w:sz w:val="20"/>
                <w:szCs w:val="20"/>
                <w:color w:val="auto"/>
              </w:rPr>
            </w:pPr>
            <w:r>
              <w:rPr>
                <w:rFonts w:ascii="Arial" w:cs="Arial" w:eastAsia="Arial" w:hAnsi="Arial"/>
                <w:sz w:val="16"/>
                <w:szCs w:val="16"/>
                <w:color w:val="auto"/>
                <w:w w:val="92"/>
              </w:rPr>
              <w:t>As Previously</w:t>
            </w:r>
          </w:p>
        </w:tc>
        <w:tc>
          <w:tcPr>
            <w:tcW w:w="460" w:type="dxa"/>
            <w:vAlign w:val="bottom"/>
          </w:tcPr>
          <w:p>
            <w:pPr>
              <w:spacing w:after="0"/>
              <w:rPr>
                <w:sz w:val="13"/>
                <w:szCs w:val="13"/>
                <w:color w:val="auto"/>
              </w:rPr>
            </w:pPr>
          </w:p>
        </w:tc>
        <w:tc>
          <w:tcPr>
            <w:tcW w:w="940" w:type="dxa"/>
            <w:vAlign w:val="bottom"/>
          </w:tcPr>
          <w:p>
            <w:pPr>
              <w:jc w:val="right"/>
              <w:ind w:right="62"/>
              <w:spacing w:after="0" w:line="160" w:lineRule="exact"/>
              <w:rPr>
                <w:sz w:val="20"/>
                <w:szCs w:val="20"/>
                <w:color w:val="auto"/>
              </w:rPr>
            </w:pPr>
            <w:r>
              <w:rPr>
                <w:rFonts w:ascii="Arial" w:cs="Arial" w:eastAsia="Arial" w:hAnsi="Arial"/>
                <w:sz w:val="16"/>
                <w:szCs w:val="16"/>
                <w:color w:val="auto"/>
              </w:rPr>
              <w:t>127,435</w:t>
            </w:r>
          </w:p>
        </w:tc>
        <w:tc>
          <w:tcPr>
            <w:tcW w:w="8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16.3</w:t>
            </w:r>
          </w:p>
        </w:tc>
        <w:tc>
          <w:tcPr>
            <w:tcW w:w="340" w:type="dxa"/>
            <w:vAlign w:val="bottom"/>
          </w:tcPr>
          <w:p>
            <w:pPr>
              <w:jc w:val="right"/>
              <w:ind w:right="102"/>
              <w:spacing w:after="0" w:line="160" w:lineRule="exact"/>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3"/>
                <w:szCs w:val="13"/>
                <w:color w:val="auto"/>
              </w:rPr>
            </w:pPr>
          </w:p>
        </w:tc>
        <w:tc>
          <w:tcPr>
            <w:tcW w:w="1100" w:type="dxa"/>
            <w:vAlign w:val="bottom"/>
          </w:tcPr>
          <w:p>
            <w:pPr>
              <w:jc w:val="right"/>
              <w:ind w:right="122"/>
              <w:spacing w:after="0" w:line="160" w:lineRule="exact"/>
              <w:rPr>
                <w:sz w:val="20"/>
                <w:szCs w:val="20"/>
                <w:color w:val="auto"/>
              </w:rPr>
            </w:pPr>
            <w:r>
              <w:rPr>
                <w:rFonts w:ascii="Arial" w:cs="Arial" w:eastAsia="Arial" w:hAnsi="Arial"/>
                <w:sz w:val="16"/>
                <w:szCs w:val="16"/>
                <w:color w:val="auto"/>
              </w:rPr>
              <w:t>308,830</w:t>
            </w:r>
          </w:p>
        </w:tc>
        <w:tc>
          <w:tcPr>
            <w:tcW w:w="720" w:type="dxa"/>
            <w:vAlign w:val="bottom"/>
          </w:tcPr>
          <w:p>
            <w:pPr>
              <w:jc w:val="right"/>
              <w:ind w:right="222"/>
              <w:spacing w:after="0" w:line="160" w:lineRule="exact"/>
              <w:rPr>
                <w:sz w:val="20"/>
                <w:szCs w:val="20"/>
                <w:color w:val="auto"/>
              </w:rPr>
            </w:pPr>
            <w:r>
              <w:rPr>
                <w:rFonts w:ascii="Arial" w:cs="Arial" w:eastAsia="Arial" w:hAnsi="Arial"/>
                <w:sz w:val="16"/>
                <w:szCs w:val="16"/>
                <w:color w:val="auto"/>
              </w:rPr>
              <w:t>13.9</w:t>
            </w:r>
          </w:p>
        </w:tc>
        <w:tc>
          <w:tcPr>
            <w:tcW w:w="340" w:type="dxa"/>
            <w:vAlign w:val="bottom"/>
          </w:tcPr>
          <w:p>
            <w:pPr>
              <w:jc w:val="right"/>
              <w:ind w:right="82"/>
              <w:spacing w:after="0" w:line="160"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940" w:type="dxa"/>
            <w:vAlign w:val="bottom"/>
          </w:tcPr>
          <w:p>
            <w:pPr>
              <w:jc w:val="right"/>
              <w:ind w:right="62"/>
              <w:spacing w:after="0" w:line="160" w:lineRule="exact"/>
              <w:rPr>
                <w:sz w:val="20"/>
                <w:szCs w:val="20"/>
                <w:color w:val="auto"/>
              </w:rPr>
            </w:pPr>
            <w:r>
              <w:rPr>
                <w:rFonts w:ascii="Arial" w:cs="Arial" w:eastAsia="Arial" w:hAnsi="Arial"/>
                <w:sz w:val="16"/>
                <w:szCs w:val="16"/>
                <w:color w:val="auto"/>
              </w:rPr>
              <w:t>141,237</w:t>
            </w:r>
          </w:p>
        </w:tc>
        <w:tc>
          <w:tcPr>
            <w:tcW w:w="8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17.6</w:t>
            </w:r>
          </w:p>
        </w:tc>
        <w:tc>
          <w:tcPr>
            <w:tcW w:w="340" w:type="dxa"/>
            <w:vAlign w:val="bottom"/>
          </w:tcPr>
          <w:p>
            <w:pPr>
              <w:jc w:val="right"/>
              <w:ind w:right="102"/>
              <w:spacing w:after="0" w:line="160" w:lineRule="exact"/>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3"/>
                <w:szCs w:val="13"/>
                <w:color w:val="auto"/>
              </w:rPr>
            </w:pPr>
          </w:p>
        </w:tc>
        <w:tc>
          <w:tcPr>
            <w:tcW w:w="1100" w:type="dxa"/>
            <w:vAlign w:val="bottom"/>
          </w:tcPr>
          <w:p>
            <w:pPr>
              <w:jc w:val="right"/>
              <w:ind w:right="122"/>
              <w:spacing w:after="0" w:line="160" w:lineRule="exact"/>
              <w:rPr>
                <w:sz w:val="20"/>
                <w:szCs w:val="20"/>
                <w:color w:val="auto"/>
              </w:rPr>
            </w:pPr>
            <w:r>
              <w:rPr>
                <w:rFonts w:ascii="Arial" w:cs="Arial" w:eastAsia="Arial" w:hAnsi="Arial"/>
                <w:sz w:val="16"/>
                <w:szCs w:val="16"/>
                <w:color w:val="auto"/>
              </w:rPr>
              <w:t>450,067</w:t>
            </w:r>
          </w:p>
        </w:tc>
        <w:tc>
          <w:tcPr>
            <w:tcW w:w="72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14.8</w:t>
            </w:r>
          </w:p>
        </w:tc>
        <w:tc>
          <w:tcPr>
            <w:tcW w:w="1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240" w:type="dxa"/>
            <w:vAlign w:val="bottom"/>
          </w:tcPr>
          <w:p>
            <w:pPr>
              <w:ind w:left="20"/>
              <w:spacing w:after="0"/>
              <w:rPr>
                <w:sz w:val="20"/>
                <w:szCs w:val="20"/>
                <w:color w:val="auto"/>
              </w:rPr>
            </w:pPr>
            <w:r>
              <w:rPr>
                <w:rFonts w:ascii="Arial" w:cs="Arial" w:eastAsia="Arial" w:hAnsi="Arial"/>
                <w:sz w:val="16"/>
                <w:szCs w:val="16"/>
                <w:color w:val="auto"/>
              </w:rPr>
              <w:t>Reported</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(34,321)</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(4.4)</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(34,321)</w:t>
            </w:r>
          </w:p>
        </w:tc>
        <w:tc>
          <w:tcPr>
            <w:tcW w:w="7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(40,806)</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(5.1)</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(75,127)</w:t>
            </w:r>
          </w:p>
        </w:tc>
        <w:tc>
          <w:tcPr>
            <w:tcW w:w="7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240" w:type="dxa"/>
            <w:vAlign w:val="bottom"/>
          </w:tcPr>
          <w:p>
            <w:pPr>
              <w:ind w:left="320"/>
              <w:spacing w:after="0"/>
              <w:rPr>
                <w:sz w:val="20"/>
                <w:szCs w:val="20"/>
                <w:color w:val="auto"/>
              </w:rPr>
            </w:pPr>
            <w:r>
              <w:rPr>
                <w:rFonts w:ascii="Arial" w:cs="Arial" w:eastAsia="Arial" w:hAnsi="Arial"/>
                <w:sz w:val="16"/>
                <w:szCs w:val="16"/>
                <w:color w:val="auto"/>
              </w:rPr>
              <w:t>As Revised</w:t>
            </w:r>
          </w:p>
        </w:tc>
        <w:tc>
          <w:tcPr>
            <w:tcW w:w="4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93,114</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11.9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274,509</w:t>
            </w:r>
          </w:p>
        </w:tc>
        <w:tc>
          <w:tcPr>
            <w:tcW w:w="720" w:type="dxa"/>
            <w:vAlign w:val="bottom"/>
          </w:tcPr>
          <w:p>
            <w:pPr>
              <w:jc w:val="right"/>
              <w:ind w:right="222"/>
              <w:spacing w:after="0"/>
              <w:rPr>
                <w:sz w:val="20"/>
                <w:szCs w:val="20"/>
                <w:color w:val="auto"/>
              </w:rPr>
            </w:pPr>
            <w:r>
              <w:rPr>
                <w:rFonts w:ascii="Arial" w:cs="Arial" w:eastAsia="Arial" w:hAnsi="Arial"/>
                <w:sz w:val="16"/>
                <w:szCs w:val="16"/>
                <w:color w:val="auto"/>
              </w:rPr>
              <w:t>12.4</w:t>
            </w:r>
          </w:p>
        </w:tc>
        <w:tc>
          <w:tcPr>
            <w:tcW w:w="3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100,431</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12.5</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374,940</w:t>
            </w:r>
          </w:p>
        </w:tc>
        <w:tc>
          <w:tcPr>
            <w:tcW w:w="720" w:type="dxa"/>
            <w:vAlign w:val="bottom"/>
          </w:tcPr>
          <w:p>
            <w:pPr>
              <w:jc w:val="right"/>
              <w:ind w:right="242"/>
              <w:spacing w:after="0"/>
              <w:rPr>
                <w:sz w:val="20"/>
                <w:szCs w:val="20"/>
                <w:color w:val="auto"/>
              </w:rPr>
            </w:pPr>
            <w:r>
              <w:rPr>
                <w:rFonts w:ascii="Arial" w:cs="Arial" w:eastAsia="Arial" w:hAnsi="Arial"/>
                <w:sz w:val="16"/>
                <w:szCs w:val="16"/>
                <w:color w:val="auto"/>
              </w:rPr>
              <w:t>12.3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3"/>
          </w:tcPr>
          <w:p>
            <w:pPr>
              <w:jc w:val="right"/>
              <w:ind w:right="182"/>
              <w:spacing w:after="0"/>
              <w:rPr>
                <w:sz w:val="20"/>
                <w:szCs w:val="20"/>
                <w:color w:val="auto"/>
              </w:rPr>
            </w:pPr>
            <w:r>
              <w:rPr>
                <w:rFonts w:ascii="Arial" w:cs="Arial" w:eastAsia="Arial" w:hAnsi="Arial"/>
                <w:sz w:val="16"/>
                <w:szCs w:val="16"/>
                <w:b w:val="1"/>
                <w:bCs w:val="1"/>
                <w:color w:val="auto"/>
                <w:w w:val="89"/>
              </w:rPr>
              <w:t>Three Months ended March</w:t>
            </w:r>
          </w:p>
        </w:tc>
        <w:tc>
          <w:tcPr>
            <w:tcW w:w="24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6"/>
              </w:rPr>
              <w:t>Three Months ended June 30,</w:t>
            </w:r>
          </w:p>
        </w:tc>
        <w:tc>
          <w:tcPr>
            <w:tcW w:w="2340" w:type="dxa"/>
            <w:vAlign w:val="bottom"/>
            <w:gridSpan w:val="4"/>
          </w:tcPr>
          <w:p>
            <w:pPr>
              <w:ind w:left="180"/>
              <w:spacing w:after="0"/>
              <w:rPr>
                <w:sz w:val="20"/>
                <w:szCs w:val="20"/>
                <w:color w:val="auto"/>
              </w:rPr>
            </w:pPr>
            <w:r>
              <w:rPr>
                <w:rFonts w:ascii="Arial" w:cs="Arial" w:eastAsia="Arial" w:hAnsi="Arial"/>
                <w:sz w:val="16"/>
                <w:szCs w:val="16"/>
                <w:b w:val="1"/>
                <w:bCs w:val="1"/>
                <w:color w:val="auto"/>
                <w:w w:val="87"/>
              </w:rPr>
              <w:t>Six Months ended June 30, 2021</w:t>
            </w:r>
          </w:p>
        </w:tc>
        <w:tc>
          <w:tcPr>
            <w:tcW w:w="0" w:type="dxa"/>
            <w:vAlign w:val="bottom"/>
          </w:tcPr>
          <w:p>
            <w:pPr>
              <w:spacing w:after="0"/>
              <w:rPr>
                <w:sz w:val="1"/>
                <w:szCs w:val="1"/>
                <w:color w:val="auto"/>
              </w:rPr>
            </w:pPr>
          </w:p>
        </w:tc>
      </w:tr>
      <w:tr>
        <w:trPr>
          <w:trHeight w:val="204"/>
        </w:trPr>
        <w:tc>
          <w:tcPr>
            <w:tcW w:w="1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31, 2021</w:t>
            </w: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62"/>
              <w:spacing w:after="0"/>
              <w:rPr>
                <w:sz w:val="20"/>
                <w:szCs w:val="20"/>
                <w:color w:val="auto"/>
              </w:rPr>
            </w:pPr>
            <w:r>
              <w:rPr>
                <w:rFonts w:ascii="Arial" w:cs="Arial" w:eastAsia="Arial" w:hAnsi="Arial"/>
                <w:sz w:val="16"/>
                <w:szCs w:val="16"/>
                <w:b w:val="1"/>
                <w:bCs w:val="1"/>
                <w:color w:val="auto"/>
              </w:rPr>
              <w:t>Amount</w:t>
            </w:r>
          </w:p>
        </w:tc>
        <w:tc>
          <w:tcPr>
            <w:tcW w:w="7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02"/>
              <w:spacing w:after="0"/>
              <w:rPr>
                <w:sz w:val="20"/>
                <w:szCs w:val="20"/>
                <w:color w:val="auto"/>
              </w:rPr>
            </w:pPr>
            <w:r>
              <w:rPr>
                <w:rFonts w:ascii="Arial" w:cs="Arial" w:eastAsia="Arial" w:hAnsi="Arial"/>
                <w:sz w:val="16"/>
                <w:szCs w:val="16"/>
                <w:b w:val="1"/>
                <w:bCs w:val="1"/>
                <w:color w:val="auto"/>
                <w:w w:val="95"/>
              </w:rPr>
              <w:t>Amount</w:t>
            </w: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322"/>
              <w:spacing w:after="0"/>
              <w:rPr>
                <w:sz w:val="20"/>
                <w:szCs w:val="20"/>
                <w:color w:val="auto"/>
              </w:rPr>
            </w:pPr>
            <w:r>
              <w:rPr>
                <w:rFonts w:ascii="Arial" w:cs="Arial" w:eastAsia="Arial" w:hAnsi="Arial"/>
                <w:sz w:val="16"/>
                <w:szCs w:val="16"/>
                <w:b w:val="1"/>
                <w:bCs w:val="1"/>
                <w:color w:val="auto"/>
                <w:w w:val="99"/>
              </w:rPr>
              <w:t>Amount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Revenue</w:t>
            </w:r>
          </w:p>
        </w:tc>
        <w:tc>
          <w:tcPr>
            <w:tcW w:w="3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320"/>
              <w:spacing w:after="0" w:line="182" w:lineRule="exact"/>
              <w:rPr>
                <w:sz w:val="20"/>
                <w:szCs w:val="20"/>
                <w:color w:val="auto"/>
              </w:rPr>
            </w:pPr>
            <w:r>
              <w:rPr>
                <w:rFonts w:ascii="Arial" w:cs="Arial" w:eastAsia="Arial" w:hAnsi="Arial"/>
                <w:sz w:val="16"/>
                <w:szCs w:val="16"/>
                <w:b w:val="1"/>
                <w:bCs w:val="1"/>
                <w:color w:val="auto"/>
                <w:w w:val="92"/>
              </w:rPr>
              <w:t>Commercial:</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w w:val="92"/>
              </w:rPr>
              <w:t>As Previously</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2"/>
              <w:spacing w:after="0" w:line="162" w:lineRule="exact"/>
              <w:rPr>
                <w:sz w:val="20"/>
                <w:szCs w:val="20"/>
                <w:color w:val="auto"/>
              </w:rPr>
            </w:pPr>
            <w:r>
              <w:rPr>
                <w:rFonts w:ascii="Arial" w:cs="Arial" w:eastAsia="Arial" w:hAnsi="Arial"/>
                <w:sz w:val="16"/>
                <w:szCs w:val="16"/>
                <w:color w:val="auto"/>
              </w:rPr>
              <w:t>611,434</w:t>
            </w:r>
          </w:p>
        </w:tc>
        <w:tc>
          <w:tcPr>
            <w:tcW w:w="7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80.5</w:t>
            </w:r>
          </w:p>
        </w:tc>
        <w:tc>
          <w:tcPr>
            <w:tcW w:w="3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w w:val="98"/>
              </w:rPr>
              <w:t>%</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42"/>
              <w:spacing w:after="0" w:line="162" w:lineRule="exact"/>
              <w:rPr>
                <w:sz w:val="20"/>
                <w:szCs w:val="20"/>
                <w:color w:val="auto"/>
              </w:rPr>
            </w:pPr>
            <w:r>
              <w:rPr>
                <w:rFonts w:ascii="Arial" w:cs="Arial" w:eastAsia="Arial" w:hAnsi="Arial"/>
                <w:sz w:val="16"/>
                <w:szCs w:val="16"/>
                <w:color w:val="auto"/>
              </w:rPr>
              <w:t>703,429</w:t>
            </w:r>
          </w:p>
        </w:tc>
        <w:tc>
          <w:tcPr>
            <w:tcW w:w="740" w:type="dxa"/>
            <w:vAlign w:val="bottom"/>
            <w:shd w:val="clear" w:color="auto" w:fill="CCEEFF"/>
          </w:tcPr>
          <w:p>
            <w:pPr>
              <w:jc w:val="right"/>
              <w:ind w:right="222"/>
              <w:spacing w:after="0" w:line="162" w:lineRule="exact"/>
              <w:rPr>
                <w:sz w:val="20"/>
                <w:szCs w:val="20"/>
                <w:color w:val="auto"/>
              </w:rPr>
            </w:pPr>
            <w:r>
              <w:rPr>
                <w:rFonts w:ascii="Arial" w:cs="Arial" w:eastAsia="Arial" w:hAnsi="Arial"/>
                <w:sz w:val="16"/>
                <w:szCs w:val="16"/>
                <w:color w:val="auto"/>
              </w:rPr>
              <w:t>81.8</w:t>
            </w:r>
          </w:p>
        </w:tc>
        <w:tc>
          <w:tcPr>
            <w:tcW w:w="36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1,314,862</w:t>
            </w:r>
          </w:p>
        </w:tc>
        <w:tc>
          <w:tcPr>
            <w:tcW w:w="8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81.2</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40" w:type="dxa"/>
            <w:vAlign w:val="bottom"/>
          </w:tcPr>
          <w:p>
            <w:pPr>
              <w:ind w:left="320"/>
              <w:spacing w:after="0"/>
              <w:rPr>
                <w:sz w:val="20"/>
                <w:szCs w:val="20"/>
                <w:color w:val="auto"/>
              </w:rPr>
            </w:pPr>
            <w:r>
              <w:rPr>
                <w:rFonts w:ascii="Arial" w:cs="Arial" w:eastAsia="Arial" w:hAnsi="Arial"/>
                <w:sz w:val="16"/>
                <w:szCs w:val="16"/>
                <w:color w:val="auto"/>
              </w:rPr>
              <w:t>Adjustment</w:t>
            </w:r>
          </w:p>
        </w:tc>
        <w:tc>
          <w:tcPr>
            <w:tcW w:w="40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37,073</w:t>
            </w: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4.9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43,218</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5.0</w:t>
            </w:r>
          </w:p>
        </w:tc>
        <w:tc>
          <w:tcPr>
            <w:tcW w:w="3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80,292</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4.9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 Revised</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648,507</w:t>
            </w: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85.4</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746,647</w:t>
            </w:r>
          </w:p>
        </w:tc>
        <w:tc>
          <w:tcPr>
            <w:tcW w:w="7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86.8</w:t>
            </w:r>
          </w:p>
        </w:tc>
        <w:tc>
          <w:tcPr>
            <w:tcW w:w="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1,395,154</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86.1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w w:val="90"/>
              </w:rPr>
              <w:t>Government: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320"/>
              <w:spacing w:after="0" w:line="160" w:lineRule="exact"/>
              <w:rPr>
                <w:sz w:val="20"/>
                <w:szCs w:val="20"/>
                <w:color w:val="auto"/>
              </w:rPr>
            </w:pPr>
            <w:r>
              <w:rPr>
                <w:rFonts w:ascii="Arial" w:cs="Arial" w:eastAsia="Arial" w:hAnsi="Arial"/>
                <w:sz w:val="16"/>
                <w:szCs w:val="16"/>
                <w:color w:val="auto"/>
                <w:w w:val="92"/>
              </w:rPr>
              <w:t>As Previously</w:t>
            </w:r>
          </w:p>
        </w:tc>
        <w:tc>
          <w:tcPr>
            <w:tcW w:w="400" w:type="dxa"/>
            <w:vAlign w:val="bottom"/>
          </w:tcPr>
          <w:p>
            <w:pPr>
              <w:spacing w:after="0"/>
              <w:rPr>
                <w:sz w:val="13"/>
                <w:szCs w:val="13"/>
                <w:color w:val="auto"/>
              </w:rPr>
            </w:pPr>
          </w:p>
        </w:tc>
        <w:tc>
          <w:tcPr>
            <w:tcW w:w="1100" w:type="dxa"/>
            <w:vAlign w:val="bottom"/>
          </w:tcPr>
          <w:p>
            <w:pPr>
              <w:jc w:val="right"/>
              <w:ind w:right="142"/>
              <w:spacing w:after="0" w:line="160" w:lineRule="exact"/>
              <w:rPr>
                <w:sz w:val="20"/>
                <w:szCs w:val="20"/>
                <w:color w:val="auto"/>
              </w:rPr>
            </w:pPr>
            <w:r>
              <w:rPr>
                <w:rFonts w:ascii="Arial" w:cs="Arial" w:eastAsia="Arial" w:hAnsi="Arial"/>
                <w:sz w:val="16"/>
                <w:szCs w:val="16"/>
                <w:color w:val="auto"/>
              </w:rPr>
              <w:t>134,914</w:t>
            </w:r>
          </w:p>
        </w:tc>
        <w:tc>
          <w:tcPr>
            <w:tcW w:w="7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17.8</w:t>
            </w:r>
          </w:p>
        </w:tc>
        <w:tc>
          <w:tcPr>
            <w:tcW w:w="340" w:type="dxa"/>
            <w:vAlign w:val="bottom"/>
          </w:tcPr>
          <w:p>
            <w:pPr>
              <w:jc w:val="right"/>
              <w:ind w:right="102"/>
              <w:spacing w:after="0" w:line="160" w:lineRule="exact"/>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13"/>
                <w:szCs w:val="13"/>
                <w:color w:val="auto"/>
              </w:rPr>
            </w:pPr>
          </w:p>
        </w:tc>
        <w:tc>
          <w:tcPr>
            <w:tcW w:w="980" w:type="dxa"/>
            <w:vAlign w:val="bottom"/>
          </w:tcPr>
          <w:p>
            <w:pPr>
              <w:jc w:val="right"/>
              <w:ind w:right="102"/>
              <w:spacing w:after="0" w:line="160" w:lineRule="exact"/>
              <w:rPr>
                <w:sz w:val="20"/>
                <w:szCs w:val="20"/>
                <w:color w:val="auto"/>
              </w:rPr>
            </w:pPr>
            <w:r>
              <w:rPr>
                <w:rFonts w:ascii="Arial" w:cs="Arial" w:eastAsia="Arial" w:hAnsi="Arial"/>
                <w:sz w:val="16"/>
                <w:szCs w:val="16"/>
                <w:color w:val="auto"/>
              </w:rPr>
              <w:t>145,799</w:t>
            </w:r>
          </w:p>
        </w:tc>
        <w:tc>
          <w:tcPr>
            <w:tcW w:w="740" w:type="dxa"/>
            <w:vAlign w:val="bottom"/>
          </w:tcPr>
          <w:p>
            <w:pPr>
              <w:jc w:val="right"/>
              <w:ind w:right="222"/>
              <w:spacing w:after="0" w:line="160" w:lineRule="exact"/>
              <w:rPr>
                <w:sz w:val="20"/>
                <w:szCs w:val="20"/>
                <w:color w:val="auto"/>
              </w:rPr>
            </w:pPr>
            <w:r>
              <w:rPr>
                <w:rFonts w:ascii="Arial" w:cs="Arial" w:eastAsia="Arial" w:hAnsi="Arial"/>
                <w:sz w:val="16"/>
                <w:szCs w:val="16"/>
                <w:color w:val="auto"/>
              </w:rPr>
              <w:t>16.9</w:t>
            </w:r>
          </w:p>
        </w:tc>
        <w:tc>
          <w:tcPr>
            <w:tcW w:w="360" w:type="dxa"/>
            <w:vAlign w:val="bottom"/>
          </w:tcPr>
          <w:p>
            <w:pPr>
              <w:jc w:val="right"/>
              <w:ind w:right="102"/>
              <w:spacing w:after="0" w:line="160"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3"/>
                <w:szCs w:val="13"/>
                <w:color w:val="auto"/>
              </w:rPr>
            </w:pPr>
          </w:p>
        </w:tc>
        <w:tc>
          <w:tcPr>
            <w:tcW w:w="1020" w:type="dxa"/>
            <w:vAlign w:val="bottom"/>
          </w:tcPr>
          <w:p>
            <w:pPr>
              <w:jc w:val="right"/>
              <w:ind w:right="62"/>
              <w:spacing w:after="0" w:line="160" w:lineRule="exact"/>
              <w:rPr>
                <w:sz w:val="20"/>
                <w:szCs w:val="20"/>
                <w:color w:val="auto"/>
              </w:rPr>
            </w:pPr>
            <w:r>
              <w:rPr>
                <w:rFonts w:ascii="Arial" w:cs="Arial" w:eastAsia="Arial" w:hAnsi="Arial"/>
                <w:sz w:val="16"/>
                <w:szCs w:val="16"/>
                <w:color w:val="auto"/>
              </w:rPr>
              <w:t>280,714</w:t>
            </w:r>
          </w:p>
        </w:tc>
        <w:tc>
          <w:tcPr>
            <w:tcW w:w="8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17.3</w:t>
            </w:r>
          </w:p>
        </w:tc>
        <w:tc>
          <w:tcPr>
            <w:tcW w:w="180" w:type="dxa"/>
            <w:vAlign w:val="bottom"/>
          </w:tcPr>
          <w:p>
            <w:pPr>
              <w:jc w:val="right"/>
              <w:spacing w:after="0" w:line="160"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9"/>
        </w:trPr>
        <w:tc>
          <w:tcPr>
            <w:tcW w:w="1240" w:type="dxa"/>
            <w:vAlign w:val="bottom"/>
          </w:tcPr>
          <w:p>
            <w:pPr>
              <w:ind w:left="20"/>
              <w:spacing w:after="0"/>
              <w:rPr>
                <w:sz w:val="20"/>
                <w:szCs w:val="20"/>
                <w:color w:val="auto"/>
              </w:rPr>
            </w:pPr>
            <w:r>
              <w:rPr>
                <w:rFonts w:ascii="Arial" w:cs="Arial" w:eastAsia="Arial" w:hAnsi="Arial"/>
                <w:sz w:val="16"/>
                <w:szCs w:val="16"/>
                <w:color w:val="auto"/>
              </w:rPr>
              <w:t>Reported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(37,073)</w:t>
            </w: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(4.9)</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(43,218)</w:t>
            </w: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(5.0)</w:t>
            </w:r>
          </w:p>
        </w:tc>
        <w:tc>
          <w:tcPr>
            <w:tcW w:w="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(80,292)</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1"/>
        </w:trPr>
        <w:tc>
          <w:tcPr>
            <w:tcW w:w="1240" w:type="dxa"/>
            <w:vAlign w:val="bottom"/>
          </w:tcPr>
          <w:p>
            <w:pPr>
              <w:ind w:left="320"/>
              <w:spacing w:after="0"/>
              <w:rPr>
                <w:sz w:val="20"/>
                <w:szCs w:val="20"/>
                <w:color w:val="auto"/>
              </w:rPr>
            </w:pPr>
            <w:r>
              <w:rPr>
                <w:rFonts w:ascii="Arial" w:cs="Arial" w:eastAsia="Arial" w:hAnsi="Arial"/>
                <w:sz w:val="16"/>
                <w:szCs w:val="16"/>
                <w:color w:val="auto"/>
              </w:rPr>
              <w:t>As Revised</w:t>
            </w:r>
          </w:p>
        </w:tc>
        <w:tc>
          <w:tcPr>
            <w:tcW w:w="40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97,841</w:t>
            </w: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12.9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102,581</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11.9</w:t>
            </w:r>
          </w:p>
        </w:tc>
        <w:tc>
          <w:tcPr>
            <w:tcW w:w="3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200,422</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12.4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There was no impact to the Company’s consolidated balance sheets, consolidated statements of comprehensive income (loss) or the consolidated statements of cash flows for any of these periods.</w:t>
      </w:r>
    </w:p>
    <w:p>
      <w:pPr>
        <w:spacing w:after="0" w:line="192" w:lineRule="exact"/>
        <w:rPr>
          <w:sz w:val="20"/>
          <w:szCs w:val="20"/>
          <w:color w:val="auto"/>
        </w:rPr>
      </w:pPr>
    </w:p>
    <w:p>
      <w:pPr>
        <w:ind w:right="160" w:firstLine="310"/>
        <w:spacing w:after="0" w:line="261" w:lineRule="auto"/>
        <w:rPr>
          <w:sz w:val="20"/>
          <w:szCs w:val="20"/>
          <w:color w:val="auto"/>
        </w:rPr>
      </w:pPr>
      <w:r>
        <w:rPr>
          <w:rFonts w:ascii="Arial" w:cs="Arial" w:eastAsia="Arial" w:hAnsi="Arial"/>
          <w:sz w:val="17"/>
          <w:szCs w:val="17"/>
          <w:b w:val="1"/>
          <w:bCs w:val="1"/>
          <w:color w:val="auto"/>
        </w:rPr>
        <w:t xml:space="preserve">Concentrations of Business Risk </w:t>
      </w:r>
      <w:r>
        <w:rPr>
          <w:rFonts w:ascii="Arial" w:cs="Arial" w:eastAsia="Arial" w:hAnsi="Arial"/>
          <w:sz w:val="17"/>
          <w:szCs w:val="17"/>
          <w:color w:val="auto"/>
        </w:rPr>
        <w:t>— The Company generates revenue from managed care contracts and other agreements with commercial third-party</w:t>
      </w:r>
      <w:r>
        <w:rPr>
          <w:rFonts w:ascii="Arial" w:cs="Arial" w:eastAsia="Arial" w:hAnsi="Arial"/>
          <w:sz w:val="17"/>
          <w:szCs w:val="17"/>
          <w:b w:val="1"/>
          <w:bCs w:val="1"/>
          <w:color w:val="auto"/>
        </w:rPr>
        <w:t xml:space="preserve"> </w:t>
      </w:r>
      <w:r>
        <w:rPr>
          <w:rFonts w:ascii="Arial" w:cs="Arial" w:eastAsia="Arial" w:hAnsi="Arial"/>
          <w:sz w:val="17"/>
          <w:szCs w:val="17"/>
          <w:color w:val="auto"/>
        </w:rPr>
        <w:t>payers. Revenue related to the Company’s largest payer was approximately 16% and 16% for the three and nine months ended September 30, 2021. Revenue related to the Company’s largest payer was approximately 16% and 15% for the three and nine months ended September 30, 2020, respectively. In December 2019, the Company renewed and expanded its multi-year contract with this payer. The contract renewal was effective in February 2020 for a two-year term and auto-renews annually thereafter unless notice is provided. There were no other managed care contracts that represent greater than 10% of revenue for the periods presented.</w:t>
      </w:r>
    </w:p>
    <w:p>
      <w:pPr>
        <w:spacing w:after="0" w:line="139" w:lineRule="exact"/>
        <w:rPr>
          <w:sz w:val="20"/>
          <w:szCs w:val="20"/>
          <w:color w:val="auto"/>
        </w:rPr>
      </w:pPr>
    </w:p>
    <w:p>
      <w:pPr>
        <w:ind w:right="100" w:firstLine="310"/>
        <w:spacing w:after="0" w:line="258" w:lineRule="auto"/>
        <w:rPr>
          <w:sz w:val="20"/>
          <w:szCs w:val="20"/>
          <w:color w:val="auto"/>
        </w:rPr>
      </w:pPr>
      <w:r>
        <w:rPr>
          <w:rFonts w:ascii="Arial" w:cs="Arial" w:eastAsia="Arial" w:hAnsi="Arial"/>
          <w:sz w:val="17"/>
          <w:szCs w:val="17"/>
          <w:color w:val="auto"/>
        </w:rPr>
        <w:t>For the three and nine months ended September 30, 2021, approximately 12% and 12%, respectively, of the Company’s revenue was reimbursable through direct government healthcare programs, such as Medicare and Medicaid. For the three and nine months ended September 30, 2020, approximately 12% and 12%, respectively, of the Company’s revenue was reimbursable through direct government healthcare programs, such as Medicare and Medicaid. As of September 30, 2021 and December 31, 2020, respectively, approximately 11% and 15%,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209" w:lineRule="exact"/>
        <w:rPr>
          <w:sz w:val="20"/>
          <w:szCs w:val="20"/>
          <w:color w:val="auto"/>
        </w:rPr>
      </w:pPr>
    </w:p>
    <w:p>
      <w:pPr>
        <w:ind w:right="100" w:firstLine="310"/>
        <w:spacing w:after="0" w:line="320" w:lineRule="auto"/>
        <w:rPr>
          <w:sz w:val="20"/>
          <w:szCs w:val="20"/>
          <w:color w:val="auto"/>
        </w:rPr>
      </w:pPr>
      <w:r>
        <w:rPr>
          <w:rFonts w:ascii="Arial" w:cs="Arial" w:eastAsia="Arial" w:hAnsi="Arial"/>
          <w:sz w:val="15"/>
          <w:szCs w:val="15"/>
          <w:color w:val="auto"/>
        </w:rPr>
        <w:t>The Company does not require its patients nor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11" w:lineRule="exact"/>
        <w:rPr>
          <w:sz w:val="20"/>
          <w:szCs w:val="20"/>
          <w:color w:val="auto"/>
        </w:rPr>
      </w:pPr>
    </w:p>
    <w:p>
      <w:pPr>
        <w:ind w:firstLine="310"/>
        <w:spacing w:after="0" w:line="300" w:lineRule="auto"/>
        <w:rPr>
          <w:sz w:val="20"/>
          <w:szCs w:val="20"/>
          <w:color w:val="auto"/>
        </w:rPr>
      </w:pPr>
      <w:r>
        <w:rPr>
          <w:rFonts w:ascii="Arial" w:cs="Arial" w:eastAsia="Arial" w:hAnsi="Arial"/>
          <w:sz w:val="15"/>
          <w:szCs w:val="15"/>
          <w:color w:val="auto"/>
        </w:rPr>
        <w:t>For the three and nine months ended September 30, 2021, approximately 65% and 65%, respectively, of the Company’s pharmaceutical and medical supply purchases were from three vendors. For the three and nine months ended September 30, 2020, approximately 71% and 72%, respectively,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remains some uncertainty regarding the COVID-19 pandemic, as of September 30, 2021 the Company has been able to maintain adequate levels of supplies and pharmaceuticals to support its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BUSINESS COMBINATIONS AND ASSET ACQUISITIONS</w:t>
      </w:r>
    </w:p>
    <w:p>
      <w:pPr>
        <w:spacing w:after="0" w:line="192" w:lineRule="exact"/>
        <w:rPr>
          <w:sz w:val="20"/>
          <w:szCs w:val="20"/>
          <w:color w:val="auto"/>
        </w:rPr>
      </w:pPr>
    </w:p>
    <w:p>
      <w:pPr>
        <w:ind w:right="340" w:firstLine="310"/>
        <w:spacing w:after="0" w:line="290" w:lineRule="auto"/>
        <w:rPr>
          <w:sz w:val="20"/>
          <w:szCs w:val="20"/>
          <w:color w:val="auto"/>
        </w:rPr>
      </w:pPr>
      <w:r>
        <w:rPr>
          <w:rFonts w:ascii="Arial" w:cs="Arial" w:eastAsia="Arial" w:hAnsi="Arial"/>
          <w:sz w:val="17"/>
          <w:szCs w:val="17"/>
          <w:b w:val="1"/>
          <w:bCs w:val="1"/>
          <w:color w:val="auto"/>
        </w:rPr>
        <w:t xml:space="preserve">BioCure Asset Acquisition </w:t>
      </w:r>
      <w:r>
        <w:rPr>
          <w:rFonts w:ascii="Arial" w:cs="Arial" w:eastAsia="Arial" w:hAnsi="Arial"/>
          <w:sz w:val="17"/>
          <w:szCs w:val="17"/>
          <w:color w:val="auto"/>
        </w:rPr>
        <w:t>— In April 2021, pursuant to the Asset Purchase Agreement dated April 7, 2021, the Company completed the acquisition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assets of BioCure, LLC (“BioCure”) for a purchase price of $18.9 million.</w:t>
      </w:r>
    </w:p>
    <w:p>
      <w:pPr>
        <w:spacing w:after="0" w:line="154" w:lineRule="exact"/>
        <w:rPr>
          <w:sz w:val="20"/>
          <w:szCs w:val="20"/>
          <w:color w:val="auto"/>
        </w:rPr>
      </w:pPr>
    </w:p>
    <w:p>
      <w:pPr>
        <w:ind w:firstLine="310"/>
        <w:spacing w:after="0" w:line="268" w:lineRule="auto"/>
        <w:rPr>
          <w:sz w:val="20"/>
          <w:szCs w:val="20"/>
          <w:color w:val="auto"/>
        </w:rPr>
      </w:pPr>
      <w:r>
        <w:rPr>
          <w:rFonts w:ascii="Arial" w:cs="Arial" w:eastAsia="Arial" w:hAnsi="Arial"/>
          <w:sz w:val="17"/>
          <w:szCs w:val="17"/>
          <w:color w:val="auto"/>
        </w:rPr>
        <w:t xml:space="preserve">The allocation of the purchase price of BioCure was accounted for as an asset acquisition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the total purchase price being allocated to the assets acquired based on the relative fair value of each asset. The purchase price was allocated to the assets acquired as follows:</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83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Amount</w:t>
            </w:r>
          </w:p>
        </w:tc>
      </w:tr>
      <w:tr>
        <w:trPr>
          <w:trHeight w:val="213"/>
        </w:trPr>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Inventories</w:t>
            </w:r>
          </w:p>
        </w:tc>
        <w:tc>
          <w:tcPr>
            <w:tcW w:w="7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20"/>
        </w:trPr>
        <w:tc>
          <w:tcPr>
            <w:tcW w:w="83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Intangible assets, net</w:t>
            </w:r>
          </w:p>
        </w:tc>
        <w:tc>
          <w:tcPr>
            <w:tcW w:w="7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18,251</w:t>
            </w:r>
          </w:p>
        </w:tc>
      </w:tr>
      <w:tr>
        <w:trPr>
          <w:trHeight w:val="238"/>
        </w:trPr>
        <w:tc>
          <w:tcPr>
            <w:tcW w:w="8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consideration transferred</w:t>
            </w:r>
          </w:p>
        </w:tc>
        <w:tc>
          <w:tcPr>
            <w:tcW w:w="7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18,852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Intangibles assets, net consists of referral sources which were assigned a useful life of 15 years, amortized on a straight-line basis.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net revenue earned by category of payer for the three and nine months ended September 30, 2021 and 2020 (in thousands):</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33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7"/>
                <w:szCs w:val="17"/>
                <w:color w:val="auto"/>
              </w:rPr>
            </w:pPr>
          </w:p>
        </w:tc>
        <w:tc>
          <w:tcPr>
            <w:tcW w:w="3000" w:type="dxa"/>
            <w:vAlign w:val="bottom"/>
            <w:gridSpan w:val="4"/>
          </w:tcPr>
          <w:p>
            <w:pPr>
              <w:jc w:val="right"/>
              <w:ind w:right="42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0"/>
        </w:trPr>
        <w:tc>
          <w:tcPr>
            <w:tcW w:w="42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r>
      <w:tr>
        <w:trPr>
          <w:trHeight w:val="202"/>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769,524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2,164,678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1,927,426</w:t>
            </w:r>
          </w:p>
        </w:tc>
      </w:tr>
      <w:tr>
        <w:trPr>
          <w:trHeight w:val="204"/>
        </w:trPr>
        <w:tc>
          <w:tcPr>
            <w:tcW w:w="426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106,645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93,114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307,067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274,509</w:t>
            </w:r>
          </w:p>
        </w:tc>
      </w:tr>
      <w:tr>
        <w:trPr>
          <w:trHeight w:val="207"/>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25,962</w:t>
            </w:r>
          </w:p>
        </w:tc>
      </w:tr>
      <w:tr>
        <w:trPr>
          <w:trHeight w:val="202"/>
        </w:trPr>
        <w:tc>
          <w:tcPr>
            <w:tcW w:w="426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891,937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781,609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2,511,446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2,227,897</w:t>
            </w:r>
          </w:p>
        </w:tc>
      </w:tr>
      <w:tr>
        <w:trPr>
          <w:trHeight w:val="20"/>
        </w:trPr>
        <w:tc>
          <w:tcPr>
            <w:tcW w:w="4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w:t>
      </w:r>
    </w:p>
    <w:p>
      <w:pPr>
        <w:spacing w:after="0" w:line="185" w:lineRule="exact"/>
        <w:rPr>
          <w:sz w:val="20"/>
          <w:szCs w:val="20"/>
          <w:color w:val="auto"/>
        </w:rPr>
      </w:pPr>
    </w:p>
    <w:p>
      <w:pPr>
        <w:ind w:right="80" w:firstLine="310"/>
        <w:spacing w:after="0" w:line="268" w:lineRule="auto"/>
        <w:rPr>
          <w:sz w:val="20"/>
          <w:szCs w:val="20"/>
          <w:color w:val="auto"/>
        </w:rPr>
      </w:pPr>
      <w:r>
        <w:rPr>
          <w:rFonts w:ascii="Arial" w:cs="Arial" w:eastAsia="Arial" w:hAnsi="Arial"/>
          <w:sz w:val="17"/>
          <w:szCs w:val="17"/>
          <w:color w:val="auto"/>
        </w:rPr>
        <w:t>During the three and nine months ended September 30, 2021, the Company recorded tax expense of $3.1 million and $5.1 million, respectively, which represents an effective tax rate of 8.0% and 7.3%, respectively. During the three and nine months ended September 30, 2020 the Company recorded a tax expense of $0.8 million and $2.3 million, respectively, which represents an effective tax rate of 31.3% and (9.6)%, respectively.</w:t>
      </w:r>
    </w:p>
    <w:p>
      <w:pPr>
        <w:spacing w:after="0" w:line="146" w:lineRule="exact"/>
        <w:rPr>
          <w:sz w:val="20"/>
          <w:szCs w:val="20"/>
          <w:color w:val="auto"/>
        </w:rPr>
      </w:pPr>
    </w:p>
    <w:p>
      <w:pPr>
        <w:ind w:firstLine="310"/>
        <w:spacing w:after="0" w:line="278" w:lineRule="auto"/>
        <w:rPr>
          <w:sz w:val="20"/>
          <w:szCs w:val="20"/>
          <w:color w:val="auto"/>
        </w:rPr>
      </w:pPr>
      <w:r>
        <w:rPr>
          <w:rFonts w:ascii="Arial" w:cs="Arial" w:eastAsia="Arial" w:hAnsi="Arial"/>
          <w:sz w:val="16"/>
          <w:szCs w:val="16"/>
          <w:color w:val="auto"/>
        </w:rPr>
        <w:t>The Company maintains a full valuation allowance of $97.3 million against all of its net U.S. federal and state deferred tax assets with the exception of $0.3 million of estimated state net operating losses (“NOL”).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68" w:lineRule="exact"/>
        <w:rPr>
          <w:sz w:val="20"/>
          <w:szCs w:val="20"/>
          <w:color w:val="auto"/>
        </w:rPr>
      </w:pPr>
    </w:p>
    <w:p>
      <w:pPr>
        <w:ind w:right="280" w:firstLine="310"/>
        <w:spacing w:after="0" w:line="353" w:lineRule="auto"/>
        <w:rPr>
          <w:sz w:val="20"/>
          <w:szCs w:val="20"/>
          <w:color w:val="auto"/>
        </w:rPr>
      </w:pPr>
      <w:r>
        <w:rPr>
          <w:rFonts w:ascii="Arial" w:cs="Arial" w:eastAsia="Arial" w:hAnsi="Arial"/>
          <w:sz w:val="15"/>
          <w:szCs w:val="15"/>
          <w:color w:val="auto"/>
        </w:rPr>
        <w:t>Based on the Company’s full valuation allowance, as noted above, the Company’s tax expense for the three and nine months ended September 30, 2021 of $3.1 million and $5.1 million consists of quarterly tax liabilities attributable to specific state taxing authorities as well as recognized deferred tax expense.</w:t>
      </w:r>
    </w:p>
    <w:p>
      <w:pPr>
        <w:spacing w:after="0" w:line="61" w:lineRule="exact"/>
        <w:rPr>
          <w:sz w:val="20"/>
          <w:szCs w:val="20"/>
          <w:color w:val="auto"/>
        </w:rPr>
      </w:pPr>
    </w:p>
    <w:p>
      <w:pPr>
        <w:ind w:right="740" w:firstLine="310"/>
        <w:spacing w:after="0" w:line="251" w:lineRule="auto"/>
        <w:rPr>
          <w:sz w:val="20"/>
          <w:szCs w:val="20"/>
          <w:color w:val="auto"/>
        </w:rPr>
      </w:pPr>
      <w:r>
        <w:rPr>
          <w:rFonts w:ascii="Arial" w:cs="Arial" w:eastAsia="Arial" w:hAnsi="Arial"/>
          <w:sz w:val="17"/>
          <w:szCs w:val="17"/>
          <w:color w:val="auto"/>
        </w:rPr>
        <w:t>The Company has accumulated U.S. federal net operating loss carryovers that are subject to one or more Section 382 limitations. This may limit the Company’s ability to utilize its U.S. federal net operating losses.</w:t>
      </w:r>
    </w:p>
    <w:p>
      <w:pPr>
        <w:spacing w:after="0" w:line="186" w:lineRule="exact"/>
        <w:rPr>
          <w:sz w:val="20"/>
          <w:szCs w:val="20"/>
          <w:color w:val="auto"/>
        </w:rPr>
      </w:pPr>
    </w:p>
    <w:p>
      <w:pPr>
        <w:ind w:right="80" w:firstLine="310"/>
        <w:spacing w:after="0" w:line="251" w:lineRule="auto"/>
        <w:rPr>
          <w:sz w:val="20"/>
          <w:szCs w:val="20"/>
          <w:color w:val="auto"/>
        </w:rPr>
      </w:pPr>
      <w:r>
        <w:rPr>
          <w:rFonts w:ascii="Arial" w:cs="Arial" w:eastAsia="Arial" w:hAnsi="Arial"/>
          <w:sz w:val="17"/>
          <w:szCs w:val="17"/>
          <w:color w:val="auto"/>
        </w:rPr>
        <w:t>The Company recorded no income tax expense or benefit for the three or nine months ended September 30, 2021 and 2020 associated with the tax provisions of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EARNINGS (LOSS) PER SHARE</w:t>
      </w:r>
    </w:p>
    <w:p>
      <w:pPr>
        <w:spacing w:after="0" w:line="198" w:lineRule="exact"/>
        <w:rPr>
          <w:sz w:val="20"/>
          <w:szCs w:val="20"/>
          <w:color w:val="auto"/>
        </w:rPr>
      </w:pPr>
    </w:p>
    <w:p>
      <w:pPr>
        <w:ind w:right="400" w:firstLine="310"/>
        <w:spacing w:after="0" w:line="263" w:lineRule="auto"/>
        <w:rPr>
          <w:sz w:val="20"/>
          <w:szCs w:val="20"/>
          <w:color w:val="auto"/>
        </w:rPr>
      </w:pPr>
      <w:r>
        <w:rPr>
          <w:rFonts w:ascii="Arial" w:cs="Arial" w:eastAsia="Arial" w:hAnsi="Arial"/>
          <w:sz w:val="17"/>
          <w:szCs w:val="17"/>
          <w:color w:val="auto"/>
        </w:rPr>
        <w:t>The Company presents basic and diluted earnings (loss) per share for its common stock. Basic earnings (loss) per share is calculated by dividing the net income (loss) of the Company by the weighted average number of shares of common stock outstanding during the period. Diluted earnings (loss) per share is determined by adjusting the profit or loss and the weighted average number of shares of common stock outstanding for the effects of all potentially dilutive securities.</w:t>
      </w:r>
    </w:p>
    <w:p>
      <w:pPr>
        <w:spacing w:after="0" w:line="177" w:lineRule="exact"/>
        <w:rPr>
          <w:sz w:val="20"/>
          <w:szCs w:val="20"/>
          <w:color w:val="auto"/>
        </w:rPr>
      </w:pPr>
    </w:p>
    <w:p>
      <w:pPr>
        <w:ind w:right="80" w:firstLine="310"/>
        <w:spacing w:after="0" w:line="257" w:lineRule="auto"/>
        <w:rPr>
          <w:sz w:val="20"/>
          <w:szCs w:val="20"/>
          <w:color w:val="auto"/>
        </w:rPr>
      </w:pPr>
      <w:r>
        <w:rPr>
          <w:rFonts w:ascii="Arial" w:cs="Arial" w:eastAsia="Arial" w:hAnsi="Arial"/>
          <w:sz w:val="16"/>
          <w:szCs w:val="16"/>
          <w:color w:val="auto"/>
        </w:rPr>
        <w:t>The earnings (loss) is used as the basis of determining whether the inclusion of common stock equivalents would be anti-dilutive. The computation of diluted shares for the three and nine months ended September 30, 2021 includes the effect of shares that would be issued in connection with warrants, stock options and restricted stock awards, as these common stock equivalents are dilutive to the earnings per share recorded in those periods. The computation of diluted shares for the nine months ended September 30, 2020 excludes the effect of these common stock equivalents as their inclusion would be anti-dilutive to the loss per share recorded in the period. For the three months ended September 30, 2021 there were 457,754 warrants, 496,929 stock option awards, and 38,536 restricted stock awards outstanding that were excluded from the calculation of earnings per share as they would be anti-dilutive. For the nine months ended September 30, 2021 there were 915,507 warrants, 387,656 stock option awards, and 272,540 restricted stock awards outstanding that were excluded from the calculation of earnings per share as they would be anti-dilutive. For the three months ended September 30, 2020, there were 915,507 warrants, 296,876 stock options and 312,984 restricted stock awards outstanding that were excluded from the calculation of earnings per share as they would be anti-dilutive. For the nine months ended September 30, 2020, there were 2,328,120 warrants, 424,878 stock options and 600,483 restricted stock awards outstanding that were excluded from the calculation of loss per share as they would be anti-dilutive.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basic earnings (loss) per share and shares outstanding (in thousands, except per share data):</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7"/>
                <w:szCs w:val="17"/>
                <w:color w:val="auto"/>
              </w:rPr>
            </w:pPr>
          </w:p>
        </w:tc>
        <w:tc>
          <w:tcPr>
            <w:tcW w:w="2880" w:type="dxa"/>
            <w:vAlign w:val="bottom"/>
            <w:gridSpan w:val="4"/>
          </w:tcPr>
          <w:p>
            <w:pPr>
              <w:jc w:val="right"/>
              <w:ind w:right="322"/>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8"/>
        </w:trPr>
        <w:tc>
          <w:tcPr>
            <w:tcW w:w="460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 average number of common shares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179,220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per common share, basic</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diluted earnings (loss) per share and shares outstanding (in thousands, except per share data):</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600" w:type="dxa"/>
            <w:vAlign w:val="bottom"/>
          </w:tcPr>
          <w:p>
            <w:pPr>
              <w:spacing w:after="0"/>
              <w:rPr>
                <w:sz w:val="17"/>
                <w:szCs w:val="17"/>
                <w:color w:val="auto"/>
              </w:rPr>
            </w:pPr>
          </w:p>
        </w:tc>
        <w:tc>
          <w:tcPr>
            <w:tcW w:w="320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7"/>
                <w:szCs w:val="17"/>
                <w:color w:val="auto"/>
              </w:rPr>
            </w:pPr>
          </w:p>
        </w:tc>
        <w:tc>
          <w:tcPr>
            <w:tcW w:w="2880" w:type="dxa"/>
            <w:vAlign w:val="bottom"/>
            <w:gridSpan w:val="4"/>
          </w:tcPr>
          <w:p>
            <w:pPr>
              <w:jc w:val="right"/>
              <w:ind w:right="322"/>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1"/>
        </w:trPr>
        <w:tc>
          <w:tcPr>
            <w:tcW w:w="4600" w:type="dxa"/>
            <w:vAlign w:val="bottom"/>
          </w:tcPr>
          <w:p>
            <w:pPr>
              <w:ind w:left="20"/>
              <w:spacing w:after="0"/>
              <w:rPr>
                <w:sz w:val="20"/>
                <w:szCs w:val="20"/>
                <w:color w:val="auto"/>
              </w:rPr>
            </w:pPr>
            <w:r>
              <w:rPr>
                <w:rFonts w:ascii="Arial" w:cs="Arial" w:eastAsia="Arial" w:hAnsi="Arial"/>
                <w:sz w:val="16"/>
                <w:szCs w:val="16"/>
                <w:color w:val="auto"/>
              </w:rPr>
              <w:t>Numerator:</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number of common shares outstanding</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179,872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179,220</w:t>
            </w:r>
          </w:p>
        </w:tc>
        <w:tc>
          <w:tcPr>
            <w:tcW w:w="0" w:type="dxa"/>
            <w:vAlign w:val="bottom"/>
          </w:tcPr>
          <w:p>
            <w:pPr>
              <w:spacing w:after="0"/>
              <w:rPr>
                <w:sz w:val="1"/>
                <w:szCs w:val="1"/>
                <w:color w:val="auto"/>
              </w:rPr>
            </w:pPr>
          </w:p>
        </w:tc>
      </w:tr>
      <w:tr>
        <w:trPr>
          <w:trHeight w:val="204"/>
        </w:trPr>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Effect of dilutive securities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5"/>
              </w:rPr>
              <w:t>Weighted average number of common shares outstanding, diluted</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181,430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179,220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per common share, diluted</w:t>
            </w: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121" w:lineRule="exact"/>
        <w:rPr>
          <w:sz w:val="20"/>
          <w:szCs w:val="20"/>
          <w:color w:val="auto"/>
        </w:rPr>
      </w:pPr>
    </w:p>
    <w:p>
      <w:pPr>
        <w:ind w:right="80" w:firstLine="310"/>
        <w:spacing w:after="0" w:line="259" w:lineRule="auto"/>
        <w:rPr>
          <w:sz w:val="20"/>
          <w:szCs w:val="20"/>
          <w:color w:val="auto"/>
        </w:rPr>
      </w:pPr>
      <w:r>
        <w:rPr>
          <w:rFonts w:ascii="Arial" w:cs="Arial" w:eastAsia="Arial" w:hAnsi="Arial"/>
          <w:sz w:val="17"/>
          <w:szCs w:val="17"/>
          <w:color w:val="auto"/>
        </w:rPr>
        <w:t>During the three and nine months ended September 30, 2021, the Company incurred operating lease expenses of $7.8 million and $22.3 million, respectively, including short-term lease expense, which were included as a component of selling, general and administrative expense in the unaudited condensed consolidated statements of comprehensive income (loss). During the three and nine months ended September 30, 2020, the Company incurred operating lease expense of $7.6 million and $23.0 million, respectively, including short-term lease expenses, which were included as a component of selling, general and administrative expenses in the unaudited condensed consolidated statements of comprehensive income (loss). As of September 30, 2021, the weighted-average remaining lease term was 6.44 and the weighted-average discount rate was 5.09%.</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Operating leases mature as follows (in thousands):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180" w:type="dxa"/>
            <w:vAlign w:val="bottom"/>
            <w:gridSpan w:val="2"/>
          </w:tcPr>
          <w:p>
            <w:pPr>
              <w:ind w:left="920"/>
              <w:spacing w:after="0"/>
              <w:rPr>
                <w:sz w:val="20"/>
                <w:szCs w:val="20"/>
                <w:color w:val="auto"/>
              </w:rPr>
            </w:pPr>
            <w:r>
              <w:rPr>
                <w:rFonts w:ascii="Arial" w:cs="Arial" w:eastAsia="Arial" w:hAnsi="Arial"/>
                <w:sz w:val="16"/>
                <w:szCs w:val="16"/>
                <w:b w:val="1"/>
                <w:bCs w:val="1"/>
                <w:color w:val="auto"/>
              </w:rPr>
              <w:t>Fiscal Year Ending December 31,</w:t>
            </w:r>
          </w:p>
        </w:tc>
        <w:tc>
          <w:tcPr>
            <w:tcW w:w="240" w:type="dxa"/>
            <w:vAlign w:val="bottom"/>
          </w:tcPr>
          <w:p>
            <w:pPr>
              <w:spacing w:after="0"/>
              <w:rPr>
                <w:sz w:val="17"/>
                <w:szCs w:val="17"/>
                <w:color w:val="auto"/>
              </w:rPr>
            </w:pPr>
          </w:p>
        </w:tc>
        <w:tc>
          <w:tcPr>
            <w:tcW w:w="1920" w:type="dxa"/>
            <w:vAlign w:val="bottom"/>
          </w:tcPr>
          <w:p>
            <w:pPr>
              <w:jc w:val="right"/>
              <w:ind w:right="322"/>
              <w:spacing w:after="0"/>
              <w:rPr>
                <w:sz w:val="20"/>
                <w:szCs w:val="20"/>
                <w:color w:val="auto"/>
              </w:rPr>
            </w:pPr>
            <w:r>
              <w:rPr>
                <w:rFonts w:ascii="Arial" w:cs="Arial" w:eastAsia="Arial" w:hAnsi="Arial"/>
                <w:sz w:val="16"/>
                <w:szCs w:val="16"/>
                <w:b w:val="1"/>
                <w:bCs w:val="1"/>
                <w:color w:val="auto"/>
                <w:w w:val="99"/>
              </w:rPr>
              <w:t>Minimum Payments</w:t>
            </w:r>
          </w:p>
        </w:tc>
      </w:tr>
      <w:tr>
        <w:trPr>
          <w:trHeight w:val="200"/>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8,379</w:t>
            </w: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22,679</w:t>
            </w:r>
          </w:p>
        </w:tc>
      </w:tr>
      <w:tr>
        <w:trPr>
          <w:trHeight w:val="204"/>
        </w:trPr>
        <w:tc>
          <w:tcPr>
            <w:tcW w:w="406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19,324</w:t>
            </w: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13,757</w:t>
            </w:r>
          </w:p>
        </w:tc>
      </w:tr>
      <w:tr>
        <w:trPr>
          <w:trHeight w:val="204"/>
        </w:trPr>
        <w:tc>
          <w:tcPr>
            <w:tcW w:w="406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11,053</w:t>
            </w:r>
          </w:p>
        </w:tc>
      </w:tr>
      <w:tr>
        <w:trPr>
          <w:trHeight w:val="21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32,682</w:t>
            </w:r>
          </w:p>
        </w:tc>
      </w:tr>
      <w:tr>
        <w:trPr>
          <w:trHeight w:val="197"/>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107,874</w:t>
            </w:r>
          </w:p>
        </w:tc>
      </w:tr>
      <w:tr>
        <w:trPr>
          <w:trHeight w:val="20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17,297</w:t>
            </w:r>
          </w:p>
        </w:tc>
      </w:tr>
      <w:tr>
        <w:trPr>
          <w:trHeight w:val="202"/>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90,577</w:t>
            </w: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firstLine="310"/>
        <w:spacing w:after="0" w:line="292" w:lineRule="auto"/>
        <w:rPr>
          <w:sz w:val="20"/>
          <w:szCs w:val="20"/>
          <w:color w:val="auto"/>
        </w:rPr>
      </w:pPr>
      <w:r>
        <w:rPr>
          <w:rFonts w:ascii="Arial" w:cs="Arial" w:eastAsia="Arial" w:hAnsi="Arial"/>
          <w:sz w:val="15"/>
          <w:szCs w:val="15"/>
          <w:color w:val="auto"/>
        </w:rPr>
        <w:t>During the three and nine months ended September 30, 2021, the Company commenced new leases, extensions and amendments, resulting in non-cash investing and financing activities in the unaudited condensed consolidated statements of cash flow of $14.5 million related to increases in the operating lease right-of-use asset and operating lease liabilities, respectively. During the three and nine months ended September 30, 2020, the Company commenced new leases, extensions and amendments, resulting in non-cash investing and financing activities in the unaudited condensed consolidated statements of cash flow of</w:t>
      </w:r>
    </w:p>
    <w:p>
      <w:pPr>
        <w:ind w:right="80"/>
        <w:spacing w:after="0" w:line="267" w:lineRule="auto"/>
        <w:rPr>
          <w:sz w:val="20"/>
          <w:szCs w:val="20"/>
          <w:color w:val="auto"/>
        </w:rPr>
      </w:pPr>
      <w:r>
        <w:rPr>
          <w:rFonts w:ascii="Arial" w:cs="Arial" w:eastAsia="Arial" w:hAnsi="Arial"/>
          <w:sz w:val="17"/>
          <w:szCs w:val="17"/>
          <w:color w:val="auto"/>
        </w:rPr>
        <w:t>$20.1 million related to increases in the operating lease right-of-use asset and operating lease liabilities, respectively. As of September 30, 2021,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PROPERTY AND EQUIPMENT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and equipment was as follows as of September 30, 2021 and December 31, 2020 (in thousands):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2021</w:t>
            </w:r>
          </w:p>
        </w:tc>
        <w:tc>
          <w:tcPr>
            <w:tcW w:w="280" w:type="dxa"/>
            <w:vAlign w:val="bottom"/>
          </w:tcPr>
          <w:p>
            <w:pPr>
              <w:spacing w:after="0"/>
              <w:rPr>
                <w:sz w:val="17"/>
                <w:szCs w:val="17"/>
                <w:color w:val="auto"/>
              </w:rPr>
            </w:pPr>
          </w:p>
        </w:tc>
        <w:tc>
          <w:tcPr>
            <w:tcW w:w="1860" w:type="dxa"/>
            <w:vAlign w:val="bottom"/>
          </w:tcPr>
          <w:p>
            <w:pPr>
              <w:jc w:val="right"/>
              <w:ind w:right="362"/>
              <w:spacing w:after="0"/>
              <w:rPr>
                <w:sz w:val="20"/>
                <w:szCs w:val="20"/>
                <w:color w:val="auto"/>
              </w:rPr>
            </w:pPr>
            <w:r>
              <w:rPr>
                <w:rFonts w:ascii="Arial" w:cs="Arial" w:eastAsia="Arial" w:hAnsi="Arial"/>
                <w:sz w:val="16"/>
                <w:szCs w:val="16"/>
                <w:b w:val="1"/>
                <w:bCs w:val="1"/>
                <w:color w:val="auto"/>
                <w:w w:val="97"/>
              </w:rPr>
              <w:t>December 31, 2020</w:t>
            </w:r>
          </w:p>
        </w:tc>
      </w:tr>
      <w:tr>
        <w:trPr>
          <w:trHeight w:val="202"/>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34,249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31,678</w:t>
            </w:r>
          </w:p>
        </w:tc>
      </w:tr>
      <w:tr>
        <w:trPr>
          <w:trHeight w:val="204"/>
        </w:trPr>
        <w:tc>
          <w:tcPr>
            <w:tcW w:w="456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2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53,770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47,886</w:t>
            </w: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87,483</w:t>
            </w:r>
          </w:p>
        </w:tc>
      </w:tr>
      <w:tr>
        <w:trPr>
          <w:trHeight w:val="204"/>
        </w:trPr>
        <w:tc>
          <w:tcPr>
            <w:tcW w:w="456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2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29,804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27,799</w:t>
            </w:r>
          </w:p>
        </w:tc>
      </w:tr>
      <w:tr>
        <w:trPr>
          <w:trHeight w:val="20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26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10,793</w:t>
            </w:r>
          </w:p>
        </w:tc>
      </w:tr>
      <w:tr>
        <w:trPr>
          <w:trHeight w:val="200"/>
        </w:trPr>
        <w:tc>
          <w:tcPr>
            <w:tcW w:w="4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217,506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205,639</w:t>
            </w:r>
          </w:p>
        </w:tc>
      </w:tr>
      <w:tr>
        <w:trPr>
          <w:trHeight w:val="20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84,490</w:t>
            </w:r>
          </w:p>
        </w:tc>
      </w:tr>
      <w:tr>
        <w:trPr>
          <w:trHeight w:val="202"/>
        </w:trPr>
        <w:tc>
          <w:tcPr>
            <w:tcW w:w="45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106,788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121,149</w:t>
            </w: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firstLine="310"/>
        <w:spacing w:after="0" w:line="261" w:lineRule="auto"/>
        <w:rPr>
          <w:sz w:val="20"/>
          <w:szCs w:val="20"/>
          <w:color w:val="auto"/>
        </w:rPr>
      </w:pPr>
      <w:r>
        <w:rPr>
          <w:rFonts w:ascii="Arial" w:cs="Arial" w:eastAsia="Arial" w:hAnsi="Arial"/>
          <w:sz w:val="17"/>
          <w:szCs w:val="17"/>
          <w:color w:val="auto"/>
        </w:rPr>
        <w:t>Depreciation expense is recorded within cost of revenue and operating expenses within the unaudited condensed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nine months ended September 30, 2021 and 2020 (in thousands):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0"/>
        </w:trPr>
        <w:tc>
          <w:tcPr>
            <w:tcW w:w="37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r>
      <w:tr>
        <w:trPr>
          <w:trHeight w:val="20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6"/>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r>
      <w:tr>
        <w:trPr>
          <w:trHeight w:val="204"/>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7,476</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7,814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28,546</w:t>
            </w:r>
          </w:p>
        </w:tc>
      </w:tr>
      <w:tr>
        <w:trPr>
          <w:trHeight w:val="22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106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9,140</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9,457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OTHER INTANGIBLE ASSETS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was no change in the carrying amount of goodwill for the three or nine months ended September 30, 2021.</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Changes in the carrying amount of goodwill consists of the following activity for the three and nine months ended September 30, 2020 (in thousands):</w:t>
      </w:r>
    </w:p>
    <w:p>
      <w:pPr>
        <w:spacing w:after="0" w:line="239"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480" w:type="dxa"/>
            <w:vAlign w:val="bottom"/>
          </w:tcPr>
          <w:p>
            <w:pPr>
              <w:ind w:left="340"/>
              <w:spacing w:after="0"/>
              <w:rPr>
                <w:sz w:val="20"/>
                <w:szCs w:val="20"/>
                <w:color w:val="auto"/>
              </w:rPr>
            </w:pPr>
            <w:r>
              <w:rPr>
                <w:rFonts w:ascii="Arial" w:cs="Arial" w:eastAsia="Arial" w:hAnsi="Arial"/>
                <w:sz w:val="16"/>
                <w:szCs w:val="16"/>
                <w:b w:val="1"/>
                <w:bCs w:val="1"/>
                <w:color w:val="auto"/>
              </w:rPr>
              <w:t>Balance at December 31, 2019</w:t>
            </w:r>
          </w:p>
        </w:tc>
        <w:tc>
          <w:tcPr>
            <w:tcW w:w="86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1,425,542</w:t>
            </w:r>
          </w:p>
        </w:tc>
      </w:tr>
      <w:tr>
        <w:trPr>
          <w:trHeight w:val="210"/>
        </w:trPr>
        <w:tc>
          <w:tcPr>
            <w:tcW w:w="3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Merger purchase accounting adjustments</w:t>
            </w:r>
          </w:p>
        </w:tc>
        <w:tc>
          <w:tcPr>
            <w:tcW w:w="8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197"/>
        </w:trPr>
        <w:tc>
          <w:tcPr>
            <w:tcW w:w="3480" w:type="dxa"/>
            <w:vAlign w:val="bottom"/>
          </w:tcPr>
          <w:p>
            <w:pPr>
              <w:ind w:left="340"/>
              <w:spacing w:after="0"/>
              <w:rPr>
                <w:sz w:val="20"/>
                <w:szCs w:val="20"/>
                <w:color w:val="auto"/>
              </w:rPr>
            </w:pPr>
            <w:r>
              <w:rPr>
                <w:rFonts w:ascii="Arial" w:cs="Arial" w:eastAsia="Arial" w:hAnsi="Arial"/>
                <w:sz w:val="16"/>
                <w:szCs w:val="16"/>
                <w:b w:val="1"/>
                <w:bCs w:val="1"/>
                <w:color w:val="auto"/>
              </w:rPr>
              <w:t>Balance at March 31, 2020</w:t>
            </w:r>
          </w:p>
        </w:tc>
        <w:tc>
          <w:tcPr>
            <w:tcW w:w="86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1,427,883</w:t>
            </w:r>
          </w:p>
        </w:tc>
      </w:tr>
      <w:tr>
        <w:trPr>
          <w:trHeight w:val="210"/>
        </w:trPr>
        <w:tc>
          <w:tcPr>
            <w:tcW w:w="3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Merger purchase accounting adjustments</w:t>
            </w:r>
          </w:p>
        </w:tc>
        <w:tc>
          <w:tcPr>
            <w:tcW w:w="8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197"/>
        </w:trPr>
        <w:tc>
          <w:tcPr>
            <w:tcW w:w="3480" w:type="dxa"/>
            <w:vAlign w:val="bottom"/>
          </w:tcPr>
          <w:p>
            <w:pPr>
              <w:ind w:left="340"/>
              <w:spacing w:after="0"/>
              <w:rPr>
                <w:sz w:val="20"/>
                <w:szCs w:val="20"/>
                <w:color w:val="auto"/>
              </w:rPr>
            </w:pPr>
            <w:r>
              <w:rPr>
                <w:rFonts w:ascii="Arial" w:cs="Arial" w:eastAsia="Arial" w:hAnsi="Arial"/>
                <w:sz w:val="16"/>
                <w:szCs w:val="16"/>
                <w:b w:val="1"/>
                <w:bCs w:val="1"/>
                <w:color w:val="auto"/>
              </w:rPr>
              <w:t>Balance at June 30, 2020</w:t>
            </w:r>
          </w:p>
        </w:tc>
        <w:tc>
          <w:tcPr>
            <w:tcW w:w="86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1,428,610</w:t>
            </w:r>
          </w:p>
        </w:tc>
      </w:tr>
      <w:tr>
        <w:trPr>
          <w:trHeight w:val="207"/>
        </w:trPr>
        <w:tc>
          <w:tcPr>
            <w:tcW w:w="3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Changes</w:t>
            </w:r>
          </w:p>
        </w:tc>
        <w:tc>
          <w:tcPr>
            <w:tcW w:w="8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3480" w:type="dxa"/>
            <w:vAlign w:val="bottom"/>
          </w:tcPr>
          <w:p>
            <w:pPr>
              <w:ind w:left="340"/>
              <w:spacing w:after="0"/>
              <w:rPr>
                <w:sz w:val="20"/>
                <w:szCs w:val="20"/>
                <w:color w:val="auto"/>
              </w:rPr>
            </w:pPr>
            <w:r>
              <w:rPr>
                <w:rFonts w:ascii="Arial" w:cs="Arial" w:eastAsia="Arial" w:hAnsi="Arial"/>
                <w:sz w:val="16"/>
                <w:szCs w:val="16"/>
                <w:b w:val="1"/>
                <w:bCs w:val="1"/>
                <w:color w:val="auto"/>
              </w:rPr>
              <w:t>Balance at September 30, 2020</w:t>
            </w: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1,428,610</w:t>
            </w:r>
          </w:p>
        </w:tc>
      </w:tr>
      <w:tr>
        <w:trPr>
          <w:trHeight w:val="20"/>
        </w:trPr>
        <w:tc>
          <w:tcPr>
            <w:tcW w:w="3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carrying amount and accumulated amortization of intangible assets consists of the following as of September 30, 2021 and December 31, 2020 (in thousands):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7"/>
                <w:szCs w:val="17"/>
                <w:color w:val="auto"/>
              </w:rPr>
            </w:pPr>
          </w:p>
        </w:tc>
        <w:tc>
          <w:tcPr>
            <w:tcW w:w="1780" w:type="dxa"/>
            <w:vAlign w:val="bottom"/>
          </w:tcPr>
          <w:p>
            <w:pPr>
              <w:jc w:val="right"/>
              <w:ind w:right="302"/>
              <w:spacing w:after="0"/>
              <w:rPr>
                <w:sz w:val="20"/>
                <w:szCs w:val="20"/>
                <w:color w:val="auto"/>
              </w:rPr>
            </w:pPr>
            <w:r>
              <w:rPr>
                <w:rFonts w:ascii="Arial" w:cs="Arial" w:eastAsia="Arial" w:hAnsi="Arial"/>
                <w:sz w:val="16"/>
                <w:szCs w:val="16"/>
                <w:b w:val="1"/>
                <w:bCs w:val="1"/>
                <w:color w:val="auto"/>
                <w:w w:val="95"/>
              </w:rPr>
              <w:t>December 31, 2020</w:t>
            </w:r>
          </w:p>
        </w:tc>
      </w:tr>
      <w:tr>
        <w:trPr>
          <w:trHeight w:val="190"/>
        </w:trPr>
        <w:tc>
          <w:tcPr>
            <w:tcW w:w="3920" w:type="dxa"/>
            <w:vAlign w:val="bottom"/>
          </w:tcPr>
          <w:p>
            <w:pPr>
              <w:ind w:left="20"/>
              <w:spacing w:after="0"/>
              <w:rPr>
                <w:sz w:val="20"/>
                <w:szCs w:val="20"/>
                <w:color w:val="auto"/>
              </w:rPr>
            </w:pPr>
            <w:r>
              <w:rPr>
                <w:rFonts w:ascii="Arial" w:cs="Arial" w:eastAsia="Arial" w:hAnsi="Arial"/>
                <w:sz w:val="16"/>
                <w:szCs w:val="16"/>
                <w:color w:val="auto"/>
              </w:rPr>
              <w:t>Gross intangible assets:</w:t>
            </w:r>
          </w:p>
        </w:tc>
        <w:tc>
          <w:tcPr>
            <w:tcW w:w="2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r>
      <w:tr>
        <w:trPr>
          <w:trHeight w:val="210"/>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Referral sources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438,121</w:t>
            </w:r>
          </w:p>
        </w:tc>
      </w:tr>
      <w:tr>
        <w:trPr>
          <w:trHeight w:val="204"/>
        </w:trPr>
        <w:tc>
          <w:tcPr>
            <w:tcW w:w="3920" w:type="dxa"/>
            <w:vAlign w:val="bottom"/>
          </w:tcPr>
          <w:p>
            <w:pPr>
              <w:ind w:left="120"/>
              <w:spacing w:after="0"/>
              <w:rPr>
                <w:sz w:val="20"/>
                <w:szCs w:val="20"/>
                <w:color w:val="auto"/>
              </w:rPr>
            </w:pPr>
            <w:r>
              <w:rPr>
                <w:rFonts w:ascii="Arial" w:cs="Arial" w:eastAsia="Arial" w:hAnsi="Arial"/>
                <w:sz w:val="16"/>
                <w:szCs w:val="16"/>
                <w:color w:val="auto"/>
              </w:rPr>
              <w:t>Trademarks/names</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44,536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44,536</w:t>
            </w:r>
          </w:p>
        </w:tc>
      </w:tr>
      <w:tr>
        <w:trPr>
          <w:trHeight w:val="210"/>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amortizable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402</w:t>
            </w:r>
          </w:p>
        </w:tc>
      </w:tr>
      <w:tr>
        <w:trPr>
          <w:trHeight w:val="197"/>
        </w:trPr>
        <w:tc>
          <w:tcPr>
            <w:tcW w:w="39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gross intangible assets</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483,059</w:t>
            </w:r>
          </w:p>
        </w:tc>
      </w:tr>
      <w:tr>
        <w:trPr>
          <w:trHeight w:val="241"/>
        </w:trPr>
        <w:tc>
          <w:tcPr>
            <w:tcW w:w="3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04"/>
        </w:trPr>
        <w:tc>
          <w:tcPr>
            <w:tcW w:w="392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0"/>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Referral sources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(110,498)</w:t>
            </w:r>
          </w:p>
        </w:tc>
      </w:tr>
      <w:tr>
        <w:trPr>
          <w:trHeight w:val="204"/>
        </w:trPr>
        <w:tc>
          <w:tcPr>
            <w:tcW w:w="3920" w:type="dxa"/>
            <w:vAlign w:val="bottom"/>
          </w:tcPr>
          <w:p>
            <w:pPr>
              <w:ind w:left="120"/>
              <w:spacing w:after="0"/>
              <w:rPr>
                <w:sz w:val="20"/>
                <w:szCs w:val="20"/>
                <w:color w:val="auto"/>
              </w:rPr>
            </w:pPr>
            <w:r>
              <w:rPr>
                <w:rFonts w:ascii="Arial" w:cs="Arial" w:eastAsia="Arial" w:hAnsi="Arial"/>
                <w:sz w:val="16"/>
                <w:szCs w:val="16"/>
                <w:color w:val="auto"/>
              </w:rPr>
              <w:t>Trademarks/names</w:t>
            </w: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(26,403)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(21,146)</w:t>
            </w:r>
          </w:p>
        </w:tc>
      </w:tr>
      <w:tr>
        <w:trPr>
          <w:trHeight w:val="210"/>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amortizable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197"/>
        </w:trPr>
        <w:tc>
          <w:tcPr>
            <w:tcW w:w="39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accumulated amortization</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(157,546)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(132,007)</w:t>
            </w:r>
          </w:p>
        </w:tc>
      </w:tr>
      <w:tr>
        <w:trPr>
          <w:trHeight w:val="22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net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351,052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Amortization expense for intangible assets was $7.9 million and $25.5 million for the three and nine months ended September 30, 2021,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intangible assets was $8.8 million and $26.3 million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00"/>
          </w:cols>
          <w:pgMar w:left="320" w:top="122" w:right="87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INDEBTEDNESS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Long-term debt consisted of the following as of September 30, 2021 (in thousands):</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Principal Amount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Discount</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5"/>
              </w:rPr>
              <w:t>Debt Issuance Costs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Net Balance</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Asset-based-lending (“ABL”) facility</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4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1,156,919</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(8,731)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(18,590)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1,129,598</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1,156,919</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(8,731)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(18,590)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1,129,598</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(11,775)</w:t>
            </w:r>
          </w:p>
        </w:tc>
        <w:tc>
          <w:tcPr>
            <w:tcW w:w="0" w:type="dxa"/>
            <w:vAlign w:val="bottom"/>
          </w:tcPr>
          <w:p>
            <w:pPr>
              <w:spacing w:after="0"/>
              <w:rPr>
                <w:sz w:val="1"/>
                <w:szCs w:val="1"/>
                <w:color w:val="auto"/>
              </w:rPr>
            </w:pPr>
          </w:p>
        </w:tc>
      </w:tr>
      <w:tr>
        <w:trPr>
          <w:trHeight w:val="202"/>
        </w:trPr>
        <w:tc>
          <w:tcPr>
            <w:tcW w:w="344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1,117,823</w:t>
            </w: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spacing w:after="0"/>
              <w:rPr>
                <w:sz w:val="20"/>
                <w:szCs w:val="20"/>
                <w:color w:val="auto"/>
              </w:rPr>
            </w:pPr>
            <w:r>
              <w:rPr>
                <w:rFonts w:ascii="Arial" w:cs="Arial" w:eastAsia="Arial" w:hAnsi="Arial"/>
                <w:sz w:val="17"/>
                <w:szCs w:val="17"/>
                <w:color w:val="auto"/>
              </w:rPr>
              <w:t>Long-term debt consisted of the following as of December 31, 2020 (in thousands):</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38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Principal Amount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5"/>
              </w:rPr>
              <w:t>Debt Issuance Costs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Net Balance</w:t>
            </w:r>
          </w:p>
        </w:tc>
      </w:tr>
      <w:tr>
        <w:trPr>
          <w:trHeight w:val="20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34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915,750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(19,710)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888,787</w:t>
            </w: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235,566</w:t>
            </w:r>
          </w:p>
        </w:tc>
      </w:tr>
      <w:tr>
        <w:trPr>
          <w:trHeight w:val="203"/>
        </w:trPr>
        <w:tc>
          <w:tcPr>
            <w:tcW w:w="344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1,161,531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1,124,353</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70"/>
        </w:trPr>
        <w:tc>
          <w:tcPr>
            <w:tcW w:w="34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(9,250)</w:t>
            </w:r>
          </w:p>
        </w:tc>
      </w:tr>
      <w:tr>
        <w:trPr>
          <w:trHeight w:val="202"/>
        </w:trPr>
        <w:tc>
          <w:tcPr>
            <w:tcW w:w="344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1,115,103</w:t>
            </w: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180" w:firstLine="310"/>
        <w:spacing w:after="0" w:line="259" w:lineRule="auto"/>
        <w:rPr>
          <w:sz w:val="20"/>
          <w:szCs w:val="20"/>
          <w:color w:val="auto"/>
        </w:rPr>
      </w:pPr>
      <w:r>
        <w:rPr>
          <w:rFonts w:ascii="Arial" w:cs="Arial" w:eastAsia="Arial" w:hAnsi="Arial"/>
          <w:sz w:val="17"/>
          <w:szCs w:val="17"/>
          <w:color w:val="auto"/>
        </w:rPr>
        <w:t>In January 2021, the Company entered into an amendment on the First Lien Term Loan (the “First Lien Credit Agreement Amendment”). The First Lien Credit Agreement Amendment resulted in an additional $250.0 million of incremental First Lien Term Loan indebtedness being issued and reduced the interest rate on all outstanding First Lien Term Loan indebtedness from LIBOR plus 4.25% to LIBOR plus 3.75%. The proceeds of the $250.0 million incremental First Lien Term Loan indebtedness were used to prepay the remaining $245.8 million outstanding balance of the Second Lien Notes. Following the First Lien Credit Agreement Amendment, the First Lien Term Loan is repayable in quarterly installments of $2.9 million plus interest, with a final payment of all remaining outstanding principal due on August 6, 2026.</w:t>
      </w:r>
    </w:p>
    <w:p>
      <w:pPr>
        <w:spacing w:after="0" w:line="156" w:lineRule="exact"/>
        <w:rPr>
          <w:sz w:val="20"/>
          <w:szCs w:val="20"/>
          <w:color w:val="auto"/>
        </w:rPr>
      </w:pPr>
    </w:p>
    <w:p>
      <w:pPr>
        <w:ind w:firstLine="310"/>
        <w:spacing w:after="0" w:line="272" w:lineRule="auto"/>
        <w:rPr>
          <w:sz w:val="20"/>
          <w:szCs w:val="20"/>
          <w:color w:val="auto"/>
        </w:rPr>
      </w:pPr>
      <w:r>
        <w:rPr>
          <w:rFonts w:ascii="Arial" w:cs="Arial" w:eastAsia="Arial" w:hAnsi="Arial"/>
          <w:sz w:val="16"/>
          <w:szCs w:val="16"/>
          <w:color w:val="auto"/>
        </w:rPr>
        <w:t>The Company assessed whether the repayment of the Second Lien Notes by issuing incremental First Lien Term Loan indebtedness resulted in an insubstantial modification or an extinguishment of the existing debt for each loan in the syndication by grouping lenders as follows: (i) Lenders participating in both the First Lien Term Loan and Second Lien Notes; (ii) previous lenders that exited; and (iii) new lenders. The Company determined that $161.2 million of the First Lien Term Loan was extinguished and $122.9 million of the Second Lien Term Loan was extinguished, which is disclosed as an outflow from financing activities in the condensed consolidated statements of cash flows. The First Lien Term Loan and Second Lien Notes had insubstantial modifications for lenders that participated in both debt instruments, which resulted in a cash outflow from financing activities of $352.0 million in the condensed consolidated statements of cash flows. The Company determined that $356.2 million of new debt was issued related to the First Lien Term Loan, which is disclosed as an inflow from financing activities in the condensed consolidated statements of cash flows. In connection with the prepayment of the Second Lien Notes and incremental First Lien Term Loan indebtedness, the Company incurred $7.2 million in debt issuance costs and third-party fees, of which $3.7 million was capitalized, $0.9 million was expensed as a component of other expense and $2.6 million was expensed as a loss on extinguishment as a component of other expense in the condensed consolidated statements of comprehensive income (loss) for the nine months ended September 30, 2021. Further, $1.0 million of the total fees incurred of $7.2 million was netted against the $356.2 million of proceeds from debt as a component of the cash flows from financing activities, $2.9 million was presented as deferred financing costs as a component of cash flows from financing activities, $2.4 million was presented as debt prepayment fees as a component of cash flows from financing activities, and the remaining $0.9 million was included in cash flows from operating activities in the condensed consolidated statements of cash flows.</w:t>
      </w:r>
    </w:p>
    <w:p>
      <w:pPr>
        <w:spacing w:after="0" w:line="141" w:lineRule="exact"/>
        <w:rPr>
          <w:sz w:val="20"/>
          <w:szCs w:val="20"/>
          <w:color w:val="auto"/>
        </w:rPr>
      </w:pPr>
    </w:p>
    <w:p>
      <w:pPr>
        <w:ind w:right="40" w:firstLine="310"/>
        <w:spacing w:after="0" w:line="309" w:lineRule="auto"/>
        <w:rPr>
          <w:sz w:val="20"/>
          <w:szCs w:val="20"/>
          <w:color w:val="auto"/>
        </w:rPr>
      </w:pPr>
      <w:r>
        <w:rPr>
          <w:rFonts w:ascii="Arial" w:cs="Arial" w:eastAsia="Arial" w:hAnsi="Arial"/>
          <w:sz w:val="15"/>
          <w:szCs w:val="15"/>
          <w:color w:val="auto"/>
        </w:rPr>
        <w:t>The Company recognized a loss on extinguishment of debt of $12.4 million included in the line entitled “Other, net” in the unaudited condensed consolidated statements of comprehensive income (loss) for the nine months ended September 30, 2021, of which $2.6 million related to debt issue costs incurred with the incremental First Lien Term Loan indebtedness and prepayment of the Second Lien Notes, as discussed above, and $9.8 million related to existing deferred financing fees that were written off upon extinguishment. All remaining deferred financing fees that existed prior to the First Lien Credit Agreement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Amendment were attributed to modified loans, and were capitalized and amortized over the remaining term of the First Lien Term Loan.</w:t>
      </w:r>
    </w:p>
    <w:p>
      <w:pPr>
        <w:spacing w:after="0" w:line="102" w:lineRule="exact"/>
        <w:rPr>
          <w:sz w:val="20"/>
          <w:szCs w:val="20"/>
          <w:color w:val="auto"/>
        </w:rPr>
      </w:pPr>
    </w:p>
    <w:p>
      <w:pPr>
        <w:ind w:right="60" w:firstLine="310"/>
        <w:spacing w:after="0" w:line="278" w:lineRule="auto"/>
        <w:rPr>
          <w:sz w:val="20"/>
          <w:szCs w:val="20"/>
          <w:color w:val="auto"/>
        </w:rPr>
      </w:pPr>
      <w:r>
        <w:rPr>
          <w:rFonts w:ascii="Arial" w:cs="Arial" w:eastAsia="Arial" w:hAnsi="Arial"/>
          <w:sz w:val="16"/>
          <w:szCs w:val="16"/>
          <w:color w:val="auto"/>
        </w:rPr>
        <w:t>The interest rate on the First Lien Term Loan was 3.83% and 4.40% as of September 30, 2021 and December 31, 2020, respectively. The weighted average interest rate incurred on the First Lien Term Loan was 3.84% and 5.87% for the three and nine months ended September 30, 2021. The weighted average interest rate incurred on the previous First Lien Term Loan was 4.67% and 5.29% for the three and nine months ended September 30, 2020, respectively. The interest rate on the Second Lien Notes was 8.98% as of December 31, 2020. The weighted average interest rate incurred on the Second Lien Notes was 8.98% for the period January 1, 2021 through January 20, 2021, prior to the repayment of the outstanding balance. The weighted average interest rate incurred on the Second Lien Notes was 9.51% and 10.17% for the three and nine months ended September 30, 2020.</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Long-term debt matures as follows (in thousands):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96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 Ending December 31,</w:t>
            </w:r>
          </w:p>
        </w:tc>
        <w:tc>
          <w:tcPr>
            <w:tcW w:w="2220" w:type="dxa"/>
            <w:vAlign w:val="bottom"/>
            <w:gridSpan w:val="2"/>
          </w:tcPr>
          <w:p>
            <w:pPr>
              <w:ind w:left="320"/>
              <w:spacing w:after="0"/>
              <w:rPr>
                <w:sz w:val="20"/>
                <w:szCs w:val="20"/>
                <w:color w:val="auto"/>
              </w:rPr>
            </w:pPr>
            <w:r>
              <w:rPr>
                <w:rFonts w:ascii="Arial" w:cs="Arial" w:eastAsia="Arial" w:hAnsi="Arial"/>
                <w:sz w:val="16"/>
                <w:szCs w:val="16"/>
                <w:b w:val="1"/>
                <w:bCs w:val="1"/>
                <w:color w:val="auto"/>
              </w:rPr>
              <w:t>Minimum Payments</w:t>
            </w:r>
          </w:p>
        </w:tc>
      </w:tr>
      <w:tr>
        <w:trPr>
          <w:trHeight w:val="202"/>
        </w:trPr>
        <w:tc>
          <w:tcPr>
            <w:tcW w:w="28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2,944</w:t>
            </w:r>
          </w:p>
        </w:tc>
      </w:tr>
      <w:tr>
        <w:trPr>
          <w:trHeight w:val="204"/>
        </w:trPr>
        <w:tc>
          <w:tcPr>
            <w:tcW w:w="2840" w:type="dxa"/>
            <w:vAlign w:val="bottom"/>
          </w:tcPr>
          <w:p>
            <w:pPr>
              <w:ind w:left="3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11,775</w:t>
            </w:r>
          </w:p>
        </w:tc>
      </w:tr>
      <w:tr>
        <w:trPr>
          <w:trHeight w:val="210"/>
        </w:trPr>
        <w:tc>
          <w:tcPr>
            <w:tcW w:w="2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r>
      <w:tr>
        <w:trPr>
          <w:trHeight w:val="204"/>
        </w:trPr>
        <w:tc>
          <w:tcPr>
            <w:tcW w:w="2840" w:type="dxa"/>
            <w:vAlign w:val="bottom"/>
          </w:tcPr>
          <w:p>
            <w:pPr>
              <w:ind w:left="3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11,775</w:t>
            </w:r>
          </w:p>
        </w:tc>
      </w:tr>
      <w:tr>
        <w:trPr>
          <w:trHeight w:val="210"/>
        </w:trPr>
        <w:tc>
          <w:tcPr>
            <w:tcW w:w="2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r>
      <w:tr>
        <w:trPr>
          <w:trHeight w:val="204"/>
        </w:trPr>
        <w:tc>
          <w:tcPr>
            <w:tcW w:w="2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Thereafter</w:t>
            </w: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1,106,875</w:t>
            </w:r>
          </w:p>
        </w:tc>
      </w:tr>
      <w:tr>
        <w:trPr>
          <w:trHeight w:val="228"/>
        </w:trPr>
        <w:tc>
          <w:tcPr>
            <w:tcW w:w="29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1,156,919</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100" w:firstLine="310"/>
        <w:spacing w:after="0" w:line="282" w:lineRule="auto"/>
        <w:rPr>
          <w:sz w:val="20"/>
          <w:szCs w:val="20"/>
          <w:color w:val="auto"/>
        </w:rPr>
      </w:pPr>
      <w:r>
        <w:rPr>
          <w:rFonts w:ascii="Arial" w:cs="Arial" w:eastAsia="Arial" w:hAnsi="Arial"/>
          <w:sz w:val="16"/>
          <w:szCs w:val="16"/>
          <w:color w:val="auto"/>
        </w:rPr>
        <w:t xml:space="preserve">In October 2021, the Company entered into an amendment on the First Lien Term Loan, to provide $600 million of refinanced borrowings. In October 2021, the Company also issued $500 million in aggregate principal amount of senior notes. See Note 17, </w:t>
      </w:r>
      <w:r>
        <w:rPr>
          <w:rFonts w:ascii="Arial" w:cs="Arial" w:eastAsia="Arial" w:hAnsi="Arial"/>
          <w:sz w:val="16"/>
          <w:szCs w:val="16"/>
          <w:i w:val="1"/>
          <w:iCs w:val="1"/>
          <w:color w:val="auto"/>
        </w:rPr>
        <w:t>Subsequent Events</w:t>
      </w:r>
      <w:r>
        <w:rPr>
          <w:rFonts w:ascii="Arial" w:cs="Arial" w:eastAsia="Arial" w:hAnsi="Arial"/>
          <w:sz w:val="16"/>
          <w:szCs w:val="16"/>
          <w:color w:val="auto"/>
        </w:rPr>
        <w:t>, for further discussion.</w:t>
      </w:r>
    </w:p>
    <w:p>
      <w:pPr>
        <w:spacing w:after="0" w:line="175" w:lineRule="exact"/>
        <w:rPr>
          <w:sz w:val="20"/>
          <w:szCs w:val="20"/>
          <w:color w:val="auto"/>
        </w:rPr>
      </w:pPr>
    </w:p>
    <w:p>
      <w:pPr>
        <w:ind w:right="40" w:firstLine="310"/>
        <w:spacing w:after="0" w:line="283" w:lineRule="auto"/>
        <w:rPr>
          <w:sz w:val="20"/>
          <w:szCs w:val="20"/>
          <w:color w:val="auto"/>
        </w:rPr>
      </w:pPr>
      <w:r>
        <w:rPr>
          <w:rFonts w:ascii="Arial" w:cs="Arial" w:eastAsia="Arial" w:hAnsi="Arial"/>
          <w:sz w:val="17"/>
          <w:szCs w:val="17"/>
          <w:color w:val="auto"/>
        </w:rPr>
        <w:t xml:space="preserve">During the three and nine months ended September 30, 2021 and 2020, the Company engaged in hedging activities to limit its exposure to changes in interest rates. See Note 11,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further discussion.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estimated fair values of the Company’s debt obligations as of September 30, 2021 (in thousands):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Value as of</w:t>
            </w:r>
          </w:p>
        </w:tc>
        <w:tc>
          <w:tcPr>
            <w:tcW w:w="2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Markets for Identical Item</w:t>
            </w:r>
          </w:p>
        </w:tc>
        <w:tc>
          <w:tcPr>
            <w:tcW w:w="26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Significant Other</w:t>
            </w:r>
          </w:p>
        </w:tc>
        <w:tc>
          <w:tcPr>
            <w:tcW w:w="120" w:type="dxa"/>
            <w:vAlign w:val="bottom"/>
          </w:tcPr>
          <w:p>
            <w:pPr>
              <w:spacing w:after="0"/>
              <w:rPr>
                <w:sz w:val="16"/>
                <w:szCs w:val="16"/>
                <w:color w:val="auto"/>
              </w:rPr>
            </w:pPr>
          </w:p>
        </w:tc>
        <w:tc>
          <w:tcPr>
            <w:tcW w:w="1840" w:type="dxa"/>
            <w:vAlign w:val="bottom"/>
          </w:tcPr>
          <w:p>
            <w:pPr>
              <w:jc w:val="center"/>
              <w:ind w:right="42"/>
              <w:spacing w:after="0"/>
              <w:rPr>
                <w:sz w:val="20"/>
                <w:szCs w:val="20"/>
                <w:color w:val="auto"/>
              </w:rPr>
            </w:pPr>
            <w:r>
              <w:rPr>
                <w:rFonts w:ascii="Arial" w:cs="Arial" w:eastAsia="Arial" w:hAnsi="Arial"/>
                <w:sz w:val="16"/>
                <w:szCs w:val="16"/>
                <w:b w:val="1"/>
                <w:bCs w:val="1"/>
                <w:color w:val="auto"/>
                <w:w w:val="87"/>
              </w:rPr>
              <w:t>Significant Unobservable</w:t>
            </w:r>
          </w:p>
        </w:tc>
        <w:tc>
          <w:tcPr>
            <w:tcW w:w="0" w:type="dxa"/>
            <w:vAlign w:val="bottom"/>
          </w:tcPr>
          <w:p>
            <w:pPr>
              <w:spacing w:after="0"/>
              <w:rPr>
                <w:sz w:val="1"/>
                <w:szCs w:val="1"/>
                <w:color w:val="auto"/>
              </w:rPr>
            </w:pPr>
          </w:p>
        </w:tc>
      </w:tr>
      <w:tr>
        <w:trPr>
          <w:trHeight w:val="204"/>
        </w:trPr>
        <w:tc>
          <w:tcPr>
            <w:tcW w:w="2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3"/>
              </w:rPr>
              <w:t>September 30, 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02"/>
              <w:spacing w:after="0"/>
              <w:rPr>
                <w:sz w:val="20"/>
                <w:szCs w:val="20"/>
                <w:color w:val="auto"/>
              </w:rPr>
            </w:pPr>
            <w:r>
              <w:rPr>
                <w:rFonts w:ascii="Arial" w:cs="Arial" w:eastAsia="Arial" w:hAnsi="Arial"/>
                <w:sz w:val="16"/>
                <w:szCs w:val="16"/>
                <w:b w:val="1"/>
                <w:bCs w:val="1"/>
                <w:color w:val="auto"/>
                <w:w w:val="89"/>
              </w:rPr>
              <w:t>(Level 1)</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Observable Inputs (Level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8"/>
              </w:rPr>
              <w:t>Inputs (Level 3)</w:t>
            </w:r>
          </w:p>
        </w:tc>
        <w:tc>
          <w:tcPr>
            <w:tcW w:w="0" w:type="dxa"/>
            <w:vAlign w:val="bottom"/>
          </w:tcPr>
          <w:p>
            <w:pPr>
              <w:spacing w:after="0"/>
              <w:rPr>
                <w:sz w:val="1"/>
                <w:szCs w:val="1"/>
                <w:color w:val="auto"/>
              </w:rPr>
            </w:pPr>
          </w:p>
        </w:tc>
      </w:tr>
      <w:tr>
        <w:trPr>
          <w:trHeight w:val="202"/>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1,129,598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1,156,919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Second lien notes</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debt instruments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1,156,919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300" w:firstLine="310"/>
        <w:spacing w:after="0" w:line="283" w:lineRule="auto"/>
        <w:rPr>
          <w:sz w:val="20"/>
          <w:szCs w:val="20"/>
          <w:color w:val="auto"/>
        </w:rPr>
      </w:pPr>
      <w:r>
        <w:rPr>
          <w:rFonts w:ascii="Arial" w:cs="Arial" w:eastAsia="Arial" w:hAnsi="Arial"/>
          <w:sz w:val="17"/>
          <w:szCs w:val="17"/>
          <w:color w:val="auto"/>
        </w:rPr>
        <w:t>The following table sets forth the changes in Level 3 measurements for the three months ended March 31, 2021 (in thousands). As the Second Lien Notes were prepaid in Q1, there was no change in the fair value thereafter.</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5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92"/>
              </w:rPr>
              <w:t>Level 3 Measurements</w:t>
            </w:r>
          </w:p>
        </w:tc>
      </w:tr>
      <w:tr>
        <w:trPr>
          <w:trHeight w:val="20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January 1, 2021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266,438</w:t>
            </w:r>
          </w:p>
        </w:tc>
      </w:tr>
      <w:tr>
        <w:trPr>
          <w:trHeight w:val="204"/>
        </w:trPr>
        <w:tc>
          <w:tcPr>
            <w:tcW w:w="5280" w:type="dxa"/>
            <w:vAlign w:val="bottom"/>
          </w:tcPr>
          <w:p>
            <w:pPr>
              <w:ind w:left="20"/>
              <w:spacing w:after="0"/>
              <w:rPr>
                <w:sz w:val="20"/>
                <w:szCs w:val="20"/>
                <w:color w:val="auto"/>
              </w:rPr>
            </w:pPr>
            <w:r>
              <w:rPr>
                <w:rFonts w:ascii="Arial" w:cs="Arial" w:eastAsia="Arial" w:hAnsi="Arial"/>
                <w:sz w:val="16"/>
                <w:szCs w:val="16"/>
                <w:color w:val="auto"/>
              </w:rPr>
              <w:t>Principal prepayment</w:t>
            </w:r>
          </w:p>
        </w:tc>
        <w:tc>
          <w:tcPr>
            <w:tcW w:w="2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(245,781)</w:t>
            </w:r>
          </w:p>
        </w:tc>
      </w:tr>
      <w:tr>
        <w:trPr>
          <w:trHeight w:val="20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2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(20,657)</w:t>
            </w:r>
          </w:p>
        </w:tc>
      </w:tr>
      <w:tr>
        <w:trPr>
          <w:trHeight w:val="202"/>
        </w:trPr>
        <w:tc>
          <w:tcPr>
            <w:tcW w:w="5280" w:type="dxa"/>
            <w:vAlign w:val="bottom"/>
          </w:tcPr>
          <w:p>
            <w:pPr>
              <w:ind w:left="20"/>
              <w:spacing w:after="0"/>
              <w:rPr>
                <w:sz w:val="20"/>
                <w:szCs w:val="20"/>
                <w:color w:val="auto"/>
              </w:rPr>
            </w:pPr>
            <w:r>
              <w:rPr>
                <w:rFonts w:ascii="Arial" w:cs="Arial" w:eastAsia="Arial" w:hAnsi="Arial"/>
                <w:sz w:val="16"/>
                <w:szCs w:val="16"/>
                <w:color w:val="auto"/>
              </w:rPr>
              <w:t>Second lien notes fair value as of March 31, 2021</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See Note 12, </w:t>
      </w:r>
      <w:r>
        <w:rPr>
          <w:rFonts w:ascii="Arial" w:cs="Arial" w:eastAsia="Arial" w:hAnsi="Arial"/>
          <w:sz w:val="17"/>
          <w:szCs w:val="17"/>
          <w:i w:val="1"/>
          <w:iCs w:val="1"/>
          <w:color w:val="auto"/>
        </w:rPr>
        <w:t>Fair Value Measurements</w:t>
      </w:r>
      <w:r>
        <w:rPr>
          <w:rFonts w:ascii="Arial" w:cs="Arial" w:eastAsia="Arial" w:hAnsi="Arial"/>
          <w:sz w:val="17"/>
          <w:szCs w:val="17"/>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DERIVATIVE INSTRUMENTS</w:t>
      </w:r>
    </w:p>
    <w:p>
      <w:pPr>
        <w:spacing w:after="0" w:line="198" w:lineRule="exact"/>
        <w:rPr>
          <w:sz w:val="20"/>
          <w:szCs w:val="20"/>
          <w:color w:val="auto"/>
        </w:rPr>
      </w:pPr>
    </w:p>
    <w:p>
      <w:pPr>
        <w:ind w:firstLine="310"/>
        <w:spacing w:after="0" w:line="277"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67" w:lineRule="exact"/>
        <w:rPr>
          <w:sz w:val="20"/>
          <w:szCs w:val="20"/>
          <w:color w:val="auto"/>
        </w:rPr>
      </w:pPr>
    </w:p>
    <w:p>
      <w:pPr>
        <w:ind w:right="40" w:firstLine="310"/>
        <w:spacing w:after="0" w:line="298" w:lineRule="auto"/>
        <w:rPr>
          <w:sz w:val="20"/>
          <w:szCs w:val="20"/>
          <w:color w:val="auto"/>
        </w:rPr>
      </w:pPr>
      <w:r>
        <w:rPr>
          <w:rFonts w:ascii="Arial" w:cs="Arial" w:eastAsia="Arial" w:hAnsi="Arial"/>
          <w:sz w:val="15"/>
          <w:szCs w:val="15"/>
          <w:color w:val="auto"/>
        </w:rPr>
        <w:t>In August 2019, the Company entered into interest rate swap agreements that reduce the variability in the interest rates on the newly-issued debt obligations following the Merger with BioScrip. The first interest rate swap for $925.0 million notional was effective in August 2019 with $911.1 million designated as a cash flow hedge against the underlying interest rate on the first lien term loan interest payments indexed to one-month London Interbank Offered Rate (“LIBOR”) through August 2021. In accordance with ASU 2017-12, Targeted Improvements to Accounting for Hedges, the Company has determined that the $911.1 million designated cash flow hedge is perfectly effective. The remaining $13.9 million notional amount of the interest rate swap is not designated as a hedging instrument. The first interest rate swap expired in August 2021. The second interest rate swap of $400.0 million notional was effective in November 2019 and was designated as a cash flow hedge against the underlying interest rate on the second lien notes interest payments indexed to three-month LIBOR through November 2020.</w:t>
      </w:r>
    </w:p>
    <w:p>
      <w:pPr>
        <w:spacing w:after="0" w:line="116" w:lineRule="exact"/>
        <w:rPr>
          <w:sz w:val="20"/>
          <w:szCs w:val="20"/>
          <w:color w:val="auto"/>
        </w:rPr>
      </w:pPr>
    </w:p>
    <w:p>
      <w:pPr>
        <w:ind w:firstLine="310"/>
        <w:spacing w:after="0" w:line="281" w:lineRule="auto"/>
        <w:rPr>
          <w:sz w:val="20"/>
          <w:szCs w:val="20"/>
          <w:color w:val="auto"/>
        </w:rPr>
      </w:pPr>
      <w:r>
        <w:rPr>
          <w:rFonts w:ascii="Arial" w:cs="Arial" w:eastAsia="Arial" w:hAnsi="Arial"/>
          <w:sz w:val="16"/>
          <w:szCs w:val="16"/>
          <w:color w:val="auto"/>
        </w:rPr>
        <w:t>In May 2020, the Company elected to pay-in-kind (“PIK”) the second lien note’s quarterly interest payment due in August 2020. Upon making the PIK election, the Company determined that the hedged interest payment would no longer occur, resulting in an ineffective hedge, so the Company discontinued hedge accounting on its $400.0 million notional interest rate swap. As a result, the Company reclassified accumulated comprehensive loss of $3.7 million to interest expense, net in the unaudited condensed consolidated statements of comprehensive income (loss). The gains and losses associated with the $400.0 million notional swap were recognized in net income (loss) through interest expense until the swap expired in November 2020.</w:t>
      </w:r>
    </w:p>
    <w:p>
      <w:pPr>
        <w:spacing w:after="0" w:line="125" w:lineRule="exact"/>
        <w:rPr>
          <w:sz w:val="20"/>
          <w:szCs w:val="20"/>
          <w:color w:val="auto"/>
        </w:rPr>
      </w:pPr>
    </w:p>
    <w:p>
      <w:pPr>
        <w:ind w:right="780" w:firstLine="310"/>
        <w:spacing w:after="0" w:line="283" w:lineRule="auto"/>
        <w:rPr>
          <w:sz w:val="20"/>
          <w:szCs w:val="20"/>
          <w:color w:val="auto"/>
        </w:rPr>
      </w:pPr>
      <w:r>
        <w:rPr>
          <w:rFonts w:ascii="Arial" w:cs="Arial" w:eastAsia="Arial" w:hAnsi="Arial"/>
          <w:sz w:val="17"/>
          <w:szCs w:val="17"/>
          <w:color w:val="auto"/>
        </w:rPr>
        <w:t>The following table summarizes the amount and location of the Company’s derivative instruments in the condensed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20" w:type="dxa"/>
            <w:vAlign w:val="bottom"/>
          </w:tcPr>
          <w:p>
            <w:pPr>
              <w:spacing w:after="0"/>
              <w:rPr>
                <w:sz w:val="17"/>
                <w:szCs w:val="17"/>
                <w:color w:val="auto"/>
              </w:rPr>
            </w:pPr>
          </w:p>
        </w:tc>
        <w:tc>
          <w:tcPr>
            <w:tcW w:w="4920" w:type="dxa"/>
            <w:vAlign w:val="bottom"/>
            <w:tcBorders>
              <w:bottom w:val="single" w:sz="8" w:color="auto"/>
            </w:tcBorders>
            <w:gridSpan w:val="5"/>
          </w:tcPr>
          <w:p>
            <w:pPr>
              <w:ind w:left="1940"/>
              <w:spacing w:after="0"/>
              <w:rPr>
                <w:sz w:val="20"/>
                <w:szCs w:val="20"/>
                <w:color w:val="auto"/>
              </w:rPr>
            </w:pPr>
            <w:r>
              <w:rPr>
                <w:rFonts w:ascii="Arial" w:cs="Arial" w:eastAsia="Arial" w:hAnsi="Arial"/>
                <w:sz w:val="16"/>
                <w:szCs w:val="16"/>
                <w:b w:val="1"/>
                <w:bCs w:val="1"/>
                <w:color w:val="auto"/>
                <w:w w:val="92"/>
              </w:rPr>
              <w:t>Fair value - Derivatives in liability position</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1"/>
              </w:rPr>
              <w:t>December 31, 2020</w:t>
            </w:r>
          </w:p>
        </w:tc>
      </w:tr>
      <w:tr>
        <w:trPr>
          <w:trHeight w:val="20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1"/>
              </w:rPr>
              <w:t>Accrued expenses and other current liabilities   $</w:t>
            </w:r>
          </w:p>
        </w:tc>
        <w:tc>
          <w:tcPr>
            <w:tcW w:w="172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w:t>
            </w:r>
          </w:p>
        </w:tc>
      </w:tr>
      <w:tr>
        <w:trPr>
          <w:trHeight w:val="20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 not designated as cash flow hedges</w:t>
            </w:r>
          </w:p>
        </w:tc>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2"/>
              </w:rPr>
              <w:t>Accrued expenses and other current liabilities</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2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3200" w:type="dxa"/>
            <w:vAlign w:val="bottom"/>
            <w:gridSpan w:val="3"/>
            <w:shd w:val="clear" w:color="auto" w:fill="CCEEFF"/>
          </w:tcPr>
          <w:p>
            <w:pPr>
              <w:ind w:left="304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80" w:firstLine="310"/>
        <w:spacing w:after="0" w:line="285" w:lineRule="auto"/>
        <w:rPr>
          <w:sz w:val="20"/>
          <w:szCs w:val="20"/>
          <w:color w:val="auto"/>
        </w:rPr>
      </w:pPr>
      <w:r>
        <w:rPr>
          <w:rFonts w:ascii="Arial" w:cs="Arial" w:eastAsia="Arial" w:hAnsi="Arial"/>
          <w:sz w:val="16"/>
          <w:szCs w:val="16"/>
          <w:color w:val="auto"/>
        </w:rPr>
        <w:t>The gain and loss associated with the changes in the fair value of the effective portion of the hedging instrument are recorded into other comprehensive (loss) income. The gain and loss associated with the changes in the fair value of the $13.9 million notional amount not designated as a hedging instrument is recognized in net income (loss) through interest expense. The following table presents the pre-tax gains (losses) from derivative instruments recognized in other comprehensive (loss) income in the Company’s unaudited condensed consolidated statements of comprehensive income (loss) (in thousands):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7"/>
                <w:szCs w:val="17"/>
                <w:color w:val="auto"/>
              </w:rPr>
            </w:pPr>
          </w:p>
        </w:tc>
        <w:tc>
          <w:tcPr>
            <w:tcW w:w="2880" w:type="dxa"/>
            <w:vAlign w:val="bottom"/>
            <w:gridSpan w:val="4"/>
          </w:tcPr>
          <w:p>
            <w:pPr>
              <w:jc w:val="right"/>
              <w:ind w:right="342"/>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0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r>
      <w:tr>
        <w:trPr>
          <w:trHeight w:val="202"/>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(11,780)</w:t>
            </w:r>
          </w:p>
        </w:tc>
      </w:tr>
      <w:tr>
        <w:trPr>
          <w:trHeight w:val="204"/>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Interest rate swaps that discontinued hedge accounting</w:t>
            </w:r>
          </w:p>
        </w:tc>
        <w:tc>
          <w:tcPr>
            <w:tcW w:w="2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3,746</w:t>
            </w:r>
          </w:p>
        </w:tc>
      </w:tr>
      <w:tr>
        <w:trPr>
          <w:trHeight w:val="225"/>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(8,034)</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220" w:firstLine="310"/>
        <w:spacing w:after="0" w:line="283" w:lineRule="auto"/>
        <w:rPr>
          <w:sz w:val="20"/>
          <w:szCs w:val="20"/>
          <w:color w:val="auto"/>
        </w:rPr>
      </w:pPr>
      <w:r>
        <w:rPr>
          <w:rFonts w:ascii="Arial" w:cs="Arial" w:eastAsia="Arial" w:hAnsi="Arial"/>
          <w:sz w:val="17"/>
          <w:szCs w:val="17"/>
          <w:color w:val="auto"/>
        </w:rPr>
        <w:t>The following table presents the amount and location of pre-tax income (loss) recognized in the Company’s unaudited condensed consolidated statement of comprehensive income (loss) related to the Company’s derivative instruments (in thousands):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7"/>
                <w:szCs w:val="17"/>
                <w:color w:val="auto"/>
              </w:rPr>
            </w:pPr>
          </w:p>
        </w:tc>
        <w:tc>
          <w:tcPr>
            <w:tcW w:w="2880" w:type="dxa"/>
            <w:vAlign w:val="bottom"/>
            <w:gridSpan w:val="4"/>
          </w:tcPr>
          <w:p>
            <w:pPr>
              <w:jc w:val="right"/>
              <w:ind w:right="342"/>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03"/>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Income Statement Caption</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5"/>
        </w:trPr>
        <w:tc>
          <w:tcPr>
            <w:tcW w:w="200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6"/>
                <w:szCs w:val="16"/>
                <w:color w:val="auto"/>
                <w:w w:val="89"/>
              </w:rPr>
              <w:t>Interest rate swaps designated</w:t>
            </w:r>
          </w:p>
        </w:tc>
        <w:tc>
          <w:tcPr>
            <w:tcW w:w="24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(2,903)</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(4,152)</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(11,298)</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(8,604)</w:t>
            </w:r>
          </w:p>
        </w:tc>
        <w:tc>
          <w:tcPr>
            <w:tcW w:w="0" w:type="dxa"/>
            <w:vAlign w:val="bottom"/>
          </w:tcPr>
          <w:p>
            <w:pPr>
              <w:spacing w:after="0"/>
              <w:rPr>
                <w:sz w:val="1"/>
                <w:szCs w:val="1"/>
                <w:color w:val="auto"/>
              </w:rPr>
            </w:pPr>
          </w:p>
        </w:tc>
      </w:tr>
      <w:tr>
        <w:trPr>
          <w:trHeight w:val="202"/>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cash flow hedges</w:t>
            </w:r>
          </w:p>
        </w:tc>
        <w:tc>
          <w:tcPr>
            <w:tcW w:w="248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00" w:type="dxa"/>
            <w:vAlign w:val="bottom"/>
            <w:gridSpan w:val="2"/>
          </w:tcPr>
          <w:p>
            <w:pPr>
              <w:ind w:left="20"/>
              <w:spacing w:after="0" w:line="160" w:lineRule="exact"/>
              <w:rPr>
                <w:sz w:val="20"/>
                <w:szCs w:val="20"/>
                <w:color w:val="auto"/>
              </w:rPr>
            </w:pPr>
            <w:r>
              <w:rPr>
                <w:rFonts w:ascii="Arial" w:cs="Arial" w:eastAsia="Arial" w:hAnsi="Arial"/>
                <w:sz w:val="16"/>
                <w:szCs w:val="16"/>
                <w:color w:val="auto"/>
              </w:rPr>
              <w:t>Interest rate swaps not</w:t>
            </w:r>
          </w:p>
        </w:tc>
        <w:tc>
          <w:tcPr>
            <w:tcW w:w="2480" w:type="dxa"/>
            <w:vAlign w:val="bottom"/>
            <w:gridSpan w:val="2"/>
            <w:vMerge w:val="restart"/>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3"/>
                <w:szCs w:val="13"/>
                <w:color w:val="auto"/>
              </w:rPr>
            </w:pPr>
          </w:p>
        </w:tc>
        <w:tc>
          <w:tcPr>
            <w:tcW w:w="136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9"/>
        </w:trPr>
        <w:tc>
          <w:tcPr>
            <w:tcW w:w="2000" w:type="dxa"/>
            <w:vAlign w:val="bottom"/>
            <w:gridSpan w:val="2"/>
          </w:tcPr>
          <w:p>
            <w:pPr>
              <w:ind w:left="20"/>
              <w:spacing w:after="0"/>
              <w:rPr>
                <w:sz w:val="20"/>
                <w:szCs w:val="20"/>
                <w:color w:val="auto"/>
              </w:rPr>
            </w:pPr>
            <w:r>
              <w:rPr>
                <w:rFonts w:ascii="Arial" w:cs="Arial" w:eastAsia="Arial" w:hAnsi="Arial"/>
                <w:sz w:val="16"/>
                <w:szCs w:val="16"/>
                <w:color w:val="auto"/>
              </w:rPr>
              <w:t>designated as hedges</w:t>
            </w:r>
          </w:p>
        </w:tc>
        <w:tc>
          <w:tcPr>
            <w:tcW w:w="24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rate swaps that</w:t>
            </w:r>
          </w:p>
        </w:tc>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6"/>
                <w:szCs w:val="16"/>
                <w:color w:val="auto"/>
              </w:rPr>
              <w:t>discontinued hedge</w:t>
            </w:r>
          </w:p>
        </w:tc>
        <w:tc>
          <w:tcPr>
            <w:tcW w:w="24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0" w:type="dxa"/>
            <w:vAlign w:val="bottom"/>
          </w:tcPr>
          <w:p>
            <w:pPr>
              <w:spacing w:after="0"/>
              <w:rPr>
                <w:sz w:val="1"/>
                <w:szCs w:val="1"/>
                <w:color w:val="auto"/>
              </w:rPr>
            </w:pPr>
          </w:p>
        </w:tc>
      </w:tr>
      <w:tr>
        <w:trPr>
          <w:trHeight w:val="199"/>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accounting</w:t>
            </w:r>
          </w:p>
        </w:tc>
        <w:tc>
          <w:tcPr>
            <w:tcW w:w="24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(4,193)</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(11,300)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(12,382)</w:t>
            </w: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FAIR VALUE MEASUREMENTS</w:t>
      </w:r>
    </w:p>
    <w:p>
      <w:pPr>
        <w:spacing w:after="0" w:line="198" w:lineRule="exact"/>
        <w:rPr>
          <w:sz w:val="20"/>
          <w:szCs w:val="20"/>
          <w:color w:val="auto"/>
        </w:rPr>
      </w:pPr>
    </w:p>
    <w:p>
      <w:pPr>
        <w:ind w:right="20" w:firstLine="310"/>
        <w:spacing w:after="0" w:line="268" w:lineRule="auto"/>
        <w:rPr>
          <w:sz w:val="20"/>
          <w:szCs w:val="20"/>
          <w:color w:val="auto"/>
        </w:rPr>
      </w:pPr>
      <w:r>
        <w:rPr>
          <w:rFonts w:ascii="Arial" w:cs="Arial" w:eastAsia="Arial" w:hAnsi="Arial"/>
          <w:sz w:val="17"/>
          <w:szCs w:val="17"/>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33" w:lineRule="exact"/>
        <w:rPr>
          <w:sz w:val="20"/>
          <w:szCs w:val="20"/>
          <w:color w:val="auto"/>
        </w:rPr>
      </w:pPr>
    </w:p>
    <w:p>
      <w:pPr>
        <w:ind w:left="860" w:hanging="159"/>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Inputs to the fair value measurement are quoted prices in active markets for identical assets or liabilities.</w:t>
      </w:r>
    </w:p>
    <w:p>
      <w:pPr>
        <w:spacing w:after="0" w:line="23" w:lineRule="exact"/>
        <w:rPr>
          <w:rFonts w:ascii="Arial" w:cs="Arial" w:eastAsia="Arial" w:hAnsi="Arial"/>
          <w:sz w:val="17"/>
          <w:szCs w:val="17"/>
          <w:color w:val="auto"/>
        </w:rPr>
      </w:pPr>
    </w:p>
    <w:p>
      <w:pPr>
        <w:ind w:left="860" w:right="20" w:hanging="159"/>
        <w:spacing w:after="0" w:line="253" w:lineRule="auto"/>
        <w:tabs>
          <w:tab w:leader="none" w:pos="856"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2" w:lineRule="exact"/>
        <w:rPr>
          <w:rFonts w:ascii="Arial" w:cs="Arial" w:eastAsia="Arial" w:hAnsi="Arial"/>
          <w:sz w:val="17"/>
          <w:szCs w:val="17"/>
          <w:color w:val="auto"/>
        </w:rPr>
      </w:pPr>
    </w:p>
    <w:p>
      <w:pPr>
        <w:ind w:left="860" w:hanging="159"/>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Inputs to the fair value measurement are unobservable inputs or valuation techniques.</w:t>
      </w:r>
    </w:p>
    <w:p>
      <w:pPr>
        <w:spacing w:after="0" w:line="167" w:lineRule="exact"/>
        <w:rPr>
          <w:sz w:val="20"/>
          <w:szCs w:val="20"/>
          <w:color w:val="auto"/>
        </w:rPr>
      </w:pPr>
    </w:p>
    <w:p>
      <w:pPr>
        <w:ind w:right="540" w:firstLine="310"/>
        <w:spacing w:after="0" w:line="353" w:lineRule="auto"/>
        <w:rPr>
          <w:sz w:val="20"/>
          <w:szCs w:val="20"/>
          <w:color w:val="auto"/>
        </w:rPr>
      </w:pPr>
      <w:r>
        <w:rPr>
          <w:rFonts w:ascii="Arial" w:cs="Arial" w:eastAsia="Arial" w:hAnsi="Arial"/>
          <w:sz w:val="15"/>
          <w:szCs w:val="15"/>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87" w:lineRule="exact"/>
        <w:rPr>
          <w:sz w:val="20"/>
          <w:szCs w:val="20"/>
          <w:color w:val="auto"/>
        </w:rPr>
      </w:pPr>
    </w:p>
    <w:p>
      <w:pPr>
        <w:ind w:right="360" w:firstLine="310"/>
        <w:spacing w:after="0" w:line="283" w:lineRule="auto"/>
        <w:rPr>
          <w:sz w:val="20"/>
          <w:szCs w:val="20"/>
          <w:color w:val="auto"/>
        </w:rPr>
      </w:pPr>
      <w:r>
        <w:rPr>
          <w:rFonts w:ascii="Arial" w:cs="Arial" w:eastAsia="Arial" w:hAnsi="Arial"/>
          <w:sz w:val="17"/>
          <w:szCs w:val="17"/>
          <w:i w:val="1"/>
          <w:iCs w:val="1"/>
          <w:color w:val="auto"/>
        </w:rPr>
        <w:t>First lien term loan</w:t>
      </w:r>
      <w:r>
        <w:rPr>
          <w:rFonts w:ascii="Arial" w:cs="Arial" w:eastAsia="Arial" w:hAnsi="Arial"/>
          <w:sz w:val="17"/>
          <w:szCs w:val="17"/>
          <w:color w:val="auto"/>
        </w:rPr>
        <w:t>: The fair value of the first lien term loan is derived from a broker quote on the loans in the syndication (Level 2 inputs). See Note 10,</w:t>
      </w:r>
      <w:r>
        <w:rPr>
          <w:rFonts w:ascii="Arial" w:cs="Arial" w:eastAsia="Arial" w:hAnsi="Arial"/>
          <w:sz w:val="17"/>
          <w:szCs w:val="17"/>
          <w:i w:val="1"/>
          <w:iCs w:val="1"/>
          <w:color w:val="auto"/>
        </w:rPr>
        <w:t xml:space="preserve"> Indebtedness</w:t>
      </w:r>
      <w:r>
        <w:rPr>
          <w:rFonts w:ascii="Arial" w:cs="Arial" w:eastAsia="Arial" w:hAnsi="Arial"/>
          <w:sz w:val="17"/>
          <w:szCs w:val="17"/>
          <w:color w:val="auto"/>
        </w:rPr>
        <w:t>, for further discussion of the carrying amount and fair value of the first lien term loan.</w:t>
      </w:r>
    </w:p>
    <w:p>
      <w:pPr>
        <w:spacing w:after="0" w:line="120" w:lineRule="exact"/>
        <w:rPr>
          <w:sz w:val="20"/>
          <w:szCs w:val="20"/>
          <w:color w:val="auto"/>
        </w:rPr>
      </w:pPr>
    </w:p>
    <w:p>
      <w:pPr>
        <w:jc w:val="both"/>
        <w:ind w:right="140" w:firstLine="310"/>
        <w:spacing w:after="0" w:line="268" w:lineRule="auto"/>
        <w:rPr>
          <w:sz w:val="20"/>
          <w:szCs w:val="20"/>
          <w:color w:val="auto"/>
        </w:rPr>
      </w:pPr>
      <w:r>
        <w:rPr>
          <w:rFonts w:ascii="Arial" w:cs="Arial" w:eastAsia="Arial" w:hAnsi="Arial"/>
          <w:sz w:val="17"/>
          <w:szCs w:val="17"/>
          <w:i w:val="1"/>
          <w:iCs w:val="1"/>
          <w:color w:val="auto"/>
        </w:rPr>
        <w:t>Second lien notes</w:t>
      </w:r>
      <w:r>
        <w:rPr>
          <w:rFonts w:ascii="Arial" w:cs="Arial" w:eastAsia="Arial" w:hAnsi="Arial"/>
          <w:sz w:val="17"/>
          <w:szCs w:val="17"/>
          <w:color w:val="auto"/>
        </w:rPr>
        <w:t>: Prior to the January 2021 debt refinancing, the fair value of the second lien notes was derived from a cash flow model that discounted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cash flows based on market interest rates (Level 3 inputs).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carrying amount and fair value of the second lien notes.</w:t>
      </w:r>
    </w:p>
    <w:p>
      <w:pPr>
        <w:spacing w:after="0" w:line="133" w:lineRule="exact"/>
        <w:rPr>
          <w:sz w:val="20"/>
          <w:szCs w:val="20"/>
          <w:color w:val="auto"/>
        </w:rPr>
      </w:pPr>
    </w:p>
    <w:p>
      <w:pPr>
        <w:ind w:right="180" w:firstLine="310"/>
        <w:spacing w:after="0" w:line="268" w:lineRule="auto"/>
        <w:rPr>
          <w:sz w:val="20"/>
          <w:szCs w:val="20"/>
          <w:color w:val="auto"/>
        </w:rPr>
      </w:pPr>
      <w:r>
        <w:rPr>
          <w:rFonts w:ascii="Arial" w:cs="Arial" w:eastAsia="Arial" w:hAnsi="Arial"/>
          <w:sz w:val="17"/>
          <w:szCs w:val="17"/>
          <w:i w:val="1"/>
          <w:iCs w:val="1"/>
          <w:color w:val="auto"/>
        </w:rPr>
        <w:t>Interest rate swaps</w:t>
      </w:r>
      <w:r>
        <w:rPr>
          <w:rFonts w:ascii="Arial" w:cs="Arial" w:eastAsia="Arial" w:hAnsi="Arial"/>
          <w:sz w:val="17"/>
          <w:szCs w:val="17"/>
          <w:color w:val="auto"/>
        </w:rPr>
        <w:t>: The fair values of interest rate swaps are derived from the interest rates prevalent in the market and future expectations of those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rates (Level 2 inputs). The Company determines the fair value of the investments based on quoted prices from third-party brokers. See Note 11, </w:t>
      </w:r>
      <w:r>
        <w:rPr>
          <w:rFonts w:ascii="Arial" w:cs="Arial" w:eastAsia="Arial" w:hAnsi="Arial"/>
          <w:sz w:val="17"/>
          <w:szCs w:val="17"/>
          <w:i w:val="1"/>
          <w:iCs w:val="1"/>
          <w:color w:val="auto"/>
        </w:rPr>
        <w:t>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for further discussion of the fair value of interest rate swaps.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other assets or liabilities measured at fair value at September 30, 2021 and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185" w:lineRule="exact"/>
        <w:rPr>
          <w:sz w:val="20"/>
          <w:szCs w:val="20"/>
          <w:color w:val="auto"/>
        </w:rPr>
      </w:pPr>
    </w:p>
    <w:p>
      <w:pPr>
        <w:ind w:firstLine="310"/>
        <w:spacing w:after="0" w:line="294" w:lineRule="auto"/>
        <w:rPr>
          <w:sz w:val="20"/>
          <w:szCs w:val="20"/>
          <w:color w:val="auto"/>
        </w:rPr>
      </w:pPr>
      <w:r>
        <w:rPr>
          <w:rFonts w:ascii="Arial" w:cs="Arial" w:eastAsia="Arial" w:hAnsi="Arial"/>
          <w:sz w:val="15"/>
          <w:szCs w:val="15"/>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STOCK-BASED INCENTIVE COMPENSATION</w:t>
      </w:r>
    </w:p>
    <w:p>
      <w:pPr>
        <w:spacing w:after="0" w:line="192" w:lineRule="exact"/>
        <w:rPr>
          <w:sz w:val="20"/>
          <w:szCs w:val="20"/>
          <w:color w:val="auto"/>
        </w:rPr>
      </w:pPr>
    </w:p>
    <w:p>
      <w:pPr>
        <w:ind w:firstLine="310"/>
        <w:spacing w:after="0" w:line="276" w:lineRule="auto"/>
        <w:rPr>
          <w:sz w:val="20"/>
          <w:szCs w:val="20"/>
          <w:color w:val="auto"/>
        </w:rPr>
      </w:pPr>
      <w:r>
        <w:rPr>
          <w:rFonts w:ascii="Arial" w:cs="Arial" w:eastAsia="Arial" w:hAnsi="Arial"/>
          <w:sz w:val="16"/>
          <w:szCs w:val="16"/>
          <w:b w:val="1"/>
          <w:bCs w:val="1"/>
          <w:color w:val="auto"/>
        </w:rPr>
        <w:t xml:space="preserve">Equity Incentive Plans </w:t>
      </w:r>
      <w:r>
        <w:rPr>
          <w:rFonts w:ascii="Arial" w:cs="Arial" w:eastAsia="Arial" w:hAnsi="Arial"/>
          <w:sz w:val="16"/>
          <w:szCs w:val="16"/>
          <w:color w:val="auto"/>
        </w:rPr>
        <w:t>— Under the Company’s 2018 Equity Incentive Plan (the “2018 Plan”), approved at the annual meeting by the BioScrip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9,101,734 shares of common stock are authorized for issuance. The Company had stock options, restricted stock and performance stock units outstanding related to the 2018 Plan as of September 30, 2021. As of September 30, 2021, the Company also had incentive units outstanding related to the HC I equity incentive plan, which was implemented in October 2015, for certain officers and employees of the Company. During the three and nine months ended September 30, 2021, total stock-based incentive compensation expense recognized by the Company related to these plans was $2.5 million and $6.2 million, respectively. During the three and nine months ended September 30, 2020, total stock-based incentive compensation expense recognized by the Company related to these plans was $1.2 million and $2.6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STOCKHOLDERS’ EQUITY</w:t>
      </w:r>
    </w:p>
    <w:p>
      <w:pPr>
        <w:spacing w:after="0" w:line="185" w:lineRule="exact"/>
        <w:rPr>
          <w:sz w:val="20"/>
          <w:szCs w:val="20"/>
          <w:color w:val="auto"/>
        </w:rPr>
      </w:pPr>
    </w:p>
    <w:p>
      <w:pPr>
        <w:ind w:right="260" w:firstLine="310"/>
        <w:spacing w:after="0" w:line="283" w:lineRule="auto"/>
        <w:rPr>
          <w:sz w:val="20"/>
          <w:szCs w:val="20"/>
          <w:color w:val="auto"/>
        </w:rPr>
      </w:pPr>
      <w:r>
        <w:rPr>
          <w:rFonts w:ascii="Arial" w:cs="Arial" w:eastAsia="Arial" w:hAnsi="Arial"/>
          <w:sz w:val="17"/>
          <w:szCs w:val="17"/>
          <w:color w:val="auto"/>
        </w:rPr>
        <w:t>During the three and nine months ended September 30, 2021, HC I completed secondary offerings of 29,900,000 and 76,400,000 shares of common stock, respectively. Following these offerings, HC I holds approximately 21.1% of the common stock of the Company.</w:t>
      </w:r>
    </w:p>
    <w:p>
      <w:pPr>
        <w:spacing w:after="0" w:line="127" w:lineRule="exact"/>
        <w:rPr>
          <w:sz w:val="20"/>
          <w:szCs w:val="20"/>
          <w:color w:val="auto"/>
        </w:rPr>
      </w:pPr>
    </w:p>
    <w:p>
      <w:pPr>
        <w:jc w:val="both"/>
        <w:ind w:right="20" w:firstLine="310"/>
        <w:spacing w:after="0" w:line="324" w:lineRule="auto"/>
        <w:rPr>
          <w:sz w:val="20"/>
          <w:szCs w:val="20"/>
          <w:color w:val="auto"/>
        </w:rPr>
      </w:pPr>
      <w:r>
        <w:rPr>
          <w:rFonts w:ascii="Arial" w:cs="Arial" w:eastAsia="Arial" w:hAnsi="Arial"/>
          <w:sz w:val="15"/>
          <w:szCs w:val="15"/>
          <w:b w:val="1"/>
          <w:bCs w:val="1"/>
          <w:color w:val="auto"/>
        </w:rPr>
        <w:t xml:space="preserve">2017 Warrants </w:t>
      </w:r>
      <w:r>
        <w:rPr>
          <w:rFonts w:ascii="Arial" w:cs="Arial" w:eastAsia="Arial" w:hAnsi="Arial"/>
          <w:sz w:val="15"/>
          <w:szCs w:val="15"/>
          <w:color w:val="auto"/>
        </w:rPr>
        <w:t>— During the three and nine months ended September 30, 2021, warrant holders did not elect to exercise any warrants to purchase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During the three and nine months ended September 30, 2020, warrant holders did not elect to exercise any warrants to purchase shares of common stock. As of September 30, 2021 and December 31, 2020, the remaining warrant holders are entitled to purchase 1.4 million shares of common stock, respectively.</w:t>
      </w:r>
    </w:p>
    <w:p>
      <w:pPr>
        <w:spacing w:after="0" w:line="90" w:lineRule="exact"/>
        <w:rPr>
          <w:sz w:val="20"/>
          <w:szCs w:val="20"/>
          <w:color w:val="auto"/>
        </w:rPr>
      </w:pPr>
    </w:p>
    <w:p>
      <w:pPr>
        <w:jc w:val="both"/>
        <w:ind w:right="20" w:firstLine="310"/>
        <w:spacing w:after="0" w:line="324" w:lineRule="auto"/>
        <w:rPr>
          <w:sz w:val="20"/>
          <w:szCs w:val="20"/>
          <w:color w:val="auto"/>
        </w:rPr>
      </w:pPr>
      <w:r>
        <w:rPr>
          <w:rFonts w:ascii="Arial" w:cs="Arial" w:eastAsia="Arial" w:hAnsi="Arial"/>
          <w:sz w:val="15"/>
          <w:szCs w:val="15"/>
          <w:b w:val="1"/>
          <w:bCs w:val="1"/>
          <w:color w:val="auto"/>
        </w:rPr>
        <w:t xml:space="preserve">2015 Warrants </w:t>
      </w:r>
      <w:r>
        <w:rPr>
          <w:rFonts w:ascii="Arial" w:cs="Arial" w:eastAsia="Arial" w:hAnsi="Arial"/>
          <w:sz w:val="15"/>
          <w:szCs w:val="15"/>
          <w:color w:val="auto"/>
        </w:rPr>
        <w:t>— During the three and nine months ended September 30, 2021, warrant holders did not elect to exercise any warrants to purchase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During the three and nine months ended September 30, 2020, warrant holders did not elect to exercise any warrants to purchase shares of common stock. As of September 30, 2021 and December 31, 2020, warrant holders are entitled to purchase 0.9 million shares of common stock,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RELATED-PARTY TRANSACTIONS</w:t>
      </w:r>
    </w:p>
    <w:p>
      <w:pPr>
        <w:spacing w:after="0" w:line="192" w:lineRule="exact"/>
        <w:rPr>
          <w:sz w:val="20"/>
          <w:szCs w:val="20"/>
          <w:color w:val="auto"/>
        </w:rPr>
      </w:pPr>
    </w:p>
    <w:p>
      <w:pPr>
        <w:ind w:right="140" w:firstLine="310"/>
        <w:spacing w:after="0" w:line="263"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$0.9 million and $2.6 million for the three and nine months ended September 30, 2021, respectively. The Company recorded management fee income of $0.8 million and $2.1 million for the three and nine months ended September 30, 2020, respectively. Management fees are recorded in net revenues in the accompanying unaudited condensed consolidated statements of comprehensive income (loss).</w:t>
      </w:r>
    </w:p>
    <w:p>
      <w:pPr>
        <w:spacing w:after="0" w:line="137" w:lineRule="exact"/>
        <w:rPr>
          <w:sz w:val="20"/>
          <w:szCs w:val="20"/>
          <w:color w:val="auto"/>
        </w:rPr>
      </w:pPr>
    </w:p>
    <w:p>
      <w:pPr>
        <w:ind w:right="40" w:firstLine="310"/>
        <w:spacing w:after="0" w:line="261" w:lineRule="auto"/>
        <w:rPr>
          <w:sz w:val="20"/>
          <w:szCs w:val="20"/>
          <w:color w:val="auto"/>
        </w:rPr>
      </w:pPr>
      <w:r>
        <w:rPr>
          <w:rFonts w:ascii="Arial" w:cs="Arial" w:eastAsia="Arial" w:hAnsi="Arial"/>
          <w:sz w:val="17"/>
          <w:szCs w:val="17"/>
          <w:color w:val="auto"/>
        </w:rPr>
        <w:t>The Company had amounts due to its joint ventures of $2.9 million as of September 30, 2021. This payable was included in accrued expenses and other current liabilities in the accompanying condensed consolidated balance sheets. The Company also had amounts due from its joint ventures of $2.4 million as of December 31, 2020. These receivables were included in prepaid expenses and other current assets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SUBSEQUENT EVENTS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has evaluated whether any subsequent events occurred since September 30, 2021, and noted the following subsequent events:</w:t>
      </w:r>
    </w:p>
    <w:p>
      <w:pPr>
        <w:spacing w:after="0" w:line="244" w:lineRule="exact"/>
        <w:rPr>
          <w:sz w:val="20"/>
          <w:szCs w:val="20"/>
          <w:color w:val="auto"/>
        </w:rPr>
      </w:pPr>
    </w:p>
    <w:p>
      <w:pPr>
        <w:ind w:right="140" w:firstLine="310"/>
        <w:spacing w:after="0" w:line="268" w:lineRule="auto"/>
        <w:rPr>
          <w:sz w:val="20"/>
          <w:szCs w:val="20"/>
          <w:color w:val="auto"/>
        </w:rPr>
      </w:pPr>
      <w:r>
        <w:rPr>
          <w:rFonts w:ascii="Arial" w:cs="Arial" w:eastAsia="Arial" w:hAnsi="Arial"/>
          <w:sz w:val="17"/>
          <w:szCs w:val="17"/>
          <w:color w:val="auto"/>
        </w:rPr>
        <w:t>On October 1, 2021 the Company acquired Infinity Infusion Nursing, LLC (“Infinity”) for $50 million in an all-cash transaction. Infinity is a leader in home infusion services that provide therapy management for patients with acute, chronic and rare disorders through a national network of highly-skilled, specialty nurses.</w:t>
      </w:r>
    </w:p>
    <w:p>
      <w:pPr>
        <w:spacing w:after="0" w:line="185" w:lineRule="exact"/>
        <w:rPr>
          <w:sz w:val="20"/>
          <w:szCs w:val="20"/>
          <w:color w:val="auto"/>
        </w:rPr>
      </w:pPr>
    </w:p>
    <w:p>
      <w:pPr>
        <w:ind w:right="140" w:firstLine="310"/>
        <w:spacing w:after="0" w:line="233" w:lineRule="auto"/>
        <w:rPr>
          <w:sz w:val="20"/>
          <w:szCs w:val="20"/>
          <w:color w:val="auto"/>
        </w:rPr>
      </w:pPr>
      <w:r>
        <w:rPr>
          <w:rFonts w:ascii="Arial" w:cs="Arial" w:eastAsia="Arial" w:hAnsi="Arial"/>
          <w:sz w:val="17"/>
          <w:szCs w:val="17"/>
          <w:color w:val="auto"/>
        </w:rPr>
        <w:t>In October 2021, the Company refinanced its $1,157 million outstanding existing loan due 2026. The Company amended the existing First Lien Term Loan, to provide $600 million of refinanced borrowings (the “New First Lien Term Loan Facility”) which modified certain terms and extended its maturity to 2028. In conjunction with the refinancing, the Company also issued $500 million in aggregate principal of unsecured senior notes due 2029 (collectively, the “Transactions”). In connection with</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the Transactions, the Company incurred third party fees of $9.4 million and original issue discount of $1.5 million. The Company also utilized $69.9 million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cash on hand for the Transactions. In conjunction with the Transactions, the Company also entered into an interest rate cap hedge with a notional amount of</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$300 million for a 5-year term beginning November 30, 2021. The hedge partially offsets risk associated with the New First Lien Term Loan Facility’s variable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interest rate.</w:t>
      </w: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98" w:lineRule="exact"/>
        <w:rPr>
          <w:sz w:val="20"/>
          <w:szCs w:val="20"/>
          <w:color w:val="auto"/>
        </w:rPr>
      </w:pPr>
    </w:p>
    <w:p>
      <w:pPr>
        <w:ind w:firstLine="310"/>
        <w:spacing w:after="0" w:line="261" w:lineRule="auto"/>
        <w:rPr>
          <w:sz w:val="20"/>
          <w:szCs w:val="20"/>
          <w:color w:val="auto"/>
        </w:rPr>
      </w:pPr>
      <w:r>
        <w:rPr>
          <w:rFonts w:ascii="Arial" w:cs="Arial" w:eastAsia="Arial" w:hAnsi="Arial"/>
          <w:sz w:val="17"/>
          <w:szCs w:val="17"/>
          <w:i w:val="1"/>
          <w:iCs w:val="1"/>
          <w:color w:val="auto"/>
        </w:rPr>
        <w:t>Unless the context requires otherwise, references in this report to "Option Care Health," the “Company,” “we,” “us” and “our” refer to Option Care Health, Inc. and its consolidated subsidiaries. The following discussion and analysis of the financial condition and results of operations of Option Care Health, Inc. (“Option Care Health”, or the “Company”) should be read in conjunction with the audited consolidated financial statements and related notes, as presented in the Annual Report on Form 10-K filed with the Securities and Exchange Commission on March 11, 2021, as well as the Company’s unaudited condensed consolidated financial statements and the related notes thereto included elsewhere in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85" w:lineRule="exact"/>
        <w:rPr>
          <w:sz w:val="20"/>
          <w:szCs w:val="20"/>
          <w:color w:val="auto"/>
        </w:rPr>
      </w:pPr>
    </w:p>
    <w:p>
      <w:pPr>
        <w:ind w:firstLine="310"/>
        <w:spacing w:after="0" w:line="276" w:lineRule="auto"/>
        <w:rPr>
          <w:sz w:val="20"/>
          <w:szCs w:val="20"/>
          <w:color w:val="auto"/>
        </w:rPr>
      </w:pPr>
      <w:r>
        <w:rPr>
          <w:rFonts w:ascii="Arial" w:cs="Arial" w:eastAsia="Arial" w:hAnsi="Arial"/>
          <w:sz w:val="16"/>
          <w:szCs w:val="16"/>
          <w:color w:val="auto"/>
        </w:rPr>
        <w:t>This Quarterly Report on Form 10-Q (this “Quarterly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Such forward-looking statements include, but are not limited to, the effect of the novel coronavirus (“COVID-19”) on our business, financial condition and results of operations. This Quarterly Report contains, among others, forward-looking statements based upon current expectations that involve numerous risks and uncertainties, including those described in Item 1A “Risk Factors”.</w:t>
      </w:r>
    </w:p>
    <w:p>
      <w:pPr>
        <w:spacing w:after="0" w:line="142" w:lineRule="exact"/>
        <w:rPr>
          <w:sz w:val="20"/>
          <w:szCs w:val="20"/>
          <w:color w:val="auto"/>
        </w:rPr>
      </w:pPr>
    </w:p>
    <w:p>
      <w:pPr>
        <w:ind w:right="340" w:firstLine="310"/>
        <w:spacing w:after="0" w:line="283"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20" w:lineRule="exact"/>
        <w:rPr>
          <w:sz w:val="20"/>
          <w:szCs w:val="20"/>
          <w:color w:val="auto"/>
        </w:rPr>
      </w:pPr>
    </w:p>
    <w:p>
      <w:pPr>
        <w:jc w:val="both"/>
        <w:ind w:right="320" w:firstLine="310"/>
        <w:spacing w:after="0" w:line="268" w:lineRule="auto"/>
        <w:rPr>
          <w:sz w:val="20"/>
          <w:szCs w:val="20"/>
          <w:color w:val="auto"/>
        </w:rPr>
      </w:pPr>
      <w:r>
        <w:rPr>
          <w:rFonts w:ascii="Arial" w:cs="Arial" w:eastAsia="Arial" w:hAnsi="Arial"/>
          <w:sz w:val="17"/>
          <w:szCs w:val="17"/>
          <w:color w:val="auto"/>
        </w:rPr>
        <w:t>Do not place undue reliance on such forward-looking statements as they speak only as of the date they are made. Except as required by law, the Company assumes no obligation to publicly update or revise any forward-looking statement even if experience or future changes make it clear that any projected results expressed or implied therein will not be realized.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98" w:lineRule="exact"/>
        <w:rPr>
          <w:sz w:val="20"/>
          <w:szCs w:val="20"/>
          <w:color w:val="auto"/>
        </w:rPr>
      </w:pPr>
    </w:p>
    <w:p>
      <w:pPr>
        <w:ind w:right="40" w:firstLine="310"/>
        <w:spacing w:after="0" w:line="300" w:lineRule="auto"/>
        <w:rPr>
          <w:sz w:val="20"/>
          <w:szCs w:val="20"/>
          <w:color w:val="auto"/>
        </w:rPr>
      </w:pPr>
      <w:r>
        <w:rPr>
          <w:rFonts w:ascii="Arial" w:cs="Arial" w:eastAsia="Arial" w:hAnsi="Arial"/>
          <w:sz w:val="15"/>
          <w:szCs w:val="15"/>
          <w:color w:val="auto"/>
        </w:rPr>
        <w:t>Option Care Health, and its wholly-owned subsidiaries, provides infusion therapy and other ancillary health care services through a national network of 146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1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Update on the Impact of the COVID-19 Pandemic</w:t>
      </w:r>
    </w:p>
    <w:p>
      <w:pPr>
        <w:spacing w:after="0" w:line="198" w:lineRule="exact"/>
        <w:rPr>
          <w:sz w:val="20"/>
          <w:szCs w:val="20"/>
          <w:color w:val="auto"/>
        </w:rPr>
      </w:pPr>
    </w:p>
    <w:p>
      <w:pPr>
        <w:ind w:right="220" w:firstLine="310"/>
        <w:spacing w:after="0" w:line="283" w:lineRule="auto"/>
        <w:rPr>
          <w:sz w:val="20"/>
          <w:szCs w:val="20"/>
          <w:color w:val="auto"/>
        </w:rPr>
      </w:pPr>
      <w:r>
        <w:rPr>
          <w:rFonts w:ascii="Arial" w:cs="Arial" w:eastAsia="Arial" w:hAnsi="Arial"/>
          <w:sz w:val="17"/>
          <w:szCs w:val="17"/>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w:t>
      </w:r>
    </w:p>
    <w:p>
      <w:pPr>
        <w:spacing w:after="0" w:line="120" w:lineRule="exact"/>
        <w:rPr>
          <w:sz w:val="20"/>
          <w:szCs w:val="20"/>
          <w:color w:val="auto"/>
        </w:rPr>
      </w:pPr>
    </w:p>
    <w:p>
      <w:pPr>
        <w:ind w:right="20" w:firstLine="310"/>
        <w:spacing w:after="0" w:line="278" w:lineRule="auto"/>
        <w:rPr>
          <w:sz w:val="20"/>
          <w:szCs w:val="20"/>
          <w:color w:val="auto"/>
        </w:rPr>
      </w:pPr>
      <w:r>
        <w:rPr>
          <w:rFonts w:ascii="Arial" w:cs="Arial" w:eastAsia="Arial" w:hAnsi="Arial"/>
          <w:sz w:val="16"/>
          <w:szCs w:val="16"/>
          <w:color w:val="auto"/>
        </w:rPr>
        <w:t>The Company relies upon patient referrals from multiple sources, including but not limited to patients discharged from acute care settings (e.g., hospitals) and patients requiring treatment for chronic conditions from specialty physicians. As expected, the pandemic has negatively affected new patient referrals for both acute and chronic conditions; however, the Company did experience an increase in patient transfers from hospital and outpatient settings which positively affected revenues. For the three and nine months ended September 30, 2021, the revenue results reflect acute revenue that had mid-single digit growth, while chronic revenue grew in the mid-teens relative to the prior year. Option Care Health continues to collaborate with payers and health systems to transition patients into the home or one of our alternate treatment sites to receive vital infusion therapy.</w:t>
      </w:r>
    </w:p>
    <w:p>
      <w:pPr>
        <w:spacing w:after="0" w:line="130" w:lineRule="exact"/>
        <w:rPr>
          <w:sz w:val="20"/>
          <w:szCs w:val="20"/>
          <w:color w:val="auto"/>
        </w:rPr>
      </w:pPr>
    </w:p>
    <w:p>
      <w:pPr>
        <w:ind w:firstLine="310"/>
        <w:spacing w:after="0" w:line="258" w:lineRule="auto"/>
        <w:rPr>
          <w:sz w:val="20"/>
          <w:szCs w:val="20"/>
          <w:color w:val="auto"/>
        </w:rPr>
      </w:pPr>
      <w:r>
        <w:rPr>
          <w:rFonts w:ascii="Arial" w:cs="Arial" w:eastAsia="Arial" w:hAnsi="Arial"/>
          <w:sz w:val="17"/>
          <w:szCs w:val="17"/>
          <w:color w:val="auto"/>
        </w:rPr>
        <w:t>The Company continued to experience cost inefficiencies during the three and nine months ended September 30, 2021 with respect to clinical labor and other staffing challenges. Integration-related initiatives that were accelerated during the year ended December 31, 2020 continue to offset the negative impacts resulting from the COVID-19 pandemic. Further, to date, the Company has experienced no material deceleration in cash collections and collaboration with payers continues to be productive. The Company anticipates that the pandemic could affect its operations for an extended period; however, at this time cannot confidently forecast the duration nor the ultimate financial impact on its operations. See Item 1A. “Risk Factors” under the caption “The COVID-19 pandemic could adversely impact our business, results of operations, cash flows and financial position” included in our Annual Report on Form 10-K for the year ended December 31, 2020 for further discussion of risks.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Results of Operations</w:t>
      </w:r>
    </w:p>
    <w:p>
      <w:pPr>
        <w:spacing w:after="0" w:line="198" w:lineRule="exact"/>
        <w:rPr>
          <w:sz w:val="20"/>
          <w:szCs w:val="20"/>
          <w:color w:val="auto"/>
        </w:rPr>
      </w:pPr>
    </w:p>
    <w:p>
      <w:pPr>
        <w:ind w:right="40" w:firstLine="310"/>
        <w:spacing w:after="0" w:line="283" w:lineRule="auto"/>
        <w:rPr>
          <w:sz w:val="20"/>
          <w:szCs w:val="20"/>
          <w:color w:val="auto"/>
        </w:rPr>
      </w:pPr>
      <w:r>
        <w:rPr>
          <w:rFonts w:ascii="Arial" w:cs="Arial" w:eastAsia="Arial" w:hAnsi="Arial"/>
          <w:sz w:val="17"/>
          <w:szCs w:val="17"/>
          <w:color w:val="auto"/>
        </w:rPr>
        <w:t>The following results of operations include the accounts of Option Care Health and our subsidiaries for the three and nine months ended September 30, 2021 and 2020.</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Gross Profit</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Gross profit represents our net revenue less cost of revenue.</w:t>
      </w:r>
    </w:p>
    <w:p>
      <w:pPr>
        <w:spacing w:after="0" w:line="192" w:lineRule="exact"/>
        <w:rPr>
          <w:sz w:val="20"/>
          <w:szCs w:val="20"/>
          <w:color w:val="auto"/>
        </w:rPr>
      </w:pPr>
    </w:p>
    <w:p>
      <w:pPr>
        <w:ind w:right="120" w:firstLine="310"/>
        <w:spacing w:after="0" w:line="268" w:lineRule="auto"/>
        <w:rPr>
          <w:sz w:val="20"/>
          <w:szCs w:val="20"/>
          <w:color w:val="auto"/>
        </w:rPr>
      </w:pPr>
      <w:r>
        <w:rPr>
          <w:rFonts w:ascii="Arial" w:cs="Arial" w:eastAsia="Arial" w:hAnsi="Arial"/>
          <w:sz w:val="17"/>
          <w:szCs w:val="17"/>
          <w:i w:val="1"/>
          <w:iCs w:val="1"/>
          <w:color w:val="auto"/>
        </w:rPr>
        <w:t xml:space="preserve">Net Revenue. </w:t>
      </w:r>
      <w:r>
        <w:rPr>
          <w:rFonts w:ascii="Arial" w:cs="Arial" w:eastAsia="Arial" w:hAnsi="Arial"/>
          <w:sz w:val="17"/>
          <w:szCs w:val="17"/>
          <w:color w:val="auto"/>
        </w:rPr>
        <w:t>Infusion and related health care services revenue is reported at the estimated net realizable amounts from third-party payers and patients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goods sold and services rendered. When pharmaceuticals are provided to a patient, revenue is recognized upon delivery of the goods. When nursing services are provided, revenue is recognized when the services are rendered.</w:t>
      </w:r>
    </w:p>
    <w:p>
      <w:pPr>
        <w:spacing w:after="0" w:line="133" w:lineRule="exact"/>
        <w:rPr>
          <w:sz w:val="20"/>
          <w:szCs w:val="20"/>
          <w:color w:val="auto"/>
        </w:rPr>
      </w:pPr>
    </w:p>
    <w:p>
      <w:pPr>
        <w:ind w:firstLine="310"/>
        <w:spacing w:after="0" w:line="285"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21" w:lineRule="exact"/>
        <w:rPr>
          <w:sz w:val="20"/>
          <w:szCs w:val="20"/>
          <w:color w:val="auto"/>
        </w:rPr>
      </w:pPr>
    </w:p>
    <w:p>
      <w:pPr>
        <w:ind w:right="20" w:firstLine="310"/>
        <w:spacing w:after="0" w:line="263"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consists of the actual cost of pharmaceuticals and other medical supplies dispensed to patients. In addition to product costs,</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51"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179" w:lineRule="exact"/>
        <w:rPr>
          <w:sz w:val="20"/>
          <w:szCs w:val="20"/>
          <w:color w:val="auto"/>
        </w:rPr>
      </w:pPr>
    </w:p>
    <w:p>
      <w:pPr>
        <w:ind w:right="120" w:firstLine="310"/>
        <w:spacing w:after="0" w:line="283"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 that</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and indirectly support the operations, occupancy costs, marketing expenditures, insurance, and professional fees.</w:t>
      </w:r>
    </w:p>
    <w:p>
      <w:pPr>
        <w:spacing w:after="0" w:line="133" w:lineRule="exact"/>
        <w:rPr>
          <w:sz w:val="20"/>
          <w:szCs w:val="20"/>
          <w:color w:val="auto"/>
        </w:rPr>
      </w:pPr>
    </w:p>
    <w:p>
      <w:pPr>
        <w:ind w:right="440" w:firstLine="310"/>
        <w:spacing w:after="0" w:line="315" w:lineRule="auto"/>
        <w:rPr>
          <w:sz w:val="20"/>
          <w:szCs w:val="20"/>
          <w:color w:val="auto"/>
        </w:rPr>
      </w:pPr>
      <w:r>
        <w:rPr>
          <w:rFonts w:ascii="Arial" w:cs="Arial" w:eastAsia="Arial" w:hAnsi="Arial"/>
          <w:sz w:val="16"/>
          <w:szCs w:val="16"/>
          <w:i w:val="1"/>
          <w:iCs w:val="1"/>
          <w:color w:val="auto"/>
        </w:rPr>
        <w:t xml:space="preserve">Depreciation and Amortization Expense. </w:t>
      </w:r>
      <w:r>
        <w:rPr>
          <w:rFonts w:ascii="Arial" w:cs="Arial" w:eastAsia="Arial" w:hAnsi="Arial"/>
          <w:sz w:val="16"/>
          <w:szCs w:val="16"/>
          <w:color w:val="auto"/>
        </w:rPr>
        <w:t>Depreciation within this caption includes infrastructure items such as computer hardware and software, office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leasehold improvements. Depreciation of revenue-generating assets, such as infusion pumps, is included in cost of revenue.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79" w:lineRule="exact"/>
        <w:rPr>
          <w:sz w:val="20"/>
          <w:szCs w:val="20"/>
          <w:color w:val="auto"/>
        </w:rPr>
      </w:pPr>
    </w:p>
    <w:p>
      <w:pPr>
        <w:ind w:firstLine="310"/>
        <w:spacing w:after="0" w:line="263"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consists principally of interest payments on the Company’s outstanding borrowings under the ABL Facility,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lien term loan and second lien notes, amortization of discount and deferred financing fees, changes in derivatives not designated as hedging instruments related to the interest rate swaps, and reclassification from accumulated other comprehensive income to interest expense upon discontinuing hedge accounting. Refer to the “Liquidity and Capital Resources” section below for further discussion of these outstanding borrowings.</w:t>
      </w:r>
    </w:p>
    <w:p>
      <w:pPr>
        <w:spacing w:after="0" w:line="151" w:lineRule="exact"/>
        <w:rPr>
          <w:sz w:val="20"/>
          <w:szCs w:val="20"/>
          <w:color w:val="auto"/>
        </w:rPr>
      </w:pPr>
    </w:p>
    <w:p>
      <w:pPr>
        <w:ind w:right="620" w:firstLine="310"/>
        <w:spacing w:after="0" w:line="283" w:lineRule="auto"/>
        <w:rPr>
          <w:sz w:val="20"/>
          <w:szCs w:val="20"/>
          <w:color w:val="auto"/>
        </w:rPr>
      </w:pPr>
      <w:r>
        <w:rPr>
          <w:rFonts w:ascii="Arial" w:cs="Arial" w:eastAsia="Arial" w:hAnsi="Arial"/>
          <w:sz w:val="17"/>
          <w:szCs w:val="17"/>
          <w:i w:val="1"/>
          <w:iCs w:val="1"/>
          <w:color w:val="auto"/>
        </w:rPr>
        <w:t>Equity in Earnings of Joint Ventures</w:t>
      </w:r>
      <w:r>
        <w:rPr>
          <w:rFonts w:ascii="Arial" w:cs="Arial" w:eastAsia="Arial" w:hAnsi="Arial"/>
          <w:sz w:val="17"/>
          <w:szCs w:val="17"/>
          <w:color w:val="auto"/>
        </w:rPr>
        <w:t>. Equity in earnings of joint ventures consists of our proportionate share of equity earnings or losses from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two infusion joint ventures with health systems.</w:t>
      </w:r>
    </w:p>
    <w:p>
      <w:pPr>
        <w:spacing w:after="0" w:line="120" w:lineRule="exact"/>
        <w:rPr>
          <w:sz w:val="20"/>
          <w:szCs w:val="20"/>
          <w:color w:val="auto"/>
        </w:rPr>
      </w:pPr>
    </w:p>
    <w:p>
      <w:pPr>
        <w:ind w:right="900" w:firstLine="310"/>
        <w:spacing w:after="0" w:line="283" w:lineRule="auto"/>
        <w:rPr>
          <w:sz w:val="20"/>
          <w:szCs w:val="20"/>
          <w:color w:val="auto"/>
        </w:rPr>
      </w:pPr>
      <w:r>
        <w:rPr>
          <w:rFonts w:ascii="Arial" w:cs="Arial" w:eastAsia="Arial" w:hAnsi="Arial"/>
          <w:sz w:val="17"/>
          <w:szCs w:val="17"/>
          <w:i w:val="1"/>
          <w:iCs w:val="1"/>
          <w:color w:val="auto"/>
        </w:rPr>
        <w:t>Other, Net</w:t>
      </w:r>
      <w:r>
        <w:rPr>
          <w:rFonts w:ascii="Arial" w:cs="Arial" w:eastAsia="Arial" w:hAnsi="Arial"/>
          <w:sz w:val="17"/>
          <w:szCs w:val="17"/>
          <w:color w:val="auto"/>
        </w:rPr>
        <w:t>. Other income (expense) primarily includes loss on extinguishment of debt incurred in connection with the 2021 debt refinancing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miscellaneous non-operating expenses.</w:t>
      </w:r>
    </w:p>
    <w:p>
      <w:pPr>
        <w:spacing w:after="0" w:line="120" w:lineRule="exact"/>
        <w:rPr>
          <w:sz w:val="20"/>
          <w:szCs w:val="20"/>
          <w:color w:val="auto"/>
        </w:rPr>
      </w:pPr>
    </w:p>
    <w:p>
      <w:pPr>
        <w:ind w:right="360" w:firstLine="310"/>
        <w:spacing w:after="0" w:line="283"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The Company is subject to taxation in the United States and various states. The Company’s income tax expense is reflective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federal and state tax rates.</w:t>
      </w:r>
    </w:p>
    <w:p>
      <w:pPr>
        <w:spacing w:after="0" w:line="133" w:lineRule="exact"/>
        <w:rPr>
          <w:sz w:val="20"/>
          <w:szCs w:val="20"/>
          <w:color w:val="auto"/>
        </w:rPr>
      </w:pPr>
    </w:p>
    <w:p>
      <w:pPr>
        <w:jc w:val="both"/>
        <w:ind w:right="20" w:firstLine="310"/>
        <w:spacing w:after="0" w:line="268" w:lineRule="auto"/>
        <w:rPr>
          <w:sz w:val="20"/>
          <w:szCs w:val="20"/>
          <w:color w:val="auto"/>
        </w:rPr>
      </w:pPr>
      <w:r>
        <w:rPr>
          <w:rFonts w:ascii="Arial" w:cs="Arial" w:eastAsia="Arial" w:hAnsi="Arial"/>
          <w:sz w:val="17"/>
          <w:szCs w:val="17"/>
          <w:i w:val="1"/>
          <w:iCs w:val="1"/>
          <w:color w:val="auto"/>
        </w:rPr>
        <w:t>Change in unrealized gains (losses) on cash flow hedges, net of income tax expense (benefit)</w:t>
      </w:r>
      <w:r>
        <w:rPr>
          <w:rFonts w:ascii="Arial" w:cs="Arial" w:eastAsia="Arial" w:hAnsi="Arial"/>
          <w:sz w:val="17"/>
          <w:szCs w:val="17"/>
          <w:color w:val="auto"/>
        </w:rPr>
        <w:t>. Change in unrealized gains (losses) on cash flow hedges, net of</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consists of the gains and losses associated with the changes in the fair value of derivatives designated as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4" w:lineRule="exact"/>
        <w:rPr>
          <w:sz w:val="20"/>
          <w:szCs w:val="20"/>
          <w:color w:val="auto"/>
        </w:rPr>
      </w:pPr>
    </w:p>
    <w:p>
      <w:pPr>
        <w:ind w:right="200" w:firstLine="310"/>
        <w:spacing w:after="0" w:line="283" w:lineRule="auto"/>
        <w:rPr>
          <w:sz w:val="20"/>
          <w:szCs w:val="20"/>
          <w:color w:val="auto"/>
        </w:rPr>
      </w:pPr>
      <w:r>
        <w:rPr>
          <w:rFonts w:ascii="Arial" w:cs="Arial" w:eastAsia="Arial" w:hAnsi="Arial"/>
          <w:sz w:val="17"/>
          <w:szCs w:val="17"/>
          <w:color w:val="auto"/>
        </w:rPr>
        <w:t>The following table presents Option Care Health’s consolidated results of operations for the three and nine months ended September 30, 2021 and 2020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20" w:type="dxa"/>
            <w:vAlign w:val="bottom"/>
            <w:gridSpan w:val="8"/>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0" w:type="dxa"/>
            <w:vAlign w:val="bottom"/>
            <w:gridSpan w:val="7"/>
          </w:tcPr>
          <w:p>
            <w:pPr>
              <w:ind w:left="80"/>
              <w:spacing w:after="0"/>
              <w:rPr>
                <w:sz w:val="20"/>
                <w:szCs w:val="20"/>
                <w:color w:val="auto"/>
              </w:rPr>
            </w:pPr>
            <w:r>
              <w:rPr>
                <w:rFonts w:ascii="Arial" w:cs="Arial" w:eastAsia="Arial" w:hAnsi="Arial"/>
                <w:sz w:val="16"/>
                <w:szCs w:val="16"/>
                <w:b w:val="1"/>
                <w:bCs w:val="1"/>
                <w:color w:val="auto"/>
                <w:w w:val="87"/>
              </w:rPr>
              <w:t>Nine Months Ended September 30,</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2021 (unaudited)</w:t>
            </w:r>
          </w:p>
        </w:tc>
        <w:tc>
          <w:tcPr>
            <w:tcW w:w="1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3"/>
          </w:tcPr>
          <w:p>
            <w:pPr>
              <w:jc w:val="right"/>
              <w:ind w:right="442"/>
              <w:spacing w:after="0"/>
              <w:rPr>
                <w:sz w:val="20"/>
                <w:szCs w:val="20"/>
                <w:color w:val="auto"/>
              </w:rPr>
            </w:pPr>
            <w:r>
              <w:rPr>
                <w:rFonts w:ascii="Arial" w:cs="Arial" w:eastAsia="Arial" w:hAnsi="Arial"/>
                <w:sz w:val="16"/>
                <w:szCs w:val="16"/>
                <w:b w:val="1"/>
                <w:bCs w:val="1"/>
                <w:color w:val="auto"/>
              </w:rPr>
              <w:t>2020 (unaudited)</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2021 (unaudited)</w:t>
            </w:r>
          </w:p>
        </w:tc>
        <w:tc>
          <w:tcPr>
            <w:tcW w:w="16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4"/>
          </w:tcPr>
          <w:p>
            <w:pPr>
              <w:jc w:val="right"/>
              <w:ind w:right="462"/>
              <w:spacing w:after="0"/>
              <w:rPr>
                <w:sz w:val="20"/>
                <w:szCs w:val="20"/>
                <w:color w:val="auto"/>
              </w:rPr>
            </w:pPr>
            <w:r>
              <w:rPr>
                <w:rFonts w:ascii="Arial" w:cs="Arial" w:eastAsia="Arial" w:hAnsi="Arial"/>
                <w:sz w:val="16"/>
                <w:szCs w:val="16"/>
                <w:b w:val="1"/>
                <w:bCs w:val="1"/>
                <w:color w:val="auto"/>
              </w:rPr>
              <w:t>2020 (unaudited)</w:t>
            </w:r>
          </w:p>
        </w:tc>
        <w:tc>
          <w:tcPr>
            <w:tcW w:w="0" w:type="dxa"/>
            <w:vAlign w:val="bottom"/>
          </w:tcPr>
          <w:p>
            <w:pPr>
              <w:spacing w:after="0"/>
              <w:rPr>
                <w:sz w:val="1"/>
                <w:szCs w:val="1"/>
                <w:color w:val="auto"/>
              </w:rPr>
            </w:pPr>
          </w:p>
        </w:tc>
      </w:tr>
      <w:tr>
        <w:trPr>
          <w:trHeight w:val="200"/>
        </w:trPr>
        <w:tc>
          <w:tcPr>
            <w:tcW w:w="2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93"/>
              </w:rPr>
              <w:t>% of Revenue</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3"/>
              </w:rPr>
              <w:t>% of Revenue</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3"/>
              </w:rPr>
              <w:t>% of Revenue</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89"/>
              </w:rPr>
              <w:t>% of Revenue</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891,937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2,511,446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2,227,897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688,969</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77.2 %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607,456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77.7 %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1,944,037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77.4 %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1,729,395</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77.6 %</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202,968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22.3 %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567,409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498,502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45"/>
        </w:trPr>
        <w:tc>
          <w:tcPr>
            <w:tcW w:w="2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OPERATING COSTS AND</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40"/>
              <w:spacing w:after="0" w:line="160" w:lineRule="exact"/>
              <w:rPr>
                <w:sz w:val="20"/>
                <w:szCs w:val="20"/>
                <w:color w:val="auto"/>
              </w:rPr>
            </w:pPr>
            <w:r>
              <w:rPr>
                <w:rFonts w:ascii="Arial" w:cs="Arial" w:eastAsia="Arial" w:hAnsi="Arial"/>
                <w:sz w:val="16"/>
                <w:szCs w:val="16"/>
                <w:color w:val="auto"/>
              </w:rPr>
              <w:t>Selling, general and</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134,633</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15.1 %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123,000</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15.7 %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388,930</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15.5 %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377,198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16.9 %</w:t>
            </w:r>
          </w:p>
        </w:tc>
        <w:tc>
          <w:tcPr>
            <w:tcW w:w="0" w:type="dxa"/>
            <w:vAlign w:val="bottom"/>
          </w:tcPr>
          <w:p>
            <w:pPr>
              <w:spacing w:after="0"/>
              <w:rPr>
                <w:sz w:val="1"/>
                <w:szCs w:val="1"/>
                <w:color w:val="auto"/>
              </w:rPr>
            </w:pPr>
          </w:p>
        </w:tc>
      </w:tr>
      <w:tr>
        <w:trPr>
          <w:trHeight w:val="199"/>
        </w:trPr>
        <w:tc>
          <w:tcPr>
            <w:tcW w:w="2220" w:type="dxa"/>
            <w:vAlign w:val="bottom"/>
          </w:tcPr>
          <w:p>
            <w:pPr>
              <w:ind w:left="140"/>
              <w:spacing w:after="0"/>
              <w:rPr>
                <w:sz w:val="20"/>
                <w:szCs w:val="20"/>
                <w:color w:val="auto"/>
              </w:rPr>
            </w:pPr>
            <w:r>
              <w:rPr>
                <w:rFonts w:ascii="Arial" w:cs="Arial" w:eastAsia="Arial" w:hAnsi="Arial"/>
                <w:sz w:val="16"/>
                <w:szCs w:val="16"/>
                <w:color w:val="auto"/>
              </w:rPr>
              <w:t>administrative expenses</w:t>
            </w: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w w:val="96"/>
              </w:rPr>
              <w:t>Depreciation and amortization</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15,452</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16,597</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48,410</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150,085</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139,597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17.9 %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437,340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17.4 %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432,090</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200"/>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52,883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130,069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66,412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28"/>
        </w:trPr>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OTHER INCOME (EXPENSE):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(24,583)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(52,717)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(84,102)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Equity in earnings of joint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1,676</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ventures</w:t>
            </w: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(8,344)</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(8,322)</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0"/>
        </w:trPr>
        <w:tc>
          <w:tcPr>
            <w:tcW w:w="2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(90,060)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8"/>
        </w:trPr>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INCOME (LOSS) BEFORE</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38,563</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69,527</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(23,648)</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3,087</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27"/>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35,476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64,431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OTHER COMPREHENSIVE</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INCOME (LOSS), NET OF TAX:</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40"/>
              <w:spacing w:after="0" w:line="160" w:lineRule="exact"/>
              <w:rPr>
                <w:sz w:val="20"/>
                <w:szCs w:val="20"/>
                <w:color w:val="auto"/>
              </w:rPr>
            </w:pPr>
            <w:r>
              <w:rPr>
                <w:rFonts w:ascii="Arial" w:cs="Arial" w:eastAsia="Arial" w:hAnsi="Arial"/>
                <w:sz w:val="16"/>
                <w:szCs w:val="16"/>
                <w:color w:val="auto"/>
              </w:rPr>
              <w:t>Change in unrealized gains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140"/>
              <w:spacing w:after="0" w:line="155" w:lineRule="exact"/>
              <w:rPr>
                <w:sz w:val="20"/>
                <w:szCs w:val="20"/>
                <w:color w:val="auto"/>
              </w:rPr>
            </w:pPr>
            <w:r>
              <w:rPr>
                <w:rFonts w:ascii="Arial" w:cs="Arial" w:eastAsia="Arial" w:hAnsi="Arial"/>
                <w:sz w:val="16"/>
                <w:szCs w:val="16"/>
                <w:color w:val="auto"/>
                <w:w w:val="86"/>
              </w:rPr>
              <w:t>(losses) on cash flow hedges, net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140"/>
              <w:spacing w:after="0" w:line="155" w:lineRule="exact"/>
              <w:rPr>
                <w:sz w:val="20"/>
                <w:szCs w:val="20"/>
                <w:color w:val="auto"/>
              </w:rPr>
            </w:pPr>
            <w:r>
              <w:rPr>
                <w:rFonts w:ascii="Arial" w:cs="Arial" w:eastAsia="Arial" w:hAnsi="Arial"/>
                <w:sz w:val="16"/>
                <w:szCs w:val="16"/>
                <w:color w:val="auto"/>
                <w:w w:val="92"/>
              </w:rPr>
              <w:t>of income tax expense (benefit)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140"/>
              <w:spacing w:after="0" w:line="155" w:lineRule="exact"/>
              <w:rPr>
                <w:sz w:val="20"/>
                <w:szCs w:val="20"/>
                <w:color w:val="auto"/>
              </w:rPr>
            </w:pPr>
            <w:r>
              <w:rPr>
                <w:rFonts w:ascii="Arial" w:cs="Arial" w:eastAsia="Arial" w:hAnsi="Arial"/>
                <w:sz w:val="16"/>
                <w:szCs w:val="16"/>
                <w:color w:val="auto"/>
              </w:rPr>
              <w:t>of $0, $0, $0 and $0,</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2,892</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4,022</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11,172</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0.4 %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(8,034)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9"/>
        </w:trPr>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respectively</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ind w:left="220"/>
              <w:spacing w:after="0" w:line="143" w:lineRule="exact"/>
              <w:rPr>
                <w:sz w:val="20"/>
                <w:szCs w:val="20"/>
                <w:color w:val="auto"/>
              </w:rPr>
            </w:pPr>
            <w:r>
              <w:rPr>
                <w:rFonts w:ascii="Arial" w:cs="Arial" w:eastAsia="Arial" w:hAnsi="Arial"/>
                <w:sz w:val="16"/>
                <w:szCs w:val="16"/>
                <w:color w:val="auto"/>
                <w:w w:val="98"/>
              </w:rPr>
              <w:t>OTHER COMPREHENSIVE</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2,892</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20"/>
              <w:spacing w:after="0" w:line="140" w:lineRule="exact"/>
              <w:rPr>
                <w:sz w:val="20"/>
                <w:szCs w:val="20"/>
                <w:color w:val="auto"/>
              </w:rPr>
            </w:pPr>
            <w:r>
              <w:rPr>
                <w:rFonts w:ascii="Arial" w:cs="Arial" w:eastAsia="Arial" w:hAnsi="Arial"/>
                <w:sz w:val="16"/>
                <w:szCs w:val="16"/>
                <w:color w:val="auto"/>
              </w:rPr>
              <w:t>NET COMPREHENSIVE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38,368</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5,685</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0.7 %</w:t>
            </w:r>
          </w:p>
        </w:tc>
        <w:tc>
          <w:tcPr>
            <w:tcW w:w="8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75,603</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(33,949)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1"/>
        </w:trPr>
        <w:tc>
          <w:tcPr>
            <w:tcW w:w="2220" w:type="dxa"/>
            <w:vAlign w:val="bottom"/>
          </w:tcPr>
          <w:p>
            <w:pPr>
              <w:ind w:left="20"/>
              <w:spacing w:after="0" w:line="176" w:lineRule="exact"/>
              <w:rPr>
                <w:sz w:val="20"/>
                <w:szCs w:val="20"/>
                <w:color w:val="auto"/>
              </w:rPr>
            </w:pPr>
            <w:r>
              <w:rPr>
                <w:rFonts w:ascii="Arial" w:cs="Arial" w:eastAsia="Arial" w:hAnsi="Arial"/>
                <w:sz w:val="16"/>
                <w:szCs w:val="16"/>
                <w:color w:val="auto"/>
              </w:rPr>
              <w:t>INCOME (LOSS)</w:t>
            </w: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Three Months Ended September 30, 2021 Compared to Three Months Ended September 30, 2020</w:t>
      </w:r>
    </w:p>
    <w:p>
      <w:pPr>
        <w:spacing w:after="0" w:line="198" w:lineRule="exact"/>
        <w:rPr>
          <w:sz w:val="20"/>
          <w:szCs w:val="20"/>
          <w:color w:val="auto"/>
        </w:rPr>
      </w:pPr>
    </w:p>
    <w:p>
      <w:pPr>
        <w:ind w:right="120" w:firstLine="310"/>
        <w:spacing w:after="0" w:line="283" w:lineRule="auto"/>
        <w:rPr>
          <w:sz w:val="20"/>
          <w:szCs w:val="20"/>
          <w:color w:val="auto"/>
        </w:rPr>
      </w:pPr>
      <w:r>
        <w:rPr>
          <w:rFonts w:ascii="Arial" w:cs="Arial" w:eastAsia="Arial" w:hAnsi="Arial"/>
          <w:sz w:val="17"/>
          <w:szCs w:val="17"/>
          <w:color w:val="auto"/>
        </w:rPr>
        <w:t>The following tables present selected consolidated comparative results of operations from Option Care Health’s unaudited condensed consolidated financial statements for the three month periods ended September 30, 2021 and September 30, 2020.</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Gross Profit</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6"/>
                <w:szCs w:val="16"/>
                <w:b w:val="1"/>
                <w:bCs w:val="1"/>
                <w:color w:val="auto"/>
                <w:w w:val="88"/>
              </w:rPr>
              <w:t>Three Months Ended September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6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46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5"/>
          </w:tcPr>
          <w:p>
            <w:pPr>
              <w:jc w:val="center"/>
              <w:ind w:right="82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891,937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781,609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110,328</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0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688,969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607,456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81,513</w:t>
            </w:r>
          </w:p>
        </w:tc>
        <w:tc>
          <w:tcPr>
            <w:tcW w:w="6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2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202,968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174,153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28,815</w:t>
            </w:r>
          </w:p>
        </w:tc>
        <w:tc>
          <w:tcPr>
            <w:tcW w:w="6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22.8 %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22.3 %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310"/>
        <w:spacing w:after="0" w:line="263" w:lineRule="auto"/>
        <w:rPr>
          <w:sz w:val="20"/>
          <w:szCs w:val="20"/>
          <w:color w:val="auto"/>
        </w:rPr>
      </w:pPr>
      <w:r>
        <w:rPr>
          <w:rFonts w:ascii="Arial" w:cs="Arial" w:eastAsia="Arial" w:hAnsi="Arial"/>
          <w:sz w:val="17"/>
          <w:szCs w:val="17"/>
          <w:color w:val="auto"/>
        </w:rPr>
        <w:t>The increase in net revenue was primarily driven by organic growth in the Company’s portfolio of therapies, consisting of acute revenue that had mid single digit growth relative to the prior year while chronic revenue grew in the mid-teens. The increase in cost of revenue was driven by the growth in revenue. The increase in gross profit was primarily related to contribution margin from the increase in net revenue. The slight increase in gross profit margin was driven by mix shift toward higher profit therapies.</w:t>
      </w:r>
    </w:p>
    <w:p>
      <w:pPr>
        <w:sectPr>
          <w:pgSz w:w="11900" w:h="16838" w:orient="portrait"/>
          <w:cols w:equalWidth="0" w:num="1">
            <w:col w:w="11180"/>
          </w:cols>
          <w:pgMar w:left="320" w:top="121" w:right="399" w:bottom="1440" w:gutter="0" w:footer="0" w:header="0"/>
        </w:sectPr>
      </w:pP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0" w:right="480"/>
        <w:spacing w:after="0" w:line="363" w:lineRule="auto"/>
        <w:rPr>
          <w:sz w:val="20"/>
          <w:szCs w:val="20"/>
          <w:color w:val="auto"/>
        </w:rPr>
      </w:pPr>
      <w:r>
        <w:rPr>
          <w:rFonts w:ascii="Arial" w:cs="Arial" w:eastAsia="Arial" w:hAnsi="Arial"/>
          <w:sz w:val="13"/>
          <w:szCs w:val="13"/>
          <w:color w:val="auto"/>
        </w:rPr>
        <w:t>Selling, general and administrative expenses Depreciation and amortization expense</w:t>
      </w:r>
    </w:p>
    <w:p>
      <w:pPr>
        <w:ind w:left="56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Three Months Ended 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7"/>
        </w:trPr>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r>
      <w:tr>
        <w:trPr>
          <w:trHeight w:val="236"/>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760" w:type="dxa"/>
            <w:vAlign w:val="bottom"/>
          </w:tcPr>
          <w:p>
            <w:pPr>
              <w:spacing w:after="0"/>
              <w:rPr>
                <w:sz w:val="20"/>
                <w:szCs w:val="20"/>
                <w:color w:val="auto"/>
              </w:rPr>
            </w:pPr>
          </w:p>
        </w:tc>
      </w:tr>
      <w:tr>
        <w:trPr>
          <w:trHeight w:val="207"/>
        </w:trPr>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134,633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123,000</w:t>
            </w:r>
          </w:p>
        </w:tc>
        <w:tc>
          <w:tcPr>
            <w:tcW w:w="10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Pr>
          <w:p>
            <w:pPr>
              <w:ind w:left="360"/>
              <w:spacing w:after="0"/>
              <w:rPr>
                <w:sz w:val="20"/>
                <w:szCs w:val="20"/>
                <w:color w:val="auto"/>
              </w:rPr>
            </w:pPr>
            <w:r>
              <w:rPr>
                <w:rFonts w:ascii="Arial" w:cs="Arial" w:eastAsia="Arial" w:hAnsi="Arial"/>
                <w:sz w:val="16"/>
                <w:szCs w:val="16"/>
                <w:color w:val="auto"/>
                <w:w w:val="93"/>
              </w:rPr>
              <w:t>11,633</w:t>
            </w:r>
          </w:p>
        </w:tc>
        <w:tc>
          <w:tcPr>
            <w:tcW w:w="7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10"/>
        </w:trPr>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16,597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w w:val="90"/>
              </w:rPr>
              <w:t>(1,145)</w:t>
            </w:r>
          </w:p>
        </w:tc>
        <w:tc>
          <w:tcPr>
            <w:tcW w:w="7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02"/>
        </w:trPr>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150,085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139,597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8"/>
              </w:rPr>
              <w:t>10,488</w:t>
            </w:r>
          </w:p>
        </w:tc>
        <w:tc>
          <w:tcPr>
            <w:tcW w:w="7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-434340</wp:posOffset>
            </wp:positionV>
            <wp:extent cx="6104255" cy="131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04255" cy="13144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-171450</wp:posOffset>
            </wp:positionV>
            <wp:extent cx="6104255" cy="155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04255" cy="155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780"/>
          </w:cols>
          <w:pgMar w:left="320" w:top="121" w:right="399" w:bottom="1440" w:gutter="0" w:footer="0" w:header="0"/>
          <w:type w:val="continuous"/>
        </w:sectPr>
      </w:pPr>
    </w:p>
    <w:p>
      <w:pPr>
        <w:spacing w:after="0" w:line="46" w:lineRule="exact"/>
        <w:rPr>
          <w:sz w:val="20"/>
          <w:szCs w:val="20"/>
          <w:color w:val="auto"/>
        </w:rPr>
      </w:pPr>
    </w:p>
    <w:p>
      <w:pPr>
        <w:jc w:val="both"/>
        <w:ind w:right="100" w:firstLine="310"/>
        <w:spacing w:after="0" w:line="268" w:lineRule="auto"/>
        <w:rPr>
          <w:sz w:val="20"/>
          <w:szCs w:val="20"/>
          <w:color w:val="auto"/>
        </w:rPr>
      </w:pPr>
      <w:r>
        <w:rPr>
          <w:rFonts w:ascii="Arial" w:cs="Arial" w:eastAsia="Arial" w:hAnsi="Arial"/>
          <w:sz w:val="17"/>
          <w:szCs w:val="17"/>
          <w:color w:val="auto"/>
        </w:rPr>
        <w:t>The increase in Selling, general and administrative expenses is primarily due to salaries and benefits, but has decreased as a percentage of revenue to 15.1% for the three months ended September 30, 2021 as compared to 15.7% for the three months ended September 30, 2020, as our revenue has grown at a faster pace than our selling, general and administrative expenses.</w:t>
      </w:r>
    </w:p>
    <w:p>
      <w:pPr>
        <w:spacing w:after="0" w:line="146" w:lineRule="exact"/>
        <w:rPr>
          <w:sz w:val="20"/>
          <w:szCs w:val="20"/>
          <w:color w:val="auto"/>
        </w:rPr>
      </w:pPr>
    </w:p>
    <w:p>
      <w:pPr>
        <w:ind w:right="380" w:firstLine="310"/>
        <w:spacing w:after="0" w:line="283" w:lineRule="auto"/>
        <w:rPr>
          <w:sz w:val="20"/>
          <w:szCs w:val="20"/>
          <w:color w:val="auto"/>
        </w:rPr>
      </w:pPr>
      <w:r>
        <w:rPr>
          <w:rFonts w:ascii="Arial" w:cs="Arial" w:eastAsia="Arial" w:hAnsi="Arial"/>
          <w:sz w:val="17"/>
          <w:szCs w:val="17"/>
          <w:color w:val="auto"/>
        </w:rPr>
        <w:t>The decrease in depreciation and amortization was primarily related to a reduction in capital expenditures corresponding with the stabilization of capital expenditures through completion of Merger integration activities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6"/>
                <w:szCs w:val="16"/>
                <w:b w:val="1"/>
                <w:bCs w:val="1"/>
                <w:color w:val="auto"/>
                <w:w w:val="87"/>
              </w:rPr>
              <w:t>Three Months Ended September 30,</w:t>
            </w:r>
          </w:p>
        </w:tc>
        <w:tc>
          <w:tcPr>
            <w:tcW w:w="840" w:type="dxa"/>
            <w:vAlign w:val="bottom"/>
            <w:tcBorders>
              <w:bottom w:val="single" w:sz="8" w:color="auto"/>
            </w:tcBorders>
          </w:tcPr>
          <w:p>
            <w:pPr>
              <w:spacing w:after="0"/>
              <w:rPr>
                <w:sz w:val="17"/>
                <w:szCs w:val="17"/>
                <w:color w:val="auto"/>
              </w:rPr>
            </w:pPr>
          </w:p>
        </w:tc>
      </w:tr>
      <w:tr>
        <w:trPr>
          <w:trHeight w:val="198"/>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8"/>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840" w:type="dxa"/>
            <w:vAlign w:val="bottom"/>
            <w:tcBorders>
              <w:bottom w:val="single" w:sz="8" w:color="auto"/>
            </w:tcBorders>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840" w:type="dxa"/>
            <w:vAlign w:val="bottom"/>
          </w:tcPr>
          <w:p>
            <w:pPr>
              <w:spacing w:after="0"/>
              <w:rPr>
                <w:sz w:val="20"/>
                <w:szCs w:val="20"/>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8,583</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04"/>
        </w:trPr>
        <w:tc>
          <w:tcPr>
            <w:tcW w:w="408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886</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112.2 %</w:t>
            </w:r>
          </w:p>
        </w:tc>
      </w:tr>
      <w:tr>
        <w:trPr>
          <w:trHeight w:val="20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8,348</w:t>
            </w: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4080" w:type="dxa"/>
            <w:vAlign w:val="bottom"/>
          </w:tcPr>
          <w:p>
            <w:pPr>
              <w:ind w:left="24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(32,137)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17,817</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56" w:lineRule="exact"/>
        <w:rPr>
          <w:sz w:val="20"/>
          <w:szCs w:val="20"/>
          <w:color w:val="auto"/>
        </w:rPr>
      </w:pPr>
    </w:p>
    <w:p>
      <w:pPr>
        <w:ind w:right="420" w:firstLine="310"/>
        <w:spacing w:after="0" w:line="268" w:lineRule="auto"/>
        <w:rPr>
          <w:sz w:val="20"/>
          <w:szCs w:val="20"/>
          <w:color w:val="auto"/>
        </w:rPr>
      </w:pPr>
      <w:r>
        <w:rPr>
          <w:rFonts w:ascii="Arial" w:cs="Arial" w:eastAsia="Arial" w:hAnsi="Arial"/>
          <w:sz w:val="17"/>
          <w:szCs w:val="17"/>
          <w:color w:val="auto"/>
        </w:rPr>
        <w:t xml:space="preserve">The decrease in interest expense was primarily attributable to the debt refinancing of the first lien term loan and prepayment of the second lien notes in January 2021, as well as the reduction in the outstanding debt balance due to retirement of debt obligations which were completed during 2020.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of the unaudited condensed consolidated financial statements.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increase in equity in earnings of joint ventures was primarily attributable to organic growth in both the acute and chronic portfolio of therapies.</w:t>
      </w:r>
    </w:p>
    <w:p>
      <w:pPr>
        <w:spacing w:after="0" w:line="204" w:lineRule="exact"/>
        <w:rPr>
          <w:sz w:val="20"/>
          <w:szCs w:val="20"/>
          <w:color w:val="auto"/>
        </w:rPr>
      </w:pPr>
    </w:p>
    <w:p>
      <w:pPr>
        <w:ind w:right="40" w:firstLine="310"/>
        <w:spacing w:after="0" w:line="283" w:lineRule="auto"/>
        <w:rPr>
          <w:sz w:val="20"/>
          <w:szCs w:val="20"/>
          <w:color w:val="auto"/>
        </w:rPr>
      </w:pPr>
      <w:r>
        <w:rPr>
          <w:rFonts w:ascii="Arial" w:cs="Arial" w:eastAsia="Arial" w:hAnsi="Arial"/>
          <w:sz w:val="17"/>
          <w:szCs w:val="17"/>
          <w:color w:val="auto"/>
        </w:rPr>
        <w:t>The change in other, net is primarily attributable to the loss on extinguishment of debt of $8.3 million incurred in the third quarter of 2020 in conjunction with the $125.0 million repayment of principal on the second lien notes.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Income Tax Expense</w:t>
      </w:r>
    </w:p>
    <w:p>
      <w:pPr>
        <w:spacing w:after="0" w:line="48"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center"/>
              <w:ind w:right="602"/>
              <w:spacing w:after="0"/>
              <w:rPr>
                <w:sz w:val="20"/>
                <w:szCs w:val="20"/>
                <w:color w:val="auto"/>
              </w:rPr>
            </w:pPr>
            <w:r>
              <w:rPr>
                <w:rFonts w:ascii="Arial" w:cs="Arial" w:eastAsia="Arial" w:hAnsi="Arial"/>
                <w:sz w:val="16"/>
                <w:szCs w:val="16"/>
                <w:b w:val="1"/>
                <w:bCs w:val="1"/>
                <w:color w:val="auto"/>
                <w:w w:val="87"/>
              </w:rPr>
              <w:t>Three Months Ended September 30,</w:t>
            </w:r>
          </w:p>
        </w:tc>
        <w:tc>
          <w:tcPr>
            <w:tcW w:w="800" w:type="dxa"/>
            <w:vAlign w:val="bottom"/>
            <w:tcBorders>
              <w:bottom w:val="single" w:sz="8" w:color="auto"/>
            </w:tcBorders>
          </w:tcPr>
          <w:p>
            <w:pPr>
              <w:spacing w:after="0"/>
              <w:rPr>
                <w:sz w:val="17"/>
                <w:szCs w:val="17"/>
                <w:color w:val="auto"/>
              </w:rPr>
            </w:pPr>
          </w:p>
        </w:tc>
      </w:tr>
      <w:tr>
        <w:trPr>
          <w:trHeight w:val="198"/>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9"/>
              </w:rPr>
              <w:t>(unaudited)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(unaudited)</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Variance</w:t>
            </w:r>
          </w:p>
        </w:tc>
        <w:tc>
          <w:tcPr>
            <w:tcW w:w="800" w:type="dxa"/>
            <w:vAlign w:val="bottom"/>
            <w:tcBorders>
              <w:bottom w:val="single" w:sz="8" w:color="auto"/>
            </w:tcBorders>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4"/>
          </w:tcPr>
          <w:p>
            <w:pPr>
              <w:jc w:val="center"/>
              <w:ind w:right="602"/>
              <w:spacing w:after="0"/>
              <w:rPr>
                <w:sz w:val="20"/>
                <w:szCs w:val="20"/>
                <w:color w:val="auto"/>
              </w:rPr>
            </w:pPr>
            <w:r>
              <w:rPr>
                <w:rFonts w:ascii="Arial" w:cs="Arial" w:eastAsia="Arial" w:hAnsi="Arial"/>
                <w:sz w:val="16"/>
                <w:szCs w:val="16"/>
                <w:b w:val="1"/>
                <w:bCs w:val="1"/>
                <w:color w:val="auto"/>
                <w:w w:val="84"/>
              </w:rPr>
              <w:t>(in thousands, except for percentages)</w:t>
            </w:r>
          </w:p>
        </w:tc>
        <w:tc>
          <w:tcPr>
            <w:tcW w:w="800" w:type="dxa"/>
            <w:vAlign w:val="bottom"/>
          </w:tcPr>
          <w:p>
            <w:pPr>
              <w:spacing w:after="0"/>
              <w:rPr>
                <w:sz w:val="20"/>
                <w:szCs w:val="20"/>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rPr>
              <w:t>2,331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308.3 %</w:t>
            </w:r>
          </w:p>
        </w:tc>
      </w:tr>
    </w:tbl>
    <w:p>
      <w:pPr>
        <w:spacing w:after="0" w:line="200" w:lineRule="exact"/>
        <w:rPr>
          <w:sz w:val="20"/>
          <w:szCs w:val="20"/>
          <w:color w:val="auto"/>
        </w:rPr>
      </w:pPr>
    </w:p>
    <w:p>
      <w:pPr>
        <w:spacing w:after="0" w:line="266" w:lineRule="exact"/>
        <w:rPr>
          <w:sz w:val="20"/>
          <w:szCs w:val="20"/>
          <w:color w:val="auto"/>
        </w:rPr>
      </w:pPr>
    </w:p>
    <w:p>
      <w:pPr>
        <w:ind w:firstLine="310"/>
        <w:spacing w:after="0" w:line="242" w:lineRule="auto"/>
        <w:rPr>
          <w:sz w:val="20"/>
          <w:szCs w:val="20"/>
          <w:color w:val="auto"/>
        </w:rPr>
      </w:pPr>
      <w:r>
        <w:rPr>
          <w:rFonts w:ascii="Arial" w:cs="Arial" w:eastAsia="Arial" w:hAnsi="Arial"/>
          <w:sz w:val="16"/>
          <w:szCs w:val="16"/>
          <w:color w:val="auto"/>
        </w:rPr>
        <w:t>The Company maintains a full valuation allowance, established at the time of Merger, against all of its net U.S. federal and state deferred tax assets with the exception of approximately $0.3 million of estimated state net operating losses (“NOL”). Because of the Company’s full valuation allowance, the Company’s tax expense for the three months ended September 30, 2021 only consists of quarterly tax liabilities attributable to separate company state tax returns as well as recognized deferred tax expense. These tax expense items resulted in an effective tax rate of 8.0% during the three months ended September 30, 2021. During the three months ended September 30, 2020, the effective tax rate was 31.3%. The variance in the year-over-year effective tax rates is primarily attributable to changes in the valuation allowance combined with year-over-year variances in income (loss) before income taxes for the Company. The quarterly tax rates of both periods differ from the Company’s 21% federal statutory rate primarily due to changes in valuation allowance, certain state and local taxes, non-deductible costs and resolution of certain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Net Income and Other Comprehensive Income</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b w:val="1"/>
                <w:bCs w:val="1"/>
                <w:color w:val="auto"/>
                <w:w w:val="87"/>
              </w:rPr>
              <w:t>Three Months Ended September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33,813</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2,033.3 %</w:t>
            </w:r>
          </w:p>
        </w:tc>
        <w:tc>
          <w:tcPr>
            <w:tcW w:w="0" w:type="dxa"/>
            <w:vAlign w:val="bottom"/>
          </w:tcPr>
          <w:p>
            <w:pPr>
              <w:spacing w:after="0"/>
              <w:rPr>
                <w:sz w:val="1"/>
                <w:szCs w:val="1"/>
                <w:color w:val="auto"/>
              </w:rPr>
            </w:pPr>
          </w:p>
        </w:tc>
      </w:tr>
      <w:tr>
        <w:trPr>
          <w:trHeight w:val="204"/>
        </w:trPr>
        <w:tc>
          <w:tcPr>
            <w:tcW w:w="408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w w:val="87"/>
              </w:rPr>
              <w:t>Changes in unrealized gains on cash flow hedges, net of income</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4,022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w w:val="90"/>
              </w:rPr>
              <w:t>(1,130)</w:t>
            </w:r>
          </w:p>
        </w:tc>
        <w:tc>
          <w:tcPr>
            <w:tcW w:w="6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taxes</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w w:val="90"/>
              </w:rPr>
              <w:t>(1,130)</w:t>
            </w:r>
          </w:p>
        </w:tc>
        <w:tc>
          <w:tcPr>
            <w:tcW w:w="6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5,685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w w:val="98"/>
              </w:rPr>
              <w:t>32,683</w:t>
            </w:r>
          </w:p>
        </w:tc>
        <w:tc>
          <w:tcPr>
            <w:tcW w:w="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574.9 %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increase in net income was primarily attributed to contribution margin from additional revenue related to organic growth and realization of Merger-related integration savings that resulted in total operating expenses decreasing as a percentage of revenue.</w:t>
      </w:r>
    </w:p>
    <w:p>
      <w:pPr>
        <w:spacing w:after="0" w:line="120"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decrease in changes in unrealized gains on cash flow hedges, net of income taxes, primarily related to the $925.0 million notional swap as the swap expired in August 2021.</w:t>
      </w:r>
    </w:p>
    <w:p>
      <w:pPr>
        <w:spacing w:after="0" w:line="133" w:lineRule="exact"/>
        <w:rPr>
          <w:sz w:val="20"/>
          <w:szCs w:val="20"/>
          <w:color w:val="auto"/>
        </w:rPr>
      </w:pPr>
    </w:p>
    <w:p>
      <w:pPr>
        <w:ind w:right="60" w:firstLine="310"/>
        <w:spacing w:after="0" w:line="283" w:lineRule="auto"/>
        <w:rPr>
          <w:sz w:val="20"/>
          <w:szCs w:val="20"/>
          <w:color w:val="auto"/>
        </w:rPr>
      </w:pPr>
      <w:r>
        <w:rPr>
          <w:rFonts w:ascii="Arial" w:cs="Arial" w:eastAsia="Arial" w:hAnsi="Arial"/>
          <w:sz w:val="17"/>
          <w:szCs w:val="17"/>
          <w:color w:val="auto"/>
        </w:rPr>
        <w:t>Net comprehensive income increased to $38.4 million for the three months ended September 30, 2021, compared to net comprehensive income of $5.7 million for the three months ended September 30, 2020, primarily as a result of the changes in net income, discussed above.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September 30, 2021 Compared to Nine Months Ended September 30, 2020</w:t>
      </w:r>
    </w:p>
    <w:p>
      <w:pPr>
        <w:spacing w:after="0" w:line="198" w:lineRule="exact"/>
        <w:rPr>
          <w:sz w:val="20"/>
          <w:szCs w:val="20"/>
          <w:color w:val="auto"/>
        </w:rPr>
      </w:pPr>
    </w:p>
    <w:p>
      <w:pPr>
        <w:ind w:right="600" w:firstLine="310"/>
        <w:spacing w:after="0" w:line="283" w:lineRule="auto"/>
        <w:rPr>
          <w:sz w:val="20"/>
          <w:szCs w:val="20"/>
          <w:color w:val="auto"/>
        </w:rPr>
      </w:pPr>
      <w:r>
        <w:rPr>
          <w:rFonts w:ascii="Arial" w:cs="Arial" w:eastAsia="Arial" w:hAnsi="Arial"/>
          <w:sz w:val="17"/>
          <w:szCs w:val="17"/>
          <w:color w:val="auto"/>
        </w:rPr>
        <w:t>The following tables present selected consolidated comparative results of operations from the Company’s unaudited condensed consolidated financial statements for the nine month periods ended September 30, 2021 and September 30, 2020.</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Gross Profit</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5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5"/>
          </w:tcPr>
          <w:p>
            <w:pPr>
              <w:jc w:val="center"/>
              <w:ind w:right="860"/>
              <w:spacing w:after="0"/>
              <w:rPr>
                <w:sz w:val="20"/>
                <w:szCs w:val="20"/>
                <w:color w:val="auto"/>
              </w:rPr>
            </w:pPr>
            <w:r>
              <w:rPr>
                <w:rFonts w:ascii="Arial" w:cs="Arial" w:eastAsia="Arial" w:hAnsi="Arial"/>
                <w:sz w:val="16"/>
                <w:szCs w:val="16"/>
                <w:b w:val="1"/>
                <w:bCs w:val="1"/>
                <w:color w:val="auto"/>
                <w:w w:val="88"/>
              </w:rPr>
              <w:t>Nine Months Ended September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46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(unaudited)</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6"/>
          </w:tcPr>
          <w:p>
            <w:pPr>
              <w:jc w:val="center"/>
              <w:ind w:right="70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2,511,446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2,227,897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283,549</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04"/>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1,944,037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1,729,395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214,642</w:t>
            </w:r>
          </w:p>
        </w:tc>
        <w:tc>
          <w:tcPr>
            <w:tcW w:w="7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2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567,409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498,502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68,907</w:t>
            </w:r>
          </w:p>
        </w:tc>
        <w:tc>
          <w:tcPr>
            <w:tcW w:w="7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3" w:lineRule="exact"/>
              <w:rPr>
                <w:sz w:val="20"/>
                <w:szCs w:val="20"/>
                <w:color w:val="auto"/>
              </w:rPr>
            </w:pPr>
            <w:r>
              <w:rPr>
                <w:rFonts w:ascii="Arial" w:cs="Arial" w:eastAsia="Arial" w:hAnsi="Arial"/>
                <w:sz w:val="16"/>
                <w:szCs w:val="16"/>
                <w:color w:val="auto"/>
              </w:rPr>
              <w:t>22.6 %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line="173" w:lineRule="exact"/>
              <w:rPr>
                <w:sz w:val="20"/>
                <w:szCs w:val="20"/>
                <w:color w:val="auto"/>
              </w:rPr>
            </w:pPr>
            <w:r>
              <w:rPr>
                <w:rFonts w:ascii="Arial" w:cs="Arial" w:eastAsia="Arial" w:hAnsi="Arial"/>
                <w:sz w:val="16"/>
                <w:szCs w:val="16"/>
                <w:color w:val="auto"/>
              </w:rPr>
              <w:t>22.4 %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310"/>
        <w:spacing w:after="0" w:line="268" w:lineRule="auto"/>
        <w:rPr>
          <w:sz w:val="20"/>
          <w:szCs w:val="20"/>
          <w:color w:val="auto"/>
        </w:rPr>
      </w:pPr>
      <w:r>
        <w:rPr>
          <w:rFonts w:ascii="Arial" w:cs="Arial" w:eastAsia="Arial" w:hAnsi="Arial"/>
          <w:sz w:val="17"/>
          <w:szCs w:val="17"/>
          <w:color w:val="auto"/>
        </w:rPr>
        <w:t>The increase in net revenue was primarily driven by organic growth in the Company’s portfolio of therapies. The increase in cost of revenue was driven by the growth in revenue. The increase in gross profit was primarily related to contribution margin from the increase in net revenue. The slight increase in gross profit margin was driven by mix shift toward higher profit therapies.</w:t>
      </w:r>
    </w:p>
    <w:p>
      <w:pPr>
        <w:sectPr>
          <w:pgSz w:w="11900" w:h="16838" w:orient="portrait"/>
          <w:cols w:equalWidth="0" w:num="1">
            <w:col w:w="11240"/>
          </w:cols>
          <w:pgMar w:left="320" w:top="121" w:right="339" w:bottom="1440" w:gutter="0" w:footer="0" w:header="0"/>
        </w:sectPr>
      </w:pP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Selling, general and administrative expenses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Depreciation and amortization expense</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Nine Months Ended 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7"/>
        </w:trPr>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(unaudited)</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800" w:type="dxa"/>
            <w:vAlign w:val="bottom"/>
            <w:tcBorders>
              <w:bottom w:val="single" w:sz="8" w:color="auto"/>
            </w:tcBorders>
          </w:tcPr>
          <w:p>
            <w:pPr>
              <w:spacing w:after="0"/>
              <w:rPr>
                <w:sz w:val="18"/>
                <w:szCs w:val="18"/>
                <w:color w:val="auto"/>
              </w:rPr>
            </w:pPr>
          </w:p>
        </w:tc>
      </w:tr>
      <w:tr>
        <w:trPr>
          <w:trHeight w:val="236"/>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5"/>
          </w:tcPr>
          <w:p>
            <w:pPr>
              <w:spacing w:after="0"/>
              <w:rPr>
                <w:sz w:val="20"/>
                <w:szCs w:val="20"/>
                <w:color w:val="auto"/>
              </w:rPr>
            </w:pPr>
            <w:r>
              <w:rPr>
                <w:rFonts w:ascii="Arial" w:cs="Arial" w:eastAsia="Arial" w:hAnsi="Arial"/>
                <w:sz w:val="16"/>
                <w:szCs w:val="16"/>
                <w:b w:val="1"/>
                <w:bCs w:val="1"/>
                <w:color w:val="auto"/>
              </w:rPr>
              <w:t>(in thousands, except for percentages)</w:t>
            </w:r>
          </w:p>
        </w:tc>
        <w:tc>
          <w:tcPr>
            <w:tcW w:w="800" w:type="dxa"/>
            <w:vAlign w:val="bottom"/>
          </w:tcPr>
          <w:p>
            <w:pPr>
              <w:spacing w:after="0"/>
              <w:rPr>
                <w:sz w:val="20"/>
                <w:szCs w:val="20"/>
                <w:color w:val="auto"/>
              </w:rPr>
            </w:pPr>
          </w:p>
        </w:tc>
      </w:tr>
      <w:tr>
        <w:trPr>
          <w:trHeight w:val="20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388,930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377,198</w:t>
            </w:r>
          </w:p>
        </w:tc>
        <w:tc>
          <w:tcPr>
            <w:tcW w:w="8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11,732</w:t>
            </w: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0"/>
        </w:trPr>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48,410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54,892</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(6,482)</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0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437,340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432,090</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5,250</w:t>
            </w: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-434340</wp:posOffset>
            </wp:positionV>
            <wp:extent cx="7064375" cy="131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4375" cy="1314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-171450</wp:posOffset>
            </wp:positionV>
            <wp:extent cx="7064375" cy="155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4375" cy="155575"/>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5040" w:space="720"/>
            <w:col w:w="5480"/>
          </w:cols>
          <w:pgMar w:left="320" w:top="121" w:right="339" w:bottom="1440" w:gutter="0" w:footer="0" w:header="0"/>
          <w:type w:val="continuous"/>
        </w:sectPr>
      </w:pPr>
    </w:p>
    <w:p>
      <w:pPr>
        <w:jc w:val="both"/>
        <w:ind w:firstLine="310"/>
        <w:spacing w:after="0" w:line="268" w:lineRule="auto"/>
        <w:rPr>
          <w:sz w:val="20"/>
          <w:szCs w:val="20"/>
          <w:color w:val="auto"/>
        </w:rPr>
      </w:pPr>
      <w:r>
        <w:rPr>
          <w:rFonts w:ascii="Arial" w:cs="Arial" w:eastAsia="Arial" w:hAnsi="Arial"/>
          <w:sz w:val="17"/>
          <w:szCs w:val="17"/>
          <w:color w:val="auto"/>
        </w:rPr>
        <w:t>Selling, general and administrative expenses increased for the nine months ended September 30, 2021 primarily due to salaries and benefits, but has decreased as a percentage of revenue to 15.5% for the nine months ended September 30, 2021 as compared to 16.9% for the nine months ended September 30, 2020 due to Merger synergy realization.</w:t>
      </w:r>
    </w:p>
    <w:p>
      <w:pPr>
        <w:spacing w:after="0" w:line="133" w:lineRule="exact"/>
        <w:rPr>
          <w:sz w:val="20"/>
          <w:szCs w:val="20"/>
          <w:color w:val="auto"/>
        </w:rPr>
      </w:pPr>
    </w:p>
    <w:p>
      <w:pPr>
        <w:ind w:right="460" w:firstLine="310"/>
        <w:spacing w:after="0" w:line="283" w:lineRule="auto"/>
        <w:rPr>
          <w:sz w:val="20"/>
          <w:szCs w:val="20"/>
          <w:color w:val="auto"/>
        </w:rPr>
      </w:pPr>
      <w:r>
        <w:rPr>
          <w:rFonts w:ascii="Arial" w:cs="Arial" w:eastAsia="Arial" w:hAnsi="Arial"/>
          <w:sz w:val="17"/>
          <w:szCs w:val="17"/>
          <w:color w:val="auto"/>
        </w:rPr>
        <w:t>The decrease in depreciation and amortization was primarily related to a reduction in capital expenditures corresponding with the completion of Merger integration activities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6"/>
                <w:szCs w:val="16"/>
                <w:b w:val="1"/>
                <w:bCs w:val="1"/>
                <w:color w:val="auto"/>
                <w:w w:val="87"/>
              </w:rPr>
              <w:t>Nine Months Ended September 30,</w:t>
            </w:r>
          </w:p>
        </w:tc>
        <w:tc>
          <w:tcPr>
            <w:tcW w:w="820" w:type="dxa"/>
            <w:vAlign w:val="bottom"/>
            <w:tcBorders>
              <w:bottom w:val="single" w:sz="8" w:color="auto"/>
            </w:tcBorders>
          </w:tcPr>
          <w:p>
            <w:pPr>
              <w:spacing w:after="0"/>
              <w:rPr>
                <w:sz w:val="17"/>
                <w:szCs w:val="17"/>
                <w:color w:val="auto"/>
              </w:rPr>
            </w:pPr>
          </w:p>
        </w:tc>
      </w:tr>
      <w:tr>
        <w:trPr>
          <w:trHeight w:val="198"/>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(unaudited)</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r>
      <w:tr>
        <w:trPr>
          <w:trHeight w:val="238"/>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820" w:type="dxa"/>
            <w:vAlign w:val="bottom"/>
          </w:tcPr>
          <w:p>
            <w:pPr>
              <w:spacing w:after="0"/>
              <w:rPr>
                <w:sz w:val="20"/>
                <w:szCs w:val="20"/>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(84,102)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31,385</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04"/>
        </w:trPr>
        <w:tc>
          <w:tcPr>
            <w:tcW w:w="570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2,364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2,203</w:t>
            </w:r>
          </w:p>
        </w:tc>
        <w:tc>
          <w:tcPr>
            <w:tcW w:w="6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93.2 %</w:t>
            </w:r>
          </w:p>
        </w:tc>
      </w:tr>
      <w:tr>
        <w:trPr>
          <w:trHeight w:val="20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(8,322)</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48.9 %</w:t>
            </w:r>
          </w:p>
        </w:tc>
      </w:tr>
      <w:tr>
        <w:trPr>
          <w:trHeight w:val="202"/>
        </w:trPr>
        <w:tc>
          <w:tcPr>
            <w:tcW w:w="5700" w:type="dxa"/>
            <w:vAlign w:val="bottom"/>
          </w:tcPr>
          <w:p>
            <w:pPr>
              <w:ind w:left="24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(60,542)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(90,060)</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29,518</w:t>
            </w:r>
          </w:p>
        </w:tc>
        <w:tc>
          <w:tcPr>
            <w:tcW w:w="6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56" w:lineRule="exact"/>
        <w:rPr>
          <w:sz w:val="20"/>
          <w:szCs w:val="20"/>
          <w:color w:val="auto"/>
        </w:rPr>
      </w:pPr>
    </w:p>
    <w:p>
      <w:pPr>
        <w:ind w:right="400" w:firstLine="310"/>
        <w:spacing w:after="0" w:line="268" w:lineRule="auto"/>
        <w:rPr>
          <w:sz w:val="20"/>
          <w:szCs w:val="20"/>
          <w:color w:val="auto"/>
        </w:rPr>
      </w:pPr>
      <w:r>
        <w:rPr>
          <w:rFonts w:ascii="Arial" w:cs="Arial" w:eastAsia="Arial" w:hAnsi="Arial"/>
          <w:sz w:val="17"/>
          <w:szCs w:val="17"/>
          <w:color w:val="auto"/>
        </w:rPr>
        <w:t xml:space="preserve">The decrease in interest expense was primarily attributable to the debt refinancing of the first lien term loan and prepayment of the second lien notes in January 2021, as well as the reduction in the outstanding debt balance due to retirement of debt obligations which were completed during 2020.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of the unaudited condensed consolidated financial statements.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increase in equity in earnings of joint ventures was primarily attributable to organic growth in both the acute and chronic portfolio of therapies.</w:t>
      </w:r>
    </w:p>
    <w:p>
      <w:pPr>
        <w:spacing w:after="0" w:line="204"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increase in other, net relates to the loss on extinguishment of debt of $12.4 million incurred in the first quarter of 2021 in conjunction with the refinancing of the first lien term loan and prepayment of all outstanding principal of the second lien notes.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Income Tax Expense</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center"/>
              <w:ind w:right="562"/>
              <w:spacing w:after="0"/>
              <w:rPr>
                <w:sz w:val="20"/>
                <w:szCs w:val="20"/>
                <w:color w:val="auto"/>
              </w:rPr>
            </w:pPr>
            <w:r>
              <w:rPr>
                <w:rFonts w:ascii="Arial" w:cs="Arial" w:eastAsia="Arial" w:hAnsi="Arial"/>
                <w:sz w:val="16"/>
                <w:szCs w:val="16"/>
                <w:b w:val="1"/>
                <w:bCs w:val="1"/>
                <w:color w:val="auto"/>
                <w:w w:val="87"/>
              </w:rPr>
              <w:t>Nine Months Ended September 30,</w:t>
            </w:r>
          </w:p>
        </w:tc>
        <w:tc>
          <w:tcPr>
            <w:tcW w:w="820" w:type="dxa"/>
            <w:vAlign w:val="bottom"/>
            <w:tcBorders>
              <w:bottom w:val="single" w:sz="8" w:color="auto"/>
            </w:tcBorders>
          </w:tcPr>
          <w:p>
            <w:pPr>
              <w:spacing w:after="0"/>
              <w:rPr>
                <w:sz w:val="17"/>
                <w:szCs w:val="17"/>
                <w:color w:val="auto"/>
              </w:rPr>
            </w:pPr>
          </w:p>
        </w:tc>
      </w:tr>
      <w:tr>
        <w:trPr>
          <w:trHeight w:val="198"/>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9"/>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(unaudited)</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r>
      <w:tr>
        <w:trPr>
          <w:trHeight w:val="238"/>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4"/>
          </w:tcPr>
          <w:p>
            <w:pPr>
              <w:jc w:val="center"/>
              <w:ind w:right="562"/>
              <w:spacing w:after="0"/>
              <w:rPr>
                <w:sz w:val="20"/>
                <w:szCs w:val="20"/>
                <w:color w:val="auto"/>
              </w:rPr>
            </w:pPr>
            <w:r>
              <w:rPr>
                <w:rFonts w:ascii="Arial" w:cs="Arial" w:eastAsia="Arial" w:hAnsi="Arial"/>
                <w:sz w:val="16"/>
                <w:szCs w:val="16"/>
                <w:b w:val="1"/>
                <w:bCs w:val="1"/>
                <w:color w:val="auto"/>
                <w:w w:val="84"/>
              </w:rPr>
              <w:t>(in thousands, except for percentages)</w:t>
            </w:r>
          </w:p>
        </w:tc>
        <w:tc>
          <w:tcPr>
            <w:tcW w:w="820" w:type="dxa"/>
            <w:vAlign w:val="bottom"/>
          </w:tcPr>
          <w:p>
            <w:pPr>
              <w:spacing w:after="0"/>
              <w:rPr>
                <w:sz w:val="20"/>
                <w:szCs w:val="20"/>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2,267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rPr>
              <w:t>2,829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124.8 %</w:t>
            </w:r>
          </w:p>
        </w:tc>
      </w:tr>
    </w:tbl>
    <w:p>
      <w:pPr>
        <w:spacing w:after="0" w:line="200" w:lineRule="exact"/>
        <w:rPr>
          <w:sz w:val="20"/>
          <w:szCs w:val="20"/>
          <w:color w:val="auto"/>
        </w:rPr>
      </w:pPr>
    </w:p>
    <w:p>
      <w:pPr>
        <w:spacing w:after="0" w:line="266" w:lineRule="exact"/>
        <w:rPr>
          <w:sz w:val="20"/>
          <w:szCs w:val="20"/>
          <w:color w:val="auto"/>
        </w:rPr>
      </w:pPr>
    </w:p>
    <w:p>
      <w:pPr>
        <w:ind w:right="20" w:firstLine="310"/>
        <w:spacing w:after="0" w:line="242" w:lineRule="auto"/>
        <w:rPr>
          <w:sz w:val="20"/>
          <w:szCs w:val="20"/>
          <w:color w:val="auto"/>
        </w:rPr>
      </w:pPr>
      <w:r>
        <w:rPr>
          <w:rFonts w:ascii="Arial" w:cs="Arial" w:eastAsia="Arial" w:hAnsi="Arial"/>
          <w:sz w:val="16"/>
          <w:szCs w:val="16"/>
          <w:color w:val="auto"/>
        </w:rPr>
        <w:t>The Company maintains a full valuation allowance, established at the time of Merger, against all of its net U.S. federal and state deferred tax assets with the exception of approximately $0.3 million of estimated state net operating losses (“NOL”). Because of the Company’s full valuation allowance, the Company’s tax expense for the nine months ended September 30, 2021 only consists of quarterly tax liabilities attributable to separate company state taxing authorities as well as recognized deferred tax expense. These tax expense items created an effective tax rate of 7.3% during the nine months ended September 30, 2021. During the nine months ended September 30, 2020, the effective tax rate was negative 9.6%. The variance in the year-over-year effective tax rates is primarily attributable to changes in the valuation allowance combined with year-over-year variances in income (loss) before income taxes for the Company. The effective tax rates of both periods differ from the Company’s 21% federal statutory rate primarily due to changes in valuation allowance, certain state and local taxes, non-deductible costs and resolution of certain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Net Income (Loss) and Other Comprehensive Income (Loss)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b w:val="1"/>
                <w:bCs w:val="1"/>
                <w:color w:val="auto"/>
                <w:w w:val="87"/>
              </w:rPr>
              <w:t>Nine Months Ended September 30,</w:t>
            </w:r>
          </w:p>
        </w:tc>
        <w:tc>
          <w:tcPr>
            <w:tcW w:w="860" w:type="dxa"/>
            <w:vAlign w:val="bottom"/>
            <w:tcBorders>
              <w:bottom w:val="single" w:sz="8" w:color="auto"/>
            </w:tcBorders>
          </w:tcPr>
          <w:p>
            <w:pPr>
              <w:spacing w:after="0"/>
              <w:rPr>
                <w:sz w:val="17"/>
                <w:szCs w:val="17"/>
                <w:color w:val="auto"/>
              </w:rPr>
            </w:pPr>
          </w:p>
        </w:tc>
      </w:tr>
      <w:tr>
        <w:trPr>
          <w:trHeight w:val="198"/>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8"/>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(unaudited)</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r>
      <w:tr>
        <w:trPr>
          <w:trHeight w:val="238"/>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860" w:type="dxa"/>
            <w:vAlign w:val="bottom"/>
          </w:tcPr>
          <w:p>
            <w:pPr>
              <w:spacing w:after="0"/>
              <w:rPr>
                <w:sz w:val="20"/>
                <w:szCs w:val="20"/>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90,346</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r>
      <w:tr>
        <w:trPr>
          <w:trHeight w:val="204"/>
        </w:trPr>
        <w:tc>
          <w:tcPr>
            <w:tcW w:w="570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57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Changes in unrealized gains (losses) on cash flow hedges, net of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11,172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19,206</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r>
      <w:tr>
        <w:trPr>
          <w:trHeight w:val="197"/>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11,172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19,206</w:t>
            </w:r>
          </w:p>
        </w:tc>
        <w:tc>
          <w:tcPr>
            <w:tcW w:w="6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(239.1)%</w:t>
            </w:r>
          </w:p>
        </w:tc>
      </w:tr>
      <w:tr>
        <w:trPr>
          <w:trHeight w:val="22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75,603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(33,949)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109,552</w:t>
            </w:r>
          </w:p>
        </w:tc>
        <w:tc>
          <w:tcPr>
            <w:tcW w:w="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156" w:lineRule="exact"/>
        <w:rPr>
          <w:sz w:val="20"/>
          <w:szCs w:val="20"/>
          <w:color w:val="auto"/>
        </w:rPr>
      </w:pPr>
    </w:p>
    <w:p>
      <w:pPr>
        <w:ind w:right="420" w:firstLine="310"/>
        <w:spacing w:after="0" w:line="283" w:lineRule="auto"/>
        <w:rPr>
          <w:sz w:val="20"/>
          <w:szCs w:val="20"/>
          <w:color w:val="auto"/>
        </w:rPr>
      </w:pPr>
      <w:r>
        <w:rPr>
          <w:rFonts w:ascii="Arial" w:cs="Arial" w:eastAsia="Arial" w:hAnsi="Arial"/>
          <w:sz w:val="17"/>
          <w:szCs w:val="17"/>
          <w:color w:val="auto"/>
        </w:rPr>
        <w:t>The change in net income (loss) was primarily attributed to contribution margin from additional revenue related to organic growth and realizing Merger-related integration savings that resulted in total operating expenses decreasing as a percentage of revenue.</w:t>
      </w:r>
    </w:p>
    <w:p>
      <w:pPr>
        <w:spacing w:after="0" w:line="120" w:lineRule="exact"/>
        <w:rPr>
          <w:sz w:val="20"/>
          <w:szCs w:val="20"/>
          <w:color w:val="auto"/>
        </w:rPr>
      </w:pPr>
    </w:p>
    <w:p>
      <w:pPr>
        <w:ind w:right="60" w:firstLine="310"/>
        <w:spacing w:after="0" w:line="263" w:lineRule="auto"/>
        <w:rPr>
          <w:sz w:val="20"/>
          <w:szCs w:val="20"/>
          <w:color w:val="auto"/>
        </w:rPr>
      </w:pPr>
      <w:r>
        <w:rPr>
          <w:rFonts w:ascii="Arial" w:cs="Arial" w:eastAsia="Arial" w:hAnsi="Arial"/>
          <w:sz w:val="17"/>
          <w:szCs w:val="17"/>
          <w:color w:val="auto"/>
        </w:rPr>
        <w:t>The change in unrealized gains (losses) on cash flow hedges, net of income taxes, primarily related to the increase in fair value on the $925.0 million notional swap as the swap expired in August 2021. The change in unrealized loss for the nine months ended September 30, 2020 related to the decrease in the variable interest rates during 2020, partially offset by the $3.7 million reclassification from accumulated other comprehensive income to interest expense upon discontinuing hedge accounting on the $400.0 million notional interest rate swap.</w:t>
      </w:r>
    </w:p>
    <w:p>
      <w:pPr>
        <w:spacing w:after="0" w:line="151" w:lineRule="exact"/>
        <w:rPr>
          <w:sz w:val="20"/>
          <w:szCs w:val="20"/>
          <w:color w:val="auto"/>
        </w:rPr>
      </w:pPr>
    </w:p>
    <w:p>
      <w:pPr>
        <w:ind w:right="120" w:firstLine="310"/>
        <w:spacing w:after="0" w:line="283" w:lineRule="auto"/>
        <w:rPr>
          <w:sz w:val="20"/>
          <w:szCs w:val="20"/>
          <w:color w:val="auto"/>
        </w:rPr>
      </w:pPr>
      <w:r>
        <w:rPr>
          <w:rFonts w:ascii="Arial" w:cs="Arial" w:eastAsia="Arial" w:hAnsi="Arial"/>
          <w:sz w:val="17"/>
          <w:szCs w:val="17"/>
          <w:color w:val="auto"/>
        </w:rPr>
        <w:t>The change in net comprehensive income (loss) was the result of the change in net income (loss), described above, further increased by the impact of the fair value of the interest rate swaps.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85" w:lineRule="exact"/>
        <w:rPr>
          <w:sz w:val="20"/>
          <w:szCs w:val="20"/>
          <w:color w:val="auto"/>
        </w:rPr>
      </w:pPr>
    </w:p>
    <w:p>
      <w:pPr>
        <w:ind w:firstLine="310"/>
        <w:spacing w:after="0" w:line="261" w:lineRule="auto"/>
        <w:rPr>
          <w:sz w:val="20"/>
          <w:szCs w:val="20"/>
          <w:color w:val="auto"/>
        </w:rPr>
      </w:pPr>
      <w:r>
        <w:rPr>
          <w:rFonts w:ascii="Arial" w:cs="Arial" w:eastAsia="Arial" w:hAnsi="Arial"/>
          <w:sz w:val="17"/>
          <w:szCs w:val="17"/>
          <w:color w:val="auto"/>
        </w:rPr>
        <w:t>For the nine months ended September 30, 2021 and the twelve months ended December 31, 2020, the Company’s primary sources of liquidity were cash on hand of $200.9 million and $99.3 million, respectively, as well as the $165.4 million of borrowings available under its credit facilities (net of $9.6 million undrawn letters of credit issued and outstanding). During the nine months ended September 30, 2021 and the year ended December 31, 2020, the Company’s positive cash flows from operations enabled investments in pharmacy and information technology infrastructure to support growth and create additional capacity in the future, as well as pursue acquisitions.</w:t>
      </w:r>
    </w:p>
    <w:p>
      <w:pPr>
        <w:spacing w:after="0" w:line="152" w:lineRule="exact"/>
        <w:rPr>
          <w:sz w:val="20"/>
          <w:szCs w:val="20"/>
          <w:color w:val="auto"/>
        </w:rPr>
      </w:pPr>
    </w:p>
    <w:p>
      <w:pPr>
        <w:ind w:right="40" w:firstLine="310"/>
        <w:spacing w:after="0" w:line="281" w:lineRule="auto"/>
        <w:rPr>
          <w:sz w:val="20"/>
          <w:szCs w:val="20"/>
          <w:color w:val="auto"/>
        </w:rPr>
      </w:pPr>
      <w:r>
        <w:rPr>
          <w:rFonts w:ascii="Arial" w:cs="Arial" w:eastAsia="Arial" w:hAnsi="Arial"/>
          <w:sz w:val="16"/>
          <w:szCs w:val="16"/>
          <w:color w:val="auto"/>
        </w:rPr>
        <w:t>The Company’s primary uses of cash include supporting our ongoing business activities and investing in various acquisitions and our infrastructure to support additional business volumes. Ongoing operating cash outflows are primarily associated with procuring and dispensing prescription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w:t>
      </w:r>
    </w:p>
    <w:p>
      <w:pPr>
        <w:spacing w:after="0" w:line="125" w:lineRule="exact"/>
        <w:rPr>
          <w:sz w:val="20"/>
          <w:szCs w:val="20"/>
          <w:color w:val="auto"/>
        </w:rPr>
      </w:pPr>
    </w:p>
    <w:p>
      <w:pPr>
        <w:ind w:right="140" w:firstLine="310"/>
        <w:spacing w:after="0" w:line="261" w:lineRule="auto"/>
        <w:rPr>
          <w:sz w:val="20"/>
          <w:szCs w:val="20"/>
          <w:color w:val="auto"/>
        </w:rPr>
      </w:pPr>
      <w:r>
        <w:rPr>
          <w:rFonts w:ascii="Arial" w:cs="Arial" w:eastAsia="Arial" w:hAnsi="Arial"/>
          <w:sz w:val="17"/>
          <w:szCs w:val="17"/>
          <w:color w:val="auto"/>
        </w:rPr>
        <w:t>Our business strategy includes the selective acquisition of additional infusion pharmacies and other related healthcare businesses.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and Long-Term Liquidity Requirements</w:t>
      </w:r>
    </w:p>
    <w:p>
      <w:pPr>
        <w:spacing w:after="0" w:line="192" w:lineRule="exact"/>
        <w:rPr>
          <w:sz w:val="20"/>
          <w:szCs w:val="20"/>
          <w:color w:val="auto"/>
        </w:rPr>
      </w:pPr>
    </w:p>
    <w:p>
      <w:pPr>
        <w:ind w:right="20" w:firstLine="310"/>
        <w:spacing w:after="0" w:line="281"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179" w:lineRule="exact"/>
        <w:rPr>
          <w:sz w:val="20"/>
          <w:szCs w:val="20"/>
          <w:color w:val="auto"/>
        </w:rPr>
      </w:pPr>
    </w:p>
    <w:p>
      <w:pPr>
        <w:ind w:firstLine="310"/>
        <w:spacing w:after="0" w:line="277" w:lineRule="auto"/>
        <w:rPr>
          <w:sz w:val="20"/>
          <w:szCs w:val="20"/>
          <w:color w:val="auto"/>
        </w:rPr>
      </w:pPr>
      <w:r>
        <w:rPr>
          <w:rFonts w:ascii="Arial" w:cs="Arial" w:eastAsia="Arial" w:hAnsi="Arial"/>
          <w:sz w:val="16"/>
          <w:szCs w:val="16"/>
          <w:color w:val="auto"/>
        </w:rPr>
        <w:t>The Company’s ABL revolving credit facility provides for borrowings up to $175.0 million, which matures on August 6, 2024. The ABL facility bears interest at a per annum rate that is determined by the Company’s periodic selection of rate type, either the Base Rate or the Eurocurrency Rate. The Base Rate is charged between 1.25% and 1.75% and the Eurocurrency Rate is charged between 2.25% and 2.75% based on the historical excess availability as a percentage of the Line Cap, as defined in the ABL facility credit agreement. The revolving credit facility contains commitment fees payable on the unused portion of the ABL facility ranging from 0.25% to 0.375%, depending on various factors including the Company’s leverage ratio, type of loan and rate type, and letter of credit fees of 2.5%. The Company had no outstanding borrowings under the ABL facility at September 30, 2021. The Company had $9.6 million of undrawn letters of credit issued and outstanding, resulting in net borrowing availability under the ABL facility of $165.4 million as of September 30, 2021.</w:t>
      </w:r>
    </w:p>
    <w:p>
      <w:pPr>
        <w:spacing w:after="0" w:line="129" w:lineRule="exact"/>
        <w:rPr>
          <w:sz w:val="20"/>
          <w:szCs w:val="20"/>
          <w:color w:val="auto"/>
        </w:rPr>
      </w:pPr>
    </w:p>
    <w:p>
      <w:pPr>
        <w:ind w:right="140" w:firstLine="310"/>
        <w:spacing w:after="0" w:line="261" w:lineRule="auto"/>
        <w:rPr>
          <w:sz w:val="20"/>
          <w:szCs w:val="20"/>
          <w:color w:val="auto"/>
        </w:rPr>
      </w:pPr>
      <w:r>
        <w:rPr>
          <w:rFonts w:ascii="Arial" w:cs="Arial" w:eastAsia="Arial" w:hAnsi="Arial"/>
          <w:sz w:val="17"/>
          <w:szCs w:val="17"/>
          <w:color w:val="auto"/>
        </w:rPr>
        <w:t>The principal balance of the first lien term loan was initially repayable in quarterly installments of $2.3 million plus interest, with a final payment of all remaining outstanding principal due on August 6, 2026. The quarterly principal payments commenced in March of 2020. Interest on the first lien term loan was initially payable monthly on Base Rate loans at Base Rate, as defined, plus 3.25% to 3.50%, depending on the Company’s leverage ratio. Interest was initially charged on Eurocurrency Rate loans at the Eurocurrency Rate, as defined, plus 4.25% to 4.50%, depending on the Company’s leverage ratio. The interest rate on the first lien term loan was 3.83% as of September 30, 2021.</w:t>
      </w:r>
    </w:p>
    <w:p>
      <w:pPr>
        <w:spacing w:after="0" w:line="152" w:lineRule="exact"/>
        <w:rPr>
          <w:sz w:val="20"/>
          <w:szCs w:val="20"/>
          <w:color w:val="auto"/>
        </w:rPr>
      </w:pPr>
    </w:p>
    <w:p>
      <w:pPr>
        <w:ind w:right="20" w:firstLine="310"/>
        <w:spacing w:after="0" w:line="259" w:lineRule="auto"/>
        <w:rPr>
          <w:sz w:val="20"/>
          <w:szCs w:val="20"/>
          <w:color w:val="auto"/>
        </w:rPr>
      </w:pPr>
      <w:r>
        <w:rPr>
          <w:rFonts w:ascii="Arial" w:cs="Arial" w:eastAsia="Arial" w:hAnsi="Arial"/>
          <w:sz w:val="17"/>
          <w:szCs w:val="17"/>
          <w:color w:val="auto"/>
        </w:rPr>
        <w:t>The second lien notes initially matured on August 6, 2027. Interest on the second lien notes was initially payable quarterly at London Interbank Offered Rate (“LIBOR”), plus 8.75%. The Company paid the second and third quarterly interest payments, due in February 2020 and May 2020. The Company elected to pay-in-kind the quarterly interest payment due in August 2020, which resulted in the Company capitalizing the interest payment to the principal balance on the interest payment date. In August 2020, the Company prepaid $125.0 million of the outstanding principal balance. In December 2020, the Company utilized available cash on hand to prepay an additional $49.0 million of the outstanding principal balance, reducing the outstanding principal balance to $245.8 million as of December 31, 2020.</w:t>
      </w:r>
    </w:p>
    <w:p>
      <w:pPr>
        <w:spacing w:after="0" w:line="143" w:lineRule="exact"/>
        <w:rPr>
          <w:sz w:val="20"/>
          <w:szCs w:val="20"/>
          <w:color w:val="auto"/>
        </w:rPr>
      </w:pPr>
    </w:p>
    <w:p>
      <w:pPr>
        <w:ind w:firstLine="310"/>
        <w:spacing w:after="0" w:line="277" w:lineRule="auto"/>
        <w:rPr>
          <w:sz w:val="20"/>
          <w:szCs w:val="20"/>
          <w:color w:val="auto"/>
        </w:rPr>
      </w:pPr>
      <w:r>
        <w:rPr>
          <w:rFonts w:ascii="Arial" w:cs="Arial" w:eastAsia="Arial" w:hAnsi="Arial"/>
          <w:sz w:val="16"/>
          <w:szCs w:val="16"/>
          <w:color w:val="auto"/>
        </w:rPr>
        <w:t xml:space="preserve">During the three months ended March 31, 2021, the Company entered into an amendment on the first lien term loan (the “First Lien Credit Agreement Amendment”). The First Lien Credit Agreement Amendment resulted in an additional $250.0 million of incremental first lien term loan indebtedness being issued and reduced the interest rate on all outstanding first lien term loan indebtedness from LIBOR plus 4.25% to LIBOR plus 3.75%. The proceeds of the $250.0 million incremental first lien term loan indebtedness were used to prepay the remaining $245.8 million outstanding balance of the second lien notes. Following the First Lien Credit Agreement Amendment, the first lien term loan is repayable in quarterly installments of $2.9 million plus interest, with a final payment of all outstanding principal due on August 6, 2026. See Note 10, </w:t>
      </w:r>
      <w:r>
        <w:rPr>
          <w:rFonts w:ascii="Arial" w:cs="Arial" w:eastAsia="Arial" w:hAnsi="Arial"/>
          <w:sz w:val="16"/>
          <w:szCs w:val="16"/>
          <w:i w:val="1"/>
          <w:iCs w:val="1"/>
          <w:color w:val="auto"/>
        </w:rPr>
        <w:t>Indebtedness</w:t>
      </w:r>
      <w:r>
        <w:rPr>
          <w:rFonts w:ascii="Arial" w:cs="Arial" w:eastAsia="Arial" w:hAnsi="Arial"/>
          <w:sz w:val="16"/>
          <w:szCs w:val="16"/>
          <w:color w:val="auto"/>
        </w:rPr>
        <w:t>, of the unaudited condensed consolidated financial statements included in Item 1 of this report for further discussion. The interest rate on the first lien term loan was 3.83% as of September 30, 2021.</w:t>
      </w:r>
    </w:p>
    <w:p>
      <w:pPr>
        <w:spacing w:after="0" w:line="116" w:lineRule="exact"/>
        <w:rPr>
          <w:sz w:val="20"/>
          <w:szCs w:val="20"/>
          <w:color w:val="auto"/>
        </w:rPr>
      </w:pPr>
    </w:p>
    <w:p>
      <w:pPr>
        <w:ind w:right="120" w:firstLine="310"/>
        <w:spacing w:after="0" w:line="282" w:lineRule="auto"/>
        <w:rPr>
          <w:sz w:val="20"/>
          <w:szCs w:val="20"/>
          <w:color w:val="auto"/>
        </w:rPr>
      </w:pPr>
      <w:r>
        <w:rPr>
          <w:rFonts w:ascii="Arial" w:cs="Arial" w:eastAsia="Arial" w:hAnsi="Arial"/>
          <w:sz w:val="16"/>
          <w:szCs w:val="16"/>
          <w:color w:val="auto"/>
        </w:rPr>
        <w:t xml:space="preserve">In October 2021, the Company entered into an amendment on the First Lien Term Loan, to provide $600 million of refinanced borrowings. In October 2021, the Company also issued $500 million in aggregate principal amount of senior notes. See Note 17, </w:t>
      </w:r>
      <w:r>
        <w:rPr>
          <w:rFonts w:ascii="Arial" w:cs="Arial" w:eastAsia="Arial" w:hAnsi="Arial"/>
          <w:sz w:val="16"/>
          <w:szCs w:val="16"/>
          <w:i w:val="1"/>
          <w:iCs w:val="1"/>
          <w:color w:val="auto"/>
        </w:rPr>
        <w:t>Subsequent Events</w:t>
      </w:r>
      <w:r>
        <w:rPr>
          <w:rFonts w:ascii="Arial" w:cs="Arial" w:eastAsia="Arial" w:hAnsi="Arial"/>
          <w:sz w:val="16"/>
          <w:szCs w:val="16"/>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Nine Months Ended September 30, 2021 Compared to Nine Months Ended September 30, 2020</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selected data from Option Care Health’s unaudited condensed consolidated statements of cash flows: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7"/>
          </w:tcPr>
          <w:p>
            <w:pPr>
              <w:jc w:val="center"/>
              <w:ind w:right="82"/>
              <w:spacing w:after="0"/>
              <w:rPr>
                <w:sz w:val="20"/>
                <w:szCs w:val="20"/>
                <w:color w:val="auto"/>
              </w:rPr>
            </w:pPr>
            <w:r>
              <w:rPr>
                <w:rFonts w:ascii="Arial" w:cs="Arial" w:eastAsia="Arial" w:hAnsi="Arial"/>
                <w:sz w:val="16"/>
                <w:szCs w:val="16"/>
                <w:b w:val="1"/>
                <w:bCs w:val="1"/>
                <w:color w:val="auto"/>
                <w:w w:val="88"/>
              </w:rPr>
              <w:t>Nine Months Ended September 30,</w:t>
            </w:r>
          </w:p>
        </w:tc>
      </w:tr>
      <w:tr>
        <w:trPr>
          <w:trHeight w:val="198"/>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6"/>
              </w:rPr>
              <w:t>(unaudited)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7"/>
              </w:rPr>
              <w:t>(unaudited)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Variance</w:t>
            </w:r>
          </w:p>
        </w:tc>
      </w:tr>
      <w:tr>
        <w:trPr>
          <w:trHeight w:val="238"/>
        </w:trPr>
        <w:tc>
          <w:tcPr>
            <w:tcW w:w="4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41,531</w:t>
            </w:r>
          </w:p>
        </w:tc>
      </w:tr>
      <w:tr>
        <w:trPr>
          <w:trHeight w:val="204"/>
        </w:trPr>
        <w:tc>
          <w:tcPr>
            <w:tcW w:w="41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(18,266)</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5,335</w:t>
            </w:r>
          </w:p>
        </w:tc>
      </w:tr>
      <w:tr>
        <w:trPr>
          <w:trHeight w:val="197"/>
        </w:trPr>
        <w:tc>
          <w:tcPr>
            <w:tcW w:w="41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101,591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72,991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28,600</w:t>
            </w: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32,209</w:t>
            </w: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200,856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140,047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60,809</w:t>
            </w: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179" w:lineRule="exact"/>
        <w:rPr>
          <w:sz w:val="20"/>
          <w:szCs w:val="20"/>
          <w:color w:val="auto"/>
        </w:rPr>
      </w:pPr>
    </w:p>
    <w:p>
      <w:pPr>
        <w:ind w:right="240" w:firstLine="310"/>
        <w:spacing w:after="0" w:line="353" w:lineRule="auto"/>
        <w:rPr>
          <w:sz w:val="20"/>
          <w:szCs w:val="20"/>
          <w:color w:val="auto"/>
        </w:rPr>
      </w:pPr>
      <w:r>
        <w:rPr>
          <w:rFonts w:ascii="Arial" w:cs="Arial" w:eastAsia="Arial" w:hAnsi="Arial"/>
          <w:sz w:val="15"/>
          <w:szCs w:val="15"/>
          <w:color w:val="auto"/>
        </w:rPr>
        <w:t>The increase in cash flows provided by operating activities is primarily due to higher net income, decrease in interest expense due to the January 2021 debt refinancing, and timing of vendor payments during the nine months ended September 30, 2021 as compared to the nine months ended September 30, 2020.</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increase in cash flows used in investing activities is primarily due to the BioCure asset acquisition in the current year.</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179" w:lineRule="exact"/>
        <w:rPr>
          <w:sz w:val="20"/>
          <w:szCs w:val="20"/>
          <w:color w:val="auto"/>
        </w:rPr>
      </w:pPr>
    </w:p>
    <w:p>
      <w:pPr>
        <w:ind w:firstLine="310"/>
        <w:spacing w:after="0" w:line="285" w:lineRule="auto"/>
        <w:rPr>
          <w:sz w:val="20"/>
          <w:szCs w:val="20"/>
          <w:color w:val="auto"/>
        </w:rPr>
      </w:pPr>
      <w:r>
        <w:rPr>
          <w:rFonts w:ascii="Arial" w:cs="Arial" w:eastAsia="Arial" w:hAnsi="Arial"/>
          <w:sz w:val="16"/>
          <w:szCs w:val="16"/>
          <w:color w:val="auto"/>
        </w:rPr>
        <w:t>The increase in cash used in financing activities is related to the current year debt refinancing, which resulted in proceeds of debt of $355.2 million, retirement of debt obligations of $352.0 million (as compared to $125.0 million for the nine months ended September 30, 2020), deferred financing costs of $2.9 million and debt prepayment penalties of 2.5 million. The remaining change in financing activities was related to net proceeds from issuance of common stock in the nine months ended September 30, 2020 with no comparable activity in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Commitments and Contractual Obligations</w:t>
      </w:r>
    </w:p>
    <w:p>
      <w:pPr>
        <w:spacing w:after="0" w:line="192" w:lineRule="exact"/>
        <w:rPr>
          <w:sz w:val="20"/>
          <w:szCs w:val="20"/>
          <w:color w:val="auto"/>
        </w:rPr>
      </w:pPr>
    </w:p>
    <w:p>
      <w:pPr>
        <w:ind w:left="100" w:right="260" w:firstLine="310"/>
        <w:spacing w:after="0" w:line="283" w:lineRule="auto"/>
        <w:rPr>
          <w:sz w:val="20"/>
          <w:szCs w:val="20"/>
          <w:color w:val="auto"/>
        </w:rPr>
      </w:pPr>
      <w:r>
        <w:rPr>
          <w:rFonts w:ascii="Arial" w:cs="Arial" w:eastAsia="Arial" w:hAnsi="Arial"/>
          <w:sz w:val="17"/>
          <w:szCs w:val="17"/>
          <w:color w:val="auto"/>
        </w:rPr>
        <w:t>The following table presents Option Care Health’s commitments and contractual obligations as of September 30, 2021, as well as its long-term obligations that changed materially from the Company’s annual report on form 10-K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5"/>
          </w:tcPr>
          <w:p>
            <w:pPr>
              <w:jc w:val="center"/>
              <w:ind w:left="754"/>
              <w:spacing w:after="0"/>
              <w:rPr>
                <w:sz w:val="20"/>
                <w:szCs w:val="20"/>
                <w:color w:val="auto"/>
              </w:rPr>
            </w:pPr>
            <w:r>
              <w:rPr>
                <w:rFonts w:ascii="Arial" w:cs="Arial" w:eastAsia="Arial" w:hAnsi="Arial"/>
                <w:sz w:val="17"/>
                <w:szCs w:val="17"/>
                <w:b w:val="1"/>
                <w:bCs w:val="1"/>
                <w:color w:val="auto"/>
                <w:w w:val="90"/>
              </w:rPr>
              <w:t>Payments Due by Period</w:t>
            </w: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Total</w:t>
            </w:r>
          </w:p>
        </w:tc>
        <w:tc>
          <w:tcPr>
            <w:tcW w:w="136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w w:val="88"/>
              </w:rPr>
              <w:t>Less than 1 year</w:t>
            </w: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7"/>
                <w:szCs w:val="17"/>
                <w:b w:val="1"/>
                <w:bCs w:val="1"/>
                <w:color w:val="auto"/>
                <w:w w:val="88"/>
              </w:rPr>
              <w:t>1 - 3 years</w:t>
            </w: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3 - 5 years</w:t>
            </w:r>
          </w:p>
        </w:tc>
        <w:tc>
          <w:tcPr>
            <w:tcW w:w="156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w w:val="98"/>
              </w:rPr>
              <w:t>More than 5 years</w:t>
            </w:r>
          </w:p>
        </w:tc>
        <w:tc>
          <w:tcPr>
            <w:tcW w:w="0" w:type="dxa"/>
            <w:vAlign w:val="bottom"/>
          </w:tcPr>
          <w:p>
            <w:pPr>
              <w:spacing w:after="0"/>
              <w:rPr>
                <w:sz w:val="1"/>
                <w:szCs w:val="1"/>
                <w:color w:val="auto"/>
              </w:rPr>
            </w:pPr>
          </w:p>
        </w:tc>
      </w:tr>
      <w:tr>
        <w:trPr>
          <w:trHeight w:val="213"/>
        </w:trPr>
        <w:tc>
          <w:tcPr>
            <w:tcW w:w="382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ng-term debt obligations </w:t>
            </w:r>
            <w:r>
              <w:rPr>
                <w:rFonts w:ascii="Arial" w:cs="Arial" w:eastAsia="Arial" w:hAnsi="Arial"/>
                <w:sz w:val="22"/>
                <w:szCs w:val="22"/>
                <w:color w:val="auto"/>
                <w:vertAlign w:val="superscript"/>
              </w:rPr>
              <w:t>(1)</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gridSpan w:val="4"/>
          </w:tcPr>
          <w:p>
            <w:pPr>
              <w:jc w:val="center"/>
              <w:ind w:right="360"/>
              <w:spacing w:after="0"/>
              <w:rPr>
                <w:sz w:val="20"/>
                <w:szCs w:val="20"/>
                <w:color w:val="auto"/>
              </w:rPr>
            </w:pPr>
            <w:r>
              <w:rPr>
                <w:rFonts w:ascii="Arial" w:cs="Arial" w:eastAsia="Arial" w:hAnsi="Arial"/>
                <w:sz w:val="17"/>
                <w:szCs w:val="17"/>
                <w:i w:val="1"/>
                <w:iCs w:val="1"/>
                <w:color w:val="auto"/>
                <w:w w:val="92"/>
              </w:rPr>
              <w:t>(in thousands)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gridSpan w:val="2"/>
            <w:vMerge w:val="continue"/>
          </w:tcPr>
          <w:p>
            <w:pPr>
              <w:spacing w:after="0"/>
              <w:rPr>
                <w:sz w:val="19"/>
                <w:szCs w:val="19"/>
                <w:color w:val="auto"/>
              </w:rPr>
            </w:pPr>
          </w:p>
        </w:tc>
        <w:tc>
          <w:tcPr>
            <w:tcW w:w="8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1,156,919$</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8,831$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26,494$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1,121,594$</w:t>
            </w:r>
          </w:p>
        </w:tc>
        <w:tc>
          <w:tcPr>
            <w:tcW w:w="10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820" w:type="dxa"/>
            <w:vAlign w:val="bottom"/>
            <w:gridSpan w:val="2"/>
          </w:tcPr>
          <w:p>
            <w:pPr>
              <w:spacing w:after="0" w:line="220" w:lineRule="exact"/>
              <w:rPr>
                <w:sz w:val="20"/>
                <w:szCs w:val="20"/>
                <w:color w:val="auto"/>
              </w:rPr>
            </w:pPr>
            <w:r>
              <w:rPr>
                <w:rFonts w:ascii="Arial" w:cs="Arial" w:eastAsia="Arial" w:hAnsi="Arial"/>
                <w:sz w:val="17"/>
                <w:szCs w:val="17"/>
                <w:color w:val="auto"/>
              </w:rPr>
              <w:t xml:space="preserve">erest payments on long-term debt obligations </w:t>
            </w:r>
            <w:r>
              <w:rPr>
                <w:rFonts w:ascii="Arial" w:cs="Arial" w:eastAsia="Arial" w:hAnsi="Arial"/>
                <w:sz w:val="22"/>
                <w:szCs w:val="22"/>
                <w:color w:val="auto"/>
                <w:vertAlign w:val="superscript"/>
              </w:rPr>
              <w:t>(2)</w:t>
            </w:r>
          </w:p>
        </w:tc>
        <w:tc>
          <w:tcPr>
            <w:tcW w:w="8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212,126</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44,770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88,166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79,190</w:t>
            </w:r>
          </w:p>
        </w:tc>
        <w:tc>
          <w:tcPr>
            <w:tcW w:w="10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820" w:type="dxa"/>
            <w:vAlign w:val="bottom"/>
            <w:tcBorders>
              <w:top w:val="single" w:sz="8" w:color="CCEEFF"/>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1,369,045$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114,660$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1,200,784$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-459105</wp:posOffset>
            </wp:positionV>
            <wp:extent cx="6941185" cy="139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1185" cy="139700"/>
                    </a:xfrm>
                    <a:prstGeom prst="rect">
                      <a:avLst/>
                    </a:prstGeom>
                    <a:noFill/>
                  </pic:spPr>
                </pic:pic>
              </a:graphicData>
            </a:graphic>
          </wp:anchor>
        </w:drawing>
      </w:r>
    </w:p>
    <w:p>
      <w:pPr>
        <w:spacing w:after="0" w:line="136"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aggregate principal payment from the first lien term loan.</w:t>
      </w:r>
    </w:p>
    <w:p>
      <w:pPr>
        <w:spacing w:after="0" w:line="192" w:lineRule="exact"/>
        <w:rPr>
          <w:rFonts w:ascii="Arial" w:cs="Arial" w:eastAsia="Arial" w:hAnsi="Arial"/>
          <w:sz w:val="17"/>
          <w:szCs w:val="17"/>
          <w:color w:val="auto"/>
        </w:rPr>
      </w:pPr>
    </w:p>
    <w:p>
      <w:pPr>
        <w:ind w:left="420" w:right="540" w:hanging="7"/>
        <w:spacing w:after="0" w:line="315" w:lineRule="auto"/>
        <w:tabs>
          <w:tab w:leader="none" w:pos="66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Interest payments calculated based on LIBOR rate as of September 30, 2021. Actual payments are based on changes in LIBOR. Calculated interest payments exclude interest rate swap agreements the Company entered into in connection with the long-term debt obligations.</w:t>
      </w:r>
    </w:p>
    <w:p>
      <w:pPr>
        <w:spacing w:after="0" w:line="98" w:lineRule="exact"/>
        <w:rPr>
          <w:sz w:val="20"/>
          <w:szCs w:val="20"/>
          <w:color w:val="auto"/>
        </w:rPr>
      </w:pPr>
    </w:p>
    <w:p>
      <w:pPr>
        <w:ind w:left="100" w:right="2040" w:firstLine="310"/>
        <w:spacing w:after="0" w:line="467" w:lineRule="auto"/>
        <w:rPr>
          <w:sz w:val="20"/>
          <w:szCs w:val="20"/>
          <w:color w:val="auto"/>
        </w:rPr>
      </w:pPr>
      <w:r>
        <w:rPr>
          <w:rFonts w:ascii="Arial" w:cs="Arial" w:eastAsia="Arial" w:hAnsi="Arial"/>
          <w:sz w:val="17"/>
          <w:szCs w:val="17"/>
          <w:color w:val="auto"/>
        </w:rPr>
        <w:t xml:space="preserve">The contractual commitment amounts in the table above are associated with agreements that are enforceable and legally binding. </w:t>
      </w:r>
      <w:r>
        <w:rPr>
          <w:rFonts w:ascii="Arial" w:cs="Arial" w:eastAsia="Arial" w:hAnsi="Arial"/>
          <w:sz w:val="17"/>
          <w:szCs w:val="17"/>
          <w:b w:val="1"/>
          <w:bCs w:val="1"/>
          <w:color w:val="auto"/>
        </w:rPr>
        <w:t>Off-Balance Sheet Arrangements</w:t>
      </w:r>
    </w:p>
    <w:p>
      <w:pPr>
        <w:spacing w:after="0" w:line="2" w:lineRule="exact"/>
        <w:rPr>
          <w:sz w:val="20"/>
          <w:szCs w:val="20"/>
          <w:color w:val="auto"/>
        </w:rPr>
      </w:pPr>
    </w:p>
    <w:p>
      <w:pPr>
        <w:ind w:left="100" w:right="720" w:firstLine="310"/>
        <w:spacing w:after="0" w:line="460" w:lineRule="auto"/>
        <w:rPr>
          <w:sz w:val="20"/>
          <w:szCs w:val="20"/>
          <w:color w:val="auto"/>
        </w:rPr>
      </w:pPr>
      <w:r>
        <w:rPr>
          <w:rFonts w:ascii="Arial" w:cs="Arial" w:eastAsia="Arial" w:hAnsi="Arial"/>
          <w:sz w:val="17"/>
          <w:szCs w:val="17"/>
          <w:color w:val="auto"/>
        </w:rPr>
        <w:t xml:space="preserve">As of September 30, 2021, Option Care Health did not have any off-balance sheet arrangements, as defined in Item 303(a)(4)(ii) of Regulation S-K. </w:t>
      </w:r>
      <w:r>
        <w:rPr>
          <w:rFonts w:ascii="Arial" w:cs="Arial" w:eastAsia="Arial" w:hAnsi="Arial"/>
          <w:sz w:val="17"/>
          <w:szCs w:val="17"/>
          <w:b w:val="1"/>
          <w:bCs w:val="1"/>
          <w:color w:val="auto"/>
        </w:rPr>
        <w:t>Critical Accounting Policies and Estimates</w:t>
      </w:r>
    </w:p>
    <w:p>
      <w:pPr>
        <w:ind w:left="100" w:firstLine="310"/>
        <w:spacing w:after="0" w:line="259" w:lineRule="auto"/>
        <w:rPr>
          <w:sz w:val="20"/>
          <w:szCs w:val="20"/>
          <w:color w:val="auto"/>
        </w:rPr>
      </w:pPr>
      <w:r>
        <w:rPr>
          <w:rFonts w:ascii="Arial" w:cs="Arial" w:eastAsia="Arial" w:hAnsi="Arial"/>
          <w:sz w:val="17"/>
          <w:szCs w:val="17"/>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43" w:lineRule="exact"/>
        <w:rPr>
          <w:sz w:val="20"/>
          <w:szCs w:val="20"/>
          <w:color w:val="auto"/>
        </w:rPr>
      </w:pPr>
    </w:p>
    <w:p>
      <w:pPr>
        <w:ind w:left="100" w:right="560" w:firstLine="310"/>
        <w:spacing w:after="0" w:line="251" w:lineRule="auto"/>
        <w:rPr>
          <w:sz w:val="20"/>
          <w:szCs w:val="20"/>
          <w:color w:val="auto"/>
        </w:rPr>
      </w:pPr>
      <w:r>
        <w:rPr>
          <w:rFonts w:ascii="Arial" w:cs="Arial" w:eastAsia="Arial" w:hAnsi="Arial"/>
          <w:sz w:val="17"/>
          <w:szCs w:val="17"/>
          <w:color w:val="auto"/>
        </w:rPr>
        <w:t>The company’s critical accounting policies and estimates as presented in our Annual report on 10-K for the year ended December 31, 2020 are hereby incorporated by reference.</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addition, the following critical accounting policy should be considered:</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Income Taxes</w:t>
      </w:r>
    </w:p>
    <w:p>
      <w:pPr>
        <w:spacing w:after="0" w:line="224" w:lineRule="exact"/>
        <w:rPr>
          <w:sz w:val="20"/>
          <w:szCs w:val="20"/>
          <w:color w:val="auto"/>
        </w:rPr>
      </w:pPr>
    </w:p>
    <w:p>
      <w:pPr>
        <w:ind w:left="100" w:right="40"/>
        <w:spacing w:after="0" w:line="284" w:lineRule="auto"/>
        <w:rPr>
          <w:sz w:val="20"/>
          <w:szCs w:val="20"/>
          <w:color w:val="auto"/>
        </w:rPr>
      </w:pPr>
      <w:r>
        <w:rPr>
          <w:rFonts w:ascii="Arial" w:cs="Arial" w:eastAsia="Arial" w:hAnsi="Arial"/>
          <w:sz w:val="15"/>
          <w:szCs w:val="15"/>
          <w:color w:val="auto"/>
        </w:rPr>
        <w:t>The Company accounts for income taxes using the asset and liability method. Deferred tax assets and liabilities are reported for 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163" w:lineRule="exact"/>
        <w:rPr>
          <w:sz w:val="20"/>
          <w:szCs w:val="20"/>
          <w:color w:val="auto"/>
        </w:rPr>
      </w:pPr>
    </w:p>
    <w:p>
      <w:pPr>
        <w:ind w:left="100" w:right="40"/>
        <w:spacing w:after="0" w:line="264" w:lineRule="auto"/>
        <w:rPr>
          <w:sz w:val="20"/>
          <w:szCs w:val="20"/>
          <w:color w:val="auto"/>
        </w:rPr>
      </w:pPr>
      <w:r>
        <w:rPr>
          <w:rFonts w:ascii="Arial" w:cs="Arial" w:eastAsia="Arial" w:hAnsi="Arial"/>
          <w:sz w:val="15"/>
          <w:szCs w:val="15"/>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Changes in projected future earnings could affect the recorded valuation allowance in the future. On a quarterly basis, the Company evaluates all positive and negative evidence in determining if the valuation allowance is fairly stated.</w:t>
      </w:r>
    </w:p>
    <w:p>
      <w:pPr>
        <w:spacing w:after="0" w:line="180" w:lineRule="exact"/>
        <w:rPr>
          <w:sz w:val="20"/>
          <w:szCs w:val="20"/>
          <w:color w:val="auto"/>
        </w:rPr>
      </w:pPr>
    </w:p>
    <w:p>
      <w:pPr>
        <w:ind w:left="100" w:right="120"/>
        <w:spacing w:after="0" w:line="251" w:lineRule="auto"/>
        <w:rPr>
          <w:sz w:val="20"/>
          <w:szCs w:val="20"/>
          <w:color w:val="auto"/>
        </w:rPr>
      </w:pPr>
      <w:r>
        <w:rPr>
          <w:rFonts w:ascii="Arial" w:cs="Arial" w:eastAsia="Arial" w:hAnsi="Arial"/>
          <w:sz w:val="17"/>
          <w:szCs w:val="17"/>
          <w:color w:val="auto"/>
        </w:rPr>
        <w:t>The Company recognizes income tax positions that are more likely than not to be sustained on their technical merits. The Company measures recognized income tax positions at the maximum benefit that is more likely than not, based on cumulative</w:t>
      </w: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20"/>
          </w:cols>
          <w:pgMar w:left="2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probability, realizable upon final settlement of the position. Interest and penalties related to unrecognized tax benefits are reported in income tax expense.</w:t>
      </w: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580"/>
          </w:cols>
          <w:pgMar w:left="320" w:top="122" w:right="99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98" w:lineRule="exact"/>
        <w:rPr>
          <w:sz w:val="20"/>
          <w:szCs w:val="20"/>
          <w:color w:val="auto"/>
        </w:rPr>
      </w:pPr>
    </w:p>
    <w:p>
      <w:pPr>
        <w:ind w:right="220" w:firstLine="310"/>
        <w:spacing w:after="0" w:line="283" w:lineRule="auto"/>
        <w:rPr>
          <w:sz w:val="20"/>
          <w:szCs w:val="20"/>
          <w:color w:val="auto"/>
        </w:rPr>
      </w:pPr>
      <w:r>
        <w:rPr>
          <w:rFonts w:ascii="Arial" w:cs="Arial" w:eastAsia="Arial" w:hAnsi="Arial"/>
          <w:sz w:val="17"/>
          <w:szCs w:val="17"/>
          <w:color w:val="auto"/>
        </w:rPr>
        <w:t>There have been no material changes to our exposure to market risk from those included in our Annual Report on Form 10-K for the year ended December 31, 2020, hereby incorporated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5" w:lineRule="exact"/>
        <w:rPr>
          <w:sz w:val="20"/>
          <w:szCs w:val="20"/>
          <w:color w:val="auto"/>
        </w:rPr>
      </w:pPr>
    </w:p>
    <w:p>
      <w:pPr>
        <w:ind w:firstLine="310"/>
        <w:spacing w:after="0" w:line="298" w:lineRule="auto"/>
        <w:rPr>
          <w:sz w:val="20"/>
          <w:szCs w:val="20"/>
          <w:color w:val="auto"/>
        </w:rPr>
      </w:pPr>
      <w:r>
        <w:rPr>
          <w:rFonts w:ascii="Arial" w:cs="Arial" w:eastAsia="Arial" w:hAnsi="Arial"/>
          <w:sz w:val="15"/>
          <w:szCs w:val="15"/>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September 30, 2021. Based on that evaluation, the Company’s Chief Executive Officer and its Chief Financial Officer concluded that our disclosure controls and procedures were effective as of September 30, 2021.</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 over Financial Reporting</w:t>
      </w:r>
    </w:p>
    <w:p>
      <w:pPr>
        <w:spacing w:after="0" w:line="185" w:lineRule="exact"/>
        <w:rPr>
          <w:sz w:val="20"/>
          <w:szCs w:val="20"/>
          <w:color w:val="auto"/>
        </w:rPr>
      </w:pPr>
    </w:p>
    <w:p>
      <w:pPr>
        <w:ind w:right="400" w:firstLine="310"/>
        <w:spacing w:after="0" w:line="283" w:lineRule="auto"/>
        <w:rPr>
          <w:sz w:val="20"/>
          <w:szCs w:val="20"/>
          <w:color w:val="auto"/>
        </w:rPr>
      </w:pPr>
      <w:r>
        <w:rPr>
          <w:rFonts w:ascii="Arial" w:cs="Arial" w:eastAsia="Arial" w:hAnsi="Arial"/>
          <w:sz w:val="17"/>
          <w:szCs w:val="17"/>
          <w:color w:val="auto"/>
        </w:rPr>
        <w:t>There were no changes in our internal control over financial reporting during the three months ended September 30,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1" w:lineRule="exact"/>
        <w:rPr>
          <w:sz w:val="20"/>
          <w:szCs w:val="20"/>
          <w:color w:val="auto"/>
        </w:rPr>
      </w:pPr>
    </w:p>
    <w:p>
      <w:pPr>
        <w:jc w:val="both"/>
        <w:ind w:firstLine="340"/>
        <w:spacing w:after="0" w:line="283" w:lineRule="auto"/>
        <w:rPr>
          <w:sz w:val="20"/>
          <w:szCs w:val="20"/>
          <w:color w:val="auto"/>
        </w:rPr>
      </w:pPr>
      <w:r>
        <w:rPr>
          <w:rFonts w:ascii="Arial" w:cs="Arial" w:eastAsia="Arial" w:hAnsi="Arial"/>
          <w:sz w:val="17"/>
          <w:szCs w:val="17"/>
          <w:color w:val="auto"/>
        </w:rPr>
        <w:t xml:space="preserve">For a summary of legal proceedings, refer to Note 13,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of the unaudited condensed consolidated financial statements included in Item 1 of this report.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have been no material changes to the risk factors affecting our business, financial condition or results of operations from those set forth in Part I, Item</w:t>
      </w:r>
    </w:p>
    <w:p>
      <w:pPr>
        <w:spacing w:after="0" w:line="47"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1A. “Risk Factors” in our Annual Report on form 10-K for the Year ended December 31, 2020, except as modified by the information in the following risk factor, which was modified. Additional risks and uncertainties not currently known to us that we currently deem to be immaterial may also materially adversely affect our business, financial condition and/or operating results.</w:t>
      </w:r>
    </w:p>
    <w:p>
      <w:pPr>
        <w:spacing w:after="0" w:line="140" w:lineRule="exact"/>
        <w:rPr>
          <w:sz w:val="20"/>
          <w:szCs w:val="20"/>
          <w:color w:val="auto"/>
        </w:rPr>
      </w:pPr>
    </w:p>
    <w:p>
      <w:pPr>
        <w:ind w:right="500" w:firstLine="310"/>
        <w:spacing w:after="0" w:line="251" w:lineRule="auto"/>
        <w:rPr>
          <w:sz w:val="20"/>
          <w:szCs w:val="20"/>
          <w:color w:val="auto"/>
        </w:rPr>
      </w:pPr>
      <w:r>
        <w:rPr>
          <w:rFonts w:ascii="Arial" w:cs="Arial" w:eastAsia="Arial" w:hAnsi="Arial"/>
          <w:sz w:val="17"/>
          <w:szCs w:val="17"/>
          <w:b w:val="1"/>
          <w:bCs w:val="1"/>
          <w:i w:val="1"/>
          <w:iCs w:val="1"/>
          <w:color w:val="auto"/>
        </w:rPr>
        <w:t>As of September 30, 2021, Madison Dearborn Partners is our largest stockholder and has the ability to exercise significant influence over decisions requiring our stockholders’ approval.</w:t>
      </w:r>
    </w:p>
    <w:p>
      <w:pPr>
        <w:spacing w:after="0" w:line="186"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As of September 30, 2021, Madison Dearborn Partners controls 21.1% of our common stock through its control of HC Group Holding I, LLC (“HC Group”). As a result, Madison Dearborn Partners has the ability to exercise significant influence over decisions requiring approval of our stockholders including the election of directors, amendments to our certificate of incorporation and approval of significant corporate transactions, such as a merger or other sale of us or our assets. This concentration of ownership may have the effect of delaying, preventing or deterring a change in control of us and may negatively affect the market price of our common stock. Also, Madison Dearborn Partners is in the business of making investments in companies and may from time to time acquire and hold interests in businesses that compete with us. Madison Dearborn Partners or its affiliates may also pursue acquisition opportunities that are complementary to our business and, as a result, those acquisition opportunities may not be available to us. Based on information received from Madison Dearborn Partners, Walgreens is also an equityholder of HC Group and currently maintains its approximately 21% indirect financial interest in us through HC Group.</w:t>
      </w:r>
    </w:p>
    <w:p>
      <w:pPr>
        <w:spacing w:after="0" w:line="12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9740" w:type="dxa"/>
            <w:vAlign w:val="bottom"/>
            <w:tcBorders>
              <w:bottom w:val="single" w:sz="8" w:color="auto"/>
            </w:tcBorders>
            <w:gridSpan w:val="5"/>
          </w:tcPr>
          <w:p>
            <w:pPr>
              <w:ind w:left="4480"/>
              <w:spacing w:after="0"/>
              <w:rPr>
                <w:sz w:val="20"/>
                <w:szCs w:val="20"/>
                <w:color w:val="auto"/>
              </w:rPr>
            </w:pPr>
            <w:r>
              <w:rPr>
                <w:rFonts w:ascii="Arial" w:cs="Arial" w:eastAsia="Arial" w:hAnsi="Arial"/>
                <w:sz w:val="16"/>
                <w:szCs w:val="16"/>
                <w:b w:val="1"/>
                <w:bCs w:val="1"/>
                <w:color w:val="auto"/>
              </w:rPr>
              <w:t>Description</w:t>
            </w:r>
          </w:p>
        </w:tc>
      </w:tr>
      <w:tr>
        <w:trPr>
          <w:trHeight w:val="22"/>
        </w:trPr>
        <w:tc>
          <w:tcPr>
            <w:tcW w:w="1480" w:type="dxa"/>
            <w:vAlign w:val="bottom"/>
            <w:tcBorders>
              <w:bottom w:val="single" w:sz="8" w:color="auto"/>
            </w:tcBorders>
          </w:tcPr>
          <w:p>
            <w:pPr>
              <w:spacing w:after="0" w:line="20" w:lineRule="exact"/>
              <w:rPr>
                <w:sz w:val="1"/>
                <w:szCs w:val="1"/>
                <w:color w:val="auto"/>
              </w:rPr>
            </w:pPr>
          </w:p>
        </w:tc>
        <w:tc>
          <w:tcPr>
            <w:tcW w:w="9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74"/>
        </w:trPr>
        <w:tc>
          <w:tcPr>
            <w:tcW w:w="1480" w:type="dxa"/>
            <w:vAlign w:val="bottom"/>
          </w:tcPr>
          <w:p>
            <w:pPr>
              <w:ind w:left="20"/>
              <w:spacing w:after="0" w:line="174" w:lineRule="exact"/>
              <w:rPr>
                <w:sz w:val="20"/>
                <w:szCs w:val="20"/>
                <w:color w:val="auto"/>
              </w:rPr>
            </w:pPr>
            <w:r>
              <w:rPr>
                <w:rFonts w:ascii="Arial" w:cs="Arial" w:eastAsia="Arial" w:hAnsi="Arial"/>
                <w:sz w:val="16"/>
                <w:szCs w:val="16"/>
                <w:color w:val="auto"/>
              </w:rPr>
              <w:t>31.1</w:t>
            </w:r>
          </w:p>
        </w:tc>
        <w:tc>
          <w:tcPr>
            <w:tcW w:w="9220" w:type="dxa"/>
            <w:vAlign w:val="bottom"/>
            <w:tcBorders>
              <w:bottom w:val="single" w:sz="8" w:color="0000FF"/>
            </w:tcBorders>
            <w:gridSpan w:val="3"/>
          </w:tcPr>
          <w:p>
            <w:pPr>
              <w:spacing w:after="0" w:line="174" w:lineRule="exact"/>
              <w:rPr>
                <w:rFonts w:ascii="Arial" w:cs="Arial" w:eastAsia="Arial" w:hAnsi="Arial"/>
                <w:sz w:val="16"/>
                <w:szCs w:val="16"/>
                <w:color w:val="0000FF"/>
                <w:w w:val="88"/>
              </w:rPr>
            </w:pPr>
            <w:hyperlink w:anchor="page41">
              <w:r>
                <w:rPr>
                  <w:rFonts w:ascii="Arial" w:cs="Arial" w:eastAsia="Arial" w:hAnsi="Arial"/>
                  <w:sz w:val="16"/>
                  <w:szCs w:val="16"/>
                  <w:color w:val="0000FF"/>
                  <w:w w:val="88"/>
                </w:rPr>
                <w:t>Certification of Chief Executive Officer pursuant to 18 U.S.C. Section 1350, as adopted pursuant to Section 302 of the Sarbanes-Oxley Act of 2002.</w:t>
              </w:r>
            </w:hyperlink>
          </w:p>
        </w:tc>
        <w:tc>
          <w:tcPr>
            <w:tcW w:w="520" w:type="dxa"/>
            <w:vAlign w:val="bottom"/>
            <w:gridSpan w:val="2"/>
          </w:tcPr>
          <w:p>
            <w:pPr>
              <w:spacing w:after="0"/>
              <w:rPr>
                <w:sz w:val="15"/>
                <w:szCs w:val="15"/>
                <w:color w:val="auto"/>
              </w:rPr>
            </w:pPr>
          </w:p>
        </w:tc>
      </w:tr>
      <w:tr>
        <w:trPr>
          <w:trHeight w:val="200"/>
        </w:trPr>
        <w:tc>
          <w:tcPr>
            <w:tcW w:w="1480" w:type="dxa"/>
            <w:vAlign w:val="bottom"/>
          </w:tcPr>
          <w:p>
            <w:pPr>
              <w:ind w:left="20"/>
              <w:spacing w:after="0"/>
              <w:rPr>
                <w:sz w:val="20"/>
                <w:szCs w:val="20"/>
                <w:color w:val="auto"/>
              </w:rPr>
            </w:pPr>
            <w:r>
              <w:rPr>
                <w:rFonts w:ascii="Arial" w:cs="Arial" w:eastAsia="Arial" w:hAnsi="Arial"/>
                <w:sz w:val="16"/>
                <w:szCs w:val="16"/>
                <w:color w:val="auto"/>
              </w:rPr>
              <w:t>31.2</w:t>
            </w:r>
          </w:p>
        </w:tc>
        <w:tc>
          <w:tcPr>
            <w:tcW w:w="9160" w:type="dxa"/>
            <w:vAlign w:val="bottom"/>
            <w:tcBorders>
              <w:bottom w:val="single" w:sz="8" w:color="0000FF"/>
            </w:tcBorders>
          </w:tcPr>
          <w:p>
            <w:pPr>
              <w:spacing w:after="0"/>
              <w:rPr>
                <w:rFonts w:ascii="Arial" w:cs="Arial" w:eastAsia="Arial" w:hAnsi="Arial"/>
                <w:sz w:val="16"/>
                <w:szCs w:val="16"/>
                <w:color w:val="0000FF"/>
                <w:w w:val="88"/>
              </w:rPr>
            </w:pPr>
            <w:hyperlink w:anchor="page42">
              <w:r>
                <w:rPr>
                  <w:rFonts w:ascii="Arial" w:cs="Arial" w:eastAsia="Arial" w:hAnsi="Arial"/>
                  <w:sz w:val="16"/>
                  <w:szCs w:val="16"/>
                  <w:color w:val="0000FF"/>
                  <w:w w:val="88"/>
                </w:rPr>
                <w:t>Certification of Chief Financial Officer pursuant to 18 U.S.C. Section 1350, as adopted pursuant to Section 302 of the Sarbanes-Oxley Act of 2002.</w:t>
              </w:r>
            </w:hyperlink>
          </w:p>
        </w:tc>
        <w:tc>
          <w:tcPr>
            <w:tcW w:w="580" w:type="dxa"/>
            <w:vAlign w:val="bottom"/>
            <w:gridSpan w:val="4"/>
          </w:tcPr>
          <w:p>
            <w:pPr>
              <w:spacing w:after="0"/>
              <w:rPr>
                <w:sz w:val="17"/>
                <w:szCs w:val="17"/>
                <w:color w:val="auto"/>
              </w:rPr>
            </w:pPr>
          </w:p>
        </w:tc>
      </w:tr>
      <w:tr>
        <w:trPr>
          <w:trHeight w:val="187"/>
        </w:trPr>
        <w:tc>
          <w:tcPr>
            <w:tcW w:w="1480" w:type="dxa"/>
            <w:vAlign w:val="bottom"/>
          </w:tcPr>
          <w:p>
            <w:pPr>
              <w:ind w:left="20"/>
              <w:spacing w:after="0"/>
              <w:rPr>
                <w:sz w:val="20"/>
                <w:szCs w:val="20"/>
                <w:color w:val="auto"/>
              </w:rPr>
            </w:pPr>
            <w:r>
              <w:rPr>
                <w:rFonts w:ascii="Arial" w:cs="Arial" w:eastAsia="Arial" w:hAnsi="Arial"/>
                <w:sz w:val="16"/>
                <w:szCs w:val="16"/>
                <w:color w:val="auto"/>
              </w:rPr>
              <w:t>32.1</w:t>
            </w:r>
          </w:p>
        </w:tc>
        <w:tc>
          <w:tcPr>
            <w:tcW w:w="9240" w:type="dxa"/>
            <w:vAlign w:val="bottom"/>
            <w:tcBorders>
              <w:bottom w:val="single" w:sz="8" w:color="0000FF"/>
            </w:tcBorders>
            <w:gridSpan w:val="4"/>
          </w:tcPr>
          <w:p>
            <w:pPr>
              <w:spacing w:after="0"/>
              <w:rPr>
                <w:rFonts w:ascii="Arial" w:cs="Arial" w:eastAsia="Arial" w:hAnsi="Arial"/>
                <w:sz w:val="16"/>
                <w:szCs w:val="16"/>
                <w:color w:val="0000FF"/>
                <w:w w:val="88"/>
              </w:rPr>
            </w:pPr>
            <w:hyperlink w:anchor="page43">
              <w:r>
                <w:rPr>
                  <w:rFonts w:ascii="Arial" w:cs="Arial" w:eastAsia="Arial" w:hAnsi="Arial"/>
                  <w:sz w:val="16"/>
                  <w:szCs w:val="16"/>
                  <w:color w:val="0000FF"/>
                  <w:w w:val="88"/>
                </w:rPr>
                <w:t>Certification of Chief Executive Officer pursuant to 18 U.S. C. Section 1350, as adopted pursuant to Section 906 of the Sarbanes-Oxley Act of 2002.</w:t>
              </w:r>
            </w:hyperlink>
          </w:p>
        </w:tc>
        <w:tc>
          <w:tcPr>
            <w:tcW w:w="500" w:type="dxa"/>
            <w:vAlign w:val="bottom"/>
          </w:tcPr>
          <w:p>
            <w:pPr>
              <w:spacing w:after="0"/>
              <w:rPr>
                <w:sz w:val="16"/>
                <w:szCs w:val="16"/>
                <w:color w:val="auto"/>
              </w:rPr>
            </w:pPr>
          </w:p>
        </w:tc>
      </w:tr>
      <w:tr>
        <w:trPr>
          <w:trHeight w:val="187"/>
        </w:trPr>
        <w:tc>
          <w:tcPr>
            <w:tcW w:w="1480" w:type="dxa"/>
            <w:vAlign w:val="bottom"/>
          </w:tcPr>
          <w:p>
            <w:pPr>
              <w:ind w:left="20"/>
              <w:spacing w:after="0"/>
              <w:rPr>
                <w:sz w:val="20"/>
                <w:szCs w:val="20"/>
                <w:color w:val="auto"/>
              </w:rPr>
            </w:pPr>
            <w:r>
              <w:rPr>
                <w:rFonts w:ascii="Arial" w:cs="Arial" w:eastAsia="Arial" w:hAnsi="Arial"/>
                <w:sz w:val="16"/>
                <w:szCs w:val="16"/>
                <w:color w:val="auto"/>
              </w:rPr>
              <w:t>32.2</w:t>
            </w:r>
          </w:p>
        </w:tc>
        <w:tc>
          <w:tcPr>
            <w:tcW w:w="9200" w:type="dxa"/>
            <w:vAlign w:val="bottom"/>
            <w:tcBorders>
              <w:bottom w:val="single" w:sz="8" w:color="0000FF"/>
            </w:tcBorders>
            <w:gridSpan w:val="2"/>
          </w:tcPr>
          <w:p>
            <w:pPr>
              <w:spacing w:after="0"/>
              <w:rPr>
                <w:rFonts w:ascii="Arial" w:cs="Arial" w:eastAsia="Arial" w:hAnsi="Arial"/>
                <w:sz w:val="16"/>
                <w:szCs w:val="16"/>
                <w:color w:val="0000FF"/>
                <w:w w:val="88"/>
              </w:rPr>
            </w:pPr>
            <w:hyperlink w:anchor="page44">
              <w:r>
                <w:rPr>
                  <w:rFonts w:ascii="Arial" w:cs="Arial" w:eastAsia="Arial" w:hAnsi="Arial"/>
                  <w:sz w:val="16"/>
                  <w:szCs w:val="16"/>
                  <w:color w:val="0000FF"/>
                  <w:w w:val="88"/>
                </w:rPr>
                <w:t>Certification of Chief Financial Officer pursuant to 18 U.S. C. Section 1350, as adopted pursuant to Section 906 of the Sarbanes-Oxley Act of 2002.</w:t>
              </w:r>
            </w:hyperlink>
          </w:p>
        </w:tc>
        <w:tc>
          <w:tcPr>
            <w:tcW w:w="540" w:type="dxa"/>
            <w:vAlign w:val="bottom"/>
            <w:gridSpan w:val="3"/>
          </w:tcPr>
          <w:p>
            <w:pPr>
              <w:spacing w:after="0"/>
              <w:rPr>
                <w:sz w:val="16"/>
                <w:szCs w:val="16"/>
                <w:color w:val="auto"/>
              </w:rPr>
            </w:pPr>
          </w:p>
        </w:tc>
      </w:tr>
      <w:tr>
        <w:trPr>
          <w:trHeight w:val="220"/>
        </w:trPr>
        <w:tc>
          <w:tcPr>
            <w:tcW w:w="1480" w:type="dxa"/>
            <w:vAlign w:val="bottom"/>
          </w:tcPr>
          <w:p>
            <w:pPr>
              <w:ind w:left="20"/>
              <w:spacing w:after="0"/>
              <w:rPr>
                <w:sz w:val="20"/>
                <w:szCs w:val="20"/>
                <w:color w:val="auto"/>
              </w:rPr>
            </w:pPr>
            <w:r>
              <w:rPr>
                <w:rFonts w:ascii="Arial" w:cs="Arial" w:eastAsia="Arial" w:hAnsi="Arial"/>
                <w:sz w:val="16"/>
                <w:szCs w:val="16"/>
                <w:color w:val="auto"/>
              </w:rPr>
              <w:t>101.INS</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Instance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101.SCH</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Schema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101.CAL</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101.DEF</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101.LAB</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Labels Linkbase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101.PRE</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104</w:t>
            </w:r>
          </w:p>
        </w:tc>
        <w:tc>
          <w:tcPr>
            <w:tcW w:w="9740" w:type="dxa"/>
            <w:vAlign w:val="bottom"/>
            <w:gridSpan w:val="5"/>
          </w:tcPr>
          <w:p>
            <w:pPr>
              <w:spacing w:after="0"/>
              <w:rPr>
                <w:sz w:val="20"/>
                <w:szCs w:val="20"/>
                <w:color w:val="auto"/>
              </w:rPr>
            </w:pPr>
            <w:r>
              <w:rPr>
                <w:rFonts w:ascii="Arial" w:cs="Arial" w:eastAsia="Arial" w:hAnsi="Arial"/>
                <w:sz w:val="16"/>
                <w:szCs w:val="16"/>
                <w:color w:val="auto"/>
              </w:rPr>
              <w:t>XBRL Formatted Cover Page</w:t>
            </w: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85" w:lineRule="exact"/>
        <w:rPr>
          <w:sz w:val="20"/>
          <w:szCs w:val="20"/>
          <w:color w:val="auto"/>
        </w:rPr>
      </w:pPr>
    </w:p>
    <w:p>
      <w:pPr>
        <w:ind w:right="160" w:firstLine="31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7400" w:type="dxa"/>
            <w:vAlign w:val="bottom"/>
            <w:gridSpan w:val="2"/>
          </w:tcPr>
          <w:p>
            <w:pPr>
              <w:jc w:val="right"/>
              <w:spacing w:after="0"/>
              <w:rPr>
                <w:sz w:val="20"/>
                <w:szCs w:val="20"/>
                <w:color w:val="auto"/>
              </w:rPr>
            </w:pPr>
            <w:r>
              <w:rPr>
                <w:rFonts w:ascii="Arial" w:cs="Arial" w:eastAsia="Arial" w:hAnsi="Arial"/>
                <w:sz w:val="17"/>
                <w:szCs w:val="17"/>
                <w:b w:val="1"/>
                <w:bCs w:val="1"/>
                <w:color w:val="auto"/>
              </w:rPr>
              <w:t>OPTION CARE HEALTH, IN</w:t>
            </w:r>
          </w:p>
        </w:tc>
      </w:tr>
      <w:tr>
        <w:trPr>
          <w:trHeight w:val="400"/>
        </w:trPr>
        <w:tc>
          <w:tcPr>
            <w:tcW w:w="3300" w:type="dxa"/>
            <w:vAlign w:val="bottom"/>
          </w:tcPr>
          <w:p>
            <w:pPr>
              <w:spacing w:after="0"/>
              <w:rPr>
                <w:sz w:val="20"/>
                <w:szCs w:val="20"/>
                <w:color w:val="auto"/>
              </w:rPr>
            </w:pPr>
            <w:r>
              <w:rPr>
                <w:rFonts w:ascii="Arial" w:cs="Arial" w:eastAsia="Arial" w:hAnsi="Arial"/>
                <w:sz w:val="17"/>
                <w:szCs w:val="17"/>
                <w:color w:val="auto"/>
              </w:rPr>
              <w:t>Date: November 4, 2021</w:t>
            </w:r>
          </w:p>
        </w:tc>
        <w:tc>
          <w:tcPr>
            <w:tcW w:w="7400" w:type="dxa"/>
            <w:vAlign w:val="bottom"/>
            <w:gridSpan w:val="2"/>
          </w:tcPr>
          <w:p>
            <w:pPr>
              <w:jc w:val="right"/>
              <w:spacing w:after="0"/>
              <w:rPr>
                <w:sz w:val="20"/>
                <w:szCs w:val="20"/>
                <w:color w:val="auto"/>
              </w:rPr>
            </w:pPr>
            <w:r>
              <w:rPr>
                <w:rFonts w:ascii="Arial" w:cs="Arial" w:eastAsia="Arial" w:hAnsi="Arial"/>
                <w:sz w:val="17"/>
                <w:szCs w:val="17"/>
                <w:b w:val="1"/>
                <w:bCs w:val="1"/>
                <w:color w:val="auto"/>
              </w:rPr>
              <w:t>/s/ Michael Shapi</w:t>
            </w:r>
          </w:p>
        </w:tc>
      </w:tr>
      <w:tr>
        <w:trPr>
          <w:trHeight w:val="239"/>
        </w:trPr>
        <w:tc>
          <w:tcPr>
            <w:tcW w:w="33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Michael Shap</w:t>
            </w:r>
          </w:p>
        </w:tc>
      </w:tr>
      <w:tr>
        <w:trPr>
          <w:trHeight w:val="375"/>
        </w:trPr>
        <w:tc>
          <w:tcPr>
            <w:tcW w:w="3300" w:type="dxa"/>
            <w:vAlign w:val="bottom"/>
          </w:tcPr>
          <w:p>
            <w:pPr>
              <w:spacing w:after="0"/>
              <w:rPr>
                <w:sz w:val="24"/>
                <w:szCs w:val="24"/>
                <w:color w:val="auto"/>
              </w:rPr>
            </w:pPr>
          </w:p>
        </w:tc>
        <w:tc>
          <w:tcPr>
            <w:tcW w:w="7400" w:type="dxa"/>
            <w:vAlign w:val="bottom"/>
            <w:gridSpan w:val="2"/>
          </w:tcPr>
          <w:p>
            <w:pPr>
              <w:jc w:val="right"/>
              <w:spacing w:after="0"/>
              <w:rPr>
                <w:sz w:val="20"/>
                <w:szCs w:val="20"/>
                <w:color w:val="auto"/>
              </w:rPr>
            </w:pPr>
            <w:r>
              <w:rPr>
                <w:rFonts w:ascii="Arial" w:cs="Arial" w:eastAsia="Arial" w:hAnsi="Arial"/>
                <w:sz w:val="17"/>
                <w:szCs w:val="17"/>
                <w:color w:val="auto"/>
              </w:rPr>
              <w:t>Chief Financial Officer (Principal Financial Officer and Duly Authorized Offic</w:t>
            </w:r>
          </w:p>
        </w:tc>
      </w:tr>
      <w:tr>
        <w:trPr>
          <w:trHeight w:val="814"/>
        </w:trPr>
        <w:tc>
          <w:tcPr>
            <w:tcW w:w="3300" w:type="dxa"/>
            <w:vAlign w:val="bottom"/>
          </w:tcPr>
          <w:p>
            <w:pPr>
              <w:spacing w:after="0"/>
              <w:rPr>
                <w:sz w:val="24"/>
                <w:szCs w:val="24"/>
                <w:color w:val="auto"/>
              </w:rPr>
            </w:pPr>
          </w:p>
        </w:tc>
        <w:tc>
          <w:tcPr>
            <w:tcW w:w="6100" w:type="dxa"/>
            <w:vAlign w:val="bottom"/>
          </w:tcPr>
          <w:p>
            <w:pPr>
              <w:jc w:val="right"/>
              <w:ind w:right="4234"/>
              <w:spacing w:after="0"/>
              <w:rPr>
                <w:sz w:val="20"/>
                <w:szCs w:val="20"/>
                <w:color w:val="auto"/>
              </w:rPr>
            </w:pPr>
            <w:r>
              <w:rPr>
                <w:rFonts w:ascii="Arial" w:cs="Arial" w:eastAsia="Arial" w:hAnsi="Arial"/>
                <w:sz w:val="17"/>
                <w:szCs w:val="17"/>
                <w:color w:val="auto"/>
              </w:rPr>
              <w:t>41</w:t>
            </w:r>
          </w:p>
        </w:tc>
        <w:tc>
          <w:tcPr>
            <w:tcW w:w="1300" w:type="dxa"/>
            <w:vAlign w:val="bottom"/>
          </w:tcPr>
          <w:p>
            <w:pPr>
              <w:spacing w:after="0"/>
              <w:rPr>
                <w:sz w:val="24"/>
                <w:szCs w:val="24"/>
                <w:color w:val="auto"/>
              </w:rPr>
            </w:pPr>
          </w:p>
        </w:tc>
      </w:tr>
    </w:tbl>
    <w:p>
      <w:pPr>
        <w:sectPr>
          <w:pgSz w:w="11900" w:h="16838" w:orient="portrait"/>
          <w:cols w:equalWidth="0" w:num="1">
            <w:col w:w="11340"/>
          </w:cols>
          <w:pgMar w:left="320" w:top="122" w:right="239" w:bottom="1440" w:gutter="0" w:footer="0" w:header="0"/>
        </w:sectPr>
      </w:pPr>
    </w:p>
    <w:bookmarkStart w:id="40" w:name="page41"/>
    <w:bookmarkEnd w:id="40"/>
    <w:p>
      <w:pPr>
        <w:ind w:left="10240"/>
        <w:spacing w:after="0"/>
        <w:rPr>
          <w:sz w:val="20"/>
          <w:szCs w:val="20"/>
          <w:color w:val="auto"/>
        </w:rPr>
      </w:pPr>
      <w:r>
        <w:rPr>
          <w:rFonts w:ascii="Arial" w:cs="Arial" w:eastAsia="Arial" w:hAnsi="Arial"/>
          <w:sz w:val="16"/>
          <w:szCs w:val="16"/>
          <w:b w:val="1"/>
          <w:bCs w:val="1"/>
          <w:color w:val="auto"/>
        </w:rPr>
        <w:t>EXHIBIT 31.1</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CERTIFICATION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John Rademacher, certify that:</w:t>
      </w:r>
    </w:p>
    <w:p>
      <w:pPr>
        <w:spacing w:after="0" w:line="102" w:lineRule="exact"/>
        <w:rPr>
          <w:sz w:val="20"/>
          <w:szCs w:val="20"/>
          <w:color w:val="auto"/>
        </w:rPr>
      </w:pPr>
    </w:p>
    <w:p>
      <w:pPr>
        <w:ind w:left="340" w:hanging="337"/>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Option Care Health, Inc.;</w:t>
      </w:r>
    </w:p>
    <w:p>
      <w:pPr>
        <w:spacing w:after="0" w:line="88" w:lineRule="exact"/>
        <w:rPr>
          <w:rFonts w:ascii="Arial" w:cs="Arial" w:eastAsia="Arial" w:hAnsi="Arial"/>
          <w:sz w:val="17"/>
          <w:szCs w:val="17"/>
          <w:color w:val="auto"/>
        </w:rPr>
      </w:pPr>
    </w:p>
    <w:p>
      <w:pPr>
        <w:ind w:left="620" w:hanging="617"/>
        <w:spacing w:after="0" w:line="350" w:lineRule="auto"/>
        <w:tabs>
          <w:tab w:leader="none" w:pos="3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83"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620" w:hanging="617"/>
        <w:spacing w:after="0" w:line="26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ind w:left="1240" w:hanging="616"/>
        <w:spacing w:after="0" w:line="268" w:lineRule="auto"/>
        <w:tabs>
          <w:tab w:leader="none" w:pos="1118"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jc w:val="both"/>
        <w:ind w:left="1240" w:hanging="616"/>
        <w:spacing w:after="0" w:line="268" w:lineRule="auto"/>
        <w:tabs>
          <w:tab w:leader="none" w:pos="1203"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7"/>
          <w:szCs w:val="17"/>
          <w:color w:val="auto"/>
        </w:rPr>
      </w:pPr>
    </w:p>
    <w:p>
      <w:pPr>
        <w:ind w:left="1240" w:hanging="616"/>
        <w:spacing w:after="0" w:line="283" w:lineRule="auto"/>
        <w:tabs>
          <w:tab w:leader="none" w:pos="1026"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1240" w:hanging="616"/>
        <w:spacing w:after="0" w:line="268" w:lineRule="auto"/>
        <w:tabs>
          <w:tab w:leader="none" w:pos="1043"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620" w:hanging="617"/>
        <w:spacing w:after="0" w:line="283" w:lineRule="auto"/>
        <w:tabs>
          <w:tab w:leader="none" w:pos="34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7"/>
          <w:szCs w:val="17"/>
          <w:color w:val="auto"/>
        </w:rPr>
      </w:pPr>
    </w:p>
    <w:p>
      <w:pPr>
        <w:ind w:left="1240" w:hanging="616"/>
        <w:spacing w:after="0" w:line="283" w:lineRule="auto"/>
        <w:tabs>
          <w:tab w:leader="none" w:pos="1089"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1240" w:hanging="616"/>
        <w:spacing w:after="0" w:line="283" w:lineRule="auto"/>
        <w:tabs>
          <w:tab w:leader="none" w:pos="1088"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2021</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/s/ John Rademacher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John Rademacher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President, Chief Executive Officer and Principal Executive Officer</w:t>
      </w:r>
    </w:p>
    <w:p>
      <w:pPr>
        <w:sectPr>
          <w:pgSz w:w="11900" w:h="16838" w:orient="portrait"/>
          <w:cols w:equalWidth="0" w:num="1">
            <w:col w:w="11240"/>
          </w:cols>
          <w:pgMar w:left="320" w:top="86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31.2</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CERTIFICATION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Michael Shapiro, certify that:</w:t>
      </w:r>
    </w:p>
    <w:p>
      <w:pPr>
        <w:spacing w:after="0" w:line="102" w:lineRule="exact"/>
        <w:rPr>
          <w:sz w:val="20"/>
          <w:szCs w:val="20"/>
          <w:color w:val="auto"/>
        </w:rPr>
      </w:pPr>
    </w:p>
    <w:p>
      <w:pPr>
        <w:ind w:left="340" w:hanging="337"/>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Option Care Health, Inc.;</w:t>
      </w:r>
    </w:p>
    <w:p>
      <w:pPr>
        <w:spacing w:after="0" w:line="88" w:lineRule="exact"/>
        <w:rPr>
          <w:rFonts w:ascii="Arial" w:cs="Arial" w:eastAsia="Arial" w:hAnsi="Arial"/>
          <w:sz w:val="17"/>
          <w:szCs w:val="17"/>
          <w:color w:val="auto"/>
        </w:rPr>
      </w:pPr>
    </w:p>
    <w:p>
      <w:pPr>
        <w:ind w:left="620" w:hanging="617"/>
        <w:spacing w:after="0" w:line="350" w:lineRule="auto"/>
        <w:tabs>
          <w:tab w:leader="none" w:pos="3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83"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620" w:hanging="617"/>
        <w:spacing w:after="0" w:line="268" w:lineRule="auto"/>
        <w:tabs>
          <w:tab w:leader="none" w:pos="37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7"/>
          <w:szCs w:val="17"/>
          <w:color w:val="auto"/>
        </w:rPr>
      </w:pPr>
    </w:p>
    <w:p>
      <w:pPr>
        <w:ind w:left="1240" w:hanging="616"/>
        <w:spacing w:after="0" w:line="268" w:lineRule="auto"/>
        <w:tabs>
          <w:tab w:leader="none" w:pos="1118"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jc w:val="both"/>
        <w:ind w:left="1240" w:hanging="616"/>
        <w:spacing w:after="0" w:line="268" w:lineRule="auto"/>
        <w:tabs>
          <w:tab w:leader="none" w:pos="1203"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7"/>
          <w:szCs w:val="17"/>
          <w:color w:val="auto"/>
        </w:rPr>
      </w:pPr>
    </w:p>
    <w:p>
      <w:pPr>
        <w:ind w:left="1240" w:hanging="616"/>
        <w:spacing w:after="0" w:line="283" w:lineRule="auto"/>
        <w:tabs>
          <w:tab w:leader="none" w:pos="1026"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1240" w:hanging="616"/>
        <w:spacing w:after="0" w:line="268" w:lineRule="auto"/>
        <w:tabs>
          <w:tab w:leader="none" w:pos="1043"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620" w:hanging="617"/>
        <w:spacing w:after="0" w:line="283" w:lineRule="auto"/>
        <w:tabs>
          <w:tab w:leader="none" w:pos="34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7"/>
          <w:szCs w:val="17"/>
          <w:color w:val="auto"/>
        </w:rPr>
      </w:pPr>
    </w:p>
    <w:p>
      <w:pPr>
        <w:ind w:left="1240" w:hanging="616"/>
        <w:spacing w:after="0" w:line="283" w:lineRule="auto"/>
        <w:tabs>
          <w:tab w:leader="none" w:pos="108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1240" w:hanging="616"/>
        <w:spacing w:after="0" w:line="283" w:lineRule="auto"/>
        <w:tabs>
          <w:tab w:leader="none" w:pos="1088" w:val="left"/>
        </w:tabs>
        <w:numPr>
          <w:ilvl w:val="1"/>
          <w:numId w:val="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 Michael Shapiro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Michael Shapiro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and Principal Financial Officer</w:t>
      </w:r>
    </w:p>
    <w:p>
      <w:pPr>
        <w:sectPr>
          <w:pgSz w:w="11900" w:h="16838" w:orient="portrait"/>
          <w:cols w:equalWidth="0" w:num="1">
            <w:col w:w="11240"/>
          </w:cols>
          <w:pgMar w:left="320" w:top="86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8" w:lineRule="exact"/>
        <w:rPr>
          <w:sz w:val="20"/>
          <w:szCs w:val="20"/>
          <w:color w:val="auto"/>
        </w:rPr>
      </w:pPr>
    </w:p>
    <w:p>
      <w:pPr>
        <w:jc w:val="both"/>
        <w:ind w:firstLine="174"/>
        <w:spacing w:after="0" w:line="268"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September 30, 2021,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3" w:lineRule="exact"/>
        <w:rPr>
          <w:sz w:val="20"/>
          <w:szCs w:val="20"/>
          <w:color w:val="auto"/>
        </w:rPr>
      </w:pPr>
    </w:p>
    <w:p>
      <w:pPr>
        <w:ind w:left="420" w:hanging="417"/>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1" w:lineRule="exact"/>
        <w:rPr>
          <w:rFonts w:ascii="Arial" w:cs="Arial" w:eastAsia="Arial" w:hAnsi="Arial"/>
          <w:sz w:val="17"/>
          <w:szCs w:val="17"/>
          <w:color w:val="auto"/>
        </w:rPr>
      </w:pPr>
    </w:p>
    <w:p>
      <w:pPr>
        <w:ind w:left="380" w:hanging="377"/>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John Rademacher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John Rademacher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President, Chief Executive Officer and Principal Executive Officer</w:t>
      </w:r>
    </w:p>
    <w:p>
      <w:pPr>
        <w:sectPr>
          <w:pgSz w:w="11900" w:h="16838" w:orient="portrait"/>
          <w:cols w:equalWidth="0" w:num="1">
            <w:col w:w="11240"/>
          </w:cols>
          <w:pgMar w:left="320" w:top="85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32.2</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8" w:lineRule="exact"/>
        <w:rPr>
          <w:sz w:val="20"/>
          <w:szCs w:val="20"/>
          <w:color w:val="auto"/>
        </w:rPr>
      </w:pPr>
    </w:p>
    <w:p>
      <w:pPr>
        <w:jc w:val="both"/>
        <w:ind w:firstLine="174"/>
        <w:spacing w:after="0" w:line="268"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September 30, 2021,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43" w:lineRule="exact"/>
        <w:rPr>
          <w:sz w:val="20"/>
          <w:szCs w:val="20"/>
          <w:color w:val="auto"/>
        </w:rPr>
      </w:pPr>
    </w:p>
    <w:p>
      <w:pPr>
        <w:ind w:left="420" w:hanging="417"/>
        <w:spacing w:after="0"/>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1" w:lineRule="exact"/>
        <w:rPr>
          <w:rFonts w:ascii="Arial" w:cs="Arial" w:eastAsia="Arial" w:hAnsi="Arial"/>
          <w:sz w:val="17"/>
          <w:szCs w:val="17"/>
          <w:color w:val="auto"/>
        </w:rPr>
      </w:pPr>
    </w:p>
    <w:p>
      <w:pPr>
        <w:ind w:left="380" w:hanging="377"/>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4,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Michael Shapiro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Michael Shapiro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and Principal Financial Officer</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2021-11-04T16:09:22Z</dcterms:created>
  <dcterms:modified xsi:type="dcterms:W3CDTF">2021-11-04T16:09:22Z</dcterms:modified>
</cp:coreProperties>
</file>