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left"/>
        <w:tblInd w:w="0" w:type="dxa"/>
        <w:tblLayout w:type="fixed"/>
        <w:tblCellMar>
          <w:top w:w="28" w:type="dxa"/>
          <w:left w:w="28" w:type="dxa"/>
          <w:bottom w:w="28" w:type="dxa"/>
          <w:right w:w="28" w:type="dxa"/>
        </w:tblCellMar>
      </w:tblPr>
      <w:tblGrid>
        <w:gridCol w:w="370"/>
        <w:gridCol w:w="325"/>
        <w:gridCol w:w="327"/>
        <w:gridCol w:w="2689"/>
        <w:gridCol w:w="2689"/>
        <w:gridCol w:w="3805"/>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5"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(Mark One)</w:t>
            </w:r>
          </w:p>
        </w:tc>
        <w:tc>
          <w:tcPr>
            <w:tcW w:w="9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For the quarterly period ended March 31, 2026</w:t>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w:t>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For the transition period from     to             </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001-11993</w:t>
      </w:r>
    </w:p>
    <w:p>
      <w:pPr>
        <w:pStyle w:val="TextBody"/>
        <w:bidi w:val="0"/>
        <w:spacing w:before="0" w:after="0"/>
        <w:jc w:val="center"/>
        <w:rPr/>
      </w:pPr>
      <w:r>
        <w:rPr/>
        <w:drawing>
          <wp:inline distT="0" distB="0" distL="0" distR="0">
            <wp:extent cx="190500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7715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OPTION CARE HEALTH, INC.</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(Exact name of registrant as specified in its charter)</w:t>
      </w:r>
    </w:p>
    <w:tbl>
      <w:tblPr>
        <w:tblW w:w="7234" w:type="dxa"/>
        <w:jc w:val="center"/>
        <w:tblInd w:w="0" w:type="dxa"/>
        <w:tblLayout w:type="fixed"/>
        <w:tblCellMar>
          <w:top w:w="28" w:type="dxa"/>
          <w:left w:w="28" w:type="dxa"/>
          <w:bottom w:w="28" w:type="dxa"/>
          <w:right w:w="28" w:type="dxa"/>
        </w:tblCellMar>
      </w:tblPr>
      <w:tblGrid>
        <w:gridCol w:w="549"/>
        <w:gridCol w:w="482"/>
        <w:gridCol w:w="484"/>
        <w:gridCol w:w="329"/>
        <w:gridCol w:w="329"/>
        <w:gridCol w:w="331"/>
        <w:gridCol w:w="429"/>
        <w:gridCol w:w="429"/>
        <w:gridCol w:w="431"/>
        <w:gridCol w:w="148"/>
        <w:gridCol w:w="148"/>
        <w:gridCol w:w="148"/>
        <w:gridCol w:w="109"/>
        <w:gridCol w:w="109"/>
        <w:gridCol w:w="109"/>
        <w:gridCol w:w="778"/>
        <w:gridCol w:w="778"/>
        <w:gridCol w:w="1114"/>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3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05-0489664</w:t>
            </w:r>
          </w:p>
        </w:tc>
      </w:tr>
      <w:tr>
        <w:trPr/>
        <w:tc>
          <w:tcPr>
            <w:tcW w:w="423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 Identification No.)</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3000 Lakeside Dr.</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Suite 300N,</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Bannockburn,</w:t>
            </w:r>
          </w:p>
        </w:tc>
        <w:tc>
          <w:tcPr>
            <w:tcW w:w="4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60015</w:t>
            </w:r>
          </w:p>
        </w:tc>
      </w:tr>
      <w:tr>
        <w:trPr/>
        <w:tc>
          <w:tcPr>
            <w:tcW w:w="423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312-940-2443</w:t>
      </w:r>
    </w:p>
    <w:p>
      <w:pPr>
        <w:pStyle w:val="TextBody"/>
        <w:bidi w:val="0"/>
        <w:spacing w:lineRule="auto" w:line="417" w:before="0" w:after="0"/>
        <w:ind w:left="0" w:right="0" w:firstLine="18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007" w:type="dxa"/>
        <w:jc w:val="center"/>
        <w:tblInd w:w="0" w:type="dxa"/>
        <w:tblLayout w:type="fixed"/>
        <w:tblCellMar>
          <w:top w:w="28" w:type="dxa"/>
          <w:left w:w="28" w:type="dxa"/>
          <w:bottom w:w="28" w:type="dxa"/>
          <w:right w:w="28" w:type="dxa"/>
        </w:tblCellMar>
      </w:tblPr>
      <w:tblGrid>
        <w:gridCol w:w="1189"/>
        <w:gridCol w:w="1042"/>
        <w:gridCol w:w="1053"/>
        <w:gridCol w:w="484"/>
        <w:gridCol w:w="484"/>
        <w:gridCol w:w="486"/>
        <w:gridCol w:w="956"/>
        <w:gridCol w:w="956"/>
        <w:gridCol w:w="1357"/>
      </w:tblGrid>
      <w:tr>
        <w:trPr/>
        <w:tc>
          <w:tcPr>
            <w:tcW w:w="118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OPCH</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 xml:space="preserve">No </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p>
      <w:pPr>
        <w:pStyle w:val="TextBody"/>
        <w:bidi w:val="0"/>
        <w:spacing w:before="0" w:after="0"/>
        <w:jc w:val="both"/>
        <w:rPr/>
      </w:pPr>
      <w:r>
        <w:rPr/>
      </w:r>
    </w:p>
    <w:p>
      <w:pPr>
        <w:pStyle w:val="TextBody"/>
        <w:bidi w:val="0"/>
        <w:spacing w:lineRule="auto" w:line="288" w:before="0" w:after="0"/>
        <w:ind w:left="0" w:right="0" w:firstLine="180"/>
        <w:jc w:val="center"/>
        <w:rPr/>
      </w:pPr>
      <w:r>
        <w:rPr>
          <w:rFonts w:ascii="Times New Roman;serif" w:hAnsi="Times New Roman;serif"/>
          <w:b w:val="false"/>
          <w:color w:val="000000"/>
          <w:sz w:val="18"/>
        </w:rPr>
        <w:t>Large accelerated filer </w:t>
      </w:r>
      <w:r>
        <w:rPr>
          <w:color w:val="000000"/>
        </w:rPr>
        <w:t>☑     </w:t>
      </w:r>
      <w:r>
        <w:rPr>
          <w:rFonts w:ascii="Times New Roman;serif" w:hAnsi="Times New Roman;serif"/>
          <w:b w:val="false"/>
          <w:color w:val="000000"/>
          <w:sz w:val="18"/>
        </w:rPr>
        <w:t>Accelerated filer </w:t>
      </w:r>
      <w:r>
        <w:rPr>
          <w:color w:val="000000"/>
        </w:rPr>
        <w:t>☐     </w:t>
      </w:r>
      <w:r>
        <w:rPr>
          <w:rFonts w:ascii="Times New Roman;serif" w:hAnsi="Times New Roman;serif"/>
          <w:b w:val="false"/>
          <w:color w:val="000000"/>
          <w:sz w:val="18"/>
        </w:rPr>
        <w:t>Non-accelerated filer </w:t>
      </w:r>
      <w:r>
        <w:rPr>
          <w:color w:val="000000"/>
        </w:rPr>
        <w:t>☐      </w:t>
      </w:r>
      <w:r>
        <w:rPr>
          <w:rFonts w:ascii="Times New Roman;serif" w:hAnsi="Times New Roman;serif"/>
          <w:b w:val="false"/>
          <w:color w:val="000000"/>
          <w:sz w:val="18"/>
        </w:rPr>
        <w:t>Smaller reporting company </w:t>
      </w:r>
      <w:r>
        <w:rPr>
          <w:color w:val="000000"/>
        </w:rPr>
        <w:t xml:space="preserve">☐ </w:t>
      </w:r>
      <w:r>
        <w:rPr>
          <w:rFonts w:ascii="Times New Roman;serif" w:hAnsi="Times New Roman;serif"/>
          <w:b w:val="false"/>
          <w:color w:val="000000"/>
          <w:sz w:val="18"/>
        </w:rPr>
        <w:t>Emerging growth company </w:t>
      </w:r>
      <w:r>
        <w:rPr>
          <w:color w:val="000000"/>
        </w:rPr>
        <w:t>☐</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April 28, 2026, there were 157,027,504 shares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60"/>
        <w:jc w:val="center"/>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52" w:type="dxa"/>
        <w:jc w:val="center"/>
        <w:tblInd w:w="0" w:type="dxa"/>
        <w:tblLayout w:type="fixed"/>
        <w:tblCellMar>
          <w:top w:w="28" w:type="dxa"/>
          <w:left w:w="28" w:type="dxa"/>
          <w:bottom w:w="28" w:type="dxa"/>
          <w:right w:w="28" w:type="dxa"/>
        </w:tblCellMar>
      </w:tblPr>
      <w:tblGrid>
        <w:gridCol w:w="456"/>
        <w:gridCol w:w="399"/>
        <w:gridCol w:w="406"/>
        <w:gridCol w:w="2163"/>
        <w:gridCol w:w="2163"/>
        <w:gridCol w:w="2169"/>
        <w:gridCol w:w="233"/>
        <w:gridCol w:w="233"/>
        <w:gridCol w:w="330"/>
      </w:tblGrid>
      <w:tr>
        <w:trPr/>
        <w:tc>
          <w:tcPr>
            <w:tcW w:w="4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br/>
              <w:t>Number</w:t>
            </w:r>
          </w:p>
        </w:tc>
      </w:tr>
      <w:tr>
        <w:trPr/>
        <w:tc>
          <w:tcPr>
            <w:tcW w:w="8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PART I</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6">
              <w:r>
                <w:rPr>
                  <w:rStyle w:val="InternetLink"/>
                  <w:rFonts w:ascii="Times New Roman;serif" w:hAnsi="Times New Roman;serif"/>
                  <w:b w:val="false"/>
                  <w:color w:val="0000FF"/>
                  <w:sz w:val="18"/>
                  <w:u w:val="single"/>
                </w:rPr>
                <w:t>Item 1.</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6">
              <w:r>
                <w:rPr>
                  <w:rStyle w:val="InternetLink"/>
                  <w:rFonts w:ascii="Times New Roman;serif" w:hAnsi="Times New Roman;serif"/>
                  <w:b w:val="false"/>
                  <w:color w:val="0000FF"/>
                  <w:sz w:val="18"/>
                  <w:u w:val="single"/>
                </w:rPr>
                <w:t>Financial Statements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631ee56d0b4b9a8057432c452f4435_16">
              <w:r>
                <w:rPr>
                  <w:rStyle w:val="InternetLink"/>
                  <w:rFonts w:ascii="Times New Roman;serif" w:hAnsi="Times New Roman;serif"/>
                  <w:b w:val="false"/>
                  <w:color w:val="0000FF"/>
                  <w:sz w:val="18"/>
                  <w:u w:val="single"/>
                </w:rPr>
                <w:t>4</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9">
              <w:r>
                <w:rPr>
                  <w:rStyle w:val="InternetLink"/>
                  <w:rFonts w:ascii="Times New Roman;serif" w:hAnsi="Times New Roman;serif"/>
                  <w:b w:val="false"/>
                  <w:color w:val="0000FF"/>
                  <w:sz w:val="18"/>
                  <w:u w:val="single"/>
                </w:rPr>
                <w:t>Condensed Consolidated Balance Sheets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631ee56d0b4b9a8057432c452f4435_19">
              <w:r>
                <w:rPr>
                  <w:rStyle w:val="InternetLink"/>
                  <w:rFonts w:ascii="Times New Roman;serif" w:hAnsi="Times New Roman;serif"/>
                  <w:b w:val="false"/>
                  <w:color w:val="0000FF"/>
                  <w:sz w:val="18"/>
                  <w:u w:val="single"/>
                </w:rPr>
                <w:t>5</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22">
              <w:r>
                <w:rPr>
                  <w:rStyle w:val="InternetLink"/>
                  <w:rFonts w:ascii="Times New Roman;serif" w:hAnsi="Times New Roman;serif"/>
                  <w:b w:val="false"/>
                  <w:color w:val="0000FF"/>
                  <w:sz w:val="18"/>
                  <w:u w:val="single"/>
                </w:rPr>
                <w:t>Unaudited Condensed Consolidated Statements of Comprehensive Income</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631ee56d0b4b9a8057432c452f4435_22">
              <w:r>
                <w:rPr>
                  <w:rStyle w:val="InternetLink"/>
                  <w:rFonts w:ascii="Times New Roman;serif" w:hAnsi="Times New Roman;serif"/>
                  <w:b w:val="false"/>
                  <w:color w:val="0000FF"/>
                  <w:sz w:val="18"/>
                  <w:u w:val="single"/>
                </w:rPr>
                <w:t>6</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25">
              <w:r>
                <w:rPr>
                  <w:rStyle w:val="InternetLink"/>
                  <w:rFonts w:ascii="Times New Roman;serif" w:hAnsi="Times New Roman;serif"/>
                  <w:b w:val="false"/>
                  <w:color w:val="0000FF"/>
                  <w:sz w:val="18"/>
                  <w:u w:val="single"/>
                </w:rPr>
                <w:t>Unaudited Condensed Consolidated Statements of Cash Flows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631ee56d0b4b9a8057432c452f4435_25">
              <w:r>
                <w:rPr>
                  <w:rStyle w:val="InternetLink"/>
                  <w:rFonts w:ascii="Times New Roman;serif" w:hAnsi="Times New Roman;serif"/>
                  <w:b w:val="false"/>
                  <w:color w:val="0000FF"/>
                  <w:sz w:val="18"/>
                  <w:u w:val="single"/>
                </w:rPr>
                <w:t>7</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28">
              <w:r>
                <w:rPr>
                  <w:rStyle w:val="InternetLink"/>
                  <w:rFonts w:ascii="Times New Roman;serif" w:hAnsi="Times New Roman;serif"/>
                  <w:b w:val="false"/>
                  <w:color w:val="0000FF"/>
                  <w:sz w:val="18"/>
                  <w:u w:val="single"/>
                </w:rPr>
                <w:t>Unaudited Condensed Consolidated Statements of Stockholders’ Equity</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631ee56d0b4b9a8057432c452f4435_28">
              <w:r>
                <w:rPr>
                  <w:rStyle w:val="InternetLink"/>
                  <w:rFonts w:ascii="Times New Roman;serif" w:hAnsi="Times New Roman;serif"/>
                  <w:b w:val="false"/>
                  <w:color w:val="0000FF"/>
                  <w:sz w:val="18"/>
                  <w:u w:val="single"/>
                </w:rPr>
                <w:t>8</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31">
              <w:r>
                <w:rPr>
                  <w:rStyle w:val="InternetLink"/>
                  <w:rFonts w:ascii="Times New Roman;serif" w:hAnsi="Times New Roman;serif"/>
                  <w:b w:val="false"/>
                  <w:color w:val="0000FF"/>
                  <w:sz w:val="18"/>
                  <w:u w:val="single"/>
                </w:rPr>
                <w:t>Notes to Unaudited Condensed Consolidated Financial Statements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631ee56d0b4b9a8057432c452f4435_31">
              <w:r>
                <w:rPr>
                  <w:rStyle w:val="InternetLink"/>
                  <w:rFonts w:ascii="Times New Roman;serif" w:hAnsi="Times New Roman;serif"/>
                  <w:b w:val="false"/>
                  <w:color w:val="0000FF"/>
                  <w:sz w:val="18"/>
                  <w:u w:val="single"/>
                </w:rPr>
                <w:t>9</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88">
              <w:r>
                <w:rPr>
                  <w:rStyle w:val="InternetLink"/>
                  <w:rFonts w:ascii="Times New Roman;serif" w:hAnsi="Times New Roman;serif"/>
                  <w:b w:val="false"/>
                  <w:color w:val="0000FF"/>
                  <w:sz w:val="18"/>
                  <w:u w:val="single"/>
                </w:rPr>
                <w:t>Item 2.</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88">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631ee56d0b4b9a8057432c452f4435_88">
              <w:r>
                <w:rPr>
                  <w:rStyle w:val="InternetLink"/>
                  <w:rFonts w:ascii="Times New Roman;serif" w:hAnsi="Times New Roman;serif"/>
                  <w:b w:val="false"/>
                  <w:color w:val="0000FF"/>
                  <w:sz w:val="18"/>
                  <w:u w:val="single"/>
                </w:rPr>
                <w:t>21</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09">
              <w:r>
                <w:rPr>
                  <w:rStyle w:val="InternetLink"/>
                  <w:rFonts w:ascii="Times New Roman;serif" w:hAnsi="Times New Roman;serif"/>
                  <w:b w:val="false"/>
                  <w:color w:val="0000FF"/>
                  <w:sz w:val="18"/>
                  <w:u w:val="single"/>
                </w:rPr>
                <w:t>Item 3.</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09">
              <w:r>
                <w:rPr>
                  <w:rStyle w:val="InternetLink"/>
                  <w:rFonts w:ascii="Times New Roman;serif" w:hAnsi="Times New Roman;serif"/>
                  <w:b w:val="false"/>
                  <w:color w:val="0000FF"/>
                  <w:sz w:val="18"/>
                  <w:u w:val="single"/>
                </w:rPr>
                <w:t>Quantitative and Qualitative Disclosures About Market Risk</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631ee56d0b4b9a8057432c452f4435_109">
              <w:r>
                <w:rPr>
                  <w:rStyle w:val="InternetLink"/>
                  <w:rFonts w:ascii="Times New Roman;serif" w:hAnsi="Times New Roman;serif"/>
                  <w:b w:val="false"/>
                  <w:color w:val="0000FF"/>
                  <w:sz w:val="18"/>
                  <w:u w:val="single"/>
                </w:rPr>
                <w:t>29</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12">
              <w:r>
                <w:rPr>
                  <w:rStyle w:val="InternetLink"/>
                  <w:rFonts w:ascii="Times New Roman;serif" w:hAnsi="Times New Roman;serif"/>
                  <w:b w:val="false"/>
                  <w:color w:val="0000FF"/>
                  <w:sz w:val="18"/>
                  <w:u w:val="single"/>
                </w:rPr>
                <w:t>Item 4.</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12">
              <w:r>
                <w:rPr>
                  <w:rStyle w:val="InternetLink"/>
                  <w:rFonts w:ascii="Times New Roman;serif" w:hAnsi="Times New Roman;serif"/>
                  <w:b w:val="false"/>
                  <w:color w:val="0000FF"/>
                  <w:sz w:val="18"/>
                  <w:u w:val="single"/>
                </w:rPr>
                <w:t>Controls and Procedures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631ee56d0b4b9a8057432c452f4435_112">
              <w:r>
                <w:rPr>
                  <w:rStyle w:val="InternetLink"/>
                  <w:rFonts w:ascii="Times New Roman;serif" w:hAnsi="Times New Roman;serif"/>
                  <w:b w:val="false"/>
                  <w:color w:val="0000FF"/>
                  <w:sz w:val="18"/>
                  <w:u w:val="single"/>
                </w:rPr>
                <w:t>29</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PART II</w:t>
            </w:r>
            <w:r>
              <w:rPr>
                <w:color w:val="000000"/>
              </w:rPr>
              <w:t> </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18">
              <w:r>
                <w:rPr>
                  <w:rStyle w:val="InternetLink"/>
                  <w:rFonts w:ascii="Times New Roman;serif" w:hAnsi="Times New Roman;serif"/>
                  <w:b w:val="false"/>
                  <w:color w:val="0000FF"/>
                  <w:sz w:val="18"/>
                  <w:u w:val="single"/>
                </w:rPr>
                <w:t>Item 1.</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18">
              <w:r>
                <w:rPr>
                  <w:rStyle w:val="InternetLink"/>
                  <w:rFonts w:ascii="Times New Roman;serif" w:hAnsi="Times New Roman;serif"/>
                  <w:b w:val="false"/>
                  <w:color w:val="0000FF"/>
                  <w:sz w:val="18"/>
                  <w:u w:val="single"/>
                </w:rPr>
                <w:t>Legal Proceedings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631ee56d0b4b9a8057432c452f4435_118">
              <w:r>
                <w:rPr>
                  <w:rStyle w:val="InternetLink"/>
                  <w:rFonts w:ascii="Times New Roman;serif" w:hAnsi="Times New Roman;serif"/>
                  <w:b w:val="false"/>
                  <w:color w:val="0000FF"/>
                  <w:sz w:val="18"/>
                  <w:u w:val="single"/>
                </w:rPr>
                <w:t>30</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21">
              <w:r>
                <w:rPr>
                  <w:rStyle w:val="InternetLink"/>
                  <w:rFonts w:ascii="Times New Roman;serif" w:hAnsi="Times New Roman;serif"/>
                  <w:b w:val="false"/>
                  <w:color w:val="0000FF"/>
                  <w:sz w:val="18"/>
                  <w:u w:val="single"/>
                </w:rPr>
                <w:t>Item 1A.</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21">
              <w:r>
                <w:rPr>
                  <w:rStyle w:val="InternetLink"/>
                  <w:rFonts w:ascii="Times New Roman;serif" w:hAnsi="Times New Roman;serif"/>
                  <w:b w:val="false"/>
                  <w:color w:val="0000FF"/>
                  <w:sz w:val="18"/>
                  <w:u w:val="single"/>
                </w:rPr>
                <w:t>Risk Factors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631ee56d0b4b9a8057432c452f4435_121">
              <w:r>
                <w:rPr>
                  <w:rStyle w:val="InternetLink"/>
                  <w:rFonts w:ascii="Times New Roman;serif" w:hAnsi="Times New Roman;serif"/>
                  <w:b w:val="false"/>
                  <w:color w:val="0000FF"/>
                  <w:sz w:val="18"/>
                  <w:u w:val="single"/>
                </w:rPr>
                <w:t>30</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24">
              <w:r>
                <w:rPr>
                  <w:rStyle w:val="InternetLink"/>
                  <w:rFonts w:ascii="Times New Roman;serif" w:hAnsi="Times New Roman;serif"/>
                  <w:b w:val="false"/>
                  <w:color w:val="0000FF"/>
                  <w:sz w:val="18"/>
                  <w:u w:val="single"/>
                </w:rPr>
                <w:t>Item 2.</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24">
              <w:r>
                <w:rPr>
                  <w:rStyle w:val="InternetLink"/>
                  <w:rFonts w:ascii="Times New Roman;serif" w:hAnsi="Times New Roman;serif"/>
                  <w:b w:val="false"/>
                  <w:color w:val="0000FF"/>
                  <w:sz w:val="18"/>
                  <w:u w:val="single"/>
                </w:rPr>
                <w:t>Unregistered Sales of Equity Securities and Use of Proceeds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631ee56d0b4b9a8057432c452f4435_124">
              <w:r>
                <w:rPr>
                  <w:rStyle w:val="InternetLink"/>
                  <w:rFonts w:ascii="Times New Roman;serif" w:hAnsi="Times New Roman;serif"/>
                  <w:b w:val="false"/>
                  <w:color w:val="0000FF"/>
                  <w:sz w:val="18"/>
                  <w:u w:val="single"/>
                </w:rPr>
                <w:t>30</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27">
              <w:r>
                <w:rPr>
                  <w:rStyle w:val="InternetLink"/>
                  <w:rFonts w:ascii="Times New Roman;serif" w:hAnsi="Times New Roman;serif"/>
                  <w:b w:val="false"/>
                  <w:color w:val="0000FF"/>
                  <w:sz w:val="18"/>
                  <w:u w:val="single"/>
                </w:rPr>
                <w:t>Item 5.</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27">
              <w:r>
                <w:rPr>
                  <w:rStyle w:val="InternetLink"/>
                  <w:rFonts w:ascii="Times New Roman;serif" w:hAnsi="Times New Roman;serif"/>
                  <w:b w:val="false"/>
                  <w:color w:val="0000FF"/>
                  <w:sz w:val="18"/>
                  <w:u w:val="single"/>
                </w:rPr>
                <w:t>Other Information</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631ee56d0b4b9a8057432c452f4435_127">
              <w:r>
                <w:rPr>
                  <w:rStyle w:val="InternetLink"/>
                  <w:rFonts w:ascii="Times New Roman;serif" w:hAnsi="Times New Roman;serif"/>
                  <w:b w:val="false"/>
                  <w:color w:val="0000FF"/>
                  <w:sz w:val="18"/>
                  <w:u w:val="single"/>
                </w:rPr>
                <w:t>30</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30">
              <w:r>
                <w:rPr>
                  <w:rStyle w:val="InternetLink"/>
                  <w:rFonts w:ascii="Times New Roman;serif" w:hAnsi="Times New Roman;serif"/>
                  <w:b w:val="false"/>
                  <w:color w:val="0000FF"/>
                  <w:sz w:val="18"/>
                  <w:u w:val="single"/>
                </w:rPr>
                <w:t>Item 6.</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30">
              <w:r>
                <w:rPr>
                  <w:rStyle w:val="InternetLink"/>
                  <w:rFonts w:ascii="Times New Roman;serif" w:hAnsi="Times New Roman;serif"/>
                  <w:b w:val="false"/>
                  <w:color w:val="0000FF"/>
                  <w:sz w:val="18"/>
                  <w:u w:val="single"/>
                </w:rPr>
                <w:t>Exhibits</w:t>
              </w:r>
            </w:hyperlink>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631ee56d0b4b9a8057432c452f4435_130">
              <w:r>
                <w:rPr>
                  <w:rStyle w:val="InternetLink"/>
                  <w:rFonts w:ascii="Times New Roman;serif" w:hAnsi="Times New Roman;serif"/>
                  <w:b w:val="false"/>
                  <w:color w:val="0000FF"/>
                  <w:sz w:val="18"/>
                  <w:u w:val="single"/>
                </w:rPr>
                <w:t>31</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631ee56d0b4b9a8057432c452f4435_133">
              <w:r>
                <w:rPr>
                  <w:rStyle w:val="InternetLink"/>
                  <w:rFonts w:ascii="Times New Roman;serif" w:hAnsi="Times New Roman;serif"/>
                  <w:b w:val="false"/>
                  <w:color w:val="0000FF"/>
                  <w:sz w:val="18"/>
                  <w:u w:val="single"/>
                </w:rPr>
                <w:t>SIGNATURES</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631ee56d0b4b9a8057432c452f4435_133">
              <w:r>
                <w:rPr>
                  <w:rStyle w:val="InternetLink"/>
                  <w:rFonts w:ascii="Times New Roman;serif" w:hAnsi="Times New Roman;serif"/>
                  <w:b w:val="false"/>
                  <w:color w:val="0000FF"/>
                  <w:sz w:val="18"/>
                  <w:u w:val="singl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Unless the context requires otherwise, references in this Quarterly Report on Form 10-Q (this “Form 10-Q”) to “Option Care Health,” the “Company,” “we,” “us” and “our” refer to Option Care Health, Inc. and its consolidated subsidiaries.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Form 10-Q includes forward-looking statements within the meaning of the safe harbor provisions of the U.S. Private Securities Litigation Reform Act of 1995, including, without limitation, statements concerning our expectations regarding industry and macroeconomic trends and our operating performance. Forward-looking statements can be identified by words such as: “anticipate,” “intend,” “plan,” “believe,” “project,” “estimate,” “expect,” “may,” “should,” “will” and similar references to future periods.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Forward-looking statements are neither historical facts nor assurances of future performance. Instead, they are based only on the Company’s current beliefs, expectations and assumptions regarding the future of its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the Company’s control. If any of these risks materialize, or if any of the assumptions underlying forward-looking statements prove incorrect, actual results and developments may differ materially from those made in or suggested by the forward-looking statements contained in this Form 10-Q. Important factors that could cause the Company’s actual results and financial condition to differ materially from those indicated in the forward-looking statements include, among others, those set forth in Item 1A, “Risk Factors,” of Part I of our Annual Report on Form 10-K for the year ended December 31, 2025 (our “Form 10-K”) filed with the U.S. Securities and Exchange Commission (the “SEC”). Although the Company has attempted to identify important risk factors, there may be other risk factors not presently known to the Company or that the Company presently believes are not material that could cause actual results and developments to differ materially from those made in or suggested by the forward-looking statements contained in this Form 10-Q. The Company cautions you against relying on any forward-looking statements, which should also be read in conjunction with the other cautionary statements that are included elsewhere in this Form 10-Q. Any forward-looking statement made by the Company in this Form 10-Q speaks only as of the date hereof. The Company undertakes no obligation to publicly update or to revise any forward-looking statement, whether as a result of new information, future developments or otherwise,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e631ee56d0b4b9a8057432c452f443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pPr>
      <w:r>
        <w:rPr>
          <w:rFonts w:ascii="Times New Roman;serif" w:hAnsi="Times New Roman;serif"/>
          <w:b/>
          <w:color w:val="000000"/>
          <w:sz w:val="20"/>
        </w:rPr>
        <w:t>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e631ee56d0b4b9a8057432c452f443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CARE HEALTH,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SHARES AND PER SHARE AMOUNTS)</w:t>
      </w:r>
    </w:p>
    <w:tbl>
      <w:tblPr>
        <w:tblW w:w="10205" w:type="dxa"/>
        <w:jc w:val="center"/>
        <w:tblInd w:w="0" w:type="dxa"/>
        <w:tblLayout w:type="fixed"/>
        <w:tblCellMar>
          <w:top w:w="28" w:type="dxa"/>
          <w:left w:w="28" w:type="dxa"/>
          <w:bottom w:w="28" w:type="dxa"/>
          <w:right w:w="28" w:type="dxa"/>
        </w:tblCellMar>
      </w:tblPr>
      <w:tblGrid>
        <w:gridCol w:w="2916"/>
        <w:gridCol w:w="2186"/>
        <w:gridCol w:w="2204"/>
        <w:gridCol w:w="202"/>
        <w:gridCol w:w="901"/>
        <w:gridCol w:w="112"/>
        <w:gridCol w:w="109"/>
        <w:gridCol w:w="109"/>
        <w:gridCol w:w="109"/>
        <w:gridCol w:w="217"/>
        <w:gridCol w:w="965"/>
        <w:gridCol w:w="175"/>
      </w:tblGrid>
      <w:tr>
        <w:trPr/>
        <w:tc>
          <w:tcPr>
            <w:tcW w:w="291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232,624 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473,566 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471,149 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1,195,107 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1,264,968 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ASSETS: </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139,236 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Referral sources, net</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287,281 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1,606,743 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1,606,743 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assets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2,184,993 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2,190,801 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ASSETS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3,380,100 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3,455,769 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545,016 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639,829 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employee benefits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70,414 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88,329 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liability</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23,996 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729,745 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829,348 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discount, deferred financing costs and current portion</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1,153,040 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1,154,052 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net of current portion</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88,519 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1,299,286 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1,300,028 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2,029,031 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2,129,376 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STOCKHOLDERS’ EQUITY: </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12,500,000 shares authorized, no shares outstanding as of March 31, 2026 and December 31, 2025</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250,000,000 shares authorized, 185,181,961 shares issued and 156,988,358 shares outstanding as of March 31, 2026; 184,522,423 shares issued and 156,857,801 shares outstanding as of December 31, 2025</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28,193,603 and 27,664,622 shares outstanding, at cost, as of March 31, 2026 and December 31, 2025, respectively</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(835,740)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(818,201)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1,261,153 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1,263,549 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922,264 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876,921 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1,351,069 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1,326,393 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3,380,100 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3,455,769 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e631ee56d0b4b9a8057432c452f443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CARE HEALTH,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INCOME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616"/>
        <w:gridCol w:w="2211"/>
        <w:gridCol w:w="2216"/>
        <w:gridCol w:w="196"/>
        <w:gridCol w:w="871"/>
        <w:gridCol w:w="109"/>
        <w:gridCol w:w="109"/>
        <w:gridCol w:w="109"/>
        <w:gridCol w:w="109"/>
        <w:gridCol w:w="196"/>
        <w:gridCol w:w="871"/>
        <w:gridCol w:w="109"/>
        <w:gridCol w:w="109"/>
        <w:gridCol w:w="109"/>
        <w:gridCol w:w="109"/>
        <w:gridCol w:w="156"/>
      </w:tblGrid>
      <w:tr>
        <w:trPr/>
        <w:tc>
          <w:tcPr>
            <w:tcW w:w="2616"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unrealized (loss) gain on cash flow hedges, net of income tax benefit of $239 and $783, respectively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COMPREHENSIVE INCOME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COMMON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diluted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diluted</w:t>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158,209 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166,804 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e631ee56d0b4b9a8057432c452f4435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CARE HEALTH,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tbl>
      <w:tblPr>
        <w:tblW w:w="8064" w:type="dxa"/>
        <w:jc w:val="center"/>
        <w:tblInd w:w="0" w:type="dxa"/>
        <w:tblLayout w:type="fixed"/>
        <w:tblCellMar>
          <w:top w:w="28" w:type="dxa"/>
          <w:left w:w="28" w:type="dxa"/>
          <w:bottom w:w="28" w:type="dxa"/>
          <w:right w:w="28" w:type="dxa"/>
        </w:tblCellMar>
      </w:tblPr>
      <w:tblGrid>
        <w:gridCol w:w="1974"/>
        <w:gridCol w:w="1733"/>
        <w:gridCol w:w="1737"/>
        <w:gridCol w:w="209"/>
        <w:gridCol w:w="787"/>
        <w:gridCol w:w="116"/>
        <w:gridCol w:w="116"/>
        <w:gridCol w:w="116"/>
        <w:gridCol w:w="116"/>
        <w:gridCol w:w="209"/>
        <w:gridCol w:w="787"/>
        <w:gridCol w:w="164"/>
      </w:tblGrid>
      <w:tr>
        <w:trPr/>
        <w:tc>
          <w:tcPr>
            <w:tcW w:w="1974"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used in operating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incentive compensation expense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(42,870)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(93,246)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(88,101)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employee benefits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and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(7,214)</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and equipment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acquisitions, net of cash acquired</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(117,322)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investing activities </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(126,693)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tax withholdings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stock, and related excise taxes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(100,222)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debt principal</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costs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(33,873)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(107,286)</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(55,303)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(241,193)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period</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412,565 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177,321 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171,372 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operating leases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CARE HEALTH,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STATEMENTS OF STOCKHOLDERS’ EQUITY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w:t>
      </w:r>
    </w:p>
    <w:tbl>
      <w:tblPr>
        <w:tblW w:w="10600" w:type="dxa"/>
        <w:jc w:val="center"/>
        <w:tblInd w:w="0" w:type="dxa"/>
        <w:tblLayout w:type="fixed"/>
        <w:tblCellMar>
          <w:top w:w="28" w:type="dxa"/>
          <w:left w:w="28" w:type="dxa"/>
          <w:bottom w:w="28" w:type="dxa"/>
          <w:right w:w="28" w:type="dxa"/>
        </w:tblCellMar>
      </w:tblPr>
      <w:tblGrid>
        <w:gridCol w:w="582"/>
        <w:gridCol w:w="301"/>
        <w:gridCol w:w="303"/>
        <w:gridCol w:w="227"/>
        <w:gridCol w:w="471"/>
        <w:gridCol w:w="128"/>
        <w:gridCol w:w="109"/>
        <w:gridCol w:w="109"/>
        <w:gridCol w:w="109"/>
        <w:gridCol w:w="254"/>
        <w:gridCol w:w="429"/>
        <w:gridCol w:w="143"/>
        <w:gridCol w:w="109"/>
        <w:gridCol w:w="109"/>
        <w:gridCol w:w="109"/>
        <w:gridCol w:w="196"/>
        <w:gridCol w:w="751"/>
        <w:gridCol w:w="109"/>
        <w:gridCol w:w="109"/>
        <w:gridCol w:w="109"/>
        <w:gridCol w:w="109"/>
        <w:gridCol w:w="196"/>
        <w:gridCol w:w="871"/>
        <w:gridCol w:w="109"/>
        <w:gridCol w:w="109"/>
        <w:gridCol w:w="109"/>
        <w:gridCol w:w="109"/>
        <w:gridCol w:w="196"/>
        <w:gridCol w:w="736"/>
        <w:gridCol w:w="109"/>
        <w:gridCol w:w="109"/>
        <w:gridCol w:w="109"/>
        <w:gridCol w:w="109"/>
        <w:gridCol w:w="269"/>
        <w:gridCol w:w="887"/>
        <w:gridCol w:w="150"/>
        <w:gridCol w:w="109"/>
        <w:gridCol w:w="109"/>
        <w:gridCol w:w="109"/>
        <w:gridCol w:w="196"/>
        <w:gridCol w:w="871"/>
        <w:gridCol w:w="154"/>
      </w:tblGrid>
      <w:tr>
        <w:trPr/>
        <w:tc>
          <w:tcPr>
            <w:tcW w:w="5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December 31, 2024</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vesting of restricted stock, and related tax withholdings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incentive compensation</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stock, and related tax effects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March 31, 2025</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(608,711)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December 31, 2025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vesting of restricted stock, and related tax withholdings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incentive compensation</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stock, and related tax effects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March 31, 2026</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(835,740)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1,351,069 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CARE HEALTH, INC.</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1. NATURE OF OPERATIONS AND PRESENTATION OF FINANCIAL STATEMENTS</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Corporate Organization and Business </w:t>
      </w:r>
      <w:r>
        <w:rPr>
          <w:color w:val="000000"/>
        </w:rPr>
        <w:t xml:space="preserve">— </w:t>
      </w:r>
      <w:r>
        <w:rPr>
          <w:rFonts w:ascii="Times New Roman;serif" w:hAnsi="Times New Roman;serif"/>
          <w:b w:val="false"/>
          <w:color w:val="000000"/>
          <w:sz w:val="20"/>
        </w:rPr>
        <w:t>Option Care Health, and its wholly-owned subsidiaries, provide infusion therapy and other ancillary health care services through a national network of 87 full service pharmacies, including 73 with ambulatory infusion suites. Additionally, the Company has 111 stand-alone ambulatory infusion suites, including 28 with advanced practitioner capabilities.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 The Company’s stock is listed on the Nasdaq Global Select Market as of March 31, 2026, under the stock ticker OPCH.</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Basis of Presentation </w:t>
      </w:r>
      <w:r>
        <w:rPr>
          <w:color w:val="000000"/>
        </w:rPr>
        <w:t xml:space="preserve">— </w:t>
      </w:r>
      <w:r>
        <w:rPr>
          <w:rFonts w:ascii="Times New Roman;serif" w:hAnsi="Times New Roman;serif"/>
          <w:b w:val="false"/>
          <w:color w:val="000000"/>
          <w:sz w:val="20"/>
        </w:rPr>
        <w:t>The accompanying unaudited condensed consolidated financial statements have been prepared in conformity with generally 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2025 audited consolidated financial statements, including the notes thereto, as presented in our Form 10-K.</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Principles of Consolidation </w:t>
      </w:r>
      <w:r>
        <w:rPr>
          <w:color w:val="000000"/>
        </w:rPr>
        <w:t xml:space="preserve">— </w:t>
      </w:r>
      <w:r>
        <w:rPr>
          <w:rFonts w:ascii="Times New Roman;serif" w:hAnsi="Times New Roman;serif"/>
          <w:b w:val="false"/>
          <w:color w:val="000000"/>
          <w:sz w:val="20"/>
        </w:rPr>
        <w:t>The Company’s unaudited condensed consolidated financial statements include the accounts of Option Care Health, Inc. and its subsidiaries. All intercompany transactions and balances are eliminated in consolidation.</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The Company has investments in companies that are 50% owned and are accounted for as equity-method investments. The Company’s share of earnings from equity-method investments is included in the line entitled “Equity in earnings of joint ventures” in the unaudited condensed consolidated statements of comprehensive income. See “Equity-Method Investments” within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for further discussion of the Company’s equity-method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Cash and Cash Equivalents </w:t>
      </w:r>
      <w:r>
        <w:rPr>
          <w:color w:val="000000"/>
        </w:rPr>
        <w:t xml:space="preserve">— </w:t>
      </w:r>
      <w:r>
        <w:rPr>
          <w:rFonts w:ascii="Times New Roman;serif" w:hAnsi="Times New Roman;serif"/>
          <w:b w:val="false"/>
          <w:color w:val="000000"/>
          <w:sz w:val="20"/>
        </w:rPr>
        <w:t>The Company considers all highly liquid investments with original maturities of three months or less to be cash equivalents. As of March 31, 2026, cash equivalents consisted of money market funds.</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Accounts Receivable — </w:t>
      </w:r>
      <w:r>
        <w:rPr>
          <w:rFonts w:ascii="Times New Roman;serif" w:hAnsi="Times New Roman;serif"/>
          <w:b w:val="false"/>
          <w:color w:val="000000"/>
          <w:sz w:val="20"/>
        </w:rPr>
        <w:t>The Company’s accounts receivable are reported at the net realizable value that reflects the consideration the Company expects to receive in exchange for providing services, which is inclusive of adjustments for price concessions. The majority of accounts receivable are due from commercial payers.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Included in accounts receivable are earned but unbilled gross receivables of $142.4 million and $155.1 million as of March 31, 2026 and December 31, 2025, respectively. As revenue and the associated receivable are recognized upon delivery of the goods, there may be delays between delivery and therapy administration. Billings occur after therapy administration. Subsequent billing delays can range from one day up to several weeks due to the timing of therapy administration, the timing of obtaining certain required payer-specific documentation from internal and external sources, and payer-specific billing requirements which may delay billing until therapy completion.</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Prepaid Expenses and Other Current Assets </w:t>
      </w:r>
      <w:r>
        <w:rPr>
          <w:color w:val="000000"/>
        </w:rPr>
        <w:t xml:space="preserve">— </w:t>
      </w:r>
      <w:r>
        <w:rPr>
          <w:rFonts w:ascii="Times New Roman;serif" w:hAnsi="Times New Roman;serif"/>
          <w:b w:val="false"/>
          <w:color w:val="000000"/>
          <w:sz w:val="20"/>
        </w:rPr>
        <w:t>Included in prepaid expenses and other current assets are volume-based rebates receivable from pharmaceutical and medical supply manufacturers of $41.0 million and $35.3 million as of March 31, 2026 and December 31, 2025, respectively.</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Equity-Method Investments </w:t>
      </w:r>
      <w:r>
        <w:rPr>
          <w:color w:val="000000"/>
        </w:rPr>
        <w:t xml:space="preserve">— </w:t>
      </w:r>
      <w:r>
        <w:rPr>
          <w:rFonts w:ascii="Times New Roman;serif" w:hAnsi="Times New Roman;serif"/>
          <w:b w:val="false"/>
          <w:color w:val="000000"/>
          <w:sz w:val="20"/>
        </w:rPr>
        <w:t xml:space="preserve">The Company’s investments in certain unconsolidated entities are accounted for under the equity method. The balance of these investments is included in other noncurrent assets in the accompanying condensed consolidated balance sheets. As of March 31, 2026 and December 31, 2025, the balance of the investments was $29.6 million and $27.9 million, respectively. The balance of these investments is increased to reflect the Company’s capital contributions and equity in earnings of the investees. The balance of these investments is decreased to reflect the Company’s equity in losses of the investees and for distributions received that are not in excess of the carrying amount of the investments. The Company’s proportionate share of earnings or losses of the investees is recorded in equity in earnings of joint ventures in the accompanying unaudited condensed consolidated statements of comprehensive income. The Company’s proportionate share of earnings was $1.7 million for the three months ended March 31, 2026 and 2025. Distributions from the investees are treated as cash inflows from operating activities in the unaudited condensed consolidated statements of cash flows. During the three months ended March 31, 2026 and 2025, the Company did not receive any distributions from the investees. See Note 16, </w:t>
      </w:r>
      <w:r>
        <w:rPr>
          <w:rFonts w:ascii="Times New Roman;serif" w:hAnsi="Times New Roman;serif"/>
          <w:b w:val="false"/>
          <w:i/>
          <w:color w:val="000000"/>
          <w:sz w:val="20"/>
        </w:rPr>
        <w:t>Related-Party Transactions</w:t>
      </w:r>
      <w:r>
        <w:rPr>
          <w:rFonts w:ascii="Times New Roman;serif" w:hAnsi="Times New Roman;serif"/>
          <w:b w:val="false"/>
          <w:color w:val="000000"/>
          <w:sz w:val="20"/>
        </w:rPr>
        <w:t>, for discussion of related-party transactions with these investees.</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Concentrations of Business Risk </w:t>
      </w:r>
      <w:r>
        <w:rPr>
          <w:color w:val="000000"/>
        </w:rPr>
        <w:t xml:space="preserve">— </w:t>
      </w:r>
      <w:r>
        <w:rPr>
          <w:rFonts w:ascii="Times New Roman;serif" w:hAnsi="Times New Roman;serif"/>
          <w:b w:val="false"/>
          <w:color w:val="000000"/>
          <w:sz w:val="20"/>
        </w:rPr>
        <w:t>The Company generates revenue from managed care contracts and other agreements with commercial third-party payers. Revenue related to the Company’s largest payer was approximately 14% and 15% for the three months ended March 31, 2026 and 2025, respectively. There were no other managed care contracts that represent greater than 10% of revenue for the periods presented.</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the three months ended March 31, 2026 and 2025, approximately 13% and 12%, respectively, of the Company’s revenue was reimbursable through direct government healthcare programs, such as Medicare and Medicaid. </w:t>
      </w:r>
      <w:r>
        <w:rPr>
          <w:rFonts w:ascii="Times New Roman;serif" w:hAnsi="Times New Roman;serif"/>
          <w:b w:val="false"/>
          <w:color w:val="000000"/>
          <w:sz w:val="20"/>
          <w:shd w:fill="FFFFFF" w:val="clear"/>
        </w:rPr>
        <w:t>As of March 31, 2026 and December 31, 2025, approximately</w:t>
      </w:r>
      <w:r>
        <w:rPr>
          <w:color w:val="000000"/>
        </w:rPr>
        <w:t xml:space="preserve"> </w:t>
      </w:r>
      <w:r>
        <w:rPr>
          <w:rFonts w:ascii="Times New Roman;serif" w:hAnsi="Times New Roman;serif"/>
          <w:b w:val="false"/>
          <w:color w:val="000000"/>
          <w:sz w:val="20"/>
        </w:rPr>
        <w:t>11%</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13%, respectively, </w:t>
      </w:r>
      <w:r>
        <w:rPr>
          <w:rFonts w:ascii="Times New Roman;serif" w:hAnsi="Times New Roman;serif"/>
          <w:b w:val="false"/>
          <w:color w:val="000000"/>
          <w:sz w:val="20"/>
          <w:shd w:fill="FFFFFF" w:val="clear"/>
        </w:rPr>
        <w:t>of the Company’s accounts receivable was related to these programs. Governmental programs pay for services based on fee schedules and rates that are determined by the related governmental agency. Laws and regulations pertaining</w:t>
      </w:r>
      <w:r>
        <w:rPr>
          <w:color w:val="000000"/>
        </w:rPr>
        <w:t xml:space="preserve"> </w:t>
      </w:r>
      <w:r>
        <w:rPr>
          <w:rFonts w:ascii="Times New Roman;serif" w:hAnsi="Times New Roman;serif"/>
          <w:b w:val="false"/>
          <w:color w:val="000000"/>
          <w:sz w:val="20"/>
        </w:rPr>
        <w:t>to government programs are complex and subject to interpretation. As a result, there is at least a reasonable possibility that recorded estimates will change in the near term.</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does not require its patients or other payers to carry collateral for any amounts owed for goods or services provided. Other than as discussed above, concentrations of credit risk relating to trade accounts receivable are limited due to the Company’s diversity of patients and payers. Further, the Company generally does not provide charity care; however, Option Care Health offers a financial assistance program for patients that meet certain defined hardship criteria.</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approximately 67% and 66%, respectively, of the Company’s pharmaceutical and medical supply purchases were from four vendors. Most of the pharmaceutical and medical supplies that we purchase are available from multiple distributors, and the Company believes they are available in sufficient quantities to meet the needs of the Company and its patients. However, a change in suppliers could cause delays in service delivery and possible losses in revenue, which could adversely affect the Company’s financial condition 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3. BUSINESS COMBINATIONS</w:t>
      </w:r>
    </w:p>
    <w:p>
      <w:pPr>
        <w:pStyle w:val="TextBody"/>
        <w:bidi w:val="0"/>
        <w:spacing w:lineRule="auto" w:line="288" w:before="0" w:after="200"/>
        <w:ind w:left="0" w:right="0" w:firstLine="360"/>
        <w:jc w:val="left"/>
        <w:rPr/>
      </w:pPr>
      <w:r>
        <w:rPr>
          <w:rFonts w:ascii="Times New Roman;serif" w:hAnsi="Times New Roman;serif"/>
          <w:b/>
          <w:color w:val="000000"/>
          <w:sz w:val="20"/>
        </w:rPr>
        <w:t>Intramed Plus, Inc.</w:t>
      </w:r>
      <w:r>
        <w:rPr>
          <w:color w:val="000000"/>
        </w:rPr>
        <w:t xml:space="preserve"> — </w:t>
      </w:r>
      <w:r>
        <w:rPr>
          <w:rFonts w:ascii="Times New Roman;serif" w:hAnsi="Times New Roman;serif"/>
          <w:b w:val="false"/>
          <w:color w:val="000000"/>
          <w:sz w:val="20"/>
        </w:rPr>
        <w:t>On January 24, 2025, pursuant to the securities purchase agreement dated November 27, 2024, the Company completed the acquisition of 100% of the equity interests in Intramed Plus, Inc. (“Intramed Plus”) for a purchase price, net of cash acquired, of $117.2 million.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allocation of the purchase price of Intramed Plus was accounted for as a business combination in accordance with ASC Topic 805, Business Combinations, with the total purchase price being allocated to the assets and liabilities acquired based on the estimated fair value of each asset and liability. The following is a final allocation of the consideration transferred to acquired identifiable assets and assumed liabilities, net of cash acquired, (in thousands):</w:t>
      </w:r>
    </w:p>
    <w:tbl>
      <w:tblPr>
        <w:tblW w:w="4176" w:type="dxa"/>
        <w:jc w:val="center"/>
        <w:tblInd w:w="0" w:type="dxa"/>
        <w:tblLayout w:type="fixed"/>
        <w:tblCellMar>
          <w:top w:w="28" w:type="dxa"/>
          <w:left w:w="28" w:type="dxa"/>
          <w:bottom w:w="28" w:type="dxa"/>
          <w:right w:w="28" w:type="dxa"/>
        </w:tblCellMar>
      </w:tblPr>
      <w:tblGrid>
        <w:gridCol w:w="1117"/>
        <w:gridCol w:w="983"/>
        <w:gridCol w:w="990"/>
        <w:gridCol w:w="196"/>
        <w:gridCol w:w="73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Referral sources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Trademarks/names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identifiable assets and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net of cash acquired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Referral sources and trademarks/names have been assigned a useful life of 15 years.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Goodwill is attributable to cost synergies from procurement and operational efficiencies and elimination of duplicative administrative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4. REVENUE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net revenue earned by category of payer for the three months ended March 31, 2026 and 2025 (in thousands):</w:t>
      </w:r>
    </w:p>
    <w:tbl>
      <w:tblPr>
        <w:tblW w:w="4238" w:type="dxa"/>
        <w:jc w:val="center"/>
        <w:tblInd w:w="0" w:type="dxa"/>
        <w:tblLayout w:type="fixed"/>
        <w:tblCellMar>
          <w:top w:w="28" w:type="dxa"/>
          <w:left w:w="28" w:type="dxa"/>
          <w:bottom w:w="28" w:type="dxa"/>
          <w:right w:w="28" w:type="dxa"/>
        </w:tblCellMar>
      </w:tblPr>
      <w:tblGrid>
        <w:gridCol w:w="548"/>
        <w:gridCol w:w="482"/>
        <w:gridCol w:w="484"/>
        <w:gridCol w:w="196"/>
        <w:gridCol w:w="871"/>
        <w:gridCol w:w="109"/>
        <w:gridCol w:w="109"/>
        <w:gridCol w:w="109"/>
        <w:gridCol w:w="109"/>
        <w:gridCol w:w="196"/>
        <w:gridCol w:w="871"/>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payers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payers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Patients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1,350,654 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1,332,972 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5. INCOME TAXES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recorded tax expense of $15.7 million and $16.8 million, respectively, which represents an effective tax rate of 25.7% and 26.5%, respectively. The variance in the Company’s effective tax rate of 25.7% and 26.5% for the three months ended March 31, 2026 and 2025, respectively, compared to the federal statutory rate of 21.0%, as well as year-over-year changes, was primarily attributable to state taxes in multiple jurisdictions and various non-deductible expenses.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maintains a valuation allowance of $2.8 million against certain state net operating losses.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In making this assessment, the Company considers the scheduled reversal of deferred tax liabilities, including the effect of available carryback and carryforward periods, projected taxable income, and tax-planning strategies. On a quarterly basis, the Company evaluates all positive and negative evidence in determining if the valuation allowance is fairly stated.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tax expense of $15.7 million and $16.8 million for the three months ended March 31, 2026 and 2025, respectively, consists of quarterly federal and state tax liabilities as well as recognized deferred federal and state tax expense.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accumulated federal net operating loss carryovers that are subject to one or more Internal Revenue Code (“Code”) Section 382 limitations. This may limit the Company’s ability to utilize its federal net operating losses.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has reflected the applicable provisions of the OBBBA into its unaudited condensed consolidated financial statements for the three months ended March 31, 2026, and there is no material impact on the Company’s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6. EARNINGS PER SHARE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presents basic and diluted earnings per share for its common stock. Basic earnings per share is calculated by dividing the net income of the Company by the weighted average number of shares of common stock outstanding during the period. Diluted earnings per share is determined by adjusting the profit or loss and the weighted average number of shares of common stock outstanding for the effects of all potentially dilutive securities.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earnings are used as the basis of determining whether the inclusion of common stock equivalents would be anti-dilutive. The computation of diluted shares for the three months ended March 31, 2026 and 2025 includes the effect of shares that would be issued in connection with warrants, stock options, restricted stock awards and performance stock unit awards, as these common stock equivalents are dilutive to the earnings per share recorded in those periods.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common stock equivalents that were excluded from the calculation of earnings per share as they would be anti-dilutive:</w:t>
      </w:r>
    </w:p>
    <w:tbl>
      <w:tblPr>
        <w:tblW w:w="5392" w:type="dxa"/>
        <w:jc w:val="center"/>
        <w:tblInd w:w="0" w:type="dxa"/>
        <w:tblLayout w:type="fixed"/>
        <w:tblCellMar>
          <w:top w:w="28" w:type="dxa"/>
          <w:left w:w="28" w:type="dxa"/>
          <w:bottom w:w="28" w:type="dxa"/>
          <w:right w:w="28" w:type="dxa"/>
        </w:tblCellMar>
      </w:tblPr>
      <w:tblGrid>
        <w:gridCol w:w="834"/>
        <w:gridCol w:w="736"/>
        <w:gridCol w:w="739"/>
        <w:gridCol w:w="510"/>
        <w:gridCol w:w="278"/>
        <w:gridCol w:w="278"/>
        <w:gridCol w:w="278"/>
        <w:gridCol w:w="278"/>
        <w:gridCol w:w="278"/>
        <w:gridCol w:w="511"/>
        <w:gridCol w:w="278"/>
        <w:gridCol w:w="394"/>
      </w:tblGrid>
      <w:tr>
        <w:trPr/>
        <w:tc>
          <w:tcPr>
            <w:tcW w:w="8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awards</w:t>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54,182 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702,287 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awards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434,797 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604,589 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stock unit awards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179,231 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171,854 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basic earnings per share and shares outstanding (in thousands, except per share data):</w:t>
      </w:r>
    </w:p>
    <w:tbl>
      <w:tblPr>
        <w:tblW w:w="6804" w:type="dxa"/>
        <w:jc w:val="center"/>
        <w:tblInd w:w="0" w:type="dxa"/>
        <w:tblLayout w:type="fixed"/>
        <w:tblCellMar>
          <w:top w:w="28" w:type="dxa"/>
          <w:left w:w="28" w:type="dxa"/>
          <w:bottom w:w="28" w:type="dxa"/>
          <w:right w:w="28" w:type="dxa"/>
        </w:tblCellMar>
      </w:tblPr>
      <w:tblGrid>
        <w:gridCol w:w="1510"/>
        <w:gridCol w:w="1332"/>
        <w:gridCol w:w="1343"/>
        <w:gridCol w:w="226"/>
        <w:gridCol w:w="745"/>
        <w:gridCol w:w="125"/>
        <w:gridCol w:w="125"/>
        <w:gridCol w:w="125"/>
        <w:gridCol w:w="125"/>
        <w:gridCol w:w="226"/>
        <w:gridCol w:w="745"/>
        <w:gridCol w:w="177"/>
      </w:tblGrid>
      <w:tr>
        <w:trPr/>
        <w:tc>
          <w:tcPr>
            <w:tcW w:w="151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common shares outstanding</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165,460 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common share, basic</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diluted earnings per share and shares outstanding (in thousands, except per share data):</w:t>
      </w:r>
    </w:p>
    <w:tbl>
      <w:tblPr>
        <w:tblW w:w="7374" w:type="dxa"/>
        <w:jc w:val="center"/>
        <w:tblInd w:w="0" w:type="dxa"/>
        <w:tblLayout w:type="fixed"/>
        <w:tblCellMar>
          <w:top w:w="28" w:type="dxa"/>
          <w:left w:w="28" w:type="dxa"/>
          <w:bottom w:w="28" w:type="dxa"/>
          <w:right w:w="28" w:type="dxa"/>
        </w:tblCellMar>
      </w:tblPr>
      <w:tblGrid>
        <w:gridCol w:w="1716"/>
        <w:gridCol w:w="1513"/>
        <w:gridCol w:w="1526"/>
        <w:gridCol w:w="226"/>
        <w:gridCol w:w="745"/>
        <w:gridCol w:w="125"/>
        <w:gridCol w:w="125"/>
        <w:gridCol w:w="125"/>
        <w:gridCol w:w="125"/>
        <w:gridCol w:w="226"/>
        <w:gridCol w:w="745"/>
        <w:gridCol w:w="177"/>
      </w:tblGrid>
      <w:tr>
        <w:trPr/>
        <w:tc>
          <w:tcPr>
            <w:tcW w:w="171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common shares outstanding</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165,460 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common shares outstanding, diluted</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158,209 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166,804 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Earnings per common share: </w:t>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common share, diluted</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During the three months ended March 31, 2026 and 2025, the Company incurred operating lease expenses of $10.4 million and $8.2 million, respectively, including short-term lease expenses, which were included as a component of selling, general and administrative expenses in the unaudited condensed consolidated statements of comprehensive income. As of March 31, 2026 and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the weighted-average remaining lease term was 6.4 years and 6.5 years, respectively, and the weighted-average discount rate was 6.99% and 6.97%,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leases mature as follows (in thousands):</w:t>
      </w:r>
    </w:p>
    <w:tbl>
      <w:tblPr>
        <w:tblW w:w="4645" w:type="dxa"/>
        <w:jc w:val="center"/>
        <w:tblInd w:w="0" w:type="dxa"/>
        <w:tblLayout w:type="fixed"/>
        <w:tblCellMar>
          <w:top w:w="28" w:type="dxa"/>
          <w:left w:w="28" w:type="dxa"/>
          <w:bottom w:w="28" w:type="dxa"/>
          <w:right w:w="28" w:type="dxa"/>
        </w:tblCellMar>
      </w:tblPr>
      <w:tblGrid>
        <w:gridCol w:w="945"/>
        <w:gridCol w:w="831"/>
        <w:gridCol w:w="833"/>
        <w:gridCol w:w="109"/>
        <w:gridCol w:w="109"/>
        <w:gridCol w:w="109"/>
        <w:gridCol w:w="308"/>
        <w:gridCol w:w="1159"/>
        <w:gridCol w:w="242"/>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 Payments</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139,626 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(29,275)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110,351 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pPr>
      <w:r>
        <w:rPr>
          <w:rFonts w:ascii="Times New Roman;serif" w:hAnsi="Times New Roman;serif"/>
          <w:b w:val="false"/>
          <w:color w:val="000000"/>
          <w:sz w:val="20"/>
        </w:rPr>
        <w:t>During the three months ended March 31, 2026 and 2025, the Company commenced new leases, extensions and amendments, resulting in non-cash operating activities in the unaudited condensed consolidated statements of cash flows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 xml:space="preserve">$3.7 million and $10.8 million, respectively, </w:t>
      </w:r>
      <w:r>
        <w:rPr>
          <w:rFonts w:ascii="Times New Roman;serif" w:hAnsi="Times New Roman;serif"/>
          <w:b w:val="false"/>
          <w:color w:val="000000"/>
          <w:sz w:val="20"/>
          <w:shd w:fill="FFFFFF" w:val="clear"/>
        </w:rPr>
        <w:t>re</w:t>
      </w:r>
      <w:r>
        <w:rPr>
          <w:rFonts w:ascii="Times New Roman;serif" w:hAnsi="Times New Roman;serif"/>
          <w:b w:val="false"/>
          <w:color w:val="000000"/>
          <w:sz w:val="20"/>
        </w:rPr>
        <w:t>lated to the increases in the operating lease right-of-use assets and operating lease liabilities. As of March 31, 2026, the Company did not have any significant operating or financing leases that had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8. PROPERTY AND EQUIPMENT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was as follows as of March 31, 2026 and December 31, 2025 (in thousands):</w:t>
      </w:r>
    </w:p>
    <w:tbl>
      <w:tblPr>
        <w:tblW w:w="7271" w:type="dxa"/>
        <w:jc w:val="center"/>
        <w:tblInd w:w="0" w:type="dxa"/>
        <w:tblLayout w:type="fixed"/>
        <w:tblCellMar>
          <w:top w:w="28" w:type="dxa"/>
          <w:left w:w="28" w:type="dxa"/>
          <w:bottom w:w="28" w:type="dxa"/>
          <w:right w:w="28" w:type="dxa"/>
        </w:tblCellMar>
      </w:tblPr>
      <w:tblGrid>
        <w:gridCol w:w="1472"/>
        <w:gridCol w:w="1290"/>
        <w:gridCol w:w="1302"/>
        <w:gridCol w:w="243"/>
        <w:gridCol w:w="912"/>
        <w:gridCol w:w="135"/>
        <w:gridCol w:w="109"/>
        <w:gridCol w:w="109"/>
        <w:gridCol w:w="109"/>
        <w:gridCol w:w="287"/>
        <w:gridCol w:w="1078"/>
        <w:gridCol w:w="225"/>
      </w:tblGrid>
      <w:tr>
        <w:trPr/>
        <w:tc>
          <w:tcPr>
            <w:tcW w:w="147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Infusion pumps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35,680 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furniture and other</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126,651 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software, purchased and internally developed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58,608 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under development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282,643 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269,050 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(142,704)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(129,814)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139,939 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139,236 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expense is recorded within cost of revenue and operating expenses within the unaudited condensed consolidated statements of comprehensive income,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months ended March 31, 2026 and 2025 (in thousands):</w:t>
      </w:r>
    </w:p>
    <w:tbl>
      <w:tblPr>
        <w:tblW w:w="5831" w:type="dxa"/>
        <w:jc w:val="center"/>
        <w:tblInd w:w="0" w:type="dxa"/>
        <w:tblLayout w:type="fixed"/>
        <w:tblCellMar>
          <w:top w:w="28" w:type="dxa"/>
          <w:left w:w="28" w:type="dxa"/>
          <w:bottom w:w="28" w:type="dxa"/>
          <w:right w:w="28" w:type="dxa"/>
        </w:tblCellMar>
      </w:tblPr>
      <w:tblGrid>
        <w:gridCol w:w="1163"/>
        <w:gridCol w:w="1022"/>
        <w:gridCol w:w="1025"/>
        <w:gridCol w:w="245"/>
        <w:gridCol w:w="697"/>
        <w:gridCol w:w="136"/>
        <w:gridCol w:w="136"/>
        <w:gridCol w:w="136"/>
        <w:gridCol w:w="136"/>
        <w:gridCol w:w="245"/>
        <w:gridCol w:w="697"/>
        <w:gridCol w:w="193"/>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 in cost of revenue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 in operating expenses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expense</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7,276 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9. GOODWILL AND OTHER INTANGIBLE ASSETS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was no change in the carrying amount of goodwill for the three months ended March 31, 2026.</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consist of the following for the three months ended March 31, 2025 (in thousands):</w:t>
      </w:r>
    </w:p>
    <w:tbl>
      <w:tblPr>
        <w:tblW w:w="3947" w:type="dxa"/>
        <w:jc w:val="center"/>
        <w:tblInd w:w="0" w:type="dxa"/>
        <w:tblLayout w:type="fixed"/>
        <w:tblCellMar>
          <w:top w:w="28" w:type="dxa"/>
          <w:left w:w="28" w:type="dxa"/>
          <w:bottom w:w="28" w:type="dxa"/>
          <w:right w:w="28" w:type="dxa"/>
        </w:tblCellMar>
      </w:tblPr>
      <w:tblGrid>
        <w:gridCol w:w="869"/>
        <w:gridCol w:w="764"/>
        <w:gridCol w:w="766"/>
        <w:gridCol w:w="109"/>
        <w:gridCol w:w="109"/>
        <w:gridCol w:w="109"/>
        <w:gridCol w:w="196"/>
        <w:gridCol w:w="871"/>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1,605,930 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 and accumulated amortization of intangible assets consist of the following as of March 31, 2026 and December 31, 2025 (in thousands):</w:t>
      </w:r>
    </w:p>
    <w:tbl>
      <w:tblPr>
        <w:tblW w:w="5786" w:type="dxa"/>
        <w:jc w:val="center"/>
        <w:tblInd w:w="0" w:type="dxa"/>
        <w:tblLayout w:type="fixed"/>
        <w:tblCellMar>
          <w:top w:w="28" w:type="dxa"/>
          <w:left w:w="28" w:type="dxa"/>
          <w:bottom w:w="28" w:type="dxa"/>
          <w:right w:w="28" w:type="dxa"/>
        </w:tblCellMar>
      </w:tblPr>
      <w:tblGrid>
        <w:gridCol w:w="935"/>
        <w:gridCol w:w="820"/>
        <w:gridCol w:w="824"/>
        <w:gridCol w:w="243"/>
        <w:gridCol w:w="912"/>
        <w:gridCol w:w="135"/>
        <w:gridCol w:w="109"/>
        <w:gridCol w:w="109"/>
        <w:gridCol w:w="109"/>
        <w:gridCol w:w="287"/>
        <w:gridCol w:w="1078"/>
        <w:gridCol w:w="225"/>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intangible assets: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Referral sources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551,188 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Trademarks/names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46,808 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46,808 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amortizable intangible assets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intangible assets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598,981 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598,981 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Referral sources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(272,343)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(263,907)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Trademarks/names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(25,955)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amortizable intangible assets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accumulated amortization</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(299,073)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(289,803)</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 net</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299,908 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309,178 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expense for intangible assets was $9.3 million and $9.1 million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10. INDEBTEDNESS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as of March 31, 2026 (in thousands):</w:t>
      </w:r>
    </w:p>
    <w:tbl>
      <w:tblPr>
        <w:tblW w:w="7936" w:type="dxa"/>
        <w:jc w:val="center"/>
        <w:tblInd w:w="0" w:type="dxa"/>
        <w:tblLayout w:type="fixed"/>
        <w:tblCellMar>
          <w:top w:w="28" w:type="dxa"/>
          <w:left w:w="28" w:type="dxa"/>
          <w:bottom w:w="28" w:type="dxa"/>
          <w:right w:w="28" w:type="dxa"/>
        </w:tblCellMar>
      </w:tblPr>
      <w:tblGrid>
        <w:gridCol w:w="591"/>
        <w:gridCol w:w="520"/>
        <w:gridCol w:w="523"/>
        <w:gridCol w:w="247"/>
        <w:gridCol w:w="1100"/>
        <w:gridCol w:w="137"/>
        <w:gridCol w:w="109"/>
        <w:gridCol w:w="109"/>
        <w:gridCol w:w="109"/>
        <w:gridCol w:w="196"/>
        <w:gridCol w:w="631"/>
        <w:gridCol w:w="109"/>
        <w:gridCol w:w="109"/>
        <w:gridCol w:w="109"/>
        <w:gridCol w:w="109"/>
        <w:gridCol w:w="321"/>
        <w:gridCol w:w="1181"/>
        <w:gridCol w:w="178"/>
        <w:gridCol w:w="109"/>
        <w:gridCol w:w="109"/>
        <w:gridCol w:w="109"/>
        <w:gridCol w:w="196"/>
        <w:gridCol w:w="871"/>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Balance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Revolver Facility</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Lien Term Loan</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674,610 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1,174,610 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(10,396)</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1,159,820 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1,153,040 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as of December 31, 2025 (in thousands):</w:t>
      </w:r>
    </w:p>
    <w:tbl>
      <w:tblPr>
        <w:tblW w:w="7936" w:type="dxa"/>
        <w:jc w:val="center"/>
        <w:tblInd w:w="0" w:type="dxa"/>
        <w:tblLayout w:type="fixed"/>
        <w:tblCellMar>
          <w:top w:w="28" w:type="dxa"/>
          <w:left w:w="28" w:type="dxa"/>
          <w:bottom w:w="28" w:type="dxa"/>
          <w:right w:w="28" w:type="dxa"/>
        </w:tblCellMar>
      </w:tblPr>
      <w:tblGrid>
        <w:gridCol w:w="591"/>
        <w:gridCol w:w="520"/>
        <w:gridCol w:w="523"/>
        <w:gridCol w:w="247"/>
        <w:gridCol w:w="1100"/>
        <w:gridCol w:w="137"/>
        <w:gridCol w:w="109"/>
        <w:gridCol w:w="109"/>
        <w:gridCol w:w="109"/>
        <w:gridCol w:w="196"/>
        <w:gridCol w:w="631"/>
        <w:gridCol w:w="109"/>
        <w:gridCol w:w="109"/>
        <w:gridCol w:w="109"/>
        <w:gridCol w:w="109"/>
        <w:gridCol w:w="321"/>
        <w:gridCol w:w="1181"/>
        <w:gridCol w:w="178"/>
        <w:gridCol w:w="109"/>
        <w:gridCol w:w="109"/>
        <w:gridCol w:w="109"/>
        <w:gridCol w:w="196"/>
        <w:gridCol w:w="871"/>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Balance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Revolver Facility</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Lien Term Loan</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676,305 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1,176,305 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(10,921)</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1,154,052 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30, 2026, the Company entered into the fifth amendment (the “Fifth Amendment”) to the amended and restated First Lien Credit Agreement (the “Credit Agreement”) dated as of October 27, 2021. The Fifth Amendment, among other things, increases the existing revolving credit commitments under the Credit Agreement (the “Revolver Facility”) by $450.0 million, resulting in an aggregate capacity amount of $850.0 million.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interest rate on the Company’s term loan (the “First Lien Term Loan”) was 5.42% and 5.67% as of March 31, 2026 and December 31, 2025, respectively. The weighted average interest rate incurred on the First Lien Term Loan was 5.44% and 6.58% for the three months ended March 31, 2026 and 2025, respectively. The First Lien Term Loan matures on September 22, 2032.</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interest rate on the Senior Unsecured Notes (the “Senior Notes”) was 4.375% as of March 31, 2026 and December 31, 2025. The weighted average interest rate incurred on the Senior Notes was 4.375% for the three months ended March 31, 2026 and 2025. The Senior Notes mature on October 31, 2029.</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had $4.0 million of undrawn letters of credit issued and outstanding, resulting in net borrowing availability under the Revolver Facility of $846.0 million. The Revolver Facility matures on the date that is the earlier of (i) September 22, 2030 and (ii) the date that is 91 days prior to the stated maturity date applicable to the Senior Notes to the extent any amount of the Senior Notes remains unpaid and outstanding as of the date that is 91 days prior to the stated maturity date applicable to the Senior Notes.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Long-term debt matures as follows (in thousands):</w:t>
      </w:r>
    </w:p>
    <w:tbl>
      <w:tblPr>
        <w:tblW w:w="4645" w:type="dxa"/>
        <w:jc w:val="center"/>
        <w:tblInd w:w="0" w:type="dxa"/>
        <w:tblLayout w:type="fixed"/>
        <w:tblCellMar>
          <w:top w:w="28" w:type="dxa"/>
          <w:left w:w="28" w:type="dxa"/>
          <w:bottom w:w="28" w:type="dxa"/>
          <w:right w:w="28" w:type="dxa"/>
        </w:tblCellMar>
      </w:tblPr>
      <w:tblGrid>
        <w:gridCol w:w="945"/>
        <w:gridCol w:w="831"/>
        <w:gridCol w:w="833"/>
        <w:gridCol w:w="109"/>
        <w:gridCol w:w="109"/>
        <w:gridCol w:w="109"/>
        <w:gridCol w:w="274"/>
        <w:gridCol w:w="1220"/>
        <w:gridCol w:w="215"/>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 Payments</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506,780 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642,405 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1,174,610 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pPr>
      <w:r>
        <w:rPr>
          <w:rFonts w:ascii="Times New Roman;serif" w:hAnsi="Times New Roman;serif"/>
          <w:b w:val="false"/>
          <w:color w:val="000000"/>
          <w:sz w:val="20"/>
        </w:rPr>
        <w:t xml:space="preserve">During the three months ended March 31, 2026 and 2025, the Company engaged in hedging activities to limit its exposure to changes in interest rates. See Note 11, </w:t>
      </w:r>
      <w:r>
        <w:rPr>
          <w:rFonts w:ascii="Times New Roman;serif" w:hAnsi="Times New Roman;serif"/>
          <w:b w:val="false"/>
          <w:i/>
          <w:color w:val="000000"/>
          <w:sz w:val="20"/>
        </w:rPr>
        <w:t>Derivative Instruments</w:t>
      </w:r>
      <w:r>
        <w:rPr>
          <w:rFonts w:ascii="Times New Roman;serif" w:hAnsi="Times New Roman;serif"/>
          <w:b w:val="false"/>
          <w:color w:val="000000"/>
          <w:sz w:val="20"/>
        </w:rPr>
        <w:t>, for further discussion.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fair values of the Company’s debt obligations as of March 31, 2026 (in thousands):</w:t>
      </w:r>
    </w:p>
    <w:tbl>
      <w:tblPr>
        <w:tblW w:w="10205" w:type="dxa"/>
        <w:jc w:val="center"/>
        <w:tblInd w:w="0" w:type="dxa"/>
        <w:tblLayout w:type="fixed"/>
        <w:tblCellMar>
          <w:top w:w="28" w:type="dxa"/>
          <w:left w:w="28" w:type="dxa"/>
          <w:bottom w:w="28" w:type="dxa"/>
          <w:right w:w="28" w:type="dxa"/>
        </w:tblCellMar>
      </w:tblPr>
      <w:tblGrid>
        <w:gridCol w:w="477"/>
        <w:gridCol w:w="419"/>
        <w:gridCol w:w="422"/>
        <w:gridCol w:w="109"/>
        <w:gridCol w:w="109"/>
        <w:gridCol w:w="109"/>
        <w:gridCol w:w="319"/>
        <w:gridCol w:w="1418"/>
        <w:gridCol w:w="177"/>
        <w:gridCol w:w="109"/>
        <w:gridCol w:w="109"/>
        <w:gridCol w:w="109"/>
        <w:gridCol w:w="453"/>
        <w:gridCol w:w="938"/>
        <w:gridCol w:w="255"/>
        <w:gridCol w:w="109"/>
        <w:gridCol w:w="109"/>
        <w:gridCol w:w="109"/>
        <w:gridCol w:w="317"/>
        <w:gridCol w:w="1409"/>
        <w:gridCol w:w="176"/>
        <w:gridCol w:w="109"/>
        <w:gridCol w:w="109"/>
        <w:gridCol w:w="109"/>
        <w:gridCol w:w="547"/>
        <w:gridCol w:w="1135"/>
        <w:gridCol w:w="435"/>
      </w:tblGrid>
      <w:tr>
        <w:trPr/>
        <w:tc>
          <w:tcPr>
            <w:tcW w:w="4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Value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Markets for Identical Item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Unobservable Inputs (Level 3)</w:t>
            </w:r>
          </w:p>
        </w:tc>
      </w:tr>
      <w:tr>
        <w:trPr/>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Lien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665,450 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677,174 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494,370 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1,159,820 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1,157,174 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pPr>
      <w:r>
        <w:rPr>
          <w:rFonts w:ascii="Times New Roman;serif" w:hAnsi="Times New Roman;serif"/>
          <w:b w:val="false"/>
          <w:color w:val="000000"/>
          <w:sz w:val="20"/>
        </w:rPr>
        <w:t xml:space="preserve">See Note 12, </w:t>
      </w:r>
      <w:r>
        <w:rPr>
          <w:rFonts w:ascii="Times New Roman;serif" w:hAnsi="Times New Roman;serif"/>
          <w:b w:val="false"/>
          <w:i/>
          <w:color w:val="000000"/>
          <w:sz w:val="20"/>
        </w:rPr>
        <w:t>Fair Value Measurements</w:t>
      </w:r>
      <w:r>
        <w:rPr>
          <w:rFonts w:ascii="Times New Roman;serif" w:hAnsi="Times New Roman;serif"/>
          <w:b w:val="false"/>
          <w:color w:val="000000"/>
          <w:sz w:val="20"/>
        </w:rPr>
        <w:t>,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11. DERIVATIVE INSTRUMENTS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utilizes derivative financial instruments for hedging and non-trading purposes to limit the Company’s exposure to its variable interest rate risk. Use of derivative financial instruments in hedging strategies subjects the Company to certain risks, such as market and credit risks. Market risk represents the possibility that the value of the derivative financial instrument will change.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October 2021, the Company entered into an interest rate cap hedge with a notional amount of $300 million for a five-year term beginning November 30, 2021. The hedge partially offsets risk associated with the First Lien Term Loan’s variable interest rate. The interest rate cap instrument perfectly offsets the terms of the interest rates associated with the variable interest rate of the First Lien Term Loan.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 and location of the Company’s derivative instruments in the condensed consolidated balance sheets (in thousands):</w:t>
      </w:r>
    </w:p>
    <w:tbl>
      <w:tblPr>
        <w:tblW w:w="10205" w:type="dxa"/>
        <w:jc w:val="center"/>
        <w:tblInd w:w="0" w:type="dxa"/>
        <w:tblLayout w:type="fixed"/>
        <w:tblCellMar>
          <w:top w:w="28" w:type="dxa"/>
          <w:left w:w="28" w:type="dxa"/>
          <w:bottom w:w="28" w:type="dxa"/>
          <w:right w:w="28" w:type="dxa"/>
        </w:tblCellMar>
      </w:tblPr>
      <w:tblGrid>
        <w:gridCol w:w="1200"/>
        <w:gridCol w:w="1056"/>
        <w:gridCol w:w="1060"/>
        <w:gridCol w:w="109"/>
        <w:gridCol w:w="109"/>
        <w:gridCol w:w="109"/>
        <w:gridCol w:w="982"/>
        <w:gridCol w:w="981"/>
        <w:gridCol w:w="986"/>
        <w:gridCol w:w="129"/>
        <w:gridCol w:w="129"/>
        <w:gridCol w:w="129"/>
        <w:gridCol w:w="289"/>
        <w:gridCol w:w="821"/>
        <w:gridCol w:w="160"/>
        <w:gridCol w:w="129"/>
        <w:gridCol w:w="129"/>
        <w:gridCol w:w="129"/>
        <w:gridCol w:w="338"/>
        <w:gridCol w:w="959"/>
        <w:gridCol w:w="272"/>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 Derivatives in Asset Position</w:t>
            </w:r>
          </w:p>
        </w:tc>
      </w:tr>
      <w:tr>
        <w:trPr/>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 Caption</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 designated as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5,501 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gain and loss associated with the changes in the fair value of the effective portion of the hedging instrument is recorded in other comprehensive (loss) income. The gain and loss associated with the changes in the fair value of the hedging instrument is recognized in net income through interest expense.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pre-tax (loss) gain from derivative instruments recognized in other comprehensive (loss) income in the Company’s unaudited condensed consolidated statements of comprehensive income (in thousands):</w:t>
      </w:r>
    </w:p>
    <w:tbl>
      <w:tblPr>
        <w:tblW w:w="6367" w:type="dxa"/>
        <w:jc w:val="center"/>
        <w:tblInd w:w="0" w:type="dxa"/>
        <w:tblLayout w:type="fixed"/>
        <w:tblCellMar>
          <w:top w:w="28" w:type="dxa"/>
          <w:left w:w="28" w:type="dxa"/>
          <w:bottom w:w="28" w:type="dxa"/>
          <w:right w:w="28" w:type="dxa"/>
        </w:tblCellMar>
      </w:tblPr>
      <w:tblGrid>
        <w:gridCol w:w="1237"/>
        <w:gridCol w:w="1089"/>
        <w:gridCol w:w="1093"/>
        <w:gridCol w:w="109"/>
        <w:gridCol w:w="109"/>
        <w:gridCol w:w="109"/>
        <w:gridCol w:w="244"/>
        <w:gridCol w:w="617"/>
        <w:gridCol w:w="135"/>
        <w:gridCol w:w="135"/>
        <w:gridCol w:w="135"/>
        <w:gridCol w:w="135"/>
        <w:gridCol w:w="244"/>
        <w:gridCol w:w="785"/>
        <w:gridCol w:w="191"/>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 designated as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(3,181)</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amount and location of pre-tax income (loss) recognized in the Company’s unaudited condensed consolidated statements of comprehensive income related to the Company’s derivative instruments (in thousands):</w:t>
      </w:r>
    </w:p>
    <w:tbl>
      <w:tblPr>
        <w:tblW w:w="8868" w:type="dxa"/>
        <w:jc w:val="center"/>
        <w:tblInd w:w="0" w:type="dxa"/>
        <w:tblLayout w:type="fixed"/>
        <w:tblCellMar>
          <w:top w:w="28" w:type="dxa"/>
          <w:left w:w="28" w:type="dxa"/>
          <w:bottom w:w="28" w:type="dxa"/>
          <w:right w:w="28" w:type="dxa"/>
        </w:tblCellMar>
      </w:tblPr>
      <w:tblGrid>
        <w:gridCol w:w="1237"/>
        <w:gridCol w:w="1089"/>
        <w:gridCol w:w="1093"/>
        <w:gridCol w:w="109"/>
        <w:gridCol w:w="109"/>
        <w:gridCol w:w="109"/>
        <w:gridCol w:w="724"/>
        <w:gridCol w:w="724"/>
        <w:gridCol w:w="726"/>
        <w:gridCol w:w="109"/>
        <w:gridCol w:w="109"/>
        <w:gridCol w:w="109"/>
        <w:gridCol w:w="245"/>
        <w:gridCol w:w="697"/>
        <w:gridCol w:w="136"/>
        <w:gridCol w:w="136"/>
        <w:gridCol w:w="136"/>
        <w:gridCol w:w="136"/>
        <w:gridCol w:w="245"/>
        <w:gridCol w:w="697"/>
        <w:gridCol w:w="193"/>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Statement Caption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 designated as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12. FAIR VALUE MEASUREMENTS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 — Inputs to the fair value measurement are quoted prices in active markets for identical assets or liabilities.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Level 3 — Inputs to the fair value measurement are unobservable inputs or valuation techniques.</w:t>
      </w:r>
    </w:p>
    <w:p>
      <w:pPr>
        <w:pStyle w:val="TextBody"/>
        <w:bidi w:val="0"/>
        <w:spacing w:lineRule="auto" w:line="288" w:before="0" w:after="200"/>
        <w:ind w:left="0" w:right="0" w:firstLine="360"/>
        <w:jc w:val="left"/>
        <w:rPr/>
      </w:pPr>
      <w:r>
        <w:rPr>
          <w:rFonts w:ascii="Times New Roman;serif" w:hAnsi="Times New Roman;serif"/>
          <w:b w:val="false"/>
          <w:color w:val="000000"/>
          <w:sz w:val="20"/>
        </w:rPr>
        <w:t>While the Company believes its valuation methods are appropriate and consistent with other market participants, the use of</w:t>
      </w:r>
      <w:r>
        <w:rPr>
          <w:color w:val="FF0000"/>
        </w:rPr>
        <w:t xml:space="preserve"> </w:t>
      </w:r>
      <w:r>
        <w:rPr>
          <w:rFonts w:ascii="Times New Roman;serif" w:hAnsi="Times New Roman;serif"/>
          <w:b w:val="false"/>
          <w:color w:val="000000"/>
          <w:sz w:val="20"/>
        </w:rPr>
        <w:t>different methodologies or assumptions to determine the fair value of certain financial instruments could result in a different fair value measurement at the reporting date.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First Lien Term Loan</w:t>
      </w:r>
      <w:r>
        <w:rPr>
          <w:rFonts w:ascii="Times New Roman;serif" w:hAnsi="Times New Roman;serif"/>
          <w:b w:val="false"/>
          <w:color w:val="000000"/>
          <w:sz w:val="20"/>
        </w:rPr>
        <w:t xml:space="preserve">: The fair value of the First Lien Term Loan is derived from a broker quote on the loans in the syndication (Level 2 inputs). See Note 10, </w:t>
      </w:r>
      <w:r>
        <w:rPr>
          <w:rFonts w:ascii="Times New Roman;serif" w:hAnsi="Times New Roman;serif"/>
          <w:b w:val="false"/>
          <w:i/>
          <w:color w:val="000000"/>
          <w:sz w:val="20"/>
        </w:rPr>
        <w:t>Indebtedness</w:t>
      </w:r>
      <w:r>
        <w:rPr>
          <w:rFonts w:ascii="Times New Roman;serif" w:hAnsi="Times New Roman;serif"/>
          <w:b w:val="false"/>
          <w:color w:val="000000"/>
          <w:sz w:val="20"/>
        </w:rPr>
        <w:t>, for further discussion of the carrying amount and fair value of the First Lien Term Loan.</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Senior Notes: </w:t>
      </w:r>
      <w:r>
        <w:rPr>
          <w:rFonts w:ascii="Times New Roman;serif" w:hAnsi="Times New Roman;serif"/>
          <w:b w:val="false"/>
          <w:color w:val="000000"/>
          <w:sz w:val="20"/>
        </w:rPr>
        <w:t xml:space="preserve">The fair value of the Senior Notes is derived from a broker quote (Level 2 inputs). See Note 10, </w:t>
      </w:r>
      <w:r>
        <w:rPr>
          <w:rFonts w:ascii="Times New Roman;serif" w:hAnsi="Times New Roman;serif"/>
          <w:b w:val="false"/>
          <w:i/>
          <w:color w:val="000000"/>
          <w:sz w:val="20"/>
        </w:rPr>
        <w:t>Indebtedness</w:t>
      </w:r>
      <w:r>
        <w:rPr>
          <w:rFonts w:ascii="Times New Roman;serif" w:hAnsi="Times New Roman;serif"/>
          <w:b w:val="false"/>
          <w:color w:val="000000"/>
          <w:sz w:val="20"/>
        </w:rPr>
        <w:t>, for further discussion of the carrying amount and fair value of the Senior Notes.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Interest Rate Cap: </w:t>
      </w:r>
      <w:r>
        <w:rPr>
          <w:rFonts w:ascii="Times New Roman;serif" w:hAnsi="Times New Roman;serif"/>
          <w:b w:val="false"/>
          <w:color w:val="000000"/>
          <w:sz w:val="20"/>
        </w:rPr>
        <w:t xml:space="preserve">The fair value of the interest rate cap is derived from the interest rates prevalent in the market and future expectations of those interest rates (Level 2 inputs). The Company determines the fair value of the investments based on quoted prices from third-party brokers. See Note 11, </w:t>
      </w:r>
      <w:r>
        <w:rPr>
          <w:rFonts w:ascii="Times New Roman;serif" w:hAnsi="Times New Roman;serif"/>
          <w:b w:val="false"/>
          <w:i/>
          <w:color w:val="000000"/>
          <w:sz w:val="20"/>
        </w:rPr>
        <w:t>Derivative Instruments</w:t>
      </w:r>
      <w:r>
        <w:rPr>
          <w:rFonts w:ascii="Times New Roman;serif" w:hAnsi="Times New Roman;serif"/>
          <w:b w:val="false"/>
          <w:color w:val="000000"/>
          <w:sz w:val="20"/>
        </w:rPr>
        <w:t>, for further discussion of the fair value of the interest rate cap.</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Money Market Funds:</w:t>
      </w:r>
      <w:r>
        <w:rPr>
          <w:color w:val="000000"/>
        </w:rPr>
        <w:t xml:space="preserve"> </w:t>
      </w:r>
      <w:r>
        <w:rPr>
          <w:rFonts w:ascii="Times New Roman;serif" w:hAnsi="Times New Roman;serif"/>
          <w:b w:val="false"/>
          <w:color w:val="000000"/>
          <w:sz w:val="20"/>
        </w:rPr>
        <w:t>The fair value of the money market funds is derived from the closing price reported by the fund sponsor and classified as cash and cash equivalents on the Company’s condensed consolidated balance sheets (Level 1 inputs).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other material assets or liabilities measured at fair value at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Material loss contingencies, if any, are accrued for when they are probable and reasonably estimable, and are disclosed when they are reasonably possible. Gain contingencies, if any, are recognized when they are realized.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legal proceedings are often uncertain and difficult to predict, and the costs incurred in litigation can be substantial, regardless of the outcome. The Company does not believe that any of these pending matters, after consideration of applicable reserves and rights to indemnification, will have a material adverse effect on the Company’s condensed consolidated financial statements.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14. STOCK-BASED INCENTIVE COMPENSATION</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Equity Incentive Plans </w:t>
      </w:r>
      <w:r>
        <w:rPr>
          <w:color w:val="000000"/>
        </w:rPr>
        <w:t xml:space="preserve">— </w:t>
      </w:r>
      <w:r>
        <w:rPr>
          <w:rFonts w:ascii="Times New Roman;serif" w:hAnsi="Times New Roman;serif"/>
          <w:b w:val="false"/>
          <w:color w:val="000000"/>
          <w:sz w:val="20"/>
        </w:rPr>
        <w:t>Under the Company’s 2018 Equity Incentive Plan (the “2018 Plan”), approved at the annual meeting by stockholders on May 3, 2018 and amended and restated on May 19, 2021 and May 15, 2024,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Company’s Board of Directors. As of May 2021, a total of 9,101,734 shares of common stock were authorized for issuance under the 2018 Plan. In May 2024, an additional 4,000,000 shares were authorized for issuance under the 2018 Plan, resulting in a total of 13,101,734 shares of common stock authorized for issuance. The Company had stock options, restricted stock units and performance stock units outstanding related to the 2018 Plan as of March 31, 2026 and 2025. During the three months ended March 31, 2026 and 2025, total stock-based incentive compensation expense recognized by the Company related to the 2018 Plan was $10.2 million and $8.8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15. STOCKHOLDERS’ EQUITY</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Warrants </w:t>
      </w:r>
      <w:r>
        <w:rPr>
          <w:color w:val="000000"/>
        </w:rPr>
        <w:t xml:space="preserve">— </w:t>
      </w:r>
      <w:r>
        <w:rPr>
          <w:rFonts w:ascii="Times New Roman;serif" w:hAnsi="Times New Roman;serif"/>
          <w:b w:val="false"/>
          <w:color w:val="000000"/>
          <w:sz w:val="20"/>
        </w:rPr>
        <w:t>As of March 31, 2026 and December 31, 2025, the Company had warrants outstanding which entitle holders to purchase an immaterial number of shares of common stock.</w:t>
      </w:r>
    </w:p>
    <w:p>
      <w:pPr>
        <w:pStyle w:val="TextBody"/>
        <w:bidi w:val="0"/>
        <w:spacing w:lineRule="auto" w:line="288" w:before="0" w:after="200"/>
        <w:ind w:left="0" w:right="0" w:firstLine="360"/>
        <w:jc w:val="left"/>
        <w:rPr/>
      </w:pPr>
      <w:r>
        <w:rPr>
          <w:rFonts w:ascii="Times New Roman;serif" w:hAnsi="Times New Roman;serif"/>
          <w:b/>
          <w:color w:val="000000"/>
          <w:sz w:val="20"/>
        </w:rPr>
        <w:t>Share Repurchase Program</w:t>
      </w:r>
      <w:r>
        <w:rPr>
          <w:color w:val="000000"/>
        </w:rPr>
        <w:t xml:space="preserve"> — </w:t>
      </w:r>
      <w:r>
        <w:rPr>
          <w:rFonts w:ascii="Times New Roman;serif" w:hAnsi="Times New Roman;serif"/>
          <w:b w:val="false"/>
          <w:color w:val="000000"/>
          <w:sz w:val="20"/>
        </w:rPr>
        <w:t>The Company’s Board of Directors authorized a share repurchase program of up to an aggregate $1.0 billion of common stock of the Company. Under the share repurchase program, repurchases may occur in any number of methods depending on timing, market conditions, regulatory requirements, and other corporate considerations. The share repurchase program has no specified expiration date.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purchased 528,981 and 3,046,215 shares of common stock for an average share price of $33.16 and $32.83, totaling $17.5 million and $100.0 million, respectively. All repurchased shares became treasury stock. As of March 31, 2026, the Company is authorized to repurchase up to a remaining $675.0 million of common stock of the Company.</w:t>
      </w:r>
    </w:p>
    <w:p>
      <w:pPr>
        <w:pStyle w:val="TextBody"/>
        <w:bidi w:val="0"/>
        <w:spacing w:lineRule="auto" w:line="288" w:before="0" w:after="200"/>
        <w:ind w:left="0" w:right="0" w:firstLine="360"/>
        <w:jc w:val="left"/>
        <w:rPr/>
      </w:pPr>
      <w:r>
        <w:rPr>
          <w:rFonts w:ascii="Times New Roman;serif" w:hAnsi="Times New Roman;serif"/>
          <w:b/>
          <w:color w:val="000000"/>
          <w:sz w:val="20"/>
        </w:rPr>
        <w:t>Shares Outstanding</w:t>
      </w:r>
      <w:r>
        <w:rPr>
          <w:color w:val="000000"/>
        </w:rPr>
        <w:t xml:space="preserve"> — </w:t>
      </w:r>
      <w:r>
        <w:rPr>
          <w:rFonts w:ascii="Times New Roman;serif" w:hAnsi="Times New Roman;serif"/>
          <w:b w:val="false"/>
          <w:color w:val="000000"/>
          <w:sz w:val="20"/>
        </w:rPr>
        <w:t>The following table shows the Company’s changes in shares of common stock for the three months ended March 31, 2026 and 2025 (in thousands):</w:t>
      </w:r>
    </w:p>
    <w:tbl>
      <w:tblPr>
        <w:tblW w:w="4598" w:type="dxa"/>
        <w:jc w:val="center"/>
        <w:tblInd w:w="0" w:type="dxa"/>
        <w:tblLayout w:type="fixed"/>
        <w:tblCellMar>
          <w:top w:w="28" w:type="dxa"/>
          <w:left w:w="28" w:type="dxa"/>
          <w:bottom w:w="28" w:type="dxa"/>
          <w:right w:w="28" w:type="dxa"/>
        </w:tblCellMar>
      </w:tblPr>
      <w:tblGrid>
        <w:gridCol w:w="879"/>
        <w:gridCol w:w="774"/>
        <w:gridCol w:w="777"/>
        <w:gridCol w:w="368"/>
        <w:gridCol w:w="368"/>
        <w:gridCol w:w="156"/>
        <w:gridCol w:w="109"/>
        <w:gridCol w:w="109"/>
        <w:gridCol w:w="109"/>
        <w:gridCol w:w="368"/>
        <w:gridCol w:w="368"/>
        <w:gridCol w:w="213"/>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beginning of the year</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166,261 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 issuances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156,988 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163,744 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16. RELATED-PARTY TRANSACTIONS</w:t>
      </w:r>
    </w:p>
    <w:p>
      <w:pPr>
        <w:pStyle w:val="TextBody"/>
        <w:bidi w:val="0"/>
        <w:spacing w:lineRule="auto" w:line="288" w:before="0" w:after="200"/>
        <w:ind w:left="0" w:right="0" w:firstLine="360"/>
        <w:jc w:val="left"/>
        <w:rPr/>
      </w:pPr>
      <w:r>
        <w:rPr>
          <w:rFonts w:ascii="Times New Roman;serif" w:hAnsi="Times New Roman;serif"/>
          <w:b/>
          <w:color w:val="000000"/>
          <w:sz w:val="20"/>
        </w:rPr>
        <w:t xml:space="preserve">Transactions with Equity-Method Investees </w:t>
      </w:r>
      <w:r>
        <w:rPr>
          <w:color w:val="000000"/>
        </w:rPr>
        <w:t xml:space="preserve">— </w:t>
      </w:r>
      <w:r>
        <w:rPr>
          <w:rFonts w:ascii="Times New Roman;serif" w:hAnsi="Times New Roman;serif"/>
          <w:b w:val="false"/>
          <w:color w:val="000000"/>
          <w:sz w:val="20"/>
        </w:rPr>
        <w:t>The Company provides management services to its joint ventures such as accounting, invoicing and collections in addition to day-to-day managerial support of the operations of the businesses. The Company recorded management fee income of $1.9 million and $1.8 million for the three months ended March 31, 2026 and 2025, respectively. Management fees are recorded in net revenues in the accompanying unaudited condensed consolidated statements of comprehensive income. During the three months ended March 31, 2026 and 2025, the Company did not receive any distributions from the investees.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had amounts due to its joint ventures of $2.5 million and $2.7 million as of March 31, 2026 and December 31, 2025, respectively. Receivables were included in prepaid expenses and other current assets in the accompanying condensed consolidated balance sheets, while payables were included in accrued expenses and other current liabilities in the accompanying condensed consolidated balance sheets. These balances primarily relate to cash collections received by the Company on behalf of the joint ventures, offset by certain pharmaceutical inventories and other expenses paid for by the Company on behalf of the joint ventures.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17. SEGMENT REPORTING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operates as a single reportable segment, infusion services. Infusion services derives revenue through the clinical management of infusion therapy, nursing support and care coordination in order to provide solutions to complex patient conditions in the home or other nonhospital settings. The Company’s infusion services segment activities are managed on a consolidated basis and therapies are distributed and administered in a similar manner.</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segments have been identified based on the financial information utilized by the Company’s Chief Executive Officer, the chief operating decision maker (“CODM”). The CODM uses net income as a measure of profitability to assess segment performance and decide on how to allocate resources such as capital investments, share repurchases, and acquisitions. The CODM does not use or receive total assets by segment to make decisions regarding resources; therefore, the total asset disclosure by segment has not been included.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results of operations of the Company’s reportable segment (in thousands):</w:t>
      </w:r>
    </w:p>
    <w:tbl>
      <w:tblPr>
        <w:tblW w:w="6128" w:type="dxa"/>
        <w:jc w:val="center"/>
        <w:tblInd w:w="0" w:type="dxa"/>
        <w:tblLayout w:type="fixed"/>
        <w:tblCellMar>
          <w:top w:w="28" w:type="dxa"/>
          <w:left w:w="28" w:type="dxa"/>
          <w:bottom w:w="28" w:type="dxa"/>
          <w:right w:w="28" w:type="dxa"/>
        </w:tblCellMar>
      </w:tblPr>
      <w:tblGrid>
        <w:gridCol w:w="1233"/>
        <w:gridCol w:w="1081"/>
        <w:gridCol w:w="1090"/>
        <w:gridCol w:w="196"/>
        <w:gridCol w:w="871"/>
        <w:gridCol w:w="109"/>
        <w:gridCol w:w="109"/>
        <w:gridCol w:w="109"/>
        <w:gridCol w:w="109"/>
        <w:gridCol w:w="196"/>
        <w:gridCol w:w="871"/>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Infusion services 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1,311,181 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 (1)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Option Care Health revenue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 Income:</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net revenues - drugs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(933,068)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benefits, and other employee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Represents business activities related to other miscellaneous revenue streams.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Other segment items includes expenses for medical supplies, delivery and packaging, leases, professional services,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jc w:val="left"/>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w:t>
      </w:r>
      <w:r>
        <w:rPr>
          <w:color w:val="000000"/>
        </w:rPr>
        <w:t xml:space="preserve"> </w:t>
      </w:r>
      <w:r>
        <w:rPr>
          <w:rFonts w:ascii="Times New Roman;serif" w:hAnsi="Times New Roman;serif"/>
          <w:b/>
          <w:i/>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Unless the context requires otherwise, references in this report to "Option Care Health," the “Company,” “we,” “us” and “our” refer to Option Care Health, Inc. and its consolidated subsidiaries. Management’s discussion and analysis of financial condition and results of operations (“MD&amp;A”) is intended to assist the reader in understanding and assessing significant changes and trends related to our results of operations and financial condition. The following discussion and analysis should be read in conjunction with the Company’s unaudited condensed consolidated financial statements and the related notes thereto included in Item 1 of Part I of this Quarterly Report on Form 10-Q (this “Form 10-Q”). Certain statements in this Item 2 of Part I of this Form 10-Q, and in Item 1A, “Risk Factors” of Part I of our Annual Report on Form 10-K for the year ended December 31, 2025 (our “Form 10-K”), may cause our actual results, financial position, and cash and cash equivalents generated from operations to differ materially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Option Care Health, and its wholly-owned subsidiaries, provide infusion therapy and other ancillary health care services through a national network of 87 full service pharmacies, including 73 with ambulatory infusion suites. Additionally, the Company has 111 stand-alone ambulatory infusion suites, including 28 with advanced practitioner capabilities. Our services are provided in coordination with, and under the direction of, the patient’s physician. Our multidisciplinary team of clinicians, including pharmacists, nurses, and dietitians work with the physician to develop a plan of care suited to each patient’s specific needs. We provide home infusion services consisting of anti-infectives, nutrition support, therapies for neurological disorders and chronic inflammatory disorders, immunoglobulin therapy, and other therapies for chronic and acute conditions. Our national footprint enables us to collaborate with health systems and national payers to provide high quality care at an appropriate cost in a comfortable setting. We have established key relationships that allow us access to local resources to ensure responsiveness to our patients’ needs. At the center of everything we do is the patient. This is the driving force behind all of our actions and the partnerships that we have across the healthcare ecosystem.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Composition of 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results of operations include the accounts of Option Care Health and our subsidiaries for the three months ended March 31, 2026 and 2025.</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profit represents our net revenue less cost of revenue.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Net Revenue.</w:t>
      </w:r>
      <w:r>
        <w:rPr>
          <w:color w:val="000000"/>
        </w:rPr>
        <w:t xml:space="preserve"> </w:t>
      </w:r>
      <w:r>
        <w:rPr>
          <w:rFonts w:ascii="Times New Roman;serif" w:hAnsi="Times New Roman;serif"/>
          <w:b w:val="false"/>
          <w:color w:val="000000"/>
          <w:sz w:val="20"/>
        </w:rPr>
        <w:t>Infusion and related healthcare services revenue is reported at the estimated net realizable amounts from third-party payers and patients for goods sold and services rendered. When pharmaceuticals are provided to a patient, revenue is recognized upon delivery of the goods. When nursing services are provided, revenue is recognized when the services are rendered.</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Due to the nature of the healthcare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Cost of Revenue.</w:t>
      </w:r>
      <w:r>
        <w:rPr>
          <w:color w:val="000000"/>
        </w:rPr>
        <w:t xml:space="preserve"> </w:t>
      </w:r>
      <w:r>
        <w:rPr>
          <w:rFonts w:ascii="Times New Roman;serif" w:hAnsi="Times New Roman;serif"/>
          <w:b w:val="false"/>
          <w:color w:val="000000"/>
          <w:sz w:val="20"/>
        </w:rPr>
        <w:t>Cost of revenue consists of the actual cost of pharmaceuticals and other medical supplies dispensed to patients. In addition to product 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Costs and Expenses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Selling, General and Administrative Expenses</w:t>
      </w:r>
      <w:r>
        <w:rPr>
          <w:rFonts w:ascii="Times New Roman;serif" w:hAnsi="Times New Roman;serif"/>
          <w:b w:val="false"/>
          <w:color w:val="000000"/>
          <w:sz w:val="20"/>
        </w:rPr>
        <w:t>. Selling, general and administrative expenses consist principally of salaries for administrative employees that directly and indirectly support the operations, occupancy costs, marketing expenditures, insurance, and professional fees.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 xml:space="preserve">Depreciation and Amortization Expense. </w:t>
      </w:r>
      <w:r>
        <w:rPr>
          <w:rFonts w:ascii="Times New Roman;serif" w:hAnsi="Times New Roman;serif"/>
          <w:b w:val="false"/>
          <w:color w:val="000000"/>
          <w:sz w:val="20"/>
        </w:rPr>
        <w:t>Depreciation within this caption relates to property and equipment and amortization relates to intangibles. Depreciation of revenue-generating assets, such as infusion pumps, is included in cost of revenue.</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Interest Expense, Net</w:t>
      </w:r>
      <w:r>
        <w:rPr>
          <w:rFonts w:ascii="Times New Roman;serif" w:hAnsi="Times New Roman;serif"/>
          <w:b w:val="false"/>
          <w:color w:val="000000"/>
          <w:sz w:val="20"/>
        </w:rPr>
        <w:t>. Interest expense consists principally of interest and fee payments on the Company’s outstanding borrowings under the First Lien Term Loan, Revolver Facility, Senior Notes, amortization of discount and deferred financing fees, payments associated with the interest rate cap, and interest income earned on cash and cash equivalents. Refer to the “Liquidity and Capital Resources” section below for further discussion of these outstanding borrowings.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Equity in Earnings of Joint Ventures</w:t>
      </w:r>
      <w:r>
        <w:rPr>
          <w:rFonts w:ascii="Times New Roman;serif" w:hAnsi="Times New Roman;serif"/>
          <w:b w:val="false"/>
          <w:color w:val="000000"/>
          <w:sz w:val="20"/>
        </w:rPr>
        <w:t>. Equity in earnings of joint ventures consists of our proportionate share of equity earnings or losses from equity investments in two infusion joint ventures with healthcare systems.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Other, Net</w:t>
      </w:r>
      <w:r>
        <w:rPr>
          <w:rFonts w:ascii="Times New Roman;serif" w:hAnsi="Times New Roman;serif"/>
          <w:b w:val="false"/>
          <w:color w:val="000000"/>
          <w:sz w:val="20"/>
        </w:rPr>
        <w:t>. Other income (expense) primarily includes activity related to non-operating income and expenses.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Income Tax Expense</w:t>
      </w:r>
      <w:r>
        <w:rPr>
          <w:rFonts w:ascii="Times New Roman;serif" w:hAnsi="Times New Roman;serif"/>
          <w:b w:val="false"/>
          <w:color w:val="000000"/>
          <w:sz w:val="20"/>
        </w:rPr>
        <w:t>. The Company is subject to taxation in the United States and various states. The Company’s income tax expense is reflective of the current federal and state tax rates.</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Change in Unrealized (Loss) Gain on Cash Flow Hedge, Net of Income Tax Benefit (Expense)</w:t>
      </w:r>
      <w:r>
        <w:rPr>
          <w:rFonts w:ascii="Times New Roman;serif" w:hAnsi="Times New Roman;serif"/>
          <w:b w:val="false"/>
          <w:color w:val="000000"/>
          <w:sz w:val="20"/>
        </w:rPr>
        <w:t>. Change in unrealized (loss) gain on cash flow hedge, net of income tax benefit (expense), consists of the (loss) gain associated with the changes in the fair value of derivatives designated as hedging instruments related to the interest rate cap hedge, net of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Option Care Health’s consolidated results of operations for the three months ended March 31, 2026 and 2025 (in thousands, except for percentages):</w:t>
      </w:r>
    </w:p>
    <w:tbl>
      <w:tblPr>
        <w:tblW w:w="10205" w:type="dxa"/>
        <w:jc w:val="center"/>
        <w:tblInd w:w="0" w:type="dxa"/>
        <w:tblLayout w:type="fixed"/>
        <w:tblCellMar>
          <w:top w:w="28" w:type="dxa"/>
          <w:left w:w="28" w:type="dxa"/>
          <w:bottom w:w="28" w:type="dxa"/>
          <w:right w:w="28" w:type="dxa"/>
        </w:tblCellMar>
      </w:tblPr>
      <w:tblGrid>
        <w:gridCol w:w="1916"/>
        <w:gridCol w:w="1366"/>
        <w:gridCol w:w="1369"/>
        <w:gridCol w:w="196"/>
        <w:gridCol w:w="871"/>
        <w:gridCol w:w="109"/>
        <w:gridCol w:w="109"/>
        <w:gridCol w:w="109"/>
        <w:gridCol w:w="109"/>
        <w:gridCol w:w="278"/>
        <w:gridCol w:w="278"/>
        <w:gridCol w:w="521"/>
        <w:gridCol w:w="109"/>
        <w:gridCol w:w="109"/>
        <w:gridCol w:w="109"/>
        <w:gridCol w:w="196"/>
        <w:gridCol w:w="871"/>
        <w:gridCol w:w="109"/>
        <w:gridCol w:w="109"/>
        <w:gridCol w:w="109"/>
        <w:gridCol w:w="109"/>
        <w:gridCol w:w="278"/>
        <w:gridCol w:w="278"/>
        <w:gridCol w:w="588"/>
      </w:tblGrid>
      <w:tr>
        <w:trPr/>
        <w:tc>
          <w:tcPr>
            <w:tcW w:w="19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4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6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unrealized (loss) gain on cash flow hedges, net of income tax benefit of $239 and $783,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COMPREHENSIVE INCOME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Three Months Ended March 31, 2026 Compared to Three Months Ended March 31, 2025</w:t>
      </w:r>
    </w:p>
    <w:p>
      <w:pPr>
        <w:pStyle w:val="TextBody"/>
        <w:bidi w:val="0"/>
        <w:spacing w:lineRule="auto" w:line="288" w:before="0" w:after="4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selected consolidated comparative results of operations from Option Care Health’s unaudited condensed consolidated financial statements for the three months ended March 31, 2026 and 2025.</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w:t>
      </w:r>
    </w:p>
    <w:tbl>
      <w:tblPr>
        <w:tblW w:w="6859" w:type="dxa"/>
        <w:jc w:val="center"/>
        <w:tblInd w:w="0" w:type="dxa"/>
        <w:tblLayout w:type="fixed"/>
        <w:tblCellMar>
          <w:top w:w="28" w:type="dxa"/>
          <w:left w:w="28" w:type="dxa"/>
          <w:bottom w:w="28" w:type="dxa"/>
          <w:right w:w="28" w:type="dxa"/>
        </w:tblCellMar>
      </w:tblPr>
      <w:tblGrid>
        <w:gridCol w:w="555"/>
        <w:gridCol w:w="487"/>
        <w:gridCol w:w="488"/>
        <w:gridCol w:w="196"/>
        <w:gridCol w:w="871"/>
        <w:gridCol w:w="256"/>
        <w:gridCol w:w="109"/>
        <w:gridCol w:w="109"/>
        <w:gridCol w:w="109"/>
        <w:gridCol w:w="196"/>
        <w:gridCol w:w="871"/>
        <w:gridCol w:w="256"/>
        <w:gridCol w:w="109"/>
        <w:gridCol w:w="109"/>
        <w:gridCol w:w="109"/>
        <w:gridCol w:w="196"/>
        <w:gridCol w:w="646"/>
        <w:gridCol w:w="109"/>
        <w:gridCol w:w="109"/>
        <w:gridCol w:w="109"/>
        <w:gridCol w:w="109"/>
        <w:gridCol w:w="224"/>
        <w:gridCol w:w="226"/>
        <w:gridCol w:w="301"/>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1,350,654 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1,332,972 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1,088,640 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1,069,920 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margin</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4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net revenue was primarily driven by high single-digit growth in the Company’s acute portfolio of therapies, while the chronic portfolio of therapies were down slightly compared to prior year. Acute growth was driven by a focus on maintaining referral source and payer relationships along with strong partnerships with hospitals and health systems. The chronic portfolio revenue was primarily impacted by shifts within the chronic inflammatory disease (“CID”) portfolio, related to increased patient attrition and unfavorable therapy mix, as well as slower than expected growth of certain other specialty therapies. Management now expects the CID dynamics to negatively impact gross profit by approximately $55 million in 2026. The increase in cost of revenue was primarily driven by the growth in revenue and therapy mix, while the decrease in gross profit margin was primarily due to headwinds on the CID portfolio.</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8079" w:type="dxa"/>
        <w:jc w:val="center"/>
        <w:tblInd w:w="0" w:type="dxa"/>
        <w:tblLayout w:type="fixed"/>
        <w:tblCellMar>
          <w:top w:w="28" w:type="dxa"/>
          <w:left w:w="28" w:type="dxa"/>
          <w:bottom w:w="28" w:type="dxa"/>
          <w:right w:w="28" w:type="dxa"/>
        </w:tblCellMar>
      </w:tblPr>
      <w:tblGrid>
        <w:gridCol w:w="1172"/>
        <w:gridCol w:w="1032"/>
        <w:gridCol w:w="1035"/>
        <w:gridCol w:w="209"/>
        <w:gridCol w:w="788"/>
        <w:gridCol w:w="116"/>
        <w:gridCol w:w="116"/>
        <w:gridCol w:w="116"/>
        <w:gridCol w:w="116"/>
        <w:gridCol w:w="209"/>
        <w:gridCol w:w="788"/>
        <w:gridCol w:w="116"/>
        <w:gridCol w:w="109"/>
        <w:gridCol w:w="109"/>
        <w:gridCol w:w="109"/>
        <w:gridCol w:w="196"/>
        <w:gridCol w:w="556"/>
        <w:gridCol w:w="109"/>
        <w:gridCol w:w="109"/>
        <w:gridCol w:w="109"/>
        <w:gridCol w:w="109"/>
        <w:gridCol w:w="224"/>
        <w:gridCol w:w="226"/>
        <w:gridCol w:w="301"/>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189,469 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183,864 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4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selling, general and administrative expenses during the three months ended March 31, 2026 was primarily due to investment in internal resources, technology, and other general costs to support both ongoing business needs as well as future business growth. The Company anticipates these investments will drive revenue growth and enhance profitability and cash generation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Income (Expense)</w:t>
      </w:r>
    </w:p>
    <w:tbl>
      <w:tblPr>
        <w:tblW w:w="7543" w:type="dxa"/>
        <w:jc w:val="center"/>
        <w:tblInd w:w="0" w:type="dxa"/>
        <w:tblLayout w:type="fixed"/>
        <w:tblCellMar>
          <w:top w:w="28" w:type="dxa"/>
          <w:left w:w="28" w:type="dxa"/>
          <w:bottom w:w="28" w:type="dxa"/>
          <w:right w:w="28" w:type="dxa"/>
        </w:tblCellMar>
      </w:tblPr>
      <w:tblGrid>
        <w:gridCol w:w="943"/>
        <w:gridCol w:w="830"/>
        <w:gridCol w:w="836"/>
        <w:gridCol w:w="212"/>
        <w:gridCol w:w="782"/>
        <w:gridCol w:w="118"/>
        <w:gridCol w:w="118"/>
        <w:gridCol w:w="118"/>
        <w:gridCol w:w="118"/>
        <w:gridCol w:w="212"/>
        <w:gridCol w:w="782"/>
        <w:gridCol w:w="118"/>
        <w:gridCol w:w="109"/>
        <w:gridCol w:w="109"/>
        <w:gridCol w:w="109"/>
        <w:gridCol w:w="196"/>
        <w:gridCol w:w="556"/>
        <w:gridCol w:w="109"/>
        <w:gridCol w:w="109"/>
        <w:gridCol w:w="109"/>
        <w:gridCol w:w="109"/>
        <w:gridCol w:w="268"/>
        <w:gridCol w:w="272"/>
        <w:gridCol w:w="301"/>
      </w:tblGrid>
      <w:tr>
        <w:trPr/>
        <w:tc>
          <w:tcPr>
            <w:tcW w:w="9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NM</w:t>
            </w:r>
            <w:r>
              <w:rPr>
                <w:rFonts w:ascii="Times New Roman;serif" w:hAnsi="Times New Roman;serif"/>
                <w:b w:val="false"/>
                <w:color w:val="000000"/>
                <w:sz w:val="12"/>
              </w:rPr>
              <w:t>(1)</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income</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(11,542)</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(15,632)</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Not meaningful</w:t>
      </w:r>
    </w:p>
    <w:p>
      <w:pPr>
        <w:pStyle w:val="TextBody"/>
        <w:bidi w:val="0"/>
        <w:spacing w:lineRule="auto" w:line="288" w:before="0" w:after="4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 in Other, net was primarily attributable to prior year accruals related to an abandoned or unclaimed property voluntary disclosure agreement (“VDA”) program with no comparable accruals in the current period. This VDA is related to the pre-merger operations of BioScrip, Inc. (“BioScrip”), which was entered into by BioScrip prior to its merger with the Company in 2019. As of March 31, 2026, the matters related to this program are ongoing.</w:t>
      </w:r>
    </w:p>
    <w:p>
      <w:pPr>
        <w:pStyle w:val="TextBody"/>
        <w:bidi w:val="0"/>
        <w:spacing w:lineRule="auto" w:line="288" w:before="0" w:after="200"/>
        <w:ind w:left="0" w:right="0" w:firstLine="360"/>
        <w:jc w:val="left"/>
        <w:rPr>
          <w:rFonts w:ascii="Times New Roman;serif" w:hAnsi="Times New Roman;serif"/>
          <w:b/>
          <w:i/>
          <w:color w:val="231F20"/>
          <w:sz w:val="20"/>
        </w:rPr>
      </w:pPr>
      <w:r>
        <w:rPr>
          <w:rFonts w:ascii="Times New Roman;serif" w:hAnsi="Times New Roman;serif"/>
          <w:b/>
          <w:i/>
          <w:color w:val="231F20"/>
          <w:sz w:val="20"/>
        </w:rPr>
        <w:t>Income Tax Expense</w:t>
      </w:r>
    </w:p>
    <w:tbl>
      <w:tblPr>
        <w:tblW w:w="6433" w:type="dxa"/>
        <w:jc w:val="center"/>
        <w:tblInd w:w="0" w:type="dxa"/>
        <w:tblLayout w:type="fixed"/>
        <w:tblCellMar>
          <w:top w:w="28" w:type="dxa"/>
          <w:left w:w="28" w:type="dxa"/>
          <w:bottom w:w="28" w:type="dxa"/>
          <w:right w:w="28" w:type="dxa"/>
        </w:tblCellMar>
      </w:tblPr>
      <w:tblGrid>
        <w:gridCol w:w="548"/>
        <w:gridCol w:w="482"/>
        <w:gridCol w:w="484"/>
        <w:gridCol w:w="226"/>
        <w:gridCol w:w="748"/>
        <w:gridCol w:w="126"/>
        <w:gridCol w:w="126"/>
        <w:gridCol w:w="126"/>
        <w:gridCol w:w="126"/>
        <w:gridCol w:w="226"/>
        <w:gridCol w:w="748"/>
        <w:gridCol w:w="126"/>
        <w:gridCol w:w="109"/>
        <w:gridCol w:w="109"/>
        <w:gridCol w:w="109"/>
        <w:gridCol w:w="196"/>
        <w:gridCol w:w="631"/>
        <w:gridCol w:w="109"/>
        <w:gridCol w:w="109"/>
        <w:gridCol w:w="109"/>
        <w:gridCol w:w="109"/>
        <w:gridCol w:w="224"/>
        <w:gridCol w:w="226"/>
        <w:gridCol w:w="30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4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$15.7 million and $16.8 million for the three months ended March 31, 2026 and 2025, respectively, which represents an effective tax rate of 25.7% and 26.5%, respectively. The variance in the Company’s effective tax rate of 25.7% and 26.5% for the three months ended March 31, 2026 and 2025, respectively, compared to the federal statutory rate of 21%, as well as year-over-year changes, was primarily attributable to state taxes in multiple jurisdictions and various non-deductible expenses.</w:t>
      </w:r>
    </w:p>
    <w:p>
      <w:pPr>
        <w:pStyle w:val="TextBody"/>
        <w:bidi w:val="0"/>
        <w:spacing w:lineRule="auto" w:line="288" w:before="0" w:after="200"/>
        <w:ind w:left="0" w:right="0" w:firstLine="360"/>
        <w:jc w:val="left"/>
        <w:rPr>
          <w:rFonts w:ascii="Times New Roman;serif" w:hAnsi="Times New Roman;serif"/>
          <w:b/>
          <w:i/>
          <w:color w:val="231F20"/>
          <w:sz w:val="20"/>
        </w:rPr>
      </w:pPr>
      <w:r>
        <w:rPr>
          <w:rFonts w:ascii="Times New Roman;serif" w:hAnsi="Times New Roman;serif"/>
          <w:b/>
          <w:i/>
          <w:color w:val="231F20"/>
          <w:sz w:val="20"/>
        </w:rPr>
        <w:t>Net Income and Other Comprehensive (Loss) Income</w:t>
      </w:r>
    </w:p>
    <w:tbl>
      <w:tblPr>
        <w:tblW w:w="10205" w:type="dxa"/>
        <w:jc w:val="center"/>
        <w:tblInd w:w="0" w:type="dxa"/>
        <w:tblLayout w:type="fixed"/>
        <w:tblCellMar>
          <w:top w:w="28" w:type="dxa"/>
          <w:left w:w="28" w:type="dxa"/>
          <w:bottom w:w="28" w:type="dxa"/>
          <w:right w:w="28" w:type="dxa"/>
        </w:tblCellMar>
      </w:tblPr>
      <w:tblGrid>
        <w:gridCol w:w="1881"/>
        <w:gridCol w:w="1656"/>
        <w:gridCol w:w="1674"/>
        <w:gridCol w:w="224"/>
        <w:gridCol w:w="744"/>
        <w:gridCol w:w="125"/>
        <w:gridCol w:w="125"/>
        <w:gridCol w:w="125"/>
        <w:gridCol w:w="125"/>
        <w:gridCol w:w="224"/>
        <w:gridCol w:w="744"/>
        <w:gridCol w:w="125"/>
        <w:gridCol w:w="109"/>
        <w:gridCol w:w="109"/>
        <w:gridCol w:w="109"/>
        <w:gridCol w:w="196"/>
        <w:gridCol w:w="628"/>
        <w:gridCol w:w="109"/>
        <w:gridCol w:w="109"/>
        <w:gridCol w:w="109"/>
        <w:gridCol w:w="109"/>
        <w:gridCol w:w="267"/>
        <w:gridCol w:w="270"/>
        <w:gridCol w:w="309"/>
      </w:tblGrid>
      <w:tr>
        <w:trPr/>
        <w:tc>
          <w:tcPr>
            <w:tcW w:w="1881"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52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income (loss), net of tax: </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unrealized (loss) gain on cash flow hedges, net of income taxes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comprehensive income</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44,344 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 in net income was attributable to the factors described in the above sections.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change in unrealized (loss) gain on cash flow hedges, net of income taxes was related to the change in fair market value of the $300.0 million interest rate cap hedge executed in October 2021.</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comprehensive income increased to $44.6 million for the three months ended March 31, 2026, compared to net comprehensive income of $44.3 million for the three months ended March 31, 2025, primarily as a result of the factors described in the above sections.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the twelve months ended December 31, 2025, the Company’s primary sources of liquidity were cash and cash equivalents of $177.3 million and $232.6 million, respectively. On March 30, 2026, the Company entered into the Fifth Amendment to the amended and restated Credit Agreement dated as of October 27, 2021. The Fifth Amendment, among other things, increases the Revolver Facility by $450.0 million, resulting in an aggregate capacity amount of $850.0 million. As of March 31, 2026, the Company had $846.0 million of borrowings available under its credit facilities (net of $4.0 million undrawn letters of credit issued and outstanding). As of December 31, 2025, the Company had $396.0 million of borrowings available under its credit facilities (net of $4.0 million undrawn letters of credit issued and outstanding). During the three months ended March 31, 2026 and 2025, the Company’s cash flows from operations have been invested in pharmacies, infusion suites, and information technology infrastructure to support growth and create additional capacity in the future, as well as the pursuit of acquisitions and the periodic repurchases of Company shares.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primary uses of cash and cash equivalents include supporting our ongoing business activities, internal investment in resources to support future growth, investment in capital expenditures in both facilities and technology, the pursuit of acquisitions, and the pursuit of share repurchases.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Ongoing operating cash outflows are associated with procuring and dispensing drugs, personnel and other costs associated with servicing patients, as well as paying cash interest on outstanding debt and cash taxes. Ongoing investing cash flows are primarily associated with capital projects and business acquisitions, the improvement and maintenance of our pharmacy facilities and investment in our information technology systems. Ongoing financing cash flows are primarily associated with the quarterly principal payments on our outstanding debt, along with potential future repurchases of Company shares.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strategy includes strategic deployment of capital to internal investments in resources, infrastructure, and technologies to support future growth, the pursuit of strategic tuck-in and adjacent acquisitions that complement our existing operations and the periodic repurchases of Company shares. We continue to evaluate acquisition opportunities and view acquisitions as a key part of our growth strategy. The Company has historically funded its acquisitions with cash and cash equivalents.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Short-Term and Long-Term Liquidity Requirements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ability to make principal and interest payments on any borrowings under our credit facilities and our ability to fund planned capital expenditures will depend on our ability to generate cash and cash equivalents in the future, which to a certain extent, is subject to general economic, financial, competitive, regulatory and other conditions. Based on our current level of operations and planned capital expenditures, we believe that our existing cash and cash equivalents balances, expected cash flows generated from operations, and availability under our credit facility will be sufficient to meet our operating requirements over the next 12 months and beyond. We may require additional borrowings under our credit facilities and alternative forms of financings or investments to achieve our longer-term strategic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30, 2026, the Company entered into the Fifth Amendment to the Credit Agreement. The Fifth Amendment, among other things, increases the existing Revolver Facility by $450.0 million, resulting in an aggregate capacity amount of $850.0 million.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principal balance of the First Lien Term Loan is repayable in quarterly installments of $1.7 million plus interest, with a final payment of all remaining outstanding principal due on September 22, 2032. Interest on the First Lien Term Loan is payable monthly on either (i) the Secured Overnight Financing Rate (“SOFR”) plus an applicable margin of 1.75% for Term SOFR Loans; or (ii) a base rate, plus 0.75% for Base Rate Loans.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Senior Notes bear interest at a rate of 4.375% per annum and are payable semi-annually in arrears on October 31 and April 30 of each year. The Senior Notes mature on October 31, 2029.</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Revolver Facility provides for borrowings up to $850.0 million. The Revolver Facility matures on the date that is the earlier of (i) September 22, 2030 and (ii) the date that is 91 days prior to the stated maturity date applicable to the Senior Notes to the extent any amount of the Senior Notes remains unpaid and outstanding as of the date that is 91 days prior to the stated maturity date applicable to the Senior Notes. Borrowings under the Revolver Facility will bear interest at a rate equal to, at the option of the Company, either (i) the Term SOFR applicable thereto plus the Applicable Rate or (ii) the then-applicable Base Rate plus the Applicable Rate, which Applicable Rate shall be, subject to certain caveats thereto, as follows (i) until delivery of financial statements and related Compliance Certificate for the first full fiscal quarter ending after the effective date of the fourth amendment to the Credit Agreement, (A) for Term SOFR Loans, 1.75%, or (B) for Base Rate Loans, 0.75% and (ii) thereafter, the Applicable Rate for Term SOFR Loans and Base Rate Loans, based upon the Total Net Leverage Ratio as set forth in the most recent Compliance Certificate received by the Administrative Agent pursuant to the terms of the Credit Agreement (as such terms are defined in the Credit Agreement). As of March 31, 2026, the Company had $4.0 million of undrawn letters of credit issued and outstanding, resulting in net borrowing availability under the Revolver Facility of $846.0 million.</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payments over the course of long-term debt obligations total an estimated $312.3 million based on final maturity dates of the Company’s credit facilities. Interest payments are calculated based on current rates as of March 31, 2026. Actual payments are based on changes in SOFR and exclude the interest rate cap derivative instrument.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Three Months Ended March 31, 2026 Compared to Three Months Ended March 31, 2025 </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selected data from Option Care Health’s unaudited condensed consolidated statements of cash flows:</w:t>
      </w:r>
    </w:p>
    <w:tbl>
      <w:tblPr>
        <w:tblW w:w="7407" w:type="dxa"/>
        <w:jc w:val="center"/>
        <w:tblInd w:w="0" w:type="dxa"/>
        <w:tblLayout w:type="fixed"/>
        <w:tblCellMar>
          <w:top w:w="28" w:type="dxa"/>
          <w:left w:w="28" w:type="dxa"/>
          <w:bottom w:w="28" w:type="dxa"/>
          <w:right w:w="28" w:type="dxa"/>
        </w:tblCellMar>
      </w:tblPr>
      <w:tblGrid>
        <w:gridCol w:w="1278"/>
        <w:gridCol w:w="1119"/>
        <w:gridCol w:w="1128"/>
        <w:gridCol w:w="209"/>
        <w:gridCol w:w="788"/>
        <w:gridCol w:w="116"/>
        <w:gridCol w:w="116"/>
        <w:gridCol w:w="116"/>
        <w:gridCol w:w="116"/>
        <w:gridCol w:w="209"/>
        <w:gridCol w:w="788"/>
        <w:gridCol w:w="116"/>
        <w:gridCol w:w="109"/>
        <w:gridCol w:w="109"/>
        <w:gridCol w:w="109"/>
        <w:gridCol w:w="196"/>
        <w:gridCol w:w="631"/>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(126,693)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(33,873)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(107,286)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(55,303)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(241,193)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period</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177,321 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171,372 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cash used in operating activities during the three months ended March 31, 2026 was primarily due to decreases in accounts payable due to the timing of vendor payments and accrued compensation and employee benefits due to annual variable incentive compensation payments, which increased over the prior year based on growth and Company performance compared to target goals. The change was also driven by an increase in accounts receivable driven by administrative efforts focused on annual reverification of patients’ insurance coverage and deductible resets, partially offset by a decrease in inventory due to focused efforts on supply chain management.</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cash used in investing activities during the three months ended March 31, 2026 was primarily related to the Intramed Plus acquisition made during the three months ended March 31, 2025 with no comparable activity during the three months ended March 31, 2026.</w:t>
      </w:r>
    </w:p>
    <w:p>
      <w:pPr>
        <w:pStyle w:val="TextBody"/>
        <w:bidi w:val="0"/>
        <w:spacing w:lineRule="auto" w:line="288" w:before="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cash used in financing activities was primarily related to the Company’s $17.5 million repurchase of common stock during the three months ended March 31, 2026, compared to the Company’s $100.0 million repurchase of common stock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prepares its unaudited condensed consolidated financial statements in accordance with GAAP, which requires the Company to make estimates and assumptions. The Company evaluates its estimates and assumptions on an ongoing basis. Estimates and assumptions are based on historical experience and on various other factors that are believed to be reasonable under the circumstances, the results of which form the basis for making assumptions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critical accounting policies and estimates as presented in our Form 10-K, which are hereby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20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exposure to market risk from those included in our Form 10-K, which is hereby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March 31, 2026. Based on that evaluation, the Company’s Chief Executive Officer and its Chief Financial Officer concluded that our disclosure controls and procedures were effective as of March 31, 2026.</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three months ended March 31,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erif" w:hAnsi="Times New Roman;serif"/>
          <w:b/>
          <w:color w:val="000000"/>
          <w:sz w:val="20"/>
        </w:rPr>
        <w:t>Item 1.     </w:t>
      </w:r>
      <w:r>
        <w:rPr>
          <w:rFonts w:ascii="Times New Roman;serif" w:hAnsi="Times New Roman;serif"/>
          <w:b/>
          <w:i/>
          <w:color w:val="000000"/>
          <w:sz w:val="20"/>
        </w:rPr>
        <w:t>Legal Proceedings</w:t>
      </w:r>
    </w:p>
    <w:p>
      <w:pPr>
        <w:pStyle w:val="TextBody"/>
        <w:bidi w:val="0"/>
        <w:spacing w:lineRule="auto" w:line="288" w:before="0" w:after="200"/>
        <w:ind w:left="0" w:right="0" w:firstLine="360"/>
        <w:jc w:val="left"/>
        <w:rPr/>
      </w:pPr>
      <w:r>
        <w:rPr>
          <w:rFonts w:ascii="Times New Roman;serif" w:hAnsi="Times New Roman;serif"/>
          <w:b w:val="false"/>
          <w:color w:val="000000"/>
          <w:sz w:val="20"/>
        </w:rPr>
        <w:t xml:space="preserve">For a summary of legal proceedings, refer to Note 13,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of the unaudited condensed consolidated financial statements included in Item 1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erif" w:hAnsi="Times New Roman;serif"/>
          <w:b/>
          <w:color w:val="000000"/>
          <w:sz w:val="20"/>
        </w:rPr>
        <w:t>Item 1A.    </w:t>
      </w:r>
      <w:r>
        <w:rPr>
          <w:rFonts w:ascii="Times New Roman;serif" w:hAnsi="Times New Roman;serif"/>
          <w:b/>
          <w:i/>
          <w:color w:val="000000"/>
          <w:sz w:val="20"/>
        </w:rPr>
        <w:t>Risk Factors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affecting our business, financial condition or results of operations from those set forth in Part I, Item 1A. “Risk Factors” in our Form 10-K. Additional risks and uncertainties not currently known to us or that we currently deem to be immaterial may also materially adversely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erif" w:hAnsi="Times New Roman;serif"/>
          <w:b/>
          <w:color w:val="000000"/>
          <w:sz w:val="20"/>
        </w:rPr>
        <w:t>Item 2.    </w:t>
      </w:r>
      <w:r>
        <w:rPr>
          <w:rFonts w:ascii="Times New Roman;serif" w:hAnsi="Times New Roman;serif"/>
          <w:b/>
          <w:i/>
          <w:color w:val="000000"/>
          <w:sz w:val="20"/>
        </w:rPr>
        <w:t>Unregistered Sales of Equity Securities and Use of Proceeds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2025, the Company’s Board of Directors authorized a share repurchase program of up to an aggregate $500 million of common stock of the Company. In January 2026, the Company’s Board of Directors authorized an increase to its 2025 share repurchase program authorization from $500 million to $1.0 billion. This program has no specified expiration date.</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certain information with respect to the Company’s repurchases of common stock from January 1, 2026 through March 31, 2026:</w:t>
      </w:r>
    </w:p>
    <w:tbl>
      <w:tblPr>
        <w:tblW w:w="10205" w:type="dxa"/>
        <w:jc w:val="center"/>
        <w:tblInd w:w="0" w:type="dxa"/>
        <w:tblLayout w:type="fixed"/>
        <w:tblCellMar>
          <w:top w:w="28" w:type="dxa"/>
          <w:left w:w="28" w:type="dxa"/>
          <w:bottom w:w="28" w:type="dxa"/>
          <w:right w:w="28" w:type="dxa"/>
        </w:tblCellMar>
      </w:tblPr>
      <w:tblGrid>
        <w:gridCol w:w="511"/>
        <w:gridCol w:w="387"/>
        <w:gridCol w:w="392"/>
        <w:gridCol w:w="109"/>
        <w:gridCol w:w="109"/>
        <w:gridCol w:w="109"/>
        <w:gridCol w:w="540"/>
        <w:gridCol w:w="442"/>
        <w:gridCol w:w="443"/>
        <w:gridCol w:w="109"/>
        <w:gridCol w:w="109"/>
        <w:gridCol w:w="109"/>
        <w:gridCol w:w="268"/>
        <w:gridCol w:w="762"/>
        <w:gridCol w:w="149"/>
        <w:gridCol w:w="109"/>
        <w:gridCol w:w="109"/>
        <w:gridCol w:w="109"/>
        <w:gridCol w:w="795"/>
        <w:gridCol w:w="743"/>
        <w:gridCol w:w="745"/>
        <w:gridCol w:w="109"/>
        <w:gridCol w:w="109"/>
        <w:gridCol w:w="109"/>
        <w:gridCol w:w="379"/>
        <w:gridCol w:w="2035"/>
        <w:gridCol w:w="306"/>
      </w:tblGrid>
      <w:tr>
        <w:trPr/>
        <w:tc>
          <w:tcPr>
            <w:tcW w:w="51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Plans or Programs</w:t>
            </w:r>
          </w:p>
        </w:tc>
      </w:tr>
      <w:tr>
        <w:trPr/>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January 1, 2026 -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528,981 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528,981 </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675,000,977 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1, 2026 -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1, 2026 -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528,981 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528,981 </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675,000,977 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Times New Roman;serif" w:hAnsi="Times New Roman;serif"/>
          <w:b/>
          <w:color w:val="000000"/>
          <w:sz w:val="20"/>
        </w:rPr>
        <w:t>Item 5.    </w:t>
      </w:r>
      <w:r>
        <w:rPr>
          <w:rFonts w:ascii="Times New Roman;serif" w:hAnsi="Times New Roman;serif"/>
          <w:b/>
          <w:i/>
          <w:color w:val="000000"/>
          <w:sz w:val="20"/>
        </w:rPr>
        <w:t>Other Information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Adoption, Modification and Termination of Rule 10b5-1 Plans and Certain Other Trading Arrangements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6, 2026, John C. Rademacher, Chief Executive Officer, President and Director, adopted a trading plan intended to satisfy Rule 10b5-1(c) to sell up to 200,000 shares of Option Care Health, Inc. common stock over a period ending on February 26, 2027, subject to certain conditions.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11, 2026, Luke Whitworth, Chief Operating Officer, adopted a trading plan intended to satisfy Rule 10b5-1(c) to sell up to 60,000 shares of Option Care Health, Inc. common stock over a period ending on February 1, 2027, subject to certain conditions.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than those disclosed above, none of the directors or officers of the Company have adopted, modified or terminated a Rule 10b5-1 plan or non-Rule 10b5-1 trading arrangement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e631ee56d0b4b9a8057432c452f4435_7">
        <w:r>
          <w:rPr>
            <w:rStyle w:val="InternetLink"/>
          </w:rPr>
          <w:t xml:space="preserve">Table of </w:t>
        </w:r>
      </w:hyperlink>
      <w:hyperlink w:anchor="i0e631ee56d0b4b9a8057432c452f4435_7">
        <w:r>
          <w:rPr>
            <w:rStyle w:val="InternetLink"/>
          </w:rPr>
          <w:t>Contents</w:t>
        </w:r>
      </w:hyperlink>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Exhibits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 Exhibits.</w:t>
      </w:r>
    </w:p>
    <w:tbl>
      <w:tblPr>
        <w:tblW w:w="10205" w:type="dxa"/>
        <w:jc w:val="center"/>
        <w:tblInd w:w="0" w:type="dxa"/>
        <w:tblLayout w:type="fixed"/>
        <w:tblCellMar>
          <w:top w:w="28" w:type="dxa"/>
          <w:left w:w="28" w:type="dxa"/>
          <w:bottom w:w="28" w:type="dxa"/>
          <w:right w:w="28" w:type="dxa"/>
        </w:tblCellMar>
      </w:tblPr>
      <w:tblGrid>
        <w:gridCol w:w="348"/>
        <w:gridCol w:w="305"/>
        <w:gridCol w:w="307"/>
        <w:gridCol w:w="2791"/>
        <w:gridCol w:w="2655"/>
        <w:gridCol w:w="3799"/>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Number </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960"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9245"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Fourth Amended and Restated Certificate of Incorporation of Option Care Health, Inc., effective as of May 15, 2025 (incorporated by reference to Exhibit 3.1 to the Company’s Current Report on Form 8-K filed on May 16, 2025).</w:t>
              </w:r>
            </w:hyperlink>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92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8"/>
                  <w:u w:val="single"/>
                </w:rPr>
                <w:t>Amended and Restated By-Laws of Option Care Health, Inc., effective as of May 14, 2025 (incorporated by reference to Exhibit 3.2 to the Company’s Current Report on Form 8-K filed on May 16, 2025).</w:t>
              </w:r>
            </w:hyperlink>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92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18"/>
                  <w:u w:val="single"/>
                </w:rPr>
                <w:t>Fifth Amendment to Amended and Restated First Lien Credit Agreement, dated as of March 30, 2026, by and among Option Care Health, Inc., a Delaware corporation, as borrower, each other Loan Party (as defined therein) party thereto, each Incremental Revolving Lender (as defined therein) party thereto and Bank of America, N.A., as administrative agent (incorporated by reference to Exhibit 10.1 to the Company's Current Report on Form 8-K filed on April 2, 2026).</w:t>
              </w:r>
            </w:hyperlink>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92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1-q12026.htm">
              <w:r>
                <w:rPr>
                  <w:rStyle w:val="InternetLink"/>
                  <w:rFonts w:ascii="Times New Roman;serif" w:hAnsi="Times New Roman;serif"/>
                  <w:b w:val="false"/>
                  <w:color w:val="0000FF"/>
                  <w:sz w:val="18"/>
                  <w:u w:val="single"/>
                </w:rPr>
                <w:t>Certification of Chief Executive Officer pursuant to 18 U.S.C. Section 1350, as adopted pursuant to Section 302 of the Sarbanes-Oxley Act of 2002.</w:t>
              </w:r>
            </w:hyperlink>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q12026.htm">
              <w:r>
                <w:rPr>
                  <w:rStyle w:val="InternetLink"/>
                  <w:rFonts w:ascii="Times New Roman;serif" w:hAnsi="Times New Roman;serif"/>
                  <w:b w:val="false"/>
                  <w:color w:val="0000FF"/>
                  <w:sz w:val="18"/>
                  <w:u w:val="single"/>
                </w:rPr>
                <w:t>Certification of Chief Financial Officer pursuant to 18 U.S.C. Section 1350, as adopted pursuant to Section 302 of the Sarbanes-Oxley Act of 2002.</w:t>
              </w:r>
            </w:hyperlink>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q12026.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2-q12026.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Instance Document</w:t>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Labels Linkbase Document</w:t>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Formatted Cover Page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783" w:type="dxa"/>
        <w:jc w:val="center"/>
        <w:tblInd w:w="0" w:type="dxa"/>
        <w:tblLayout w:type="fixed"/>
        <w:tblCellMar>
          <w:top w:w="28" w:type="dxa"/>
          <w:left w:w="28" w:type="dxa"/>
          <w:bottom w:w="28" w:type="dxa"/>
          <w:right w:w="28" w:type="dxa"/>
        </w:tblCellMar>
      </w:tblPr>
      <w:tblGrid>
        <w:gridCol w:w="901"/>
        <w:gridCol w:w="793"/>
        <w:gridCol w:w="793"/>
        <w:gridCol w:w="669"/>
        <w:gridCol w:w="669"/>
        <w:gridCol w:w="958"/>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color w:val="000000"/>
                <w:sz w:val="20"/>
              </w:rPr>
              <w:t>OPTION CARE HEALTH, INC.</w:t>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2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/s/ Meenal Sethna </w:t>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Meenal Sethna</w:t>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168" w:after="283"/>
              <w:jc w:val="right"/>
              <w:rPr>
                <w:rFonts w:ascii="Times New Roman;serif" w:hAnsi="Times New Roman;serif"/>
                <w:b w:val="false"/>
                <w:color w:val="000000"/>
                <w:sz w:val="20"/>
              </w:rPr>
            </w:pPr>
            <w:r>
              <w:rPr>
                <w:rFonts w:ascii="Times New Roman;serif" w:hAnsi="Times New Roman;serif"/>
                <w:b w:val="false"/>
                <w:color w:val="000000"/>
                <w:sz w:val="20"/>
              </w:rPr>
              <w:t>Chief Financial Officer and Executive Vice President</w:t>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168" w:after="283"/>
              <w:jc w:val="righ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 </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John Rademacher, certify that: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Option Care Health, Inc.; </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controls and procedures, as of the end of the period covered by this report based on such evaluation;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00" w:after="100"/>
        <w:ind w:left="0" w:right="0" w:hanging="720"/>
        <w:jc w:val="both"/>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April 30, 2026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John Rademacher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Rademacher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Meenal Sethna, certify that: </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Option Care Health, Inc.; </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controls and procedures, as of the end of the period covered by this report based on such evaluation;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April 30, 2026 </w:t>
      </w:r>
    </w:p>
    <w:p>
      <w:pPr>
        <w:pStyle w:val="TextBody"/>
        <w:bidi w:val="0"/>
        <w:spacing w:before="100" w:after="10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Meenal Sethna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Meenal Sethna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and Principal Financial Officer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00" w:after="100"/>
        <w:jc w:val="both"/>
        <w:rPr>
          <w:color w:val="000000"/>
        </w:rPr>
      </w:pPr>
      <w:r>
        <w:rPr>
          <w:color w:val="000000"/>
        </w:rPr>
        <w:t>    </w:t>
      </w:r>
      <w:r>
        <w:rPr>
          <w:rFonts w:ascii="Times New Roman;serif" w:hAnsi="Times New Roman;serif"/>
          <w:b w:val="false"/>
          <w:color w:val="000000"/>
          <w:sz w:val="20"/>
        </w:rPr>
        <w:t xml:space="preserve">In connection with the Quarterly Report of Option Care Health, Inc. (the “Company”) on Form 10-Q for the quarter ended March 31, 2026, as filed with the Securities and Exchange Commission on the date hereof (the “Report”), I, John Rademacher, Chief Executive Officer of the Company, do hereby certify, pursuant to 18 U.S.C. Section 1350, as adopted pursuant to Section 906 of the Sarbanes-Oxley Act of 2002, that to my knowledge: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and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April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John Rademacher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Rademacher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Principal Executive Officer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00" w:after="100"/>
        <w:jc w:val="both"/>
        <w:rPr>
          <w:color w:val="000000"/>
        </w:rPr>
      </w:pPr>
      <w:r>
        <w:rPr>
          <w:color w:val="000000"/>
        </w:rPr>
        <w:t>    </w:t>
      </w:r>
      <w:r>
        <w:rPr>
          <w:rFonts w:ascii="Times New Roman;serif" w:hAnsi="Times New Roman;serif"/>
          <w:b w:val="false"/>
          <w:color w:val="000000"/>
          <w:sz w:val="20"/>
        </w:rPr>
        <w:t xml:space="preserve">In connection with the Quarterly Report of Option Care Health, Inc. (the “Company”) on Form 10-Q for the quarter ended March 31, 2026, as filed with the Securities and Exchange Commission on the date hereof (the “Report”), I, Meenal Sethna, Chief Financial Officer of the Company, do hereby certify, pursuant to 18 U.S.C. Section 1350, as adopted pursuant to Section 906 of the Sarbanes-Oxley Act of 2002, that to my knowledge: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and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April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Meenal Sethna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Meenal Sethna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and Principal Financial Officer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14739/000101473925000028/ex31-fourthamendedandresta.htm" TargetMode="External"/><Relationship Id="rId4" Type="http://schemas.openxmlformats.org/officeDocument/2006/relationships/hyperlink" Target="https://www.sec.gov/Archives/edgar/data/1014739/000101473925000028/ex32-amendedandrestatedbyx.htm" TargetMode="External"/><Relationship Id="rId5" Type="http://schemas.openxmlformats.org/officeDocument/2006/relationships/hyperlink" Target="https://www.sec.gov/Archives/edgar/data/1014739/000110465926039171/tm2610775d1_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12888</Words>
  <Characters>72569</Characters>
  <CharactersWithSpaces>84624</CharactersWithSpaces>
  <Paragraphs>1718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