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3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3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left"/>
        <w:tblInd w:w="0" w:type="dxa"/>
        <w:tblCellMar>
          <w:top w:w="28" w:type="dxa"/>
          <w:left w:w="28" w:type="dxa"/>
          <w:bottom w:w="28" w:type="dxa"/>
          <w:right w:w="28" w:type="dxa"/>
        </w:tblCellMar>
      </w:tblPr>
      <w:tblGrid>
        <w:gridCol w:w="370"/>
        <w:gridCol w:w="325"/>
        <w:gridCol w:w="327"/>
        <w:gridCol w:w="2689"/>
        <w:gridCol w:w="2689"/>
        <w:gridCol w:w="3805"/>
      </w:tblGrid>
      <w:tr>
        <w:trPr/>
        <w:tc>
          <w:tcPr>
            <w:tcW w:w="37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05" w:type="dxa"/>
            <w:tcBorders/>
            <w:shd w:fill="auto" w:val="clear"/>
            <w:vAlign w:val="center"/>
          </w:tcPr>
          <w:p>
            <w:pPr>
              <w:pStyle w:val="TableContents"/>
              <w:spacing w:before="0" w:after="283"/>
              <w:rPr>
                <w:sz w:val="4"/>
                <w:szCs w:val="4"/>
              </w:rPr>
            </w:pPr>
            <w:r>
              <w:rPr>
                <w:sz w:val="4"/>
                <w:szCs w:val="4"/>
              </w:rPr>
            </w:r>
          </w:p>
        </w:tc>
      </w:tr>
      <w:tr>
        <w:trPr/>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 One)</w:t>
            </w:r>
          </w:p>
        </w:tc>
        <w:tc>
          <w:tcPr>
            <w:tcW w:w="91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r>
        <w:trPr/>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tc>
      </w:tr>
      <w:tr>
        <w:trPr/>
        <w:tc>
          <w:tcPr>
            <w:tcW w:w="10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001-11993</w:t>
      </w:r>
    </w:p>
    <w:p>
      <w:pPr>
        <w:pStyle w:val="TextBody"/>
        <w:spacing w:before="0" w:after="0"/>
        <w:jc w:val="center"/>
        <w:rPr/>
      </w:pPr>
      <w:r>
        <w:rPr/>
        <w:drawing>
          <wp:inline distT="0" distB="63500" distL="0" distR="0">
            <wp:extent cx="19050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715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OPTION CARE HEALTH, INC.</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tbl>
      <w:tblPr>
        <w:tblW w:w="7234" w:type="dxa"/>
        <w:jc w:val="center"/>
        <w:tblInd w:w="0" w:type="dxa"/>
        <w:tblCellMar>
          <w:top w:w="28" w:type="dxa"/>
          <w:left w:w="28" w:type="dxa"/>
          <w:bottom w:w="28" w:type="dxa"/>
          <w:right w:w="28" w:type="dxa"/>
        </w:tblCellMar>
      </w:tblPr>
      <w:tblGrid>
        <w:gridCol w:w="549"/>
        <w:gridCol w:w="482"/>
        <w:gridCol w:w="484"/>
        <w:gridCol w:w="329"/>
        <w:gridCol w:w="329"/>
        <w:gridCol w:w="331"/>
        <w:gridCol w:w="429"/>
        <w:gridCol w:w="429"/>
        <w:gridCol w:w="431"/>
        <w:gridCol w:w="148"/>
        <w:gridCol w:w="148"/>
        <w:gridCol w:w="148"/>
        <w:gridCol w:w="109"/>
        <w:gridCol w:w="109"/>
        <w:gridCol w:w="109"/>
        <w:gridCol w:w="778"/>
        <w:gridCol w:w="778"/>
        <w:gridCol w:w="1114"/>
      </w:tblGrid>
      <w:tr>
        <w:trPr/>
        <w:tc>
          <w:tcPr>
            <w:tcW w:w="54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23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05-0489664</w:t>
            </w:r>
          </w:p>
        </w:tc>
      </w:tr>
      <w:tr>
        <w:trPr/>
        <w:tc>
          <w:tcPr>
            <w:tcW w:w="423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3000 Lakeside Dr.</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Suite 300N,</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Bannockburn,</w:t>
            </w:r>
          </w:p>
        </w:tc>
        <w:tc>
          <w:tcPr>
            <w:tcW w:w="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60015</w:t>
            </w:r>
          </w:p>
        </w:tc>
      </w:tr>
      <w:tr>
        <w:trPr/>
        <w:tc>
          <w:tcPr>
            <w:tcW w:w="423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312-940-2443</w:t>
      </w:r>
    </w:p>
    <w:p>
      <w:pPr>
        <w:pStyle w:val="TextBody"/>
        <w:spacing w:lineRule="auto" w:line="417" w:before="0" w:after="0"/>
        <w:ind w:left="0" w:right="0" w:firstLine="18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07" w:type="dxa"/>
        <w:jc w:val="center"/>
        <w:tblInd w:w="0" w:type="dxa"/>
        <w:tblCellMar>
          <w:top w:w="28" w:type="dxa"/>
          <w:left w:w="28" w:type="dxa"/>
          <w:bottom w:w="28" w:type="dxa"/>
          <w:right w:w="28" w:type="dxa"/>
        </w:tblCellMar>
      </w:tblPr>
      <w:tblGrid>
        <w:gridCol w:w="1189"/>
        <w:gridCol w:w="1042"/>
        <w:gridCol w:w="1053"/>
        <w:gridCol w:w="484"/>
        <w:gridCol w:w="484"/>
        <w:gridCol w:w="486"/>
        <w:gridCol w:w="956"/>
        <w:gridCol w:w="956"/>
        <w:gridCol w:w="1357"/>
      </w:tblGrid>
      <w:tr>
        <w:trPr/>
        <w:tc>
          <w:tcPr>
            <w:tcW w:w="1189"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OPCH</w:t>
            </w:r>
          </w:p>
        </w:tc>
        <w:tc>
          <w:tcPr>
            <w:tcW w:w="326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lineRule="auto" w:line="288" w:before="0" w:after="0"/>
        <w:ind w:left="0" w:right="0" w:firstLine="18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jc w:val="both"/>
        <w:rPr/>
      </w:pPr>
      <w:r>
        <w:rPr/>
      </w:r>
    </w:p>
    <w:p>
      <w:pPr>
        <w:pStyle w:val="TextBody"/>
        <w:spacing w:lineRule="auto" w:line="288" w:before="0" w:after="0"/>
        <w:ind w:left="0" w:right="0" w:firstLine="18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 xml:space="preserve">No </w:t>
      </w:r>
      <w:r>
        <w:rPr>
          <w:color w:val="000000"/>
        </w:rPr>
        <w:t>☐</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spacing w:before="0" w:after="0"/>
        <w:jc w:val="both"/>
        <w:rPr/>
      </w:pPr>
      <w:r>
        <w:rPr/>
      </w:r>
    </w:p>
    <w:p>
      <w:pPr>
        <w:pStyle w:val="TextBody"/>
        <w:spacing w:lineRule="auto" w:line="288" w:before="0" w:after="0"/>
        <w:ind w:left="0" w:right="0" w:firstLine="180"/>
        <w:jc w:val="center"/>
        <w:rPr/>
      </w:pPr>
      <w:r>
        <w:rPr>
          <w:rFonts w:ascii="Times New Roman;sans-serif" w:hAnsi="Times New Roman;sans-serif"/>
          <w:b w:val="false"/>
          <w:color w:val="000000"/>
          <w:sz w:val="18"/>
        </w:rPr>
        <w:t>Large accelerated filer </w:t>
      </w:r>
      <w:r>
        <w:rPr>
          <w:color w:val="000000"/>
        </w:rPr>
        <w:t>☑     </w:t>
      </w:r>
      <w:r>
        <w:rPr>
          <w:rFonts w:ascii="Times New Roman;sans-serif" w:hAnsi="Times New Roman;sans-serif"/>
          <w:b w:val="false"/>
          <w:color w:val="000000"/>
          <w:sz w:val="18"/>
        </w:rPr>
        <w:t>Accelerated filer </w:t>
      </w:r>
      <w:r>
        <w:rPr>
          <w:color w:val="000000"/>
        </w:rPr>
        <w:t>☐     </w:t>
      </w:r>
      <w:r>
        <w:rPr>
          <w:rFonts w:ascii="Times New Roman;sans-serif" w:hAnsi="Times New Roman;sans-serif"/>
          <w:b w:val="false"/>
          <w:color w:val="000000"/>
          <w:sz w:val="18"/>
        </w:rPr>
        <w:t>Non-accelerated filer </w:t>
      </w:r>
      <w:r>
        <w:rPr>
          <w:color w:val="000000"/>
        </w:rPr>
        <w:t>☐      </w:t>
      </w:r>
      <w:r>
        <w:rPr>
          <w:rFonts w:ascii="Times New Roman;sans-serif" w:hAnsi="Times New Roman;sans-serif"/>
          <w:b w:val="false"/>
          <w:color w:val="000000"/>
          <w:sz w:val="18"/>
        </w:rPr>
        <w:t>Smaller reporting company </w:t>
      </w:r>
      <w:r>
        <w:rPr>
          <w:color w:val="000000"/>
        </w:rPr>
        <w:t xml:space="preserve">☐ </w:t>
      </w:r>
      <w:r>
        <w:rPr>
          <w:rFonts w:ascii="Times New Roman;sans-serif" w:hAnsi="Times New Roman;sans-serif"/>
          <w:b w:val="false"/>
          <w:color w:val="000000"/>
          <w:sz w:val="18"/>
        </w:rPr>
        <w:t>Emerging growth company </w:t>
      </w:r>
      <w:r>
        <w:rPr>
          <w:color w:val="000000"/>
        </w:rPr>
        <w:t>☐</w:t>
      </w:r>
    </w:p>
    <w:p>
      <w:pPr>
        <w:pStyle w:val="TextBody"/>
        <w:spacing w:before="0" w:after="0"/>
        <w:jc w:val="center"/>
        <w:rPr/>
      </w:pPr>
      <w:r>
        <w:rPr/>
      </w:r>
    </w:p>
    <w:p>
      <w:pPr>
        <w:pStyle w:val="TextBody"/>
        <w:spacing w:lineRule="auto" w:line="288" w:before="0" w:after="0"/>
        <w:ind w:left="0" w:right="0" w:firstLine="18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jc w:val="center"/>
        <w:rPr/>
      </w:pPr>
      <w:r>
        <w:rPr/>
      </w:r>
    </w:p>
    <w:p>
      <w:pPr>
        <w:pStyle w:val="TextBody"/>
        <w:spacing w:lineRule="auto" w:line="288" w:before="0" w:after="0"/>
        <w:ind w:left="0" w:right="0" w:firstLine="18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  </w:t>
      </w:r>
    </w:p>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On May 2, 2023, there were 179,764,281 shares of the registrant’s Common Stock outstanding.</w:t>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before="0" w:after="60"/>
        <w:jc w:val="center"/>
        <w:rPr/>
      </w:pPr>
      <w:r>
        <w:rPr/>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52" w:type="dxa"/>
        <w:jc w:val="left"/>
        <w:tblInd w:w="0" w:type="dxa"/>
        <w:tblCellMar>
          <w:top w:w="28" w:type="dxa"/>
          <w:left w:w="28" w:type="dxa"/>
          <w:bottom w:w="28" w:type="dxa"/>
          <w:right w:w="28" w:type="dxa"/>
        </w:tblCellMar>
      </w:tblPr>
      <w:tblGrid>
        <w:gridCol w:w="456"/>
        <w:gridCol w:w="399"/>
        <w:gridCol w:w="406"/>
        <w:gridCol w:w="2163"/>
        <w:gridCol w:w="2163"/>
        <w:gridCol w:w="2169"/>
        <w:gridCol w:w="233"/>
        <w:gridCol w:w="233"/>
        <w:gridCol w:w="330"/>
      </w:tblGrid>
      <w:tr>
        <w:trPr/>
        <w:tc>
          <w:tcPr>
            <w:tcW w:w="45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6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br/>
              <w:t>Number</w:t>
            </w:r>
          </w:p>
        </w:tc>
      </w:tr>
      <w:tr>
        <w:trPr/>
        <w:tc>
          <w:tcPr>
            <w:tcW w:w="85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6">
              <w:r>
                <w:rPr>
                  <w:rStyle w:val="InternetLink"/>
                  <w:rFonts w:ascii="Times New Roman;sans-serif" w:hAnsi="Times New Roman;sans-serif"/>
                  <w:b w:val="false"/>
                  <w:color w:val="0000FF"/>
                  <w:sz w:val="18"/>
                  <w:u w:val="single"/>
                </w:rPr>
                <w:t>Item 1.</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6">
              <w:r>
                <w:rPr>
                  <w:rStyle w:val="InternetLink"/>
                  <w:rFonts w:ascii="Times New Roman;sans-serif" w:hAnsi="Times New Roman;sans-serif"/>
                  <w:b w:val="false"/>
                  <w:color w:val="0000FF"/>
                  <w:sz w:val="18"/>
                  <w:u w:val="single"/>
                </w:rPr>
                <w:t>Financial Statements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6">
              <w:r>
                <w:rPr>
                  <w:rStyle w:val="InternetLink"/>
                  <w:rFonts w:ascii="Times New Roman;sans-serif" w:hAnsi="Times New Roman;sans-serif"/>
                  <w:b w:val="false"/>
                  <w:color w:val="0000FF"/>
                  <w:sz w:val="18"/>
                  <w:u w:val="single"/>
                </w:rPr>
                <w:t>5</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9">
              <w:r>
                <w:rPr>
                  <w:rStyle w:val="InternetLink"/>
                  <w:rFonts w:ascii="Times New Roman;sans-serif" w:hAnsi="Times New Roman;sans-serif"/>
                  <w:b w:val="false"/>
                  <w:color w:val="0000FF"/>
                  <w:sz w:val="18"/>
                  <w:u w:val="single"/>
                </w:rPr>
                <w:t>Condensed Consolidated Balance Sheets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9">
              <w:r>
                <w:rPr>
                  <w:rStyle w:val="InternetLink"/>
                  <w:rFonts w:ascii="Times New Roman;sans-serif" w:hAnsi="Times New Roman;sans-serif"/>
                  <w:b w:val="false"/>
                  <w:color w:val="0000FF"/>
                  <w:sz w:val="18"/>
                  <w:u w:val="single"/>
                </w:rPr>
                <w:t>6</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22">
              <w:r>
                <w:rPr>
                  <w:rStyle w:val="InternetLink"/>
                  <w:rFonts w:ascii="Times New Roman;sans-serif" w:hAnsi="Times New Roman;sans-serif"/>
                  <w:b w:val="false"/>
                  <w:color w:val="0000FF"/>
                  <w:sz w:val="18"/>
                  <w:u w:val="single"/>
                </w:rPr>
                <w:t>Unaudited Condensed Consolidated Statements of Comprehensive Income</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22">
              <w:r>
                <w:rPr>
                  <w:rStyle w:val="InternetLink"/>
                  <w:rFonts w:ascii="Times New Roman;sans-serif" w:hAnsi="Times New Roman;sans-serif"/>
                  <w:b w:val="false"/>
                  <w:color w:val="0000FF"/>
                  <w:sz w:val="18"/>
                  <w:u w:val="single"/>
                </w:rPr>
                <w:t>7</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25">
              <w:r>
                <w:rPr>
                  <w:rStyle w:val="InternetLink"/>
                  <w:rFonts w:ascii="Times New Roman;sans-serif" w:hAnsi="Times New Roman;sans-serif"/>
                  <w:b w:val="false"/>
                  <w:color w:val="0000FF"/>
                  <w:sz w:val="18"/>
                  <w:u w:val="single"/>
                </w:rPr>
                <w:t>Unaudited Condensed Consolidated Statements of Cash Flows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25">
              <w:r>
                <w:rPr>
                  <w:rStyle w:val="InternetLink"/>
                  <w:rFonts w:ascii="Times New Roman;sans-serif" w:hAnsi="Times New Roman;sans-serif"/>
                  <w:b w:val="false"/>
                  <w:color w:val="0000FF"/>
                  <w:sz w:val="18"/>
                  <w:u w:val="single"/>
                </w:rPr>
                <w:t>8</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28">
              <w:r>
                <w:rPr>
                  <w:rStyle w:val="InternetLink"/>
                  <w:rFonts w:ascii="Times New Roman;sans-serif" w:hAnsi="Times New Roman;sans-serif"/>
                  <w:b w:val="false"/>
                  <w:color w:val="0000FF"/>
                  <w:sz w:val="18"/>
                  <w:u w:val="single"/>
                </w:rPr>
                <w:t>Unaudited Condensed Consolidated Statements of Stockholders’ Equity</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28">
              <w:r>
                <w:rPr>
                  <w:rStyle w:val="InternetLink"/>
                  <w:rFonts w:ascii="Times New Roman;sans-serif" w:hAnsi="Times New Roman;sans-serif"/>
                  <w:b w:val="false"/>
                  <w:color w:val="0000FF"/>
                  <w:sz w:val="18"/>
                  <w:u w:val="single"/>
                </w:rPr>
                <w:t>9</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31">
              <w:r>
                <w:rPr>
                  <w:rStyle w:val="InternetLink"/>
                  <w:rFonts w:ascii="Times New Roman;sans-serif" w:hAnsi="Times New Roman;sans-serif"/>
                  <w:b w:val="false"/>
                  <w:color w:val="0000FF"/>
                  <w:sz w:val="18"/>
                  <w:u w:val="single"/>
                </w:rPr>
                <w:t>Notes to Unaudited Condensed Consolidated Financial Statements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31">
              <w:r>
                <w:rPr>
                  <w:rStyle w:val="InternetLink"/>
                  <w:rFonts w:ascii="Times New Roman;sans-serif" w:hAnsi="Times New Roman;sans-serif"/>
                  <w:b w:val="false"/>
                  <w:color w:val="0000FF"/>
                  <w:sz w:val="18"/>
                  <w:u w:val="single"/>
                </w:rPr>
                <w:t>10</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91">
              <w:r>
                <w:rPr>
                  <w:rStyle w:val="InternetLink"/>
                  <w:rFonts w:ascii="Times New Roman;sans-serif" w:hAnsi="Times New Roman;sans-serif"/>
                  <w:b w:val="false"/>
                  <w:color w:val="0000FF"/>
                  <w:sz w:val="18"/>
                  <w:u w:val="single"/>
                </w:rPr>
                <w:t>Item 2.</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91">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91">
              <w:r>
                <w:rPr>
                  <w:rStyle w:val="InternetLink"/>
                  <w:rFonts w:ascii="Times New Roman;sans-serif" w:hAnsi="Times New Roman;sans-serif"/>
                  <w:b w:val="false"/>
                  <w:color w:val="0000FF"/>
                  <w:sz w:val="18"/>
                  <w:u w:val="single"/>
                </w:rPr>
                <w:t>24</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21">
              <w:r>
                <w:rPr>
                  <w:rStyle w:val="InternetLink"/>
                  <w:rFonts w:ascii="Times New Roman;sans-serif" w:hAnsi="Times New Roman;sans-serif"/>
                  <w:b w:val="false"/>
                  <w:color w:val="0000FF"/>
                  <w:sz w:val="18"/>
                  <w:u w:val="single"/>
                </w:rPr>
                <w:t>Item 3.</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21">
              <w:r>
                <w:rPr>
                  <w:rStyle w:val="InternetLink"/>
                  <w:rFonts w:ascii="Times New Roman;sans-serif" w:hAnsi="Times New Roman;sans-serif"/>
                  <w:b w:val="false"/>
                  <w:color w:val="0000FF"/>
                  <w:sz w:val="18"/>
                  <w:u w:val="single"/>
                </w:rPr>
                <w:t>Quantitative and Qualitative Disclosures About Market Risk</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21">
              <w:r>
                <w:rPr>
                  <w:rStyle w:val="InternetLink"/>
                  <w:rFonts w:ascii="Times New Roman;sans-serif" w:hAnsi="Times New Roman;sans-serif"/>
                  <w:b w:val="false"/>
                  <w:color w:val="0000FF"/>
                  <w:sz w:val="18"/>
                  <w:u w:val="single"/>
                </w:rPr>
                <w:t>33</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24">
              <w:r>
                <w:rPr>
                  <w:rStyle w:val="InternetLink"/>
                  <w:rFonts w:ascii="Times New Roman;sans-serif" w:hAnsi="Times New Roman;sans-serif"/>
                  <w:b w:val="false"/>
                  <w:color w:val="0000FF"/>
                  <w:sz w:val="18"/>
                  <w:u w:val="single"/>
                </w:rPr>
                <w:t>Item 4.</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24">
              <w:r>
                <w:rPr>
                  <w:rStyle w:val="InternetLink"/>
                  <w:rFonts w:ascii="Times New Roman;sans-serif" w:hAnsi="Times New Roman;sans-serif"/>
                  <w:b w:val="false"/>
                  <w:color w:val="0000FF"/>
                  <w:sz w:val="18"/>
                  <w:u w:val="single"/>
                </w:rPr>
                <w:t>Controls and Procedures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24">
              <w:r>
                <w:rPr>
                  <w:rStyle w:val="InternetLink"/>
                  <w:rFonts w:ascii="Times New Roman;sans-serif" w:hAnsi="Times New Roman;sans-serif"/>
                  <w:b w:val="false"/>
                  <w:color w:val="0000FF"/>
                  <w:sz w:val="18"/>
                  <w:u w:val="single"/>
                </w:rPr>
                <w:t>33</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2"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PART II</w:t>
            </w:r>
            <w:r>
              <w:rPr>
                <w:color w:val="000000"/>
              </w:rPr>
              <w:t> </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30">
              <w:r>
                <w:rPr>
                  <w:rStyle w:val="InternetLink"/>
                  <w:rFonts w:ascii="Times New Roman;sans-serif" w:hAnsi="Times New Roman;sans-serif"/>
                  <w:b w:val="false"/>
                  <w:color w:val="0000FF"/>
                  <w:sz w:val="18"/>
                  <w:u w:val="single"/>
                </w:rPr>
                <w:t>Item 1.</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30">
              <w:r>
                <w:rPr>
                  <w:rStyle w:val="InternetLink"/>
                  <w:rFonts w:ascii="Times New Roman;sans-serif" w:hAnsi="Times New Roman;sans-serif"/>
                  <w:b w:val="false"/>
                  <w:color w:val="0000FF"/>
                  <w:sz w:val="18"/>
                  <w:u w:val="single"/>
                </w:rPr>
                <w:t>Legal Proceedings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30">
              <w:r>
                <w:rPr>
                  <w:rStyle w:val="InternetLink"/>
                  <w:rFonts w:ascii="Times New Roman;sans-serif" w:hAnsi="Times New Roman;sans-serif"/>
                  <w:b w:val="false"/>
                  <w:color w:val="0000FF"/>
                  <w:sz w:val="18"/>
                  <w:u w:val="single"/>
                </w:rPr>
                <w:t>34</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33">
              <w:r>
                <w:rPr>
                  <w:rStyle w:val="InternetLink"/>
                  <w:rFonts w:ascii="Times New Roman;sans-serif" w:hAnsi="Times New Roman;sans-serif"/>
                  <w:b w:val="false"/>
                  <w:color w:val="0000FF"/>
                  <w:sz w:val="18"/>
                  <w:u w:val="single"/>
                </w:rPr>
                <w:t>Item 1A.</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33">
              <w:r>
                <w:rPr>
                  <w:rStyle w:val="InternetLink"/>
                  <w:rFonts w:ascii="Times New Roman;sans-serif" w:hAnsi="Times New Roman;sans-serif"/>
                  <w:b w:val="false"/>
                  <w:color w:val="0000FF"/>
                  <w:sz w:val="18"/>
                  <w:u w:val="single"/>
                </w:rPr>
                <w:t>Risk Factors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33">
              <w:r>
                <w:rPr>
                  <w:rStyle w:val="InternetLink"/>
                  <w:rFonts w:ascii="Times New Roman;sans-serif" w:hAnsi="Times New Roman;sans-serif"/>
                  <w:b w:val="false"/>
                  <w:color w:val="0000FF"/>
                  <w:sz w:val="18"/>
                  <w:u w:val="single"/>
                </w:rPr>
                <w:t>34</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168">
              <w:r>
                <w:rPr>
                  <w:rStyle w:val="InternetLink"/>
                </w:rPr>
                <w:t>Item 2</w:t>
              </w:r>
            </w:hyperlink>
            <w:hyperlink w:anchor="icd2b84fc65eb4e5595386d11698d90a6_1168">
              <w:r>
                <w:rPr>
                  <w:rStyle w:val="InternetLink"/>
                </w:rPr>
                <w:t xml:space="preserve">. </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168">
              <w:r>
                <w:rPr>
                  <w:rStyle w:val="InternetLink"/>
                  <w:rFonts w:ascii="Times New Roman;sans-serif" w:hAnsi="Times New Roman;sans-serif"/>
                  <w:b w:val="false"/>
                  <w:color w:val="0000FF"/>
                  <w:sz w:val="18"/>
                  <w:u w:val="single"/>
                </w:rPr>
                <w:t>Unregistered Sales of Equity Securities and Use of Proceeds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168">
              <w:r>
                <w:rPr>
                  <w:rStyle w:val="InternetLink"/>
                  <w:rFonts w:ascii="Times New Roman;sans-serif" w:hAnsi="Times New Roman;sans-serif"/>
                  <w:b w:val="false"/>
                  <w:color w:val="0000FF"/>
                  <w:sz w:val="18"/>
                  <w:u w:val="single"/>
                </w:rPr>
                <w:t>34</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36">
              <w:r>
                <w:rPr>
                  <w:rStyle w:val="InternetLink"/>
                  <w:rFonts w:ascii="Times New Roman;sans-serif" w:hAnsi="Times New Roman;sans-serif"/>
                  <w:b w:val="false"/>
                  <w:color w:val="0000FF"/>
                  <w:sz w:val="18"/>
                  <w:u w:val="single"/>
                </w:rPr>
                <w:t>Item 6.</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36">
              <w:r>
                <w:rPr>
                  <w:rStyle w:val="InternetLink"/>
                  <w:rFonts w:ascii="Times New Roman;sans-serif" w:hAnsi="Times New Roman;sans-serif"/>
                  <w:b w:val="false"/>
                  <w:color w:val="0000FF"/>
                  <w:sz w:val="18"/>
                  <w:u w:val="single"/>
                </w:rPr>
                <w:t>Exhibits</w:t>
              </w:r>
            </w:hyperlink>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36">
              <w:r>
                <w:rPr>
                  <w:rStyle w:val="InternetLink"/>
                  <w:rFonts w:ascii="Times New Roman;sans-serif" w:hAnsi="Times New Roman;sans-serif"/>
                  <w:b w:val="false"/>
                  <w:color w:val="0000FF"/>
                  <w:sz w:val="18"/>
                  <w:u w:val="single"/>
                </w:rPr>
                <w:t>35</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d2b84fc65eb4e5595386d11698d90a6_139">
              <w:r>
                <w:rPr>
                  <w:rStyle w:val="InternetLink"/>
                  <w:rFonts w:ascii="Times New Roman;sans-serif" w:hAnsi="Times New Roman;sans-serif"/>
                  <w:b w:val="false"/>
                  <w:color w:val="0000FF"/>
                  <w:sz w:val="18"/>
                  <w:u w:val="single"/>
                </w:rPr>
                <w:t>SIGNATURES</w:t>
              </w:r>
            </w:hyperlink>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d2b84fc65eb4e5595386d11698d90a6_139">
              <w:r>
                <w:rPr>
                  <w:rStyle w:val="InternetLink"/>
                  <w:rFonts w:ascii="Times New Roman;sans-serif" w:hAnsi="Times New Roman;sans-serif"/>
                  <w:b w:val="false"/>
                  <w:color w:val="0000FF"/>
                  <w:sz w:val="18"/>
                  <w:u w:val="single"/>
                </w:rPr>
                <w:t>35</w:t>
              </w:r>
            </w:hyperlink>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in this Quarterly Report on Form 10-Q (this “Form 10-Q”) to "Option Care Health," the “Company,” “we,” “us” and “our” refer to Option Care Health, Inc. and its consolidated subsidiaries.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2022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cd2b84fc65eb4e5595386d11698d90a6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pPr>
      <w:r>
        <w:rPr>
          <w:rFonts w:ascii="Times New Roman;sans-serif" w:hAnsi="Times New Roman;sans-serif"/>
          <w:b/>
          <w:color w:val="000000"/>
          <w:sz w:val="20"/>
        </w:rPr>
        <w:t>Item 1.</w:t>
      </w:r>
      <w:r>
        <w:rPr>
          <w:rFonts w:ascii="Times New Roman;sans-serif" w:hAnsi="Times New Roman;sans-serif"/>
          <w:b/>
          <w:color w:val="000000"/>
          <w:sz w:val="20"/>
        </w:rPr>
        <w:t>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cd2b84fc65eb4e5595386d11698d90a6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OPTION CARE HEALTH, INC.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 THOUSANDS, EXCEPT SHARES AND PER SHARE AMOUNTS)</w:t>
      </w:r>
    </w:p>
    <w:tbl>
      <w:tblPr>
        <w:tblW w:w="10205" w:type="dxa"/>
        <w:jc w:val="center"/>
        <w:tblInd w:w="0" w:type="dxa"/>
        <w:tblCellMar>
          <w:top w:w="28" w:type="dxa"/>
          <w:left w:w="28" w:type="dxa"/>
          <w:bottom w:w="28" w:type="dxa"/>
          <w:right w:w="28" w:type="dxa"/>
        </w:tblCellMar>
      </w:tblPr>
      <w:tblGrid>
        <w:gridCol w:w="2916"/>
        <w:gridCol w:w="2186"/>
        <w:gridCol w:w="2204"/>
        <w:gridCol w:w="202"/>
        <w:gridCol w:w="901"/>
        <w:gridCol w:w="112"/>
        <w:gridCol w:w="109"/>
        <w:gridCol w:w="109"/>
        <w:gridCol w:w="109"/>
        <w:gridCol w:w="217"/>
        <w:gridCol w:w="965"/>
        <w:gridCol w:w="175"/>
      </w:tblGrid>
      <w:tr>
        <w:trPr/>
        <w:tc>
          <w:tcPr>
            <w:tcW w:w="2916"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7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297,776 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294,186 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395,209 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377,542 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249,643 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224,281 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86,908 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98,330 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1,029,536 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994,339 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NONCURRENT ASSETS: </w:t>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105,571 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108,321 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72,424 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Referral sources,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334,001 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341,744 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1,533,569 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1,533,424 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40,313 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assets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2,100,866 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2,118,597 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ASSETS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3,130,402 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3,112,936 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448,890 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378,763 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employee benefits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48,550 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96,279 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84,302 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618,566 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565,351 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discount, deferred financing costs and current portion</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1,057,787 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1,058,204 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69,961 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71,441 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9,683 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liabilities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1,161,617 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1,780,183 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1,726,833 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STOCKHOLDERS’ EQUITY: </w:t>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12,500,000 shares authorized, no shares outstanding as of March 31, 2023 and December 31, 2022, respectively</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250,000,000 shares authorized, 182,615,601 shares issued and 179,756,714 shares outstanding as of March 31, 2023; 182,341,420 shares issued and 181,957,698 shares outstanding as of December 31, 2022</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2,858,887 and 383,722 shares outstanding, at cost, as of March 31, 2023 and December 31, 2022, respectively</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(78,138)</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1,180,992 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1,176,906 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229,631 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190,423 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1,350,219 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1,386,103 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3,130,402 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3,112,936 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The notes to unaudited condensed consolidated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cd2b84fc65eb4e5595386d11698d90a6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OPTION CARE HEALTH, INC.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COMPREHENSIVE INCOME</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center"/>
        <w:tblInd w:w="0" w:type="dxa"/>
        <w:tblCellMar>
          <w:top w:w="28" w:type="dxa"/>
          <w:left w:w="28" w:type="dxa"/>
          <w:bottom w:w="28" w:type="dxa"/>
          <w:right w:w="28" w:type="dxa"/>
        </w:tblCellMar>
      </w:tblPr>
      <w:tblGrid>
        <w:gridCol w:w="2609"/>
        <w:gridCol w:w="2108"/>
        <w:gridCol w:w="2113"/>
        <w:gridCol w:w="197"/>
        <w:gridCol w:w="879"/>
        <w:gridCol w:w="109"/>
        <w:gridCol w:w="109"/>
        <w:gridCol w:w="109"/>
        <w:gridCol w:w="109"/>
        <w:gridCol w:w="197"/>
        <w:gridCol w:w="742"/>
        <w:gridCol w:w="109"/>
        <w:gridCol w:w="109"/>
        <w:gridCol w:w="109"/>
        <w:gridCol w:w="109"/>
        <w:gridCol w:w="109"/>
        <w:gridCol w:w="109"/>
        <w:gridCol w:w="109"/>
        <w:gridCol w:w="161"/>
      </w:tblGrid>
      <w:tr>
        <w:trPr/>
        <w:tc>
          <w:tcPr>
            <w:tcW w:w="2609"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6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 OF TAX:</w:t>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 gain on cash flow hedges, net of income tax benefit (expense) of $1,152 and ($3,763), respectively</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COMPREHENSIVE INCOME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basic</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diluted</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basic</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diluted</w:t>
            </w:r>
          </w:p>
        </w:tc>
        <w:tc>
          <w:tcPr>
            <w:tcW w:w="10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181,681 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The notes to unaudited condensed consolidated financial statements are an integral part of these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cd2b84fc65eb4e5595386d11698d90a6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OPTION CARE HEALTH, INC.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 THOUSANDS)</w:t>
      </w:r>
    </w:p>
    <w:tbl>
      <w:tblPr>
        <w:tblW w:w="8514" w:type="dxa"/>
        <w:jc w:val="center"/>
        <w:tblInd w:w="0" w:type="dxa"/>
        <w:tblCellMar>
          <w:top w:w="28" w:type="dxa"/>
          <w:left w:w="28" w:type="dxa"/>
          <w:bottom w:w="28" w:type="dxa"/>
          <w:right w:w="28" w:type="dxa"/>
        </w:tblCellMar>
      </w:tblPr>
      <w:tblGrid>
        <w:gridCol w:w="2137"/>
        <w:gridCol w:w="1876"/>
        <w:gridCol w:w="1881"/>
        <w:gridCol w:w="209"/>
        <w:gridCol w:w="787"/>
        <w:gridCol w:w="116"/>
        <w:gridCol w:w="116"/>
        <w:gridCol w:w="116"/>
        <w:gridCol w:w="116"/>
        <w:gridCol w:w="209"/>
        <w:gridCol w:w="787"/>
        <w:gridCol w:w="164"/>
      </w:tblGrid>
      <w:tr>
        <w:trPr/>
        <w:tc>
          <w:tcPr>
            <w:tcW w:w="2137" w:type="dxa"/>
            <w:tcBorders/>
            <w:shd w:fill="auto" w:val="clear"/>
            <w:vAlign w:val="center"/>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operations:</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 net</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incentive compensation expense</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distribution from equity method investments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(6,241)</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70,127 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76,872 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employee benefits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(41,481)</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and equipment</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vesting of restricted stock, and related tax withholdings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 principal</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company stock</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(80,402)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the period</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294,186 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119,423 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PERIOD</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145,600 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11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leases</w:t>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The notes to unaudited condensed consolidated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OPTION CARE HEALTH, INC.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STOCKHOLDERS’ EQUITY</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 THOUSANDS)</w:t>
      </w:r>
    </w:p>
    <w:tbl>
      <w:tblPr>
        <w:tblW w:w="10510" w:type="dxa"/>
        <w:jc w:val="center"/>
        <w:tblInd w:w="0" w:type="dxa"/>
        <w:tblCellMar>
          <w:top w:w="28" w:type="dxa"/>
          <w:left w:w="28" w:type="dxa"/>
          <w:bottom w:w="28" w:type="dxa"/>
          <w:right w:w="28" w:type="dxa"/>
        </w:tblCellMar>
      </w:tblPr>
      <w:tblGrid>
        <w:gridCol w:w="582"/>
        <w:gridCol w:w="301"/>
        <w:gridCol w:w="303"/>
        <w:gridCol w:w="227"/>
        <w:gridCol w:w="471"/>
        <w:gridCol w:w="128"/>
        <w:gridCol w:w="109"/>
        <w:gridCol w:w="109"/>
        <w:gridCol w:w="109"/>
        <w:gridCol w:w="254"/>
        <w:gridCol w:w="429"/>
        <w:gridCol w:w="143"/>
        <w:gridCol w:w="109"/>
        <w:gridCol w:w="109"/>
        <w:gridCol w:w="109"/>
        <w:gridCol w:w="196"/>
        <w:gridCol w:w="661"/>
        <w:gridCol w:w="109"/>
        <w:gridCol w:w="109"/>
        <w:gridCol w:w="109"/>
        <w:gridCol w:w="109"/>
        <w:gridCol w:w="196"/>
        <w:gridCol w:w="871"/>
        <w:gridCol w:w="109"/>
        <w:gridCol w:w="109"/>
        <w:gridCol w:w="109"/>
        <w:gridCol w:w="109"/>
        <w:gridCol w:w="196"/>
        <w:gridCol w:w="736"/>
        <w:gridCol w:w="109"/>
        <w:gridCol w:w="109"/>
        <w:gridCol w:w="109"/>
        <w:gridCol w:w="109"/>
        <w:gridCol w:w="269"/>
        <w:gridCol w:w="887"/>
        <w:gridCol w:w="150"/>
        <w:gridCol w:w="109"/>
        <w:gridCol w:w="109"/>
        <w:gridCol w:w="109"/>
        <w:gridCol w:w="196"/>
        <w:gridCol w:w="871"/>
        <w:gridCol w:w="154"/>
      </w:tblGrid>
      <w:tr>
        <w:trPr/>
        <w:tc>
          <w:tcPr>
            <w:tcW w:w="58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Retained Earnings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December 31, 2021</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March 31, 2022</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1,221,764 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December 31, 2022</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1,386,103 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vesting of restricted stock, and related tax withholdings</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incentive compensation</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company stock</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 March 31, 2023</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1,350,219 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The notes to unaudited condensed consolidated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OPTION CARE HEALTH, INC.</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1. NATURE OF OPERATIONS AND PRESENTATION OF FINANCIAL STATEMENTS</w:t>
      </w:r>
    </w:p>
    <w:p>
      <w:pPr>
        <w:pStyle w:val="TextBody"/>
        <w:spacing w:lineRule="auto" w:line="288" w:before="0" w:after="200"/>
        <w:ind w:left="0" w:right="0" w:firstLine="360"/>
        <w:rPr/>
      </w:pPr>
      <w:r>
        <w:rPr>
          <w:rFonts w:ascii="Times New Roman;sans-serif" w:hAnsi="Times New Roman;sans-serif"/>
          <w:b/>
          <w:color w:val="000000"/>
          <w:sz w:val="20"/>
        </w:rPr>
        <w:t xml:space="preserve">Corporate Organization and Business </w:t>
      </w:r>
      <w:r>
        <w:rPr>
          <w:color w:val="000000"/>
        </w:rPr>
        <w:t xml:space="preserve">— </w:t>
      </w:r>
      <w:r>
        <w:rPr>
          <w:rFonts w:ascii="Times New Roman;sans-serif" w:hAnsi="Times New Roman;sans-serif"/>
          <w:b w:val="false"/>
          <w:color w:val="000000"/>
          <w:sz w:val="20"/>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pStyle w:val="TextBody"/>
        <w:spacing w:lineRule="auto" w:line="288" w:before="0" w:after="200"/>
        <w:ind w:left="0" w:right="0" w:firstLine="360"/>
        <w:rPr/>
      </w:pPr>
      <w:r>
        <w:rPr>
          <w:rFonts w:ascii="Times New Roman;sans-serif" w:hAnsi="Times New Roman;sans-serif"/>
          <w:b w:val="false"/>
          <w:color w:val="000000"/>
          <w:sz w:val="20"/>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Following the close of the transaction, BioScrip was rebranded as Option Care Health. The combined Company’s stock is listed on the Nasdaq Global Select Market as of March 31, 2023. During the three months ended March 31, 2023, HC I completed a secondary offering of 13,000,000 shares of common stock. In addition to this secondary offering, the Company repurchased 2,475,166 shares from HC I on March 3, 2023 under the Company’s share repurchase program. See Note 15,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 for further discussion of the Company’s share repurchase program. Following these transactions, HC I holds approximately 6% of the common stock of the Company.</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Option Care Health, and its wholly-owned subsidiaries, provides infusion therapy and other ancillary health care services through a national network of 95 full service pharmacies and 73 stand-alone ambulatory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pStyle w:val="TextBody"/>
        <w:spacing w:lineRule="auto" w:line="288" w:before="0" w:after="200"/>
        <w:ind w:left="0" w:right="0" w:firstLine="360"/>
        <w:rPr/>
      </w:pPr>
      <w:r>
        <w:rPr>
          <w:rFonts w:ascii="Times New Roman;sans-serif" w:hAnsi="Times New Roman;sans-serif"/>
          <w:b/>
          <w:color w:val="000000"/>
          <w:sz w:val="20"/>
        </w:rPr>
        <w:t xml:space="preserve">Basis of Presentation </w:t>
      </w:r>
      <w:r>
        <w:rPr>
          <w:color w:val="000000"/>
        </w:rPr>
        <w:t xml:space="preserve">— </w:t>
      </w:r>
      <w:r>
        <w:rPr>
          <w:rFonts w:ascii="Times New Roman;sans-serif" w:hAnsi="Times New Roman;sans-serif"/>
          <w:b w:val="false"/>
          <w:color w:val="000000"/>
          <w:sz w:val="20"/>
        </w:rPr>
        <w:t>The accompanying unaudited condensed consolidated financial statements have been prepared in conformity with generally 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2022 audited consolidated financial statements, including the notes thereto, as presented in our Form 10-K.</w:t>
      </w:r>
    </w:p>
    <w:p>
      <w:pPr>
        <w:pStyle w:val="TextBody"/>
        <w:spacing w:lineRule="auto" w:line="288" w:before="0" w:after="200"/>
        <w:ind w:left="0" w:right="0" w:firstLine="360"/>
        <w:rPr/>
      </w:pPr>
      <w:r>
        <w:rPr>
          <w:rFonts w:ascii="Times New Roman;sans-serif" w:hAnsi="Times New Roman;sans-serif"/>
          <w:b/>
          <w:color w:val="000000"/>
          <w:sz w:val="20"/>
        </w:rPr>
        <w:t xml:space="preserve">Principles of Consolidation </w:t>
      </w:r>
      <w:r>
        <w:rPr>
          <w:color w:val="000000"/>
        </w:rPr>
        <w:t xml:space="preserve">— </w:t>
      </w:r>
      <w:r>
        <w:rPr>
          <w:rFonts w:ascii="Times New Roman;sans-serif" w:hAnsi="Times New Roman;sans-serif"/>
          <w:b w:val="false"/>
          <w:color w:val="000000"/>
          <w:sz w:val="20"/>
        </w:rPr>
        <w:t>The Company’s unaudited condensed consolidated financial statements include the accounts of Option Care Health, Inc. and its subsidiaries. All intercompany transactions and balances are eliminated in consolidation.</w:t>
      </w:r>
    </w:p>
    <w:p>
      <w:pPr>
        <w:pStyle w:val="TextBody"/>
        <w:spacing w:lineRule="auto" w:line="288" w:before="0" w:after="200"/>
        <w:ind w:left="0" w:right="0" w:firstLine="360"/>
        <w:rPr/>
      </w:pPr>
      <w:r>
        <w:rPr>
          <w:rFonts w:ascii="Times New Roman;sans-serif" w:hAnsi="Times New Roman;sans-serif"/>
          <w:b w:val="false"/>
          <w:color w:val="000000"/>
          <w:sz w:val="20"/>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further discussion of the Company’s equity-method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0" w:after="200"/>
        <w:ind w:left="0" w:right="0" w:firstLine="360"/>
        <w:rPr/>
      </w:pPr>
      <w:r>
        <w:rPr>
          <w:rFonts w:ascii="Times New Roman;sans-serif" w:hAnsi="Times New Roman;sans-serif"/>
          <w:b/>
          <w:color w:val="000000"/>
          <w:sz w:val="20"/>
        </w:rPr>
        <w:t xml:space="preserve">Cash and Cash Equivalents </w:t>
      </w:r>
      <w:r>
        <w:rPr>
          <w:color w:val="000000"/>
        </w:rPr>
        <w:t xml:space="preserve">— </w:t>
      </w:r>
      <w:r>
        <w:rPr>
          <w:rFonts w:ascii="Times New Roman;sans-serif" w:hAnsi="Times New Roman;sans-serif"/>
          <w:b w:val="false"/>
          <w:color w:val="000000"/>
          <w:sz w:val="20"/>
        </w:rPr>
        <w:t>The Company considers all highly liquid investments with original maturities of three months or less to be cash equivalents. As of March 31, 2023, cash equivalents consisted of money market funds.</w:t>
      </w:r>
    </w:p>
    <w:p>
      <w:pPr>
        <w:pStyle w:val="TextBody"/>
        <w:spacing w:lineRule="auto" w:line="288" w:before="0" w:after="200"/>
        <w:ind w:left="0" w:right="0" w:firstLine="360"/>
        <w:rPr/>
      </w:pPr>
      <w:r>
        <w:rPr>
          <w:rFonts w:ascii="Times New Roman;sans-serif" w:hAnsi="Times New Roman;sans-serif"/>
          <w:b/>
          <w:color w:val="000000"/>
          <w:sz w:val="20"/>
        </w:rPr>
        <w:t xml:space="preserve">Prepaid Expenses and Other Current Assets </w:t>
      </w:r>
      <w:r>
        <w:rPr>
          <w:color w:val="000000"/>
        </w:rPr>
        <w:t xml:space="preserve">— </w:t>
      </w:r>
      <w:r>
        <w:rPr>
          <w:rFonts w:ascii="Times New Roman;sans-serif" w:hAnsi="Times New Roman;sans-serif"/>
          <w:b w:val="false"/>
          <w:color w:val="000000"/>
          <w:sz w:val="20"/>
        </w:rPr>
        <w:t>Included in prepaid expenses and other current assets are rebates receivable from pharmaceutical and medical supply manufacturers of $48.3 million and $53.4 million as of March 31, 2023 and December 31, 2022, respectively.</w:t>
      </w:r>
    </w:p>
    <w:p>
      <w:pPr>
        <w:pStyle w:val="TextBody"/>
        <w:spacing w:lineRule="auto" w:line="288" w:before="0" w:after="200"/>
        <w:ind w:left="0" w:right="0" w:firstLine="360"/>
        <w:rPr/>
      </w:pPr>
      <w:r>
        <w:rPr>
          <w:rFonts w:ascii="Times New Roman;sans-serif" w:hAnsi="Times New Roman;sans-serif"/>
          <w:b/>
          <w:color w:val="000000"/>
          <w:sz w:val="20"/>
        </w:rPr>
        <w:t xml:space="preserve">Equity-Method Investments </w:t>
      </w:r>
      <w:r>
        <w:rPr>
          <w:color w:val="000000"/>
        </w:rPr>
        <w:t xml:space="preserve">— </w:t>
      </w:r>
      <w:r>
        <w:rPr>
          <w:rFonts w:ascii="Times New Roman;sans-serif" w:hAnsi="Times New Roman;sans-serif"/>
          <w:b w:val="false"/>
          <w:color w:val="000000"/>
          <w:sz w:val="20"/>
        </w:rPr>
        <w:t xml:space="preserve">The Company’s investments in certain unconsolidated entities are accounted for under the equity method. The balance of these investments is included in other noncurrent assets in the accompanying condensed consolidated balance sheets. As of March 31, 2023 and December 31, 2022, the balance of the investments was $18.3 million and $19.4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$1.4 million and $1.3 million for the three months ended March 31, 2023 and 2022, respectively. Distributions from the investees are treated as cash inflows from operating activities in the unaudited condensed consolidated statements of cash flows. During the three months ended March 31, 2023, the Company received a distribution of $2.5 million from the investees. During the three months ended March 31, 2022, the Company did not receive a distribution from the investees. See Note 16, </w:t>
      </w:r>
      <w:r>
        <w:rPr>
          <w:rFonts w:ascii="Times New Roman;sans-serif" w:hAnsi="Times New Roman;sans-serif"/>
          <w:b w:val="false"/>
          <w:i/>
          <w:color w:val="000000"/>
          <w:sz w:val="20"/>
        </w:rPr>
        <w:t>Related-Party Transactions</w:t>
      </w:r>
      <w:r>
        <w:rPr>
          <w:rFonts w:ascii="Times New Roman;sans-serif" w:hAnsi="Times New Roman;sans-serif"/>
          <w:b w:val="false"/>
          <w:color w:val="000000"/>
          <w:sz w:val="20"/>
        </w:rPr>
        <w:t>, for discussion of related-party transactions with these investees.</w:t>
      </w:r>
    </w:p>
    <w:p>
      <w:pPr>
        <w:pStyle w:val="TextBody"/>
        <w:spacing w:lineRule="auto" w:line="288" w:before="0" w:after="200"/>
        <w:ind w:left="0" w:right="0" w:firstLine="360"/>
        <w:rPr/>
      </w:pPr>
      <w:r>
        <w:rPr>
          <w:rFonts w:ascii="Times New Roman;sans-serif" w:hAnsi="Times New Roman;sans-serif"/>
          <w:b/>
          <w:color w:val="000000"/>
          <w:sz w:val="20"/>
        </w:rPr>
        <w:t xml:space="preserve">Concentrations of Business Risk </w:t>
      </w:r>
      <w:r>
        <w:rPr>
          <w:color w:val="000000"/>
        </w:rPr>
        <w:t xml:space="preserve">— </w:t>
      </w:r>
      <w:r>
        <w:rPr>
          <w:rFonts w:ascii="Times New Roman;sans-serif" w:hAnsi="Times New Roman;sans-serif"/>
          <w:b w:val="false"/>
          <w:color w:val="000000"/>
          <w:sz w:val="20"/>
        </w:rPr>
        <w:t>The Company generates revenue from managed care contracts and other agreements with commercial third-party payers. Revenue related to the Company’s largest payer was approximately 14% and 15% for the three months ended March 31, 2023 and 2022, respectively. There were no other managed care contracts that represent greater than 10% of revenue for the periods presented.</w:t>
      </w:r>
    </w:p>
    <w:p>
      <w:pPr>
        <w:pStyle w:val="TextBody"/>
        <w:spacing w:lineRule="auto" w:line="288" w:before="0" w:after="200"/>
        <w:ind w:left="0" w:right="0" w:firstLine="360"/>
        <w:rPr/>
      </w:pPr>
      <w:r>
        <w:rPr>
          <w:rFonts w:ascii="Times New Roman;sans-serif" w:hAnsi="Times New Roman;sans-serif"/>
          <w:b w:val="false"/>
          <w:color w:val="000000"/>
          <w:sz w:val="20"/>
        </w:rPr>
        <w:t xml:space="preserve">For the three months ended March 31, 2023 and 2022, approximately 12% and 13%, respectively, of the Company’s revenue was reimbursable through direct government healthcare programs, such as Medicare and Medicaid. </w:t>
      </w:r>
      <w:r>
        <w:rPr>
          <w:rFonts w:ascii="Times New Roman;sans-serif" w:hAnsi="Times New Roman;sans-serif"/>
          <w:b w:val="false"/>
          <w:color w:val="000000"/>
          <w:sz w:val="20"/>
          <w:highlight w:val="white"/>
        </w:rPr>
        <w:t>As of March 31, 2023 and December 31, 2022, approximately</w:t>
      </w:r>
      <w:r>
        <w:rPr>
          <w:color w:val="000000"/>
        </w:rPr>
        <w:t xml:space="preserve"> </w:t>
      </w:r>
      <w:r>
        <w:rPr>
          <w:rFonts w:ascii="Times New Roman;sans-serif" w:hAnsi="Times New Roman;sans-serif"/>
          <w:b w:val="false"/>
          <w:color w:val="000000"/>
          <w:sz w:val="20"/>
        </w:rPr>
        <w:t xml:space="preserve">11% </w:t>
      </w:r>
      <w:r>
        <w:rPr>
          <w:rFonts w:ascii="Times New Roman;sans-serif" w:hAnsi="Times New Roman;sans-serif"/>
          <w:b w:val="false"/>
          <w:color w:val="000000"/>
          <w:sz w:val="20"/>
          <w:highlight w:val="white"/>
        </w:rPr>
        <w:t>and 13%, respectively, of the Company’s accounts receivable was related to these programs. Governmental programs pay for services based on fee schedules and rates that are determined by the related governmental agency. Laws and regulations pertaining</w:t>
      </w:r>
      <w:r>
        <w:rPr>
          <w:color w:val="000000"/>
        </w:rPr>
        <w:t xml:space="preserve"> </w:t>
      </w:r>
      <w:r>
        <w:rPr>
          <w:rFonts w:ascii="Times New Roman;sans-serif" w:hAnsi="Times New Roman;sans-serif"/>
          <w:b w:val="false"/>
          <w:color w:val="000000"/>
          <w:sz w:val="20"/>
        </w:rPr>
        <w:t>to government programs are complex and subject to interpretation. As a result, there is at least a reasonable possibility that recorded estimates will change in the near term.</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approximately 72% and 75%, respectively,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remains some uncertainty regarding the COVID-19 pandemic, as of March 31, 2023, the Company has been able to maintain adequate levels of supplies and pharmaceuticals to support its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spacing w:lineRule="auto" w:line="288" w:before="0" w:after="200"/>
        <w:ind w:left="0" w:right="0" w:firstLine="360"/>
        <w:rPr/>
      </w:pPr>
      <w:r>
        <w:rPr>
          <w:rFonts w:ascii="Times New Roman;sans-serif" w:hAnsi="Times New Roman;sans-serif"/>
          <w:b/>
          <w:color w:val="000000"/>
          <w:sz w:val="20"/>
        </w:rPr>
        <w:t xml:space="preserve">Rochester Home Infusion, Inc. — </w:t>
      </w:r>
      <w:r>
        <w:rPr>
          <w:rFonts w:ascii="Times New Roman;sans-serif" w:hAnsi="Times New Roman;sans-serif"/>
          <w:b w:val="false"/>
          <w:color w:val="000000"/>
          <w:sz w:val="20"/>
        </w:rPr>
        <w:t>In August 2022, pursuant to the stock purchase agreement dated June 10, 2022, the Company completed the acquisition of 100% of the equity interests in Rochester Home Infusion, Inc. (“RHI”) for a purchase price, net of cash acquired, of $27.4 million.</w:t>
      </w:r>
    </w:p>
    <w:p>
      <w:pPr>
        <w:pStyle w:val="TextBody"/>
        <w:spacing w:lineRule="auto" w:line="288" w:before="0" w:after="200"/>
        <w:ind w:left="0" w:right="0" w:firstLine="360"/>
        <w:rPr/>
      </w:pPr>
      <w:r>
        <w:rPr>
          <w:rFonts w:ascii="Times New Roman;sans-serif" w:hAnsi="Times New Roman;sans-serif"/>
          <w:b w:val="false"/>
          <w:color w:val="000000"/>
          <w:sz w:val="20"/>
        </w:rPr>
        <w:t xml:space="preserve">The allocation of the purchase price of RHI was accounted for as a business combination in accordance with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with the total purchase price being allocated to the assets and liabilities acquired based on the relative fair value of each asset and liability. The following is a final allocation of the consideration transferred to acquired identifiable assets and assumed liabilities, net of cash acquired, as of March 31, 2023 (in thousands):</w:t>
      </w:r>
    </w:p>
    <w:tbl>
      <w:tblPr>
        <w:tblW w:w="4413" w:type="dxa"/>
        <w:jc w:val="right"/>
        <w:tblInd w:w="0" w:type="dxa"/>
        <w:tblCellMar>
          <w:top w:w="28" w:type="dxa"/>
          <w:left w:w="28" w:type="dxa"/>
          <w:bottom w:w="28" w:type="dxa"/>
          <w:right w:w="28" w:type="dxa"/>
        </w:tblCellMar>
      </w:tblPr>
      <w:tblGrid>
        <w:gridCol w:w="1118"/>
        <w:gridCol w:w="984"/>
        <w:gridCol w:w="988"/>
        <w:gridCol w:w="109"/>
        <w:gridCol w:w="109"/>
        <w:gridCol w:w="109"/>
        <w:gridCol w:w="196"/>
        <w:gridCol w:w="646"/>
        <w:gridCol w:w="154"/>
      </w:tblGrid>
      <w:tr>
        <w:trPr/>
        <w:tc>
          <w:tcPr>
            <w:tcW w:w="1118"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identifiable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cash acquired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price, net of cash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(1) Goodwill is attributable to cost synergies from procurement and operational efficiencies and elimination of duplicative administrative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4. REVENUE </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net revenue earned by category of payer for the three months ended March 31, 2023 and 2022 (in thousands): </w:t>
      </w:r>
    </w:p>
    <w:tbl>
      <w:tblPr>
        <w:tblW w:w="4135" w:type="dxa"/>
        <w:jc w:val="right"/>
        <w:tblInd w:w="0" w:type="dxa"/>
        <w:tblCellMar>
          <w:top w:w="28" w:type="dxa"/>
          <w:left w:w="28" w:type="dxa"/>
          <w:bottom w:w="28" w:type="dxa"/>
          <w:right w:w="28" w:type="dxa"/>
        </w:tblCellMar>
      </w:tblPr>
      <w:tblGrid>
        <w:gridCol w:w="548"/>
        <w:gridCol w:w="482"/>
        <w:gridCol w:w="484"/>
        <w:gridCol w:w="198"/>
        <w:gridCol w:w="883"/>
        <w:gridCol w:w="110"/>
        <w:gridCol w:w="110"/>
        <w:gridCol w:w="110"/>
        <w:gridCol w:w="110"/>
        <w:gridCol w:w="198"/>
        <w:gridCol w:w="746"/>
        <w:gridCol w:w="156"/>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payers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873,911 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786,278 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 payers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Patients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1,015,848 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5. INCOME TAXES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recorded tax expense of $15.0 million and $11.0 million, respectively, which represents an effective tax rate of 27.7% and 26.6%, respectively. The variance in the Company’s effective tax rate of 27.7% for the three months ended March 31, 2023, compared to the federal statutory rate of 21%, is primarily attributable to the difference between federal and state tax rates, as well as various non-deductible expenses. The variance in the Company’s effective tax rate of 26.6% for the three months ended March 31, 2022, compared to the federal statutory rate of 21%, is primarily attributable to current and deferred state taxes as well as various non-deductible expenses.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valuation allowance of $13.1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tax expense for the three months ended March 31, 2023 of $15.0 million consists of quarterly federal and state tax liabilities as well as recognized deferred federal and state tax expense. The Company’s tax expense for the three months ended March 31, 2022 of $11.0 million consists of quarterly tax liabilities attributed to specific state taxing authorities as well as recognized deferred federal and state tax expense.</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accumulated federal net operating loss carryovers that are subject to one or more Section 382 limitations. This may limit the Company’s ability to utilize its federal net operating losses.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6. EARNINGS PER SHARE</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pStyle w:val="TextBody"/>
        <w:spacing w:lineRule="auto" w:line="288" w:before="0" w:after="200"/>
        <w:ind w:left="0" w:right="0" w:firstLine="360"/>
        <w:rPr/>
      </w:pPr>
      <w:r>
        <w:rPr>
          <w:rFonts w:ascii="Times New Roman;sans-serif" w:hAnsi="Times New Roman;sans-serif"/>
          <w:b w:val="false"/>
          <w:color w:val="000000"/>
          <w:sz w:val="20"/>
        </w:rPr>
        <w:t xml:space="preserve">The earnings are used as the basis of determining whether the inclusion of common stock equivalents would be anti-dilutive. The computation of diluted shares for the three months ended March 31, 2023 and 2022 includes the effect of shares that would be issued in connection with warrants, stock options, restricted stock awards and performance stock unit awards, as these common stock equivalents are dilutive to the earnings per share recorded in those periods. As of March 31, 2023, </w:t>
      </w:r>
      <w:r>
        <w:rPr>
          <w:rFonts w:ascii="Times New Roman;sans-serif" w:hAnsi="Times New Roman;sans-serif"/>
          <w:b w:val="false"/>
          <w:color w:val="000000"/>
          <w:sz w:val="20"/>
          <w:highlight w:val="white"/>
        </w:rPr>
        <w:t xml:space="preserve">there were </w:t>
      </w:r>
      <w:r>
        <w:rPr>
          <w:rFonts w:ascii="Times New Roman;sans-serif" w:hAnsi="Times New Roman;sans-serif"/>
          <w:b w:val="false"/>
          <w:color w:val="000000"/>
          <w:sz w:val="20"/>
        </w:rPr>
        <w:t>871,491</w:t>
      </w:r>
      <w:r>
        <w:rPr>
          <w:color w:val="000000"/>
          <w:highlight w:val="white"/>
        </w:rPr>
        <w:t xml:space="preserve"> </w:t>
      </w:r>
      <w:r>
        <w:rPr>
          <w:rFonts w:ascii="Times New Roman;sans-serif" w:hAnsi="Times New Roman;sans-serif"/>
          <w:b w:val="false"/>
          <w:color w:val="000000"/>
          <w:sz w:val="20"/>
          <w:highlight w:val="white"/>
        </w:rPr>
        <w:t xml:space="preserve">stock option awards, </w:t>
      </w:r>
      <w:r>
        <w:rPr>
          <w:rFonts w:ascii="Times New Roman;sans-serif" w:hAnsi="Times New Roman;sans-serif"/>
          <w:b w:val="false"/>
          <w:color w:val="000000"/>
          <w:sz w:val="20"/>
        </w:rPr>
        <w:t>342,894</w:t>
      </w:r>
      <w:r>
        <w:rPr>
          <w:color w:val="000000"/>
          <w:highlight w:val="white"/>
        </w:rPr>
        <w:t xml:space="preserve"> </w:t>
      </w:r>
      <w:r>
        <w:rPr>
          <w:rFonts w:ascii="Times New Roman;sans-serif" w:hAnsi="Times New Roman;sans-serif"/>
          <w:b w:val="false"/>
          <w:color w:val="000000"/>
          <w:sz w:val="20"/>
          <w:highlight w:val="white"/>
        </w:rPr>
        <w:t xml:space="preserve">restricted stock awards and </w:t>
      </w:r>
      <w:r>
        <w:rPr>
          <w:rFonts w:ascii="Times New Roman;sans-serif" w:hAnsi="Times New Roman;sans-serif"/>
          <w:b w:val="false"/>
          <w:color w:val="000000"/>
          <w:sz w:val="20"/>
        </w:rPr>
        <w:t>90,159</w:t>
      </w:r>
      <w:r>
        <w:rPr>
          <w:color w:val="000000"/>
          <w:highlight w:val="white"/>
        </w:rPr>
        <w:t xml:space="preserve"> </w:t>
      </w:r>
      <w:r>
        <w:rPr>
          <w:rFonts w:ascii="Times New Roman;sans-serif" w:hAnsi="Times New Roman;sans-serif"/>
          <w:b w:val="false"/>
          <w:color w:val="000000"/>
          <w:sz w:val="20"/>
          <w:highlight w:val="white"/>
        </w:rPr>
        <w:t>performance stock unit awards outstanding that were excluded from the calculation of earnings per share as they would be anti-dilutive.</w:t>
      </w:r>
      <w:r>
        <w:rPr>
          <w:color w:val="000000"/>
        </w:rPr>
        <w:t xml:space="preserve"> </w:t>
      </w:r>
      <w:r>
        <w:rPr>
          <w:rFonts w:ascii="Times New Roman;sans-serif" w:hAnsi="Times New Roman;sans-serif"/>
          <w:b w:val="false"/>
          <w:color w:val="000000"/>
          <w:sz w:val="20"/>
          <w:highlight w:val="white"/>
        </w:rPr>
        <w:t>As of March 31, 2022, there were 457,752 warrants, 770,303 stock option awards, and 269,670 restricted stock awards outstanding that were excluded from the calculation of earnings per share as they would be anti-dilutive.</w:t>
      </w:r>
    </w:p>
    <w:p>
      <w:pPr>
        <w:pStyle w:val="TextBody"/>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basic earnings per share and shares outstanding (in thousands, except per share data):</w:t>
      </w:r>
    </w:p>
    <w:tbl>
      <w:tblPr>
        <w:tblW w:w="6804" w:type="dxa"/>
        <w:jc w:val="left"/>
        <w:tblInd w:w="0" w:type="dxa"/>
        <w:tblCellMar>
          <w:top w:w="28" w:type="dxa"/>
          <w:left w:w="28" w:type="dxa"/>
          <w:bottom w:w="28" w:type="dxa"/>
          <w:right w:w="28" w:type="dxa"/>
        </w:tblCellMar>
      </w:tblPr>
      <w:tblGrid>
        <w:gridCol w:w="1510"/>
        <w:gridCol w:w="1332"/>
        <w:gridCol w:w="1343"/>
        <w:gridCol w:w="226"/>
        <w:gridCol w:w="745"/>
        <w:gridCol w:w="125"/>
        <w:gridCol w:w="125"/>
        <w:gridCol w:w="125"/>
        <w:gridCol w:w="125"/>
        <w:gridCol w:w="226"/>
        <w:gridCol w:w="745"/>
        <w:gridCol w:w="177"/>
      </w:tblGrid>
      <w:tr>
        <w:trPr/>
        <w:tc>
          <w:tcPr>
            <w:tcW w:w="1510"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179,961 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 basic</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diluted earnings per share and shares outstanding (in thousands, except per share data):</w:t>
      </w:r>
    </w:p>
    <w:tbl>
      <w:tblPr>
        <w:tblW w:w="7374" w:type="dxa"/>
        <w:jc w:val="right"/>
        <w:tblInd w:w="0" w:type="dxa"/>
        <w:tblCellMar>
          <w:top w:w="28" w:type="dxa"/>
          <w:left w:w="28" w:type="dxa"/>
          <w:bottom w:w="28" w:type="dxa"/>
          <w:right w:w="28" w:type="dxa"/>
        </w:tblCellMar>
      </w:tblPr>
      <w:tblGrid>
        <w:gridCol w:w="1716"/>
        <w:gridCol w:w="1513"/>
        <w:gridCol w:w="1526"/>
        <w:gridCol w:w="226"/>
        <w:gridCol w:w="745"/>
        <w:gridCol w:w="125"/>
        <w:gridCol w:w="125"/>
        <w:gridCol w:w="125"/>
        <w:gridCol w:w="125"/>
        <w:gridCol w:w="226"/>
        <w:gridCol w:w="745"/>
        <w:gridCol w:w="177"/>
      </w:tblGrid>
      <w:tr>
        <w:trPr/>
        <w:tc>
          <w:tcPr>
            <w:tcW w:w="1716"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179,961 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 diluted</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182,735 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181,681 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Earnings per common share: </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 diluted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12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incurred operating lease expenses of $7.0 million and $7.3 million, respectively, including short-term lease expenses, which were included as a component of selling, general and administrative expenses in the unaudited condensed consolidated statements of comprehensive income. As of March 31, 2023, the weighted-average remaining lease term was 6.4 years and the weighted-average discount rate was 5.38%.</w:t>
      </w:r>
    </w:p>
    <w:p>
      <w:pPr>
        <w:pStyle w:val="TextBody"/>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mature as follows (in thousands):</w:t>
      </w:r>
    </w:p>
    <w:tbl>
      <w:tblPr>
        <w:tblW w:w="4645" w:type="dxa"/>
        <w:jc w:val="right"/>
        <w:tblInd w:w="0" w:type="dxa"/>
        <w:tblCellMar>
          <w:top w:w="28" w:type="dxa"/>
          <w:left w:w="28" w:type="dxa"/>
          <w:bottom w:w="28" w:type="dxa"/>
          <w:right w:w="28" w:type="dxa"/>
        </w:tblCellMar>
      </w:tblPr>
      <w:tblGrid>
        <w:gridCol w:w="945"/>
        <w:gridCol w:w="831"/>
        <w:gridCol w:w="833"/>
        <w:gridCol w:w="109"/>
        <w:gridCol w:w="109"/>
        <w:gridCol w:w="109"/>
        <w:gridCol w:w="336"/>
        <w:gridCol w:w="1109"/>
        <w:gridCol w:w="264"/>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20,721 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18,973 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16,254 </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13,537 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11,451 </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27,733 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108,669 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(19,861)</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88,808 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pPr>
      <w:r>
        <w:rPr>
          <w:rFonts w:ascii="Times New Roman;sans-serif" w:hAnsi="Times New Roman;sans-serif"/>
          <w:b w:val="false"/>
          <w:color w:val="000000"/>
          <w:sz w:val="20"/>
        </w:rPr>
        <w:t>During the three months ended March 31, 2023, the Company commenced new leases, extensions and amendments, resulting in non-cash operating activities in the unaudited condensed consolidated statements of cash flow o</w:t>
      </w:r>
      <w:r>
        <w:rPr>
          <w:rFonts w:ascii="Times New Roman;sans-serif" w:hAnsi="Times New Roman;sans-serif"/>
          <w:b w:val="false"/>
          <w:color w:val="000000"/>
          <w:sz w:val="20"/>
          <w:highlight w:val="white"/>
        </w:rPr>
        <w:t xml:space="preserve">f </w:t>
      </w:r>
      <w:r>
        <w:rPr>
          <w:rFonts w:ascii="Times New Roman;sans-serif" w:hAnsi="Times New Roman;sans-serif"/>
          <w:b w:val="false"/>
          <w:color w:val="000000"/>
          <w:sz w:val="20"/>
        </w:rPr>
        <w:t>$3.3 million</w:t>
      </w:r>
      <w:r>
        <w:rPr>
          <w:color w:val="000000"/>
          <w:highlight w:val="white"/>
        </w:rPr>
        <w:t xml:space="preserve"> </w:t>
      </w:r>
      <w:r>
        <w:rPr>
          <w:rFonts w:ascii="Times New Roman;sans-serif" w:hAnsi="Times New Roman;sans-serif"/>
          <w:b w:val="false"/>
          <w:color w:val="000000"/>
          <w:sz w:val="20"/>
          <w:highlight w:val="white"/>
        </w:rPr>
        <w:t>re</w:t>
      </w:r>
      <w:r>
        <w:rPr>
          <w:rFonts w:ascii="Times New Roman;sans-serif" w:hAnsi="Times New Roman;sans-serif"/>
          <w:b w:val="false"/>
          <w:color w:val="000000"/>
          <w:sz w:val="20"/>
        </w:rPr>
        <w:t>lated to increases in the operating lease right-of-use assets and operating lease liabilities, respectively. As of March 31, 2023, the Company did not have any significant operating or financing leases that had not yet commenced.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12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8. PROPERTY AND EQUIPMENT</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was as follows as of March 31, 2023 and December 31, 2022 (in thousands):</w:t>
      </w:r>
    </w:p>
    <w:tbl>
      <w:tblPr>
        <w:tblW w:w="7271" w:type="dxa"/>
        <w:jc w:val="right"/>
        <w:tblInd w:w="0" w:type="dxa"/>
        <w:tblCellMar>
          <w:top w:w="28" w:type="dxa"/>
          <w:left w:w="28" w:type="dxa"/>
          <w:bottom w:w="28" w:type="dxa"/>
          <w:right w:w="28" w:type="dxa"/>
        </w:tblCellMar>
      </w:tblPr>
      <w:tblGrid>
        <w:gridCol w:w="1472"/>
        <w:gridCol w:w="1290"/>
        <w:gridCol w:w="1302"/>
        <w:gridCol w:w="243"/>
        <w:gridCol w:w="912"/>
        <w:gridCol w:w="135"/>
        <w:gridCol w:w="109"/>
        <w:gridCol w:w="109"/>
        <w:gridCol w:w="109"/>
        <w:gridCol w:w="287"/>
        <w:gridCol w:w="1078"/>
        <w:gridCol w:w="225"/>
      </w:tblGrid>
      <w:tr>
        <w:trPr/>
        <w:tc>
          <w:tcPr>
            <w:tcW w:w="1472"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pumps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furniture and other</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99,639 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99,085 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 purchased and internally developed</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under development</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233,322 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230,289 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(127,751)</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(121,968)</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105,571 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108,321 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months ended March 31, 2023 and 2022 (in thousands):</w:t>
      </w:r>
    </w:p>
    <w:tbl>
      <w:tblPr>
        <w:tblW w:w="5831" w:type="dxa"/>
        <w:jc w:val="right"/>
        <w:tblInd w:w="0" w:type="dxa"/>
        <w:tblCellMar>
          <w:top w:w="28" w:type="dxa"/>
          <w:left w:w="28" w:type="dxa"/>
          <w:bottom w:w="28" w:type="dxa"/>
          <w:right w:w="28" w:type="dxa"/>
        </w:tblCellMar>
      </w:tblPr>
      <w:tblGrid>
        <w:gridCol w:w="1163"/>
        <w:gridCol w:w="1022"/>
        <w:gridCol w:w="1025"/>
        <w:gridCol w:w="245"/>
        <w:gridCol w:w="697"/>
        <w:gridCol w:w="136"/>
        <w:gridCol w:w="136"/>
        <w:gridCol w:w="136"/>
        <w:gridCol w:w="136"/>
        <w:gridCol w:w="245"/>
        <w:gridCol w:w="697"/>
        <w:gridCol w:w="193"/>
      </w:tblGrid>
      <w:tr>
        <w:trPr/>
        <w:tc>
          <w:tcPr>
            <w:tcW w:w="1163"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 in cost of revenue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 in operating expenses</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expense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12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9. GOODWILL AND OTHER INTANGIBLE ASSETS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consists of the following activity for the three months ended March 31, 2023 (in thousands):</w:t>
      </w:r>
    </w:p>
    <w:tbl>
      <w:tblPr>
        <w:tblW w:w="4007" w:type="dxa"/>
        <w:jc w:val="right"/>
        <w:tblInd w:w="0" w:type="dxa"/>
        <w:tblCellMar>
          <w:top w:w="28" w:type="dxa"/>
          <w:left w:w="28" w:type="dxa"/>
          <w:bottom w:w="28" w:type="dxa"/>
          <w:right w:w="28" w:type="dxa"/>
        </w:tblCellMar>
      </w:tblPr>
      <w:tblGrid>
        <w:gridCol w:w="891"/>
        <w:gridCol w:w="783"/>
        <w:gridCol w:w="785"/>
        <w:gridCol w:w="109"/>
        <w:gridCol w:w="109"/>
        <w:gridCol w:w="109"/>
        <w:gridCol w:w="196"/>
        <w:gridCol w:w="871"/>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1,533,424 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accounting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carrying amount and accumulated amortization of intangible assets consist of the following as of March 31, 2023 and December 31, 2022 (in thousands):</w:t>
      </w:r>
    </w:p>
    <w:tbl>
      <w:tblPr>
        <w:tblW w:w="5786" w:type="dxa"/>
        <w:jc w:val="right"/>
        <w:tblInd w:w="0" w:type="dxa"/>
        <w:tblCellMar>
          <w:top w:w="28" w:type="dxa"/>
          <w:left w:w="28" w:type="dxa"/>
          <w:bottom w:w="28" w:type="dxa"/>
          <w:right w:w="28" w:type="dxa"/>
        </w:tblCellMar>
      </w:tblPr>
      <w:tblGrid>
        <w:gridCol w:w="935"/>
        <w:gridCol w:w="820"/>
        <w:gridCol w:w="824"/>
        <w:gridCol w:w="243"/>
        <w:gridCol w:w="912"/>
        <w:gridCol w:w="135"/>
        <w:gridCol w:w="109"/>
        <w:gridCol w:w="109"/>
        <w:gridCol w:w="109"/>
        <w:gridCol w:w="287"/>
        <w:gridCol w:w="1078"/>
        <w:gridCol w:w="225"/>
      </w:tblGrid>
      <w:tr>
        <w:trPr/>
        <w:tc>
          <w:tcPr>
            <w:tcW w:w="935"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intangible assets: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Referral sources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509,646 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509,646 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Trademarks/names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38,508 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amortizable intangible assets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intangible assets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549,066 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Referral sources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(175,645)</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(167,902)</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Trademarks/names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(17,548)</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(16,901)</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amortizable intangible assets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amortization</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(193,388)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(184,951)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355,678 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364,115 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$8.5 million and $7.5 million for the three months ended March 31, 2023 and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12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10. INDEBTEDNESS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March 31, 2023 (in thousands):</w:t>
      </w:r>
    </w:p>
    <w:tbl>
      <w:tblPr>
        <w:tblW w:w="9122" w:type="dxa"/>
        <w:jc w:val="right"/>
        <w:tblInd w:w="0" w:type="dxa"/>
        <w:tblCellMar>
          <w:top w:w="28" w:type="dxa"/>
          <w:left w:w="28" w:type="dxa"/>
          <w:bottom w:w="28" w:type="dxa"/>
          <w:right w:w="28" w:type="dxa"/>
        </w:tblCellMar>
      </w:tblPr>
      <w:tblGrid>
        <w:gridCol w:w="1022"/>
        <w:gridCol w:w="898"/>
        <w:gridCol w:w="900"/>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102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Discount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Balance</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Asset-based-lending (“ABL”)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(11,077)</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573,441 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(9,654)</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1,092,500 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(20,731)</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1,057,787 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December 31, 2022 (in thousands):</w:t>
      </w:r>
    </w:p>
    <w:tbl>
      <w:tblPr>
        <w:tblW w:w="7937" w:type="dxa"/>
        <w:jc w:val="right"/>
        <w:tblInd w:w="0" w:type="dxa"/>
        <w:tblCellMar>
          <w:top w:w="28" w:type="dxa"/>
          <w:left w:w="28" w:type="dxa"/>
          <w:bottom w:w="28" w:type="dxa"/>
          <w:right w:w="28" w:type="dxa"/>
        </w:tblCellMar>
      </w:tblPr>
      <w:tblGrid>
        <w:gridCol w:w="592"/>
        <w:gridCol w:w="519"/>
        <w:gridCol w:w="524"/>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2"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Discount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Balance</w:t>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ABL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(11,529)</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574,164 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1,094,000 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(21,489)</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1,058,204 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interest rate on the First Lien Term Loan was 7.38% and 6.82% as of March 31, 2023 and December 31, 2022, respectively. The weighted average interest rate incurred on the First Lien Term Loan was 7.28% and 3.25% for the three months ended March 31, 2023 and 2022, respectively. The interest rate on the Senior Notes was 4.375% as of March 31, 2023 and December 31, 2022. The weighted average interest rate incurred on the Senior Notes was 4.375% for the three months ended March 31, 2023 and 2022.</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Long-term debt matures as follows (in thousands):</w:t>
      </w:r>
    </w:p>
    <w:tbl>
      <w:tblPr>
        <w:tblW w:w="4645" w:type="dxa"/>
        <w:jc w:val="right"/>
        <w:tblInd w:w="0" w:type="dxa"/>
        <w:tblCellMar>
          <w:top w:w="28" w:type="dxa"/>
          <w:left w:w="28" w:type="dxa"/>
          <w:bottom w:w="28" w:type="dxa"/>
          <w:right w:w="28" w:type="dxa"/>
        </w:tblCellMar>
      </w:tblPr>
      <w:tblGrid>
        <w:gridCol w:w="945"/>
        <w:gridCol w:w="831"/>
        <w:gridCol w:w="833"/>
        <w:gridCol w:w="109"/>
        <w:gridCol w:w="109"/>
        <w:gridCol w:w="109"/>
        <w:gridCol w:w="274"/>
        <w:gridCol w:w="1220"/>
        <w:gridCol w:w="215"/>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1,064,000 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1,092,500 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pPr>
      <w:r>
        <w:rPr>
          <w:rFonts w:ascii="Times New Roman;sans-serif" w:hAnsi="Times New Roman;sans-serif"/>
          <w:b w:val="false"/>
          <w:color w:val="000000"/>
          <w:sz w:val="20"/>
        </w:rPr>
        <w:t xml:space="preserve">During the three months ended March 31, 2023 and 2022, the Company engaged in hedging activities to limit its exposure to changes in interest rates. See Note 11,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for further discussion.</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fair values of the Company’s debt obligations as of March 31, 2023 (in thousands):</w:t>
      </w:r>
    </w:p>
    <w:tbl>
      <w:tblPr>
        <w:tblW w:w="10205" w:type="dxa"/>
        <w:jc w:val="right"/>
        <w:tblInd w:w="0" w:type="dxa"/>
        <w:tblCellMar>
          <w:top w:w="28" w:type="dxa"/>
          <w:left w:w="28" w:type="dxa"/>
          <w:bottom w:w="28" w:type="dxa"/>
          <w:right w:w="28" w:type="dxa"/>
        </w:tblCellMar>
      </w:tblPr>
      <w:tblGrid>
        <w:gridCol w:w="468"/>
        <w:gridCol w:w="412"/>
        <w:gridCol w:w="414"/>
        <w:gridCol w:w="109"/>
        <w:gridCol w:w="109"/>
        <w:gridCol w:w="109"/>
        <w:gridCol w:w="309"/>
        <w:gridCol w:w="1376"/>
        <w:gridCol w:w="172"/>
        <w:gridCol w:w="109"/>
        <w:gridCol w:w="109"/>
        <w:gridCol w:w="109"/>
        <w:gridCol w:w="434"/>
        <w:gridCol w:w="900"/>
        <w:gridCol w:w="244"/>
        <w:gridCol w:w="109"/>
        <w:gridCol w:w="109"/>
        <w:gridCol w:w="109"/>
        <w:gridCol w:w="352"/>
        <w:gridCol w:w="1569"/>
        <w:gridCol w:w="196"/>
        <w:gridCol w:w="109"/>
        <w:gridCol w:w="109"/>
        <w:gridCol w:w="109"/>
        <w:gridCol w:w="529"/>
        <w:gridCol w:w="1097"/>
        <w:gridCol w:w="425"/>
      </w:tblGrid>
      <w:tr>
        <w:trPr/>
        <w:tc>
          <w:tcPr>
            <w:tcW w:w="46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1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Carrying Value 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Markets for Identical Item (Level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Observable Inputs (Level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 (Level 3)</w:t>
            </w:r>
          </w:p>
        </w:tc>
      </w:tr>
      <w:tr>
        <w:trPr/>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Lien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573,441 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590,278 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490,346 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441,250 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1,063,787 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1,031,528 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pPr>
      <w:r>
        <w:rPr>
          <w:rFonts w:ascii="Times New Roman;sans-serif" w:hAnsi="Times New Roman;sans-serif"/>
          <w:b w:val="false"/>
          <w:color w:val="000000"/>
          <w:sz w:val="20"/>
        </w:rPr>
        <w:t xml:space="preserve">See Note 12,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for further discussion.</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Effective January 13, 2023, the Company entered into an agreement to amend the ABL Facility, to among other things, increase the amount of borrowing availability by $50.0 million to $225.0 million total borrowing availability and to replace LIBOR with Secured Overnight Financing Rate (“SOFR”) as the new reference 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11. DERIVATIVE INSTRUMENTS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an interest rate cap hedge with a notional amount of $300 million for a 5-year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and location of the Company’s derivative instruments in the condensed consolidated balance sheets (in thousands):</w:t>
      </w:r>
    </w:p>
    <w:tbl>
      <w:tblPr>
        <w:tblW w:w="10205" w:type="dxa"/>
        <w:jc w:val="right"/>
        <w:tblInd w:w="0" w:type="dxa"/>
        <w:tblCellMar>
          <w:top w:w="28" w:type="dxa"/>
          <w:left w:w="28" w:type="dxa"/>
          <w:bottom w:w="28" w:type="dxa"/>
          <w:right w:w="28" w:type="dxa"/>
        </w:tblCellMar>
      </w:tblPr>
      <w:tblGrid>
        <w:gridCol w:w="1205"/>
        <w:gridCol w:w="1061"/>
        <w:gridCol w:w="1065"/>
        <w:gridCol w:w="109"/>
        <w:gridCol w:w="109"/>
        <w:gridCol w:w="109"/>
        <w:gridCol w:w="991"/>
        <w:gridCol w:w="986"/>
        <w:gridCol w:w="991"/>
        <w:gridCol w:w="121"/>
        <w:gridCol w:w="121"/>
        <w:gridCol w:w="121"/>
        <w:gridCol w:w="262"/>
        <w:gridCol w:w="869"/>
        <w:gridCol w:w="145"/>
        <w:gridCol w:w="121"/>
        <w:gridCol w:w="121"/>
        <w:gridCol w:w="121"/>
        <w:gridCol w:w="308"/>
        <w:gridCol w:w="1019"/>
        <w:gridCol w:w="250"/>
      </w:tblGrid>
      <w:tr>
        <w:trPr/>
        <w:tc>
          <w:tcPr>
            <w:tcW w:w="1205"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 Derivatives in Asset Position</w:t>
            </w:r>
          </w:p>
        </w:tc>
      </w:tr>
      <w:tr>
        <w:trPr/>
        <w:tc>
          <w:tcPr>
            <w:tcW w:w="33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Caption</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designated as cash flow hedge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17,342 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28,268 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gain (loss) associated with the change in the fair value of the effective portion of the hedging instrument is recorded in other comprehensive (loss) income. The following table presents the pre-tax (loss) gain from derivative instruments recognized in other comprehensive (loss) income in the Company’s unaudited condensed consolidated statements of comprehensive income (in thousands):</w:t>
      </w:r>
    </w:p>
    <w:tbl>
      <w:tblPr>
        <w:tblW w:w="6366" w:type="dxa"/>
        <w:jc w:val="right"/>
        <w:tblInd w:w="0" w:type="dxa"/>
        <w:tblCellMar>
          <w:top w:w="28" w:type="dxa"/>
          <w:left w:w="28" w:type="dxa"/>
          <w:bottom w:w="28" w:type="dxa"/>
          <w:right w:w="28" w:type="dxa"/>
        </w:tblCellMar>
      </w:tblPr>
      <w:tblGrid>
        <w:gridCol w:w="1237"/>
        <w:gridCol w:w="1089"/>
        <w:gridCol w:w="1093"/>
        <w:gridCol w:w="109"/>
        <w:gridCol w:w="109"/>
        <w:gridCol w:w="109"/>
        <w:gridCol w:w="227"/>
        <w:gridCol w:w="733"/>
        <w:gridCol w:w="126"/>
        <w:gridCol w:w="126"/>
        <w:gridCol w:w="126"/>
        <w:gridCol w:w="126"/>
        <w:gridCol w:w="227"/>
        <w:gridCol w:w="750"/>
        <w:gridCol w:w="179"/>
      </w:tblGrid>
      <w:tr>
        <w:trPr/>
        <w:tc>
          <w:tcPr>
            <w:tcW w:w="1237"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and location of pre-tax income recognized in the Company’s unaudited condensed consolidated statements of comprehensive income related to the Company’s derivative instruments (in thousands):</w:t>
      </w:r>
    </w:p>
    <w:tbl>
      <w:tblPr>
        <w:tblW w:w="8870" w:type="dxa"/>
        <w:jc w:val="right"/>
        <w:tblInd w:w="0" w:type="dxa"/>
        <w:tblCellMar>
          <w:top w:w="28" w:type="dxa"/>
          <w:left w:w="28" w:type="dxa"/>
          <w:bottom w:w="28" w:type="dxa"/>
          <w:right w:w="28" w:type="dxa"/>
        </w:tblCellMar>
      </w:tblPr>
      <w:tblGrid>
        <w:gridCol w:w="1237"/>
        <w:gridCol w:w="1089"/>
        <w:gridCol w:w="1093"/>
        <w:gridCol w:w="109"/>
        <w:gridCol w:w="109"/>
        <w:gridCol w:w="109"/>
        <w:gridCol w:w="724"/>
        <w:gridCol w:w="724"/>
        <w:gridCol w:w="726"/>
        <w:gridCol w:w="109"/>
        <w:gridCol w:w="109"/>
        <w:gridCol w:w="109"/>
        <w:gridCol w:w="262"/>
        <w:gridCol w:w="745"/>
        <w:gridCol w:w="146"/>
        <w:gridCol w:w="146"/>
        <w:gridCol w:w="146"/>
        <w:gridCol w:w="146"/>
        <w:gridCol w:w="262"/>
        <w:gridCol w:w="564"/>
        <w:gridCol w:w="206"/>
      </w:tblGrid>
      <w:tr>
        <w:trPr/>
        <w:tc>
          <w:tcPr>
            <w:tcW w:w="1237"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Statement Caption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1 — Inputs to the fair value measurement are quoted prices in active markets for identical assets or liabilities.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pStyle w:val="TextBody"/>
        <w:spacing w:lineRule="auto" w:line="288" w:before="0" w:after="200"/>
        <w:ind w:left="0" w:right="0" w:hanging="360"/>
        <w:rPr/>
      </w:pPr>
      <w:r>
        <w:rPr>
          <w:color w:val="000000"/>
        </w:rPr>
        <w:t>•</w:t>
      </w:r>
      <w:r>
        <w:rPr>
          <w:rFonts w:ascii="Times New Roman;sans-serif" w:hAnsi="Times New Roman;sans-serif"/>
          <w:b w:val="false"/>
          <w:color w:val="000000"/>
          <w:sz w:val="20"/>
        </w:rPr>
        <w:t>Level 3 — Inputs to the fair value measurement are unobservable inputs or valuation techniques.</w:t>
      </w:r>
    </w:p>
    <w:p>
      <w:pPr>
        <w:pStyle w:val="TextBody"/>
        <w:spacing w:lineRule="auto" w:line="288" w:before="0" w:after="200"/>
        <w:ind w:left="0" w:right="0" w:firstLine="360"/>
        <w:rPr/>
      </w:pPr>
      <w:r>
        <w:rPr>
          <w:rFonts w:ascii="Times New Roman;sans-serif" w:hAnsi="Times New Roman;sans-serif"/>
          <w:b w:val="false"/>
          <w:color w:val="000000"/>
          <w:sz w:val="20"/>
        </w:rPr>
        <w:t>While the Company believes its valuation methods are appropriate and consistent with other market participants, the use of</w:t>
      </w:r>
      <w:r>
        <w:rPr>
          <w:color w:val="FF0000"/>
        </w:rPr>
        <w:t xml:space="preserve"> </w:t>
      </w:r>
      <w:r>
        <w:rPr>
          <w:rFonts w:ascii="Times New Roman;sans-serif" w:hAnsi="Times New Roman;sans-serif"/>
          <w:b w:val="false"/>
          <w:color w:val="000000"/>
          <w:sz w:val="20"/>
        </w:rPr>
        <w:t>different methodologies or assumptions to determine the fair value of certain financial instruments could result in a different fair value measurement at the reporting date.</w:t>
      </w:r>
    </w:p>
    <w:p>
      <w:pPr>
        <w:pStyle w:val="TextBody"/>
        <w:spacing w:lineRule="auto" w:line="288" w:before="0" w:after="200"/>
        <w:ind w:left="0" w:right="0" w:firstLine="360"/>
        <w:rPr/>
      </w:pPr>
      <w:r>
        <w:rPr>
          <w:rFonts w:ascii="Times New Roman;sans-serif" w:hAnsi="Times New Roman;sans-serif"/>
          <w:b w:val="false"/>
          <w:i/>
          <w:color w:val="000000"/>
          <w:sz w:val="20"/>
        </w:rPr>
        <w:t>First Lien Term Loan</w:t>
      </w:r>
      <w:r>
        <w:rPr>
          <w:rFonts w:ascii="Times New Roman;sans-serif" w:hAnsi="Times New Roman;sans-serif"/>
          <w:b w:val="false"/>
          <w:color w:val="000000"/>
          <w:sz w:val="20"/>
        </w:rPr>
        <w:t xml:space="preserve">: The fair value of the First Lien Term Loan is derived from a broker quote on the loans in the syndication (Level 2 inputs). See Note 10, </w:t>
      </w:r>
      <w:r>
        <w:rPr>
          <w:rFonts w:ascii="Times New Roman;sans-serif" w:hAnsi="Times New Roman;sans-serif"/>
          <w:b w:val="false"/>
          <w:i/>
          <w:color w:val="000000"/>
          <w:sz w:val="20"/>
        </w:rPr>
        <w:t>Indebtedness</w:t>
      </w:r>
      <w:r>
        <w:rPr>
          <w:rFonts w:ascii="Times New Roman;sans-serif" w:hAnsi="Times New Roman;sans-serif"/>
          <w:b w:val="false"/>
          <w:color w:val="000000"/>
          <w:sz w:val="20"/>
        </w:rPr>
        <w:t>, for further discussion of the carrying amount and fair value of the First Lien Term Loan.</w:t>
      </w:r>
    </w:p>
    <w:p>
      <w:pPr>
        <w:pStyle w:val="TextBody"/>
        <w:spacing w:lineRule="auto" w:line="288" w:before="0" w:after="200"/>
        <w:ind w:left="0" w:right="0" w:firstLine="360"/>
        <w:rPr/>
      </w:pPr>
      <w:r>
        <w:rPr>
          <w:rFonts w:ascii="Times New Roman;sans-serif" w:hAnsi="Times New Roman;sans-serif"/>
          <w:b w:val="false"/>
          <w:i/>
          <w:color w:val="000000"/>
          <w:sz w:val="20"/>
        </w:rPr>
        <w:t xml:space="preserve">Senior Notes: </w:t>
      </w:r>
      <w:r>
        <w:rPr>
          <w:rFonts w:ascii="Times New Roman;sans-serif" w:hAnsi="Times New Roman;sans-serif"/>
          <w:b w:val="false"/>
          <w:color w:val="000000"/>
          <w:sz w:val="20"/>
        </w:rPr>
        <w:t xml:space="preserve">The fair value of the Senior Notes is derived from a broker quote (Level 2 inputs). See Note 10, </w:t>
      </w:r>
      <w:r>
        <w:rPr>
          <w:rFonts w:ascii="Times New Roman;sans-serif" w:hAnsi="Times New Roman;sans-serif"/>
          <w:b w:val="false"/>
          <w:i/>
          <w:color w:val="000000"/>
          <w:sz w:val="20"/>
        </w:rPr>
        <w:t>Indebtedness</w:t>
      </w:r>
      <w:r>
        <w:rPr>
          <w:rFonts w:ascii="Times New Roman;sans-serif" w:hAnsi="Times New Roman;sans-serif"/>
          <w:b w:val="false"/>
          <w:color w:val="000000"/>
          <w:sz w:val="20"/>
        </w:rPr>
        <w:t>, for further discussion of the carrying amount and fair value of the Senior Notes.</w:t>
      </w:r>
    </w:p>
    <w:p>
      <w:pPr>
        <w:pStyle w:val="TextBody"/>
        <w:spacing w:lineRule="auto" w:line="288" w:before="0" w:after="200"/>
        <w:ind w:left="0" w:right="0" w:firstLine="360"/>
        <w:rPr/>
      </w:pPr>
      <w:r>
        <w:rPr>
          <w:rFonts w:ascii="Times New Roman;sans-serif" w:hAnsi="Times New Roman;sans-serif"/>
          <w:b w:val="false"/>
          <w:i/>
          <w:color w:val="000000"/>
          <w:sz w:val="20"/>
        </w:rPr>
        <w:t xml:space="preserve">Interest Rate Cap: </w:t>
      </w:r>
      <w:r>
        <w:rPr>
          <w:rFonts w:ascii="Times New Roman;sans-serif" w:hAnsi="Times New Roman;sans-serif"/>
          <w:b w:val="false"/>
          <w:color w:val="000000"/>
          <w:sz w:val="20"/>
        </w:rPr>
        <w:t xml:space="preserve">The fair value of the interest rate cap is derived from the interest rates prevalent in the market and future expectations of those interest rates (Level 2 inputs). The Company determines the fair value of the investments based on quoted prices from third-party brokers. See Note 11,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 for further discussion of the fair value of the interest rate cap.</w:t>
      </w:r>
    </w:p>
    <w:p>
      <w:pPr>
        <w:pStyle w:val="TextBody"/>
        <w:spacing w:lineRule="auto" w:line="288" w:before="0" w:after="200"/>
        <w:ind w:left="0" w:right="0" w:firstLine="360"/>
        <w:rPr/>
      </w:pPr>
      <w:r>
        <w:rPr>
          <w:rFonts w:ascii="Times New Roman;sans-serif" w:hAnsi="Times New Roman;sans-serif"/>
          <w:b w:val="false"/>
          <w:i/>
          <w:color w:val="000000"/>
          <w:sz w:val="20"/>
        </w:rPr>
        <w:t>Money Market Funds:</w:t>
      </w:r>
      <w:r>
        <w:rPr>
          <w:color w:val="000000"/>
        </w:rPr>
        <w:t xml:space="preserve"> </w:t>
      </w:r>
      <w:r>
        <w:rPr>
          <w:rFonts w:ascii="Times New Roman;sans-serif" w:hAnsi="Times New Roman;sans-serif"/>
          <w:b w:val="false"/>
          <w:color w:val="000000"/>
          <w:sz w:val="20"/>
        </w:rPr>
        <w:t>The fair value of the money market funds is derived from the closing price reported by the fund sponsor and classified as cash and cash equivalents on the Company’s condensed consolidated balance sheets (Level 1 inputs).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other assets or liabilities measured at fair value at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14. STOCK-BASED INCENTIVE COMPENSATION</w:t>
      </w:r>
    </w:p>
    <w:p>
      <w:pPr>
        <w:pStyle w:val="TextBody"/>
        <w:spacing w:lineRule="auto" w:line="288" w:before="0" w:after="200"/>
        <w:ind w:left="0" w:right="0" w:firstLine="360"/>
        <w:rPr/>
      </w:pPr>
      <w:r>
        <w:rPr>
          <w:rFonts w:ascii="Times New Roman;sans-serif" w:hAnsi="Times New Roman;sans-serif"/>
          <w:b/>
          <w:color w:val="000000"/>
          <w:sz w:val="20"/>
        </w:rPr>
        <w:t xml:space="preserve">Equity Incentive Plans </w:t>
      </w:r>
      <w:r>
        <w:rPr>
          <w:color w:val="000000"/>
        </w:rPr>
        <w:t xml:space="preserve">— </w:t>
      </w:r>
      <w:r>
        <w:rPr>
          <w:rFonts w:ascii="Times New Roman;sans-serif" w:hAnsi="Times New Roman;sans-serif"/>
          <w:b w:val="false"/>
          <w:color w:val="000000"/>
          <w:sz w:val="20"/>
        </w:rPr>
        <w:t>Under the Company’s 2018 Equity Incentive Plan (the “2018 Plan”), approved at the annual meeting by the BioScrip stockholders on May 3, 2018 and amended and restated on May 19, 2021, the Company may issue, among other things, incentive stock options, non-qualified stock options, stock appreciation rights, restricted stock units, stock grants, and performance units to key employees and directors, resulting in a total of 9,101,734 shares of common stock authorized for issuance. The 2018 Plan is administered by the Company’s Compensation Committee, a standing committee of the Company’s Board of Directors. The Company had stock options, restricted stock units and performance stock units outstanding related to the 2018 Plan as of March 31, 2023 and 2022. During the three months ended March 31, 2023 and 2022, total stock-based incentive compensation expense recognized by the Company related to the 2018 Plan was $6.0 million and $4.2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15. STOCKHOLDERS’ EQUITY</w:t>
      </w:r>
    </w:p>
    <w:p>
      <w:pPr>
        <w:pStyle w:val="TextBody"/>
        <w:spacing w:lineRule="auto" w:line="288" w:before="0" w:after="200"/>
        <w:ind w:left="0" w:right="0" w:firstLine="360"/>
        <w:rPr/>
      </w:pPr>
      <w:r>
        <w:rPr>
          <w:rFonts w:ascii="Times New Roman;sans-serif" w:hAnsi="Times New Roman;sans-serif"/>
          <w:b/>
          <w:color w:val="000000"/>
          <w:sz w:val="20"/>
        </w:rPr>
        <w:t xml:space="preserve">2017 Warrants </w:t>
      </w:r>
      <w:r>
        <w:rPr>
          <w:color w:val="000000"/>
        </w:rPr>
        <w:t xml:space="preserve">— </w:t>
      </w:r>
      <w:r>
        <w:rPr>
          <w:rFonts w:ascii="Times New Roman;sans-serif" w:hAnsi="Times New Roman;sans-serif"/>
          <w:b w:val="false"/>
          <w:color w:val="000000"/>
          <w:sz w:val="20"/>
        </w:rPr>
        <w:t>During the three months ended March 31, 2023 and 2022, warrant holders did not elect to exercise any warrants to purchase shares of common stock. As of March 31, 2023 and December 31, 2022, the remaining warrant holders are entitled to purchase 240,188 shares of common stock.</w:t>
      </w:r>
    </w:p>
    <w:p>
      <w:pPr>
        <w:pStyle w:val="TextBody"/>
        <w:spacing w:lineRule="auto" w:line="288" w:before="0" w:after="200"/>
        <w:ind w:left="0" w:right="0" w:firstLine="360"/>
        <w:rPr/>
      </w:pPr>
      <w:r>
        <w:rPr>
          <w:rFonts w:ascii="Times New Roman;sans-serif" w:hAnsi="Times New Roman;sans-serif"/>
          <w:b/>
          <w:color w:val="000000"/>
          <w:sz w:val="20"/>
        </w:rPr>
        <w:t xml:space="preserve">2015 Warrants </w:t>
      </w:r>
      <w:r>
        <w:rPr>
          <w:color w:val="000000"/>
        </w:rPr>
        <w:t xml:space="preserve">— </w:t>
      </w:r>
      <w:r>
        <w:rPr>
          <w:rFonts w:ascii="Times New Roman;sans-serif" w:hAnsi="Times New Roman;sans-serif"/>
          <w:b w:val="false"/>
          <w:color w:val="000000"/>
          <w:sz w:val="20"/>
        </w:rPr>
        <w:t>During the three months ended March 31, 2023 and 2022, warrant holders exercised an immaterial number of warrants to purchase shares of common stock. As of March 31, 2023 and December 31, 2022, the remaining warrant holders are entitled to purchase 15,219 and 15,231 shares of common stock, respectively.</w:t>
      </w:r>
    </w:p>
    <w:p>
      <w:pPr>
        <w:pStyle w:val="TextBody"/>
        <w:spacing w:lineRule="auto" w:line="288" w:before="0" w:after="200"/>
        <w:ind w:left="0" w:right="0" w:firstLine="360"/>
        <w:rPr/>
      </w:pPr>
      <w:r>
        <w:rPr>
          <w:rFonts w:ascii="Times New Roman;sans-serif" w:hAnsi="Times New Roman;sans-serif"/>
          <w:b/>
          <w:color w:val="000000"/>
          <w:sz w:val="20"/>
        </w:rPr>
        <w:t>Share Repurchase Program</w:t>
      </w:r>
      <w:r>
        <w:rPr>
          <w:color w:val="000000"/>
        </w:rPr>
        <w:t xml:space="preserve"> — </w:t>
      </w:r>
      <w:r>
        <w:rPr>
          <w:rFonts w:ascii="Times New Roman;sans-serif" w:hAnsi="Times New Roman;sans-serif"/>
          <w:b w:val="false"/>
          <w:color w:val="000000"/>
          <w:sz w:val="20"/>
        </w:rPr>
        <w:t>On February 20, 2023, the Company’s Board of Directors approved a share repurchase program of up to an aggregate $250.0 million of 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3, 2023, the Company purchased 2,475,166 shares of common stock under the share repurchase program for an average share price of $30.30, totaling $75.0 million, which repurchased shares became treasury stock. As of March 31, 2023, the Company is authorized to repurchase up to an aggregate $175.0 million of common stock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16. RELATED-PARTY TRANSACTIONS</w:t>
      </w:r>
    </w:p>
    <w:p>
      <w:pPr>
        <w:pStyle w:val="TextBody"/>
        <w:spacing w:lineRule="auto" w:line="288" w:before="0" w:after="200"/>
        <w:ind w:left="0" w:right="0" w:firstLine="360"/>
        <w:rPr/>
      </w:pPr>
      <w:r>
        <w:rPr>
          <w:rFonts w:ascii="Times New Roman;sans-serif" w:hAnsi="Times New Roman;sans-serif"/>
          <w:b/>
          <w:color w:val="000000"/>
          <w:sz w:val="20"/>
        </w:rPr>
        <w:t xml:space="preserve">Transactions with Equity-Method Investees </w:t>
      </w:r>
      <w:r>
        <w:rPr>
          <w:color w:val="000000"/>
        </w:rPr>
        <w:t xml:space="preserve">— </w:t>
      </w:r>
      <w:r>
        <w:rPr>
          <w:rFonts w:ascii="Times New Roman;sans-serif" w:hAnsi="Times New Roman;sans-serif"/>
          <w:b w:val="false"/>
          <w:color w:val="000000"/>
          <w:sz w:val="20"/>
        </w:rPr>
        <w:t>The Company provides management services to its joint ventures such as accounting, invoicing and collections in addition to day-to-day managerial support of the operations of the businesses. The Company recorded management fee income of $1.3 million and $0.9 million for the three months ended March 31, 2023 and 2022, respectively. Management fees are recorded in net revenues in the accompanying unaudited condensed consolidated statements of comprehensive income. During the three months ended March 31, 2023, the Company received distributions from the investees of $2.5 million. During the three months ended March 31, 2022, the Company did not receive a distribution from the investees.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had amounts due from its joint ventures of $0.7 million and due to its joint ventures of $0.5 million as of March 31, 2023. Receivables were included in prepaid expenses and other current assets in the accompanying condensed consolidated balance sheets. Payables were included in accrued expenses and other current liabilities in the accompanying condensed consolidated balance sheets. The Company also had amounts due to its joint ventures of $1.5 million as of December 31, 2022. These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pStyle w:val="TextBody"/>
        <w:spacing w:lineRule="auto" w:line="288" w:before="0" w:after="200"/>
        <w:ind w:left="0" w:right="0" w:firstLine="360"/>
        <w:rPr/>
      </w:pPr>
      <w:r>
        <w:rPr>
          <w:rFonts w:ascii="Times New Roman;sans-serif" w:hAnsi="Times New Roman;sans-serif"/>
          <w:b/>
          <w:color w:val="000000"/>
          <w:sz w:val="20"/>
        </w:rPr>
        <w:t xml:space="preserve">Share Repurchase Agreement </w:t>
      </w:r>
      <w:r>
        <w:rPr>
          <w:color w:val="000000"/>
        </w:rPr>
        <w:t xml:space="preserve">— </w:t>
      </w:r>
      <w:r>
        <w:rPr>
          <w:rFonts w:ascii="Times New Roman;sans-serif" w:hAnsi="Times New Roman;sans-serif"/>
          <w:b w:val="false"/>
          <w:color w:val="000000"/>
          <w:sz w:val="20"/>
        </w:rPr>
        <w:t>On February 28, 2023, we entered into a Share Repurchase Agreement (the “Share Repurchase Agreement”) with HC I, pursuant to which we agreed to repurchase, subject to the terms and conditions contained therein, up to $75.0 million of our common stock then held by HC I at the same purchase price per share as the underwriter in a concurrent underwritten public offering of our common stock held by HC I. On March 3, 2023, the transactions contemplated by the Share Repurchase Agreement closed, and we repurchased directly from HC I 2,475,166 shares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spacing w:before="0" w:after="0"/>
        <w:rPr/>
      </w:pPr>
      <w:r>
        <w:rPr/>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 2023 the Company entered into a definitive merger agreement with Amedisys, Inc. (“Amedisys”), a leading provider of healthcare in home health and hospice settings. Under the terms of the merger agreement, the Company will issue new shares of its common stock to Amedisys’s stockholders, which will result in the Company’s stockholders holding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approximately 64.5% of the combined company. Following the close of the transaction, the combined company common stock is expected to continue to be listed on the Nasdaq Global Select Market. The transaction is currently expected to close in the second half of 2023, subject to approval by the Company’s and Amedisys’s stockholders and other customary closing conditions, including receipt of applicable regulatory approvals.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its entry into the merger agreement, the Company entered into a debt commitment letter, dated as of May 3, 2023, with Goldman Sachs Bank USA ("Goldman Sachs"), pursuant to which Goldman Sachs has committed to provide a 364-day senior secured term loan facility in an aggregate principal amount of up to $450 million (the "Bridge Loan Facility"), subject to customary conditions as set forth therein. The debt commitment letter provides for a single borrowing of non-amortizing terms loans under such Bridge Loan Facility in an amount up to $450.0 million, which term loans would mature on the date that is 364 days following execution of the definition documentation in respect thereof. The net proceeds of the Bridge Loan Facility may be used to refinance existing indebtedness of Amedisys and to pay related fees and expenses.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pPr>
      <w:r>
        <w:rPr>
          <w:rFonts w:ascii="Times New Roman;sans-serif" w:hAnsi="Times New Roman;sans-serif"/>
          <w:b/>
          <w:color w:val="000000"/>
          <w:sz w:val="20"/>
        </w:rPr>
        <w:t>Item 2.    Management’s Discussion and Analysis of Financial Condition and</w:t>
      </w:r>
      <w:r>
        <w:rPr>
          <w:color w:val="000000"/>
        </w:rPr>
        <w:t xml:space="preserve"> </w:t>
      </w:r>
      <w:r>
        <w:rPr>
          <w:rFonts w:ascii="Times New Roman;sans-serif" w:hAnsi="Times New Roman;sans-serif"/>
          <w:b/>
          <w:color w:val="000000"/>
          <w:sz w:val="20"/>
        </w:rPr>
        <w:t>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2022 (our “Form 10-K”), may cause our actual results, financial position, and cash and cash equivalents generated from operations to differ materially from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Option Care Health, and its wholly-owned subsidiaries, provides infusion therapy and other ancillary health care services through a national network of 168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7, 2015, HC I and HC II collectively acquired Walgreens Infusion Services, Inc. and its subsidiaries from Walgreen Co., and the business was rebranded as Option Care.</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14, 2019, HC I and HC II entered into the Merger Agreement to merge with and into a wholly-owned subsidiary of BioScip, a national provider of infusion and home care management solutions, which was completed on August 6, 2019. Following the close of the transaction, BioScrip was rebranded as Option Care Health.</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Update on the Impact of the COVID-19 Pandemic</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primary operations of the Company focus on providing infusion therapy services, however, the COVID-19 pandemic has impacted the healthcare ecosystem and the Company such that, beginning in March 2020, we have been disrupted by both positive and negative referral patterns and have experienced challenges in our staffing, increased pricing and periodic inability to procure personal protection equipment, supplies and key drugs. The Company anticipates that new variants could affect its operations for an extended period; however, at this time we cannot confidently forecast the duration or the ultimate financial impact on our operations.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Item 1A. “Risk Factors” under the caption “The COVID-19 pandemic and other potential pandemic events could adversely impact our business, results of operations, cash flows and financial position” included in our Form 10-K for further discussion of risks.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Composition of Results of Operations </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results of operations include the accounts of Option Care Health and our subsidiaries for the three months ended March 31, 2023 and 2022.</w:t>
      </w:r>
    </w:p>
    <w:p>
      <w:pPr>
        <w:pStyle w:val="TextBody"/>
        <w:spacing w:lineRule="auto" w:line="288" w:before="0" w:after="200"/>
        <w:ind w:left="0" w:right="0" w:firstLine="360"/>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Gross profit represents our net revenue less cost of revenue.</w:t>
      </w:r>
    </w:p>
    <w:p>
      <w:pPr>
        <w:pStyle w:val="TextBody"/>
        <w:spacing w:lineRule="auto" w:line="288" w:before="0" w:after="200"/>
        <w:ind w:left="0" w:right="0" w:firstLine="360"/>
        <w:rPr/>
      </w:pPr>
      <w:r>
        <w:rPr>
          <w:rFonts w:ascii="Times New Roman;sans-serif" w:hAnsi="Times New Roman;sans-serif"/>
          <w:b w:val="false"/>
          <w:i/>
          <w:color w:val="000000"/>
          <w:sz w:val="20"/>
        </w:rPr>
        <w:t>Net Revenue.</w:t>
      </w:r>
      <w:r>
        <w:rPr>
          <w:color w:val="000000"/>
        </w:rPr>
        <w:t xml:space="preserve"> </w:t>
      </w:r>
      <w:r>
        <w:rPr>
          <w:rFonts w:ascii="Times New Roman;sans-serif" w:hAnsi="Times New Roman;sans-serif"/>
          <w:b w:val="false"/>
          <w:color w:val="000000"/>
          <w:sz w:val="20"/>
        </w:rPr>
        <w:t>Infusion and related health care services revenue is reported at the estimated net realizable amounts from third-party payers and patients for goods sold and services rendered. When pharmaceuticals are provided to a patient, revenue is recognized upon delivery of the goods. When nursing services are provided, revenue is recognized when the services are rendered.</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pStyle w:val="TextBody"/>
        <w:spacing w:lineRule="auto" w:line="288" w:before="0" w:after="200"/>
        <w:ind w:left="0" w:right="0" w:firstLine="360"/>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color w:val="000000"/>
          <w:sz w:val="20"/>
        </w:rPr>
        <w:t>Cost of revenue consists of the actual cost of pharmaceuticals and other medical supplies dispensed to patients. In addition to product 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pStyle w:val="TextBody"/>
        <w:spacing w:lineRule="auto" w:line="288" w:before="0" w:after="200"/>
        <w:ind w:left="0" w:right="0" w:firstLine="360"/>
        <w:rPr>
          <w:rFonts w:ascii="Times New Roman;sans-serif" w:hAnsi="Times New Roman;sans-serif"/>
          <w:b/>
          <w:i/>
          <w:color w:val="000000"/>
          <w:sz w:val="20"/>
        </w:rPr>
      </w:pPr>
      <w:r>
        <w:rPr>
          <w:rFonts w:ascii="Times New Roman;sans-serif" w:hAnsi="Times New Roman;sans-serif"/>
          <w:b/>
          <w:i/>
          <w:color w:val="000000"/>
          <w:sz w:val="20"/>
        </w:rPr>
        <w:t>Operating Costs and Expenses</w:t>
      </w:r>
    </w:p>
    <w:p>
      <w:pPr>
        <w:pStyle w:val="TextBody"/>
        <w:spacing w:lineRule="auto" w:line="288" w:before="0" w:after="200"/>
        <w:ind w:left="0" w:right="0" w:firstLine="360"/>
        <w:rPr/>
      </w:pPr>
      <w:r>
        <w:rPr>
          <w:rFonts w:ascii="Times New Roman;sans-serif" w:hAnsi="Times New Roman;sans-serif"/>
          <w:b w:val="false"/>
          <w:i/>
          <w:color w:val="000000"/>
          <w:sz w:val="20"/>
        </w:rPr>
        <w:t>Selling, General and Administrative Expenses</w:t>
      </w:r>
      <w:r>
        <w:rPr>
          <w:rFonts w:ascii="Times New Roman;sans-serif" w:hAnsi="Times New Roman;sans-serif"/>
          <w:b w:val="false"/>
          <w:color w:val="000000"/>
          <w:sz w:val="20"/>
        </w:rPr>
        <w:t>. Selling, general and administrative expenses consist principally of salaries for administrative employees that directly and indirectly support the operations, occupancy costs, marketing expenditures, insurance, and professional fees.</w:t>
      </w:r>
    </w:p>
    <w:p>
      <w:pPr>
        <w:pStyle w:val="TextBody"/>
        <w:spacing w:lineRule="auto" w:line="288" w:before="0" w:after="200"/>
        <w:ind w:left="0" w:right="0" w:firstLine="360"/>
        <w:rPr/>
      </w:pPr>
      <w:r>
        <w:rPr>
          <w:rFonts w:ascii="Times New Roman;sans-serif" w:hAnsi="Times New Roman;sans-serif"/>
          <w:b w:val="false"/>
          <w:i/>
          <w:color w:val="000000"/>
          <w:sz w:val="20"/>
        </w:rPr>
        <w:t xml:space="preserve">Depreciation and Amortization Expense. </w:t>
      </w:r>
      <w:r>
        <w:rPr>
          <w:rFonts w:ascii="Times New Roman;sans-serif" w:hAnsi="Times New Roman;sans-serif"/>
          <w:b w:val="false"/>
          <w:color w:val="000000"/>
          <w:sz w:val="20"/>
        </w:rPr>
        <w:t>Depreciation within this caption includes infrastructure items such as intangibles amortization, computer hardware and software, office equipment and leasehold improvements. Depreciation of revenue-generating assets, such as infusion pumps, is included in cost of revenue.</w:t>
      </w:r>
    </w:p>
    <w:p>
      <w:pPr>
        <w:pStyle w:val="TextBody"/>
        <w:spacing w:lineRule="auto" w:line="288" w:before="0" w:after="20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spacing w:lineRule="auto" w:line="288" w:before="0" w:after="200"/>
        <w:ind w:left="0" w:right="0" w:firstLine="360"/>
        <w:rPr/>
      </w:pP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Interest expense consists principally of interest payments on the Company’s outstanding borrowings under the ABL Facility, First Lien Term Loan,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pStyle w:val="TextBody"/>
        <w:spacing w:lineRule="auto" w:line="288" w:before="0" w:after="200"/>
        <w:ind w:left="0" w:right="0" w:firstLine="360"/>
        <w:rPr/>
      </w:pPr>
      <w:r>
        <w:rPr>
          <w:rFonts w:ascii="Times New Roman;sans-serif" w:hAnsi="Times New Roman;sans-serif"/>
          <w:b w:val="false"/>
          <w:i/>
          <w:color w:val="000000"/>
          <w:sz w:val="20"/>
        </w:rPr>
        <w:t>Equity in Earnings of Joint Ventures</w:t>
      </w:r>
      <w:r>
        <w:rPr>
          <w:rFonts w:ascii="Times New Roman;sans-serif" w:hAnsi="Times New Roman;sans-serif"/>
          <w:b w:val="false"/>
          <w:color w:val="000000"/>
          <w:sz w:val="20"/>
        </w:rPr>
        <w:t>. Equity in earnings of joint ventures consists of our proportionate share of equity earnings or losses from equity investments in two infusion joint ventures with health systems.</w:t>
      </w:r>
    </w:p>
    <w:p>
      <w:pPr>
        <w:pStyle w:val="TextBody"/>
        <w:spacing w:lineRule="auto" w:line="288" w:before="0" w:after="200"/>
        <w:ind w:left="0" w:right="0" w:firstLine="360"/>
        <w:rPr/>
      </w:pPr>
      <w:r>
        <w:rPr>
          <w:rFonts w:ascii="Times New Roman;sans-serif" w:hAnsi="Times New Roman;sans-serif"/>
          <w:b w:val="false"/>
          <w:i/>
          <w:color w:val="000000"/>
          <w:sz w:val="20"/>
        </w:rPr>
        <w:t>Other, Net</w:t>
      </w:r>
      <w:r>
        <w:rPr>
          <w:rFonts w:ascii="Times New Roman;sans-serif" w:hAnsi="Times New Roman;sans-serif"/>
          <w:b w:val="false"/>
          <w:color w:val="000000"/>
          <w:sz w:val="20"/>
        </w:rPr>
        <w:t>. Other income (expense) primarily includes activity related to non-operating income and expenses.</w:t>
      </w:r>
    </w:p>
    <w:p>
      <w:pPr>
        <w:pStyle w:val="TextBody"/>
        <w:spacing w:lineRule="auto" w:line="288" w:before="0" w:after="200"/>
        <w:ind w:left="0" w:right="0" w:firstLine="360"/>
        <w:rPr/>
      </w:pPr>
      <w:r>
        <w:rPr>
          <w:rFonts w:ascii="Times New Roman;sans-serif" w:hAnsi="Times New Roman;sans-serif"/>
          <w:b w:val="false"/>
          <w:i/>
          <w:color w:val="000000"/>
          <w:sz w:val="20"/>
        </w:rPr>
        <w:t>Income Tax Expense</w:t>
      </w:r>
      <w:r>
        <w:rPr>
          <w:rFonts w:ascii="Times New Roman;sans-serif" w:hAnsi="Times New Roman;sans-serif"/>
          <w:b w:val="false"/>
          <w:color w:val="000000"/>
          <w:sz w:val="20"/>
        </w:rPr>
        <w:t>. The Company is subject to taxation in the United States and various states. The Company’s income tax expense is reflective of the current federal and state tax rates.</w:t>
      </w:r>
    </w:p>
    <w:p>
      <w:pPr>
        <w:pStyle w:val="TextBody"/>
        <w:spacing w:lineRule="auto" w:line="288" w:before="0" w:after="200"/>
        <w:ind w:left="0" w:right="0" w:firstLine="360"/>
        <w:rPr/>
      </w:pPr>
      <w:r>
        <w:rPr>
          <w:rFonts w:ascii="Times New Roman;sans-serif" w:hAnsi="Times New Roman;sans-serif"/>
          <w:b w:val="false"/>
          <w:i/>
          <w:color w:val="000000"/>
          <w:sz w:val="20"/>
        </w:rPr>
        <w:t>Change in Unrealized (Losses) Gains on Cash Flow Hedges, Net of Income Tax Expense</w:t>
      </w:r>
      <w:r>
        <w:rPr>
          <w:rFonts w:ascii="Times New Roman;sans-serif" w:hAnsi="Times New Roman;sans-serif"/>
          <w:b w:val="false"/>
          <w:color w:val="000000"/>
          <w:sz w:val="20"/>
        </w:rPr>
        <w:t>. Change in unrealized (losses) gains on cash flow hedges, net of income taxes, consists of the gains and losses associated with the changes in the fair value of derivatives designated as hedging instruments related to the interest rate cap hedge, net of income taxes.</w:t>
      </w:r>
    </w:p>
    <w:p>
      <w:pPr>
        <w:pStyle w:val="TextBody"/>
        <w:spacing w:before="0" w:after="20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Option Care Health’s consolidated results of operations for the three months ended March 31, 2023 and 2022 (in thousands, except for percentages):</w:t>
      </w:r>
    </w:p>
    <w:tbl>
      <w:tblPr>
        <w:tblW w:w="10205" w:type="dxa"/>
        <w:jc w:val="right"/>
        <w:tblInd w:w="0" w:type="dxa"/>
        <w:tblCellMar>
          <w:top w:w="28" w:type="dxa"/>
          <w:left w:w="28" w:type="dxa"/>
          <w:bottom w:w="28" w:type="dxa"/>
          <w:right w:w="28" w:type="dxa"/>
        </w:tblCellMar>
      </w:tblPr>
      <w:tblGrid>
        <w:gridCol w:w="1996"/>
        <w:gridCol w:w="1405"/>
        <w:gridCol w:w="1408"/>
        <w:gridCol w:w="196"/>
        <w:gridCol w:w="871"/>
        <w:gridCol w:w="109"/>
        <w:gridCol w:w="109"/>
        <w:gridCol w:w="109"/>
        <w:gridCol w:w="109"/>
        <w:gridCol w:w="278"/>
        <w:gridCol w:w="278"/>
        <w:gridCol w:w="509"/>
        <w:gridCol w:w="109"/>
        <w:gridCol w:w="109"/>
        <w:gridCol w:w="109"/>
        <w:gridCol w:w="196"/>
        <w:gridCol w:w="736"/>
        <w:gridCol w:w="109"/>
        <w:gridCol w:w="109"/>
        <w:gridCol w:w="109"/>
        <w:gridCol w:w="109"/>
        <w:gridCol w:w="278"/>
        <w:gridCol w:w="278"/>
        <w:gridCol w:w="577"/>
      </w:tblGrid>
      <w:tr>
        <w:trPr/>
        <w:tc>
          <w:tcPr>
            <w:tcW w:w="1996"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4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 OF TAX:</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 gain on cash flow hedges, net of income tax benefit (expense) of $1,152 and ($3,763),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2023 Compared to Three Months Ended March 31, 2022 </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selected consolidated comparative results of operations from Option Care Health’s unaudited condensed consolidated financial statements for the three months ended March 31, 2023 and 2022.</w:t>
      </w:r>
    </w:p>
    <w:p>
      <w:pPr>
        <w:pStyle w:val="TextBody"/>
        <w:spacing w:lineRule="auto" w:line="288" w:before="0" w:after="200"/>
        <w:ind w:left="0" w:right="0" w:firstLine="360"/>
        <w:rPr>
          <w:rFonts w:ascii="Times New Roman;sans-serif" w:hAnsi="Times New Roman;sans-serif"/>
          <w:b/>
          <w:i/>
          <w:color w:val="000000"/>
          <w:sz w:val="20"/>
        </w:rPr>
      </w:pPr>
      <w:r>
        <w:rPr>
          <w:rFonts w:ascii="Times New Roman;sans-serif" w:hAnsi="Times New Roman;sans-serif"/>
          <w:b/>
          <w:i/>
          <w:color w:val="000000"/>
          <w:sz w:val="20"/>
        </w:rPr>
        <w:t>Gross Profit</w:t>
      </w:r>
    </w:p>
    <w:tbl>
      <w:tblPr>
        <w:tblW w:w="6830" w:type="dxa"/>
        <w:jc w:val="right"/>
        <w:tblInd w:w="0" w:type="dxa"/>
        <w:tblCellMar>
          <w:top w:w="28" w:type="dxa"/>
          <w:left w:w="28" w:type="dxa"/>
          <w:bottom w:w="28" w:type="dxa"/>
          <w:right w:w="28" w:type="dxa"/>
        </w:tblCellMar>
      </w:tblPr>
      <w:tblGrid>
        <w:gridCol w:w="555"/>
        <w:gridCol w:w="487"/>
        <w:gridCol w:w="488"/>
        <w:gridCol w:w="196"/>
        <w:gridCol w:w="871"/>
        <w:gridCol w:w="256"/>
        <w:gridCol w:w="109"/>
        <w:gridCol w:w="109"/>
        <w:gridCol w:w="109"/>
        <w:gridCol w:w="196"/>
        <w:gridCol w:w="736"/>
        <w:gridCol w:w="256"/>
        <w:gridCol w:w="109"/>
        <w:gridCol w:w="109"/>
        <w:gridCol w:w="109"/>
        <w:gridCol w:w="196"/>
        <w:gridCol w:w="736"/>
        <w:gridCol w:w="109"/>
        <w:gridCol w:w="109"/>
        <w:gridCol w:w="109"/>
        <w:gridCol w:w="109"/>
        <w:gridCol w:w="233"/>
        <w:gridCol w:w="233"/>
        <w:gridCol w:w="301"/>
      </w:tblGrid>
      <w:tr>
        <w:trPr/>
        <w:tc>
          <w:tcPr>
            <w:tcW w:w="55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6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1,015,848 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915,784 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786,843 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714,848 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 margin</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4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revenue was primarily driven by organic growth in the Company’s portfolio of therapies, consisting of acute revenue that had mid-single-digit growth relative to the prior year while chronic revenue grew in the low-double-digits. Acute growth was driven primarily due to collaborating with referral sources, which increased the volume of patient services. Acquisition related growth accounted for approximately 1% of the increase in both net revenue and gross profit. The increase in net revenue was partially offset by the divestiture of respiratory therapy assets as well as therapies related to the treatment of ALS and pre-term labor. The increase in cost of revenue and gross profit was primarily driven by the growth in revenue. Revenue growth outpaced the increase in cost of revenue primarily due to our disciplined procurement strategies and efficient utilization of our infusion suite network, partially offset by inflationary impacts. </w:t>
      </w:r>
    </w:p>
    <w:p>
      <w:pPr>
        <w:pStyle w:val="TextBody"/>
        <w:spacing w:lineRule="auto" w:line="288" w:before="0" w:after="20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185" w:type="dxa"/>
        <w:jc w:val="right"/>
        <w:tblInd w:w="0" w:type="dxa"/>
        <w:tblCellMar>
          <w:top w:w="28" w:type="dxa"/>
          <w:left w:w="28" w:type="dxa"/>
          <w:bottom w:w="28" w:type="dxa"/>
          <w:right w:w="28" w:type="dxa"/>
        </w:tblCellMar>
      </w:tblPr>
      <w:tblGrid>
        <w:gridCol w:w="1172"/>
        <w:gridCol w:w="1032"/>
        <w:gridCol w:w="1035"/>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233"/>
        <w:gridCol w:w="233"/>
        <w:gridCol w:w="301"/>
      </w:tblGrid>
      <w:tr>
        <w:trPr/>
        <w:tc>
          <w:tcPr>
            <w:tcW w:w="1172"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6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147,866 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133,969 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148,691 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00" w:after="4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selling, general and administrative expenses is primarily due to an increase in salaries and benefits as a result of acquired team members and inflationary pressures, however, these expenses have remained consistent as a percentage of revenue at 14.6% for the three months ended March 31, 2023 and 2022 due to the Company’s focus on controlling spending leverage.</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ind w:left="0" w:right="0" w:firstLine="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Other Income (Expense)</w:t>
      </w:r>
    </w:p>
    <w:tbl>
      <w:tblPr>
        <w:tblW w:w="7618" w:type="dxa"/>
        <w:jc w:val="right"/>
        <w:tblInd w:w="0" w:type="dxa"/>
        <w:tblCellMar>
          <w:top w:w="28" w:type="dxa"/>
          <w:left w:w="28" w:type="dxa"/>
          <w:bottom w:w="28" w:type="dxa"/>
          <w:right w:w="28" w:type="dxa"/>
        </w:tblCellMar>
      </w:tblPr>
      <w:tblGrid>
        <w:gridCol w:w="943"/>
        <w:gridCol w:w="830"/>
        <w:gridCol w:w="836"/>
        <w:gridCol w:w="212"/>
        <w:gridCol w:w="782"/>
        <w:gridCol w:w="118"/>
        <w:gridCol w:w="118"/>
        <w:gridCol w:w="118"/>
        <w:gridCol w:w="118"/>
        <w:gridCol w:w="212"/>
        <w:gridCol w:w="782"/>
        <w:gridCol w:w="118"/>
        <w:gridCol w:w="109"/>
        <w:gridCol w:w="109"/>
        <w:gridCol w:w="109"/>
        <w:gridCol w:w="196"/>
        <w:gridCol w:w="631"/>
        <w:gridCol w:w="109"/>
        <w:gridCol w:w="109"/>
        <w:gridCol w:w="109"/>
        <w:gridCol w:w="109"/>
        <w:gridCol w:w="269"/>
        <w:gridCol w:w="271"/>
        <w:gridCol w:w="301"/>
      </w:tblGrid>
      <w:tr>
        <w:trPr/>
        <w:tc>
          <w:tcPr>
            <w:tcW w:w="94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4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260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joint ventures</w:t>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00" w:after="200"/>
        <w:ind w:left="0" w:right="0" w:firstLine="360"/>
        <w:rPr/>
      </w:pPr>
      <w:r>
        <w:rPr>
          <w:rFonts w:ascii="Times New Roman;sans-serif" w:hAnsi="Times New Roman;sans-serif"/>
          <w:b w:val="false"/>
          <w:color w:val="000000"/>
          <w:sz w:val="20"/>
        </w:rPr>
        <w:t xml:space="preserve">The increase in interest expense, net during the three months ended March 31, 2023 was primarily attributable to increases in the First Lien Term Loan’s variable interest rate as compared to three months ended March 31, 2022, partially offset by interest income generated from our cash and cash equivalents. See Note 10, </w:t>
      </w:r>
      <w:r>
        <w:rPr>
          <w:rFonts w:ascii="Times New Roman;sans-serif" w:hAnsi="Times New Roman;sans-serif"/>
          <w:b w:val="false"/>
          <w:i/>
          <w:color w:val="000000"/>
          <w:sz w:val="20"/>
        </w:rPr>
        <w:t>Indebtedness</w:t>
      </w:r>
      <w:r>
        <w:rPr>
          <w:rFonts w:ascii="Times New Roman;sans-serif" w:hAnsi="Times New Roman;sans-serif"/>
          <w:b w:val="false"/>
          <w:color w:val="000000"/>
          <w:sz w:val="20"/>
        </w:rPr>
        <w:t>, of the consolidated financial statements for further information.</w:t>
      </w:r>
    </w:p>
    <w:p>
      <w:pPr>
        <w:pStyle w:val="TextBody"/>
        <w:spacing w:lineRule="auto" w:line="288" w:before="0" w:after="4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equity in earnings of joint ventures was primarily attributable to the performance of the joint ventures.</w:t>
      </w:r>
    </w:p>
    <w:p>
      <w:pPr>
        <w:pStyle w:val="TextBody"/>
        <w:spacing w:lineRule="auto" w:line="288" w:before="0" w:after="200"/>
        <w:ind w:left="0" w:right="0" w:firstLine="360"/>
        <w:rPr>
          <w:rFonts w:ascii="Times New Roman;sans-serif" w:hAnsi="Times New Roman;sans-serif"/>
          <w:b/>
          <w:i/>
          <w:color w:val="231F20"/>
          <w:sz w:val="20"/>
        </w:rPr>
      </w:pPr>
      <w:r>
        <w:rPr>
          <w:rFonts w:ascii="Times New Roman;sans-serif" w:hAnsi="Times New Roman;sans-serif"/>
          <w:b/>
          <w:i/>
          <w:color w:val="231F20"/>
          <w:sz w:val="20"/>
        </w:rPr>
        <w:t>Income Tax Expense</w:t>
      </w:r>
    </w:p>
    <w:tbl>
      <w:tblPr>
        <w:tblW w:w="6374" w:type="dxa"/>
        <w:jc w:val="right"/>
        <w:tblInd w:w="0" w:type="dxa"/>
        <w:tblCellMar>
          <w:top w:w="28" w:type="dxa"/>
          <w:left w:w="28" w:type="dxa"/>
          <w:bottom w:w="28" w:type="dxa"/>
          <w:right w:w="28" w:type="dxa"/>
        </w:tblCellMar>
      </w:tblPr>
      <w:tblGrid>
        <w:gridCol w:w="548"/>
        <w:gridCol w:w="482"/>
        <w:gridCol w:w="484"/>
        <w:gridCol w:w="226"/>
        <w:gridCol w:w="748"/>
        <w:gridCol w:w="126"/>
        <w:gridCol w:w="126"/>
        <w:gridCol w:w="126"/>
        <w:gridCol w:w="126"/>
        <w:gridCol w:w="226"/>
        <w:gridCol w:w="748"/>
        <w:gridCol w:w="126"/>
        <w:gridCol w:w="109"/>
        <w:gridCol w:w="109"/>
        <w:gridCol w:w="109"/>
        <w:gridCol w:w="196"/>
        <w:gridCol w:w="556"/>
        <w:gridCol w:w="109"/>
        <w:gridCol w:w="109"/>
        <w:gridCol w:w="109"/>
        <w:gridCol w:w="109"/>
        <w:gridCol w:w="233"/>
        <w:gridCol w:w="233"/>
        <w:gridCol w:w="301"/>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6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of $15.0 million and $11.0 million for the three months ended March 31, 2023 and 2022, respectively, which represents an effective tax rate of 27.7% and 26.6%, respectively. The variance in the Company’s effective tax rate of 27.7% for the three months ended March 31, 2023, compared to the federal statutory rate of 21%, is primarily attributable to the difference between federal and state tax rates, as well as various non-deductible expenses. The variance in the Company’s effective tax rate of 26.6% for the three months ended March 31, 2022, compared to the federal statutory rate of 21%, is primarily attributable to current and deferred state taxes as well as various non-deductible expenses.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ind w:left="0" w:right="0" w:firstLine="360"/>
        <w:rPr>
          <w:rFonts w:ascii="Times New Roman;sans-serif" w:hAnsi="Times New Roman;sans-serif"/>
          <w:b/>
          <w:i/>
          <w:color w:val="231F20"/>
          <w:sz w:val="20"/>
        </w:rPr>
      </w:pPr>
      <w:r>
        <w:rPr>
          <w:rFonts w:ascii="Times New Roman;sans-serif" w:hAnsi="Times New Roman;sans-serif"/>
          <w:b/>
          <w:i/>
          <w:color w:val="231F20"/>
          <w:sz w:val="20"/>
        </w:rPr>
        <w:t>Net Income and Other Comprehensive (Loss) Income</w:t>
      </w:r>
    </w:p>
    <w:tbl>
      <w:tblPr>
        <w:tblW w:w="10205" w:type="dxa"/>
        <w:jc w:val="right"/>
        <w:tblInd w:w="0" w:type="dxa"/>
        <w:tblCellMar>
          <w:top w:w="28" w:type="dxa"/>
          <w:left w:w="28" w:type="dxa"/>
          <w:bottom w:w="28" w:type="dxa"/>
          <w:right w:w="28" w:type="dxa"/>
        </w:tblCellMar>
      </w:tblPr>
      <w:tblGrid>
        <w:gridCol w:w="1854"/>
        <w:gridCol w:w="1633"/>
        <w:gridCol w:w="1650"/>
        <w:gridCol w:w="223"/>
        <w:gridCol w:w="740"/>
        <w:gridCol w:w="124"/>
        <w:gridCol w:w="124"/>
        <w:gridCol w:w="124"/>
        <w:gridCol w:w="124"/>
        <w:gridCol w:w="223"/>
        <w:gridCol w:w="740"/>
        <w:gridCol w:w="124"/>
        <w:gridCol w:w="109"/>
        <w:gridCol w:w="109"/>
        <w:gridCol w:w="109"/>
        <w:gridCol w:w="196"/>
        <w:gridCol w:w="626"/>
        <w:gridCol w:w="109"/>
        <w:gridCol w:w="109"/>
        <w:gridCol w:w="109"/>
        <w:gridCol w:w="109"/>
        <w:gridCol w:w="312"/>
        <w:gridCol w:w="313"/>
        <w:gridCol w:w="312"/>
      </w:tblGrid>
      <w:tr>
        <w:trPr/>
        <w:tc>
          <w:tcPr>
            <w:tcW w:w="1854"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51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51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13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r>
      <w:tr>
        <w:trPr/>
        <w:tc>
          <w:tcPr>
            <w:tcW w:w="51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5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comprehensive (loss) income, net of tax: </w:t>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unrealized (loss) gain on cash flow hedges, net of income taxes</w:t>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comprehensive income</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0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change in net income was primarily attributable to organic growth from additional revenue related to the factors described in the above sections.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change in unrealized (loss) gain on cash flow hedges, net of income taxes, was related to the change in fair market value of the $300.0 million interest rate cap hedge executed in October 2021. </w:t>
      </w:r>
    </w:p>
    <w:p>
      <w:pPr>
        <w:pStyle w:val="TextBody"/>
        <w:spacing w:lineRule="auto" w:line="288" w:before="0" w:after="200"/>
        <w:ind w:left="0" w:right="0" w:firstLine="360"/>
        <w:rPr/>
      </w:pPr>
      <w:r>
        <w:rPr>
          <w:rFonts w:ascii="Times New Roman;sans-serif" w:hAnsi="Times New Roman;sans-serif"/>
          <w:b w:val="false"/>
          <w:color w:val="000000"/>
          <w:sz w:val="20"/>
        </w:rPr>
        <w:t xml:space="preserve">Net comprehensive income decreased to $35.8 million for the three months ended March 31, 2023, compared to net comprehensive income of </w:t>
      </w:r>
      <w:r>
        <w:rPr>
          <w:rFonts w:ascii="Times New Roman;sans-serif" w:hAnsi="Times New Roman;sans-serif"/>
          <w:b w:val="false"/>
          <w:color w:val="000000"/>
          <w:sz w:val="20"/>
          <w:highlight w:val="white"/>
        </w:rPr>
        <w:t>$41.3 million</w:t>
      </w:r>
      <w:r>
        <w:rPr>
          <w:color w:val="000000"/>
        </w:rPr>
        <w:t xml:space="preserve"> </w:t>
      </w:r>
      <w:r>
        <w:rPr>
          <w:rFonts w:ascii="Times New Roman;sans-serif" w:hAnsi="Times New Roman;sans-serif"/>
          <w:b w:val="false"/>
          <w:color w:val="000000"/>
          <w:sz w:val="20"/>
        </w:rPr>
        <w:t>for the three months ended March 31, 2022, primarily as a result of the impact of the fair value of the interest rate cap hedge, partially offset by the increase in net income, as discussed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the twelve months ended December 31, 2022, the Company’s primary sources of liquidity were cash and cash equivalents of $297.8 million and $294.2 million, respectively. As of March 31, 2023, the Company had $219.5 million of borrowings available under its credit facilities (net of $5.5 million undrawn letters of credit issued and outstanding). As of December 31, 2022, the Company had $168.3 million of borrowings available under its credit facilities (net of $6.7 million undrawn letters of credit issued and outstanding). During the three months ended March 31, 2023 and the year ended December 31, 2022, the Company’s positive cash flows from operations enabled investments in pharmacy and information technology infrastructure to support growth and create additional capacity in the future, as well as to pursue acquisitions and share repurchases.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primary uses of cash and cash equivalents include supporting our ongoing business activities, investment in capital expenditures in both facilities and technology, the pursuit of acquisitions, and share repurchases. Ongoing operating cash outflows are associated with procuring and dispensing drugs, personnel and other costs associated with servicing patients, as well as paying cash interest on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and cash equivalents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Short-Term and Long-Term Liquidity Requirements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Effective January 13, 2023, the Company entered into an agreement to amend the ABL Facility, to among other things, increase the amount of borrowing availability by $50.0 million to $225.0 million total borrowing availability and to replace LIBOR with SOFR as the new reference rate. The ABL Facility provides for borrowings up to $225.0 million and matures on October 27, 2026. The ABL Facility bears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SOFR (or a comparable successor rate, with a floor of 0.00% per annum) plus an applicable margin, which is equal to between 1.25% and 1.75% based on the historical excess availability as a percentage of the Line Cap. The Company had $5.5 million of undrawn letters of credit issued and outstanding, resulting in net borrowing availability under the ABL Facility of $219.5 million as of March 31, 2023.</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balance of the First Lien Term Loan is repayable in quarterly installments of $1.5 million plus interest, with a final payment of all remaining outstanding principal due on October 27, 2028. The quarterly principal payments commenced in March 2022. Interest on the First Lien Term Loan is payable monthly on either (i) LIBOR (or a comparable successor rate, with a floor of 0.50% per annum) plus an applicable margin of 2.75% for Eurocurrency Rate Loans and (ii) a base rate determined in accordance with the new First Lien Term Loan agreement, plus 1.75% for Base Rate Loans. The First Lien Term Loan agreement addresses reference rate reform and establishes SOFR as the benchmark replacement when LIBOR ceases to exist. </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Senior Notes bear interest at a rate of 4.375% per annum and are payable semi-annually in arrears on October 31 and April 30 of each year, which began on April 30, 2022. The Senior Notes mature on October 31, 2029.</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payments over the course of long-term debt obligations total an estimated $386.5 million based on final maturity dates of the Company’s credit facilities. Interest payments are calculated based on the LIBOR rate as of March 31, 2023. Actual payments are based on changes in LIBOR and exclude the interest rate cap derivative instrument.</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0" w:after="20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2023 Compared to Three Months Ended March 31, 2022 </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data from Option Care Health’s unaudited condensed consolidated statements of cash flows:</w:t>
      </w:r>
    </w:p>
    <w:tbl>
      <w:tblPr>
        <w:tblW w:w="7511" w:type="dxa"/>
        <w:jc w:val="right"/>
        <w:tblInd w:w="0" w:type="dxa"/>
        <w:tblCellMar>
          <w:top w:w="28" w:type="dxa"/>
          <w:left w:w="28" w:type="dxa"/>
          <w:bottom w:w="28" w:type="dxa"/>
          <w:right w:w="28" w:type="dxa"/>
        </w:tblCellMar>
      </w:tblPr>
      <w:tblGrid>
        <w:gridCol w:w="1277"/>
        <w:gridCol w:w="1119"/>
        <w:gridCol w:w="1128"/>
        <w:gridCol w:w="209"/>
        <w:gridCol w:w="788"/>
        <w:gridCol w:w="116"/>
        <w:gridCol w:w="116"/>
        <w:gridCol w:w="116"/>
        <w:gridCol w:w="116"/>
        <w:gridCol w:w="209"/>
        <w:gridCol w:w="788"/>
        <w:gridCol w:w="116"/>
        <w:gridCol w:w="109"/>
        <w:gridCol w:w="109"/>
        <w:gridCol w:w="109"/>
        <w:gridCol w:w="196"/>
        <w:gridCol w:w="736"/>
        <w:gridCol w:w="154"/>
      </w:tblGrid>
      <w:tr>
        <w:trPr/>
        <w:tc>
          <w:tcPr>
            <w:tcW w:w="1277"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3524"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(5,359)</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(80,402)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294,186 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119,423 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period</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297,776 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145,600 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cash provided by operating activities is primarily due to higher net income, changes in inventory, changes on accounts receivable, prepaid expenses and other current assets, partially offset by certain accruals and timing of vendor payments during the three months ended March 31, 2023 as compared to the three months ended March 31, 2022.</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increase in cash used in investing activities during the three months ended March 31, 2023 is primarily due the amount of investments in our pharmacies and infrastructure as compared to the three months ended March 31, 2022.</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cash used in financing activities is primarily related to the Company’s repurchase of common stock during the three months ended March 31, 2023, with no comparable activity during the three months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critical accounting policies and estimates as presented in our Form 10-K, which are hereby incorporated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200"/>
        <w:jc w:val="both"/>
        <w:rPr/>
      </w:pPr>
      <w:r>
        <w:rPr>
          <w:rFonts w:ascii="Times New Roman;sans-serif" w:hAnsi="Times New Roman;sans-serif"/>
          <w:b/>
          <w:color w:val="000000"/>
          <w:sz w:val="20"/>
        </w:rPr>
        <w:t>Item 3.</w:t>
      </w:r>
      <w:r>
        <w:rPr>
          <w:rFonts w:ascii="Times New Roman;sans-serif" w:hAnsi="Times New Roman;sans-serif"/>
          <w:b/>
          <w:color w:val="000000"/>
          <w:sz w:val="20"/>
        </w:rPr>
        <w:t>Quantitative and Qualitative Disclosures about Market Risk</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exposure to market risk from those included in our Form 10-K, which is hereby incorporated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pPr>
      <w:r>
        <w:rPr>
          <w:rFonts w:ascii="Times New Roman;sans-serif" w:hAnsi="Times New Roman;sans-serif"/>
          <w:b/>
          <w:color w:val="000000"/>
          <w:sz w:val="20"/>
        </w:rPr>
        <w:t>Item 4.</w:t>
      </w:r>
      <w:r>
        <w:rPr>
          <w:rFonts w:ascii="Times New Roman;sans-serif" w:hAnsi="Times New Roman;sans-serif"/>
          <w:b/>
          <w:color w:val="000000"/>
          <w:sz w:val="20"/>
        </w:rPr>
        <w:t xml:space="preserve">Controls and Procedures </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March 31, 2023. Based on that evaluation, the Company’s Chief Executive Officer and its Chief Financial Officer concluded that our disclosure controls and procedures were effective as of March 31, 2023.</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March 31, 2023 that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20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pPr>
      <w:r>
        <w:rPr>
          <w:rFonts w:ascii="Times New Roman;sans-serif" w:hAnsi="Times New Roman;sans-serif"/>
          <w:b/>
          <w:color w:val="000000"/>
          <w:sz w:val="20"/>
        </w:rPr>
        <w:t>Item 1.</w:t>
      </w:r>
      <w:r>
        <w:rPr>
          <w:rFonts w:ascii="Times New Roman;sans-serif" w:hAnsi="Times New Roman;sans-serif"/>
          <w:b/>
          <w:color w:val="000000"/>
          <w:sz w:val="20"/>
        </w:rPr>
        <w:t>Legal Proceedings</w:t>
      </w:r>
    </w:p>
    <w:p>
      <w:pPr>
        <w:pStyle w:val="TextBody"/>
        <w:spacing w:lineRule="auto" w:line="288" w:before="0" w:after="200"/>
        <w:ind w:left="0" w:right="0" w:firstLine="360"/>
        <w:jc w:val="both"/>
        <w:rPr/>
      </w:pPr>
      <w:r>
        <w:rPr>
          <w:color w:val="000000"/>
        </w:rPr>
        <w:t> </w:t>
      </w:r>
      <w:r>
        <w:rPr>
          <w:rFonts w:ascii="Times New Roman;sans-serif" w:hAnsi="Times New Roman;sans-serif"/>
          <w:b w:val="false"/>
          <w:color w:val="000000"/>
          <w:sz w:val="20"/>
        </w:rPr>
        <w:t xml:space="preserve">For a summary of legal proceedings, refer to Note 13,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of the unaudited condensed consolidated financial statements included in Item 1 of this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200"/>
        <w:jc w:val="both"/>
        <w:rPr>
          <w:rFonts w:ascii="Times New Roman;sans-serif" w:hAnsi="Times New Roman;sans-serif"/>
          <w:b/>
          <w:color w:val="000000"/>
          <w:sz w:val="20"/>
          <w:u w:val="single"/>
        </w:rPr>
      </w:pPr>
      <w:r>
        <w:rPr>
          <w:rFonts w:ascii="Times New Roman;sans-serif" w:hAnsi="Times New Roman;sans-serif"/>
          <w:b/>
          <w:color w:val="000000"/>
          <w:sz w:val="20"/>
          <w:u w:val="single"/>
        </w:rPr>
        <w:t>Issuer Purchases of Equity Securities</w:t>
      </w:r>
    </w:p>
    <w:p>
      <w:pPr>
        <w:pStyle w:val="TextBody"/>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20, 2023, the Company’s Board of Directors approved a share repurchase program of up to an aggregate $250.0 million of common stock of the Company.</w:t>
      </w:r>
    </w:p>
    <w:p>
      <w:pPr>
        <w:pStyle w:val="TextBody"/>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certain information with respect to the Company’s repurchases of common stock from January 1, 2023 through March 31, 2023:</w:t>
      </w:r>
    </w:p>
    <w:tbl>
      <w:tblPr>
        <w:tblW w:w="10205" w:type="dxa"/>
        <w:jc w:val="right"/>
        <w:tblInd w:w="0" w:type="dxa"/>
        <w:tblCellMar>
          <w:top w:w="28" w:type="dxa"/>
          <w:left w:w="28" w:type="dxa"/>
          <w:bottom w:w="28" w:type="dxa"/>
          <w:right w:w="28" w:type="dxa"/>
        </w:tblCellMar>
      </w:tblPr>
      <w:tblGrid>
        <w:gridCol w:w="503"/>
        <w:gridCol w:w="379"/>
        <w:gridCol w:w="384"/>
        <w:gridCol w:w="109"/>
        <w:gridCol w:w="109"/>
        <w:gridCol w:w="109"/>
        <w:gridCol w:w="641"/>
        <w:gridCol w:w="434"/>
        <w:gridCol w:w="435"/>
        <w:gridCol w:w="109"/>
        <w:gridCol w:w="109"/>
        <w:gridCol w:w="109"/>
        <w:gridCol w:w="264"/>
        <w:gridCol w:w="750"/>
        <w:gridCol w:w="147"/>
        <w:gridCol w:w="109"/>
        <w:gridCol w:w="109"/>
        <w:gridCol w:w="109"/>
        <w:gridCol w:w="879"/>
        <w:gridCol w:w="719"/>
        <w:gridCol w:w="721"/>
        <w:gridCol w:w="109"/>
        <w:gridCol w:w="109"/>
        <w:gridCol w:w="109"/>
        <w:gridCol w:w="368"/>
        <w:gridCol w:w="1977"/>
        <w:gridCol w:w="296"/>
      </w:tblGrid>
      <w:tr>
        <w:trPr/>
        <w:tc>
          <w:tcPr>
            <w:tcW w:w="503"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r>
          </w:p>
        </w:tc>
      </w:tr>
      <w:tr>
        <w:trPr/>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250,000,000 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2,475,166 </w:t>
            </w:r>
          </w:p>
        </w:tc>
        <w:tc>
          <w:tcPr>
            <w:tcW w:w="4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2,475,166 </w:t>
            </w:r>
          </w:p>
        </w:tc>
        <w:tc>
          <w:tcPr>
            <w:tcW w:w="7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174,999,995 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2,475,166 </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2,475,166 </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174,999,995 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cd2b84fc65eb4e5595386d11698d90a6_7">
        <w:r>
          <w:rPr>
            <w:rStyle w:val="InternetLink"/>
          </w:rPr>
          <w:t xml:space="preserve">Table of </w:t>
        </w:r>
      </w:hyperlink>
      <w:hyperlink w:anchor="icd2b84fc65eb4e5595386d11698d90a6_7">
        <w:r>
          <w:rPr>
            <w:rStyle w:val="InternetLink"/>
          </w:rPr>
          <w:t>Contents</w:t>
        </w:r>
      </w:hyperlink>
    </w:p>
    <w:p>
      <w:pPr>
        <w:pStyle w:val="TextBody"/>
        <w:spacing w:lineRule="auto" w:line="288" w:before="0" w:after="0"/>
        <w:rPr/>
      </w:pPr>
      <w:r>
        <w:rPr>
          <w:rFonts w:ascii="Times New Roman;sans-serif" w:hAnsi="Times New Roman;sans-serif"/>
          <w:b/>
          <w:color w:val="000000"/>
          <w:sz w:val="20"/>
        </w:rPr>
        <w:t>Item 6.</w:t>
      </w:r>
      <w:r>
        <w:rPr>
          <w:rFonts w:ascii="Times New Roman;sans-serif" w:hAnsi="Times New Roman;sans-serif"/>
          <w:b/>
          <w:color w:val="000000"/>
          <w:sz w:val="20"/>
        </w:rPr>
        <w:t>Exhibits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Exhibits.</w:t>
      </w:r>
    </w:p>
    <w:tbl>
      <w:tblPr>
        <w:tblW w:w="10205" w:type="dxa"/>
        <w:jc w:val="center"/>
        <w:tblInd w:w="0" w:type="dxa"/>
        <w:tblCellMar>
          <w:top w:w="28" w:type="dxa"/>
          <w:left w:w="28" w:type="dxa"/>
          <w:bottom w:w="28" w:type="dxa"/>
          <w:right w:w="28" w:type="dxa"/>
        </w:tblCellMar>
      </w:tblPr>
      <w:tblGrid>
        <w:gridCol w:w="395"/>
        <w:gridCol w:w="347"/>
        <w:gridCol w:w="348"/>
        <w:gridCol w:w="2735"/>
        <w:gridCol w:w="2629"/>
        <w:gridCol w:w="3751"/>
      </w:tblGrid>
      <w:tr>
        <w:trPr/>
        <w:tc>
          <w:tcPr>
            <w:tcW w:w="39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2629" w:type="dxa"/>
            <w:tcBorders/>
            <w:shd w:fill="auto" w:val="clear"/>
            <w:vAlign w:val="center"/>
          </w:tcPr>
          <w:p>
            <w:pPr>
              <w:pStyle w:val="TableContents"/>
              <w:spacing w:before="0" w:after="283"/>
              <w:rPr>
                <w:sz w:val="4"/>
                <w:szCs w:val="4"/>
              </w:rPr>
            </w:pPr>
            <w:r>
              <w:rPr>
                <w:sz w:val="4"/>
                <w:szCs w:val="4"/>
              </w:rPr>
            </w:r>
          </w:p>
        </w:tc>
        <w:tc>
          <w:tcPr>
            <w:tcW w:w="3751" w:type="dxa"/>
            <w:tcBorders/>
            <w:shd w:fill="auto" w:val="clear"/>
            <w:vAlign w:val="center"/>
          </w:tcPr>
          <w:p>
            <w:pPr>
              <w:pStyle w:val="TableContents"/>
              <w:spacing w:before="0" w:after="283"/>
              <w:rPr>
                <w:sz w:val="4"/>
                <w:szCs w:val="4"/>
              </w:rPr>
            </w:pPr>
            <w:r>
              <w:rPr>
                <w:sz w:val="4"/>
                <w:szCs w:val="4"/>
              </w:rPr>
            </w:r>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 Number </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090"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9115"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18"/>
                  <w:u w:val="single"/>
                </w:rPr>
                <w:t>Fourth Amendment to ABL Credit Agreement, dated as of January 13, 2023 (incorporated by reference to Exhibit 10.1 of the Company’s Current Report 8-K filed on January 19, 2023).</w:t>
              </w:r>
            </w:hyperlink>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91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18"/>
                  <w:u w:val="single"/>
                </w:rPr>
                <w:t>Share Repurchase Agreement, dated as of February 28, 2023, by and between Option Care Health, Inc. and HC Group Holdings I, LLC (incorporated by reference to Exhibit 10.1 of the Company’s Current Report on Form 8-K filed on March 3, 2023).</w:t>
              </w:r>
            </w:hyperlink>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91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Pr>
                <w:t>Agreement and Plan of Merger, dated as of May 3, 2023, by and among Option Care Health, Inc., Uintah Merger Sub, Inc</w:t>
              </w:r>
            </w:hyperlink>
            <w:hyperlink r:id="rId6">
              <w:r>
                <w:rPr>
                  <w:rStyle w:val="InternetLink"/>
                </w:rPr>
                <w:t>.,</w:t>
              </w:r>
            </w:hyperlink>
            <w:hyperlink r:id="rId7">
              <w:r>
                <w:rPr>
                  <w:rStyle w:val="InternetLink"/>
                </w:rPr>
                <w:t xml:space="preserve"> a</w:t>
              </w:r>
            </w:hyperlink>
            <w:hyperlink r:id="rId8">
              <w:r>
                <w:rPr>
                  <w:rStyle w:val="InternetLink"/>
                </w:rPr>
                <w:t>n</w:t>
              </w:r>
            </w:hyperlink>
            <w:hyperlink r:id="rId9">
              <w:r>
                <w:rPr>
                  <w:rStyle w:val="InternetLink"/>
                </w:rPr>
                <w:t>d Amedisys, Inc. (incorporated by reference to Exhibit 2.1 of the Company’s Current Report on Form 8-K filed on May 3, 2023).</w:t>
              </w:r>
            </w:hyperlink>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91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104-bridgefacility364xda.htm">
              <w:r>
                <w:rPr>
                  <w:rStyle w:val="InternetLink"/>
                  <w:rFonts w:ascii="Times New Roman;sans-serif" w:hAnsi="Times New Roman;sans-serif"/>
                  <w:b w:val="false"/>
                  <w:color w:val="0000FF"/>
                  <w:sz w:val="18"/>
                  <w:u w:val="single"/>
                </w:rPr>
                <w:t>Commitment Letter, dated as of May 3, 2023, by and between Option Care Health, Inc. and Goldman Sachs Bank USA.</w:t>
              </w:r>
            </w:hyperlink>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91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opch-ex311x2023033110xq.htm">
              <w:r>
                <w:rPr>
                  <w:rStyle w:val="InternetLink"/>
                  <w:rFonts w:ascii="Times New Roman;sans-serif" w:hAnsi="Times New Roman;sans-serif"/>
                  <w:b w:val="false"/>
                  <w:color w:val="0000FF"/>
                  <w:sz w:val="18"/>
                  <w:u w:val="single"/>
                </w:rPr>
                <w:t>Certification of Chief Executive Officer pursuant to 18 U.S.C. Section 1350, as adopted pursuant to Section 302 of the Sarbanes-Oxley Act of 2002.</w:t>
              </w:r>
            </w:hyperlink>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pch-ex312x2023033110xq.htm">
              <w:r>
                <w:rPr>
                  <w:rStyle w:val="InternetLink"/>
                  <w:rFonts w:ascii="Times New Roman;sans-serif" w:hAnsi="Times New Roman;sans-serif"/>
                  <w:b w:val="false"/>
                  <w:color w:val="0000FF"/>
                  <w:sz w:val="18"/>
                  <w:u w:val="single"/>
                </w:rPr>
                <w:t>Certification of Chief Financial Officer pursuant to 18 U.S.C. Section 1350, as adopted pursuant to Section 302 of the Sarbanes-Oxley Act of 2002.</w:t>
              </w:r>
            </w:hyperlink>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pch-ex321x2023033110xq.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pch-ex322x2023033110xq.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Labels Linkbase Document</w:t>
            </w:r>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9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Formatted Cover Page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818" w:type="dxa"/>
        <w:jc w:val="left"/>
        <w:tblInd w:w="0" w:type="dxa"/>
        <w:tblCellMar>
          <w:top w:w="28" w:type="dxa"/>
          <w:left w:w="28" w:type="dxa"/>
          <w:bottom w:w="28" w:type="dxa"/>
          <w:right w:w="28" w:type="dxa"/>
        </w:tblCellMar>
      </w:tblPr>
      <w:tblGrid>
        <w:gridCol w:w="1529"/>
        <w:gridCol w:w="1343"/>
        <w:gridCol w:w="1343"/>
        <w:gridCol w:w="1341"/>
        <w:gridCol w:w="1341"/>
        <w:gridCol w:w="1921"/>
      </w:tblGrid>
      <w:tr>
        <w:trPr/>
        <w:tc>
          <w:tcPr>
            <w:tcW w:w="1529"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r>
      <w:tr>
        <w:trPr/>
        <w:tc>
          <w:tcPr>
            <w:tcW w:w="8818"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color w:val="000000"/>
                <w:sz w:val="20"/>
              </w:rPr>
              <w:t>OPTION CARE HEALTH, INC.</w:t>
            </w:r>
          </w:p>
        </w:tc>
      </w:tr>
      <w:tr>
        <w:trPr/>
        <w:tc>
          <w:tcPr>
            <w:tcW w:w="8818"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46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Michael Shapiro </w:t>
            </w:r>
          </w:p>
        </w:tc>
      </w:tr>
      <w:tr>
        <w:trPr/>
        <w:tc>
          <w:tcPr>
            <w:tcW w:w="8818"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Michael Shapiro</w:t>
            </w:r>
          </w:p>
        </w:tc>
      </w:tr>
      <w:tr>
        <w:trPr/>
        <w:tc>
          <w:tcPr>
            <w:tcW w:w="8818" w:type="dxa"/>
            <w:gridSpan w:val="6"/>
            <w:tcBorders/>
            <w:shd w:fill="auto" w:val="clear"/>
            <w:tcMar>
              <w:top w:w="0" w:type="dxa"/>
              <w:left w:w="0" w:type="dxa"/>
              <w:bottom w:w="0" w:type="dxa"/>
              <w:right w:w="0" w:type="dxa"/>
            </w:tcMar>
            <w:vAlign w:val="center"/>
          </w:tcPr>
          <w:p>
            <w:pPr>
              <w:pStyle w:val="TableContents"/>
              <w:spacing w:lineRule="auto" w:line="240" w:before="168"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Senior Vice President (Principal Financial Officer and Duly Authorized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40" w:before="77" w:after="283"/>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spacing w:before="0" w:after="0"/>
        <w:rPr/>
      </w:pPr>
      <w:r>
        <w:rPr/>
      </w:r>
    </w:p>
    <w:p>
      <w:pPr>
        <w:pStyle w:val="TextBody"/>
        <w:spacing w:before="0" w:after="0"/>
        <w:rPr/>
      </w:pPr>
      <w:r>
        <w:rPr/>
      </w:r>
    </w:p>
    <w:p>
      <w:pPr>
        <w:pStyle w:val="TextBody"/>
        <w:spacing w:before="4" w:after="283"/>
        <w:rPr/>
      </w:pPr>
      <w:r>
        <w:rPr/>
      </w:r>
    </w:p>
    <w:p>
      <w:pPr>
        <w:pStyle w:val="TextBody"/>
        <w:spacing w:lineRule="auto" w:line="276" w:before="1" w:after="283"/>
        <w:jc w:val="center"/>
        <w:rPr>
          <w:rFonts w:ascii="Times New Roman;sans-serif" w:hAnsi="Times New Roman;sans-serif"/>
          <w:b/>
          <w:color w:val="000000"/>
          <w:sz w:val="24"/>
        </w:rPr>
      </w:pPr>
      <w:r>
        <w:rPr>
          <w:rFonts w:ascii="Times New Roman;sans-serif" w:hAnsi="Times New Roman;sans-serif"/>
          <w:b/>
          <w:color w:val="000000"/>
          <w:sz w:val="24"/>
        </w:rPr>
        <w:t>GOLDMAN SACHS BANK USA</w:t>
      </w:r>
    </w:p>
    <w:p>
      <w:pPr>
        <w:pStyle w:val="TextBody"/>
        <w:spacing w:lineRule="auto" w:line="27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200 West Street</w:t>
      </w:r>
    </w:p>
    <w:p>
      <w:pPr>
        <w:pStyle w:val="TextBody"/>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New York, New York 10282</w:t>
      </w:r>
    </w:p>
    <w:p>
      <w:pPr>
        <w:pStyle w:val="TextBody"/>
        <w:spacing w:before="2" w:after="283"/>
        <w:rPr/>
      </w:pPr>
      <w:r>
        <w:rPr/>
      </w:r>
    </w:p>
    <w:p>
      <w:pPr>
        <w:pStyle w:val="TextBody"/>
        <w:spacing w:lineRule="auto" w:line="240" w:before="9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May 3, 2023</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0" w:after="283"/>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Option Care Health, Inc. 3000 Lakeside Dr., #300N Bannockburn, IL 60015 Attention: Mike Shapiro</w:t>
      </w:r>
    </w:p>
    <w:p>
      <w:pPr>
        <w:pStyle w:val="TextBody"/>
        <w:spacing w:before="0" w:after="0"/>
        <w:rPr/>
      </w:pPr>
      <w:r>
        <w:rPr/>
      </w:r>
    </w:p>
    <w:p>
      <w:pPr>
        <w:pStyle w:val="TextBody"/>
        <w:spacing w:before="2" w:after="283"/>
        <w:rPr/>
      </w:pPr>
      <w:r>
        <w:rPr/>
      </w:r>
    </w:p>
    <w:p>
      <w:pPr>
        <w:pStyle w:val="TextBody"/>
        <w:spacing w:lineRule="auto" w:line="240" w:before="90" w:after="283"/>
        <w:ind w:left="0" w:right="0" w:firstLine="3"/>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Project Anderson Senior Credit Facility </w:t>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Commitment Letter</w:t>
      </w:r>
    </w:p>
    <w:p>
      <w:pPr>
        <w:pStyle w:val="TextBody"/>
        <w:spacing w:before="2" w:after="283"/>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You have advised Goldman Sachs Bank USA (together with any of its designated affiliates, “</w:t>
      </w:r>
      <w:r>
        <w:rPr>
          <w:rFonts w:ascii="Times New Roman;sans-serif" w:hAnsi="Times New Roman;sans-serif"/>
          <w:b w:val="false"/>
          <w:color w:val="000000"/>
          <w:sz w:val="24"/>
          <w:u w:val="single"/>
        </w:rPr>
        <w:t>Goldman Sachs</w:t>
      </w:r>
      <w:r>
        <w:rPr>
          <w:color w:val="000000"/>
        </w:rPr>
        <w:t xml:space="preserve">” </w:t>
      </w:r>
      <w:r>
        <w:rPr>
          <w:rFonts w:ascii="Times New Roman;sans-serif" w:hAnsi="Times New Roman;sans-serif"/>
          <w:b w:val="false"/>
          <w:color w:val="000000"/>
          <w:sz w:val="24"/>
        </w:rPr>
        <w:t xml:space="preserve">and, together with any other person(s) that become party hereto in accordance with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below, each a “</w:t>
      </w:r>
      <w:r>
        <w:rPr>
          <w:rFonts w:ascii="Times New Roman;sans-serif" w:hAnsi="Times New Roman;sans-serif"/>
          <w:b w:val="false"/>
          <w:color w:val="000000"/>
          <w:sz w:val="24"/>
          <w:u w:val="single"/>
        </w:rPr>
        <w:t>Commitment Party</w:t>
      </w:r>
      <w:r>
        <w:rPr>
          <w:rFonts w:ascii="Times New Roman;sans-serif" w:hAnsi="Times New Roman;sans-serif"/>
          <w:b w:val="false"/>
          <w:color w:val="000000"/>
          <w:sz w:val="24"/>
        </w:rPr>
        <w:t>,” and together, the “</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u w:val="single"/>
        </w:rPr>
        <w:t>Parties</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us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we</w:t>
      </w:r>
      <w:r>
        <w:rPr>
          <w:color w:val="000000"/>
        </w:rPr>
        <w:t>”</w:t>
      </w:r>
      <w:r>
        <w:rPr>
          <w:rFonts w:ascii="Times New Roman;sans-serif" w:hAnsi="Times New Roman;sans-serif"/>
          <w:b w:val="false"/>
          <w:color w:val="000000"/>
          <w:sz w:val="24"/>
        </w:rPr>
        <w:t xml:space="preserve">), that you intend to consummate the transactions described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Capitalized terms used but not defined herein are used with the meanings assigned to them on the exhibits attached hereto (such exhibits, together with this letter, collectively, the “</w:t>
      </w:r>
      <w:r>
        <w:rPr>
          <w:rFonts w:ascii="Times New Roman;sans-serif" w:hAnsi="Times New Roman;sans-serif"/>
          <w:b w:val="false"/>
          <w:color w:val="000000"/>
          <w:sz w:val="24"/>
          <w:u w:val="single"/>
        </w:rPr>
        <w:t>Commitment Letter</w:t>
      </w:r>
      <w:r>
        <w:rPr>
          <w:color w:val="000000"/>
        </w:rPr>
        <w:t>”</w:t>
      </w:r>
      <w:r>
        <w:rPr>
          <w:rFonts w:ascii="Times New Roman;sans-serif" w:hAnsi="Times New Roman;sans-serif"/>
          <w:b w:val="false"/>
          <w:color w:val="000000"/>
          <w:sz w:val="24"/>
        </w:rPr>
        <w:t>).</w:t>
      </w:r>
    </w:p>
    <w:p>
      <w:pPr>
        <w:pStyle w:val="TextBody"/>
        <w:spacing w:before="8"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Commitments</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In connection with the Transactions, Goldman Sachs (together with any other Initial Senior Lender appointed in accordance with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below on a several (and not joint) basis, if applicable, each an “</w:t>
      </w:r>
      <w:r>
        <w:rPr>
          <w:rFonts w:ascii="Times New Roman;sans-serif" w:hAnsi="Times New Roman;sans-serif"/>
          <w:b w:val="false"/>
          <w:color w:val="000000"/>
          <w:sz w:val="24"/>
          <w:u w:val="single"/>
        </w:rPr>
        <w:t>Initial Senior Lender</w:t>
      </w:r>
      <w:r>
        <w:rPr>
          <w:rFonts w:ascii="Times New Roman;sans-serif" w:hAnsi="Times New Roman;sans-serif"/>
          <w:b w:val="false"/>
          <w:color w:val="000000"/>
          <w:sz w:val="24"/>
        </w:rPr>
        <w:t>,” and collectively, the “</w:t>
      </w:r>
      <w:r>
        <w:rPr>
          <w:rFonts w:ascii="Times New Roman;sans-serif" w:hAnsi="Times New Roman;sans-serif"/>
          <w:b w:val="false"/>
          <w:color w:val="000000"/>
          <w:sz w:val="24"/>
          <w:u w:val="single"/>
        </w:rPr>
        <w:t>Initial Senior Lenders</w:t>
      </w:r>
      <w:r>
        <w:rPr>
          <w:color w:val="000000"/>
        </w:rPr>
        <w:t>”</w:t>
      </w:r>
      <w:r>
        <w:rPr>
          <w:rFonts w:ascii="Times New Roman;sans-serif" w:hAnsi="Times New Roman;sans-serif"/>
          <w:b w:val="false"/>
          <w:color w:val="000000"/>
          <w:sz w:val="24"/>
        </w:rPr>
        <w:t xml:space="preserve">) is pleased to advise you of its commitment to provide, and hereby agrees to provide, 100% of the principal amount of the Senior Credit Facility (as defined below) upon the terms expressly set forth in this Commitment Letter (including, without limitation, in the Summary of Terms and Conditions attached hereto as </w:t>
      </w:r>
      <w:r>
        <w:rPr>
          <w:rFonts w:ascii="Times New Roman;sans-serif" w:hAnsi="Times New Roman;sans-serif"/>
          <w:b w:val="false"/>
          <w:color w:val="000000"/>
          <w:sz w:val="24"/>
          <w:u w:val="single"/>
        </w:rPr>
        <w:t>Exhibits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Term Sheet</w:t>
      </w:r>
      <w:r>
        <w:rPr>
          <w:color w:val="000000"/>
        </w:rPr>
        <w:t>”</w:t>
      </w:r>
      <w:r>
        <w:rPr>
          <w:rFonts w:ascii="Times New Roman;sans-serif" w:hAnsi="Times New Roman;sans-serif"/>
          <w:b w:val="false"/>
          <w:color w:val="000000"/>
          <w:sz w:val="24"/>
        </w:rPr>
        <w:t>)) and subject solely to the Exclusive Funding Conditions (as defined below). For the avoidance of doubt, the commitments of the Initial Senior Lenders hereunder are several and not joint.</w:t>
      </w:r>
    </w:p>
    <w:p>
      <w:pPr>
        <w:pStyle w:val="TextBody"/>
        <w:spacing w:before="9"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Titles and Roles</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You hereby appoint (i) Goldman Sachs, together with any other lead arrangers or bookrunners appointed as contemplated in the immediately succeeding paragraph, to act as joint lead arrangers and joint bookrunners (in such capacity, the “</w:t>
      </w:r>
      <w:r>
        <w:rPr>
          <w:rFonts w:ascii="Times New Roman;sans-serif" w:hAnsi="Times New Roman;sans-serif"/>
          <w:b w:val="false"/>
          <w:color w:val="000000"/>
          <w:sz w:val="24"/>
          <w:u w:val="single"/>
        </w:rPr>
        <w:t>Senior Lead Arrangers</w:t>
      </w:r>
      <w:r>
        <w:rPr>
          <w:color w:val="000000"/>
        </w:rPr>
        <w:t>”</w:t>
      </w:r>
      <w:r>
        <w:rPr>
          <w:rFonts w:ascii="Times New Roman;sans-serif" w:hAnsi="Times New Roman;sans-serif"/>
          <w:b w:val="false"/>
          <w:color w:val="000000"/>
          <w:sz w:val="24"/>
        </w:rPr>
        <w:t>) and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74" w:after="283"/>
        <w:rPr/>
      </w:pPr>
      <w:r>
        <w:rPr>
          <w:rFonts w:ascii="Times New Roman;sans-serif" w:hAnsi="Times New Roman;sans-serif"/>
          <w:b w:val="false"/>
          <w:color w:val="000000"/>
          <w:sz w:val="24"/>
        </w:rPr>
        <w:t>Goldman Sachs to act as sole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for the Senior Credit Facility.</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It is further agreed that Goldman Sachs will have “left” placement on any marketing materials or other documentation used in connection with the Senior Credit Facility and shall hold the leading role and responsibility associated with such “top left” placement. You agree that no other agents or arrangers will be appointed, no other titles will be awarded and no compensation (other than that compensation expressly contemplated by this Commitment Letter and the Fee Letters referred to below) will be paid in connection with obtaining commitments under the Senior Credit Facility unless you and we shall so agree;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on or prior to the date which is fifteen (15) business days after the date you execute and deliver this Commitment Letter, you may appoint additional agents, co-agents, lead arrangers, bookrunners, managers or arrangers (any such agent, co-agent, lead arranger, bookrunner, manager or arranger, an “</w:t>
      </w:r>
      <w:r>
        <w:rPr>
          <w:rFonts w:ascii="Times New Roman;sans-serif" w:hAnsi="Times New Roman;sans-serif"/>
          <w:b w:val="false"/>
          <w:color w:val="000000"/>
          <w:sz w:val="24"/>
          <w:u w:val="single"/>
        </w:rPr>
        <w:t>Additional Agent</w:t>
      </w:r>
      <w:r>
        <w:rPr>
          <w:color w:val="000000"/>
        </w:rPr>
        <w:t>”</w:t>
      </w:r>
      <w:r>
        <w:rPr>
          <w:rFonts w:ascii="Times New Roman;sans-serif" w:hAnsi="Times New Roman;sans-serif"/>
          <w:b w:val="false"/>
          <w:color w:val="000000"/>
          <w:sz w:val="24"/>
        </w:rPr>
        <w:t xml:space="preserve">) or confer other titles for the Senior Credit Facility in a manner and with economics determined by you (it being understood that to the extent you appoint Additional Agents and/or confer additional titles in respect of the Senior Credit Facility, the economics allocated to, and the commitment amounts of, Goldman Sachs in respect of the Senior Credit Facility will be proportionately reduced by the commitment amount allocated to such Additional Agents (or their affiliates (other than Excluded Affiliates)), in each case upon the execution and delivery by such Additional Agents and you of customary joinder documentation or an amendment to this Commitment Letter and, thereafter, each such Additional Agent shall constitute a “Commitment Party,” “Initial Senior Lender” and/or “Senior Lead Arranger,” as applicable, under this Commitment Letter and under the Fee Letters;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the aggregate economics payable to Goldman Sachs shall not be less than 10% of the total economics that is otherwise payable to the Commitment Parties in respect to the Senior Credit Facility pursuant to the Fee Letters (exclusive of any fees payable to the Administrative Agent (in its capacity as such)). The parties hereto agree that Excluded Affiliates (as defined below) of such Additional Agents shall be treated in the same manner as Excluded Affiliates of the Initial Senior Lender and Senior Lead Arrangers hereunder. For the avoidance of doubt, your obligations under this paragraph shall automatically terminate upon the date on which this Commitment Letter terminates pursuant to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w:t>
      </w:r>
    </w:p>
    <w:p>
      <w:pPr>
        <w:pStyle w:val="TextBody"/>
        <w:spacing w:before="2"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Syndication</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The Senior Lead Arrangers reserve the right to syndicate the Senior Credit Facility to a group of banks, financial institutions and other institutional lenders, reasonably acceptable to you, such consent not to be unreasonably withheld or delayed (together with the Initial Senior Lenders but excluding Disqualified Institutions,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Senior Lead Arrangers will not syndicate, assign or participate (i) to (a) those persons that are competitors of you, the Company and your or its subsidiaries, to the extent separately identified by you to us (or, after the Closing Date, by the Borrower to the Administrative Agent) in writing from time to time, in each case including any such entity’s affiliates that are identified as such pursuant to this clause (a) or those that are clearly identifiable on the basis of their name (in each case, other than bona fide diversified debt funds) (other than those excluded pursuant to clauses (b) or (c) of this paragraph)), (b) those banks, financial institutions and other persons to the extent separately identified by you to us in writing prior to the date hereof or as you and Goldman Sachs shall mutually agree on or after such date, in each case including any such entity’s affiliates that are</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81050"/>
                <wp:effectExtent l="0" t="0" r="0" b="0"/>
                <wp:wrapNone/>
                <wp:docPr id="37" name="Frame36"/>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pPr>
      <w:r>
        <w:rPr>
          <w:rFonts w:ascii="Times New Roman;sans-serif" w:hAnsi="Times New Roman;sans-serif"/>
          <w:b w:val="false"/>
          <w:color w:val="000000"/>
          <w:sz w:val="24"/>
        </w:rPr>
        <w:t>identified as such pursuant to this clause (b) or are clearly identifiable as such on the basis of their name or (c) Excluded Affiliates (such persons or entities in clause (a), (b) or (c), collectively, the “</w:t>
      </w:r>
      <w:r>
        <w:rPr>
          <w:rFonts w:ascii="Times New Roman;sans-serif" w:hAnsi="Times New Roman;sans-serif"/>
          <w:b w:val="false"/>
          <w:color w:val="000000"/>
          <w:sz w:val="24"/>
          <w:u w:val="single"/>
        </w:rPr>
        <w:t>Disqualified Institutions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additional designation permitted by the foregoing shall not apply retroactively to any prior allocation, assignment or participation, as applicable. Notwithstanding any other provision of this Commitment Letter to the contrary and notwithstanding any assignment, syndication or participation by the Initial Senior Lenders (except in the case of an assignment to an Additional Agent), (i) subject to your right to appoint Additional Agents in accordance with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hereof, the Initial Senior Lenders shall not be released, relieved or novated from their respective obligations hereunder (including their respective obligation to fund the Senior Credit Facility on the Closing Date) in connection with any syndication, assignment or participation of the Senior Credit Facility, including their respective commitments in respect thereof, until the initial funding of the Senior Credit Facility on the Closing Date, (ii) subject to your right to appoint Additional Agents in accordance with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hereof, no assignment or novation shall become effective with respect to all or any portion of the Initial Senior Lenders’ respective commitments in respect of the Senior Credit Facility until the initial funding of the Senior Credit Facility on the Closing Date and (iii) the Initial Senior Lenders shall retain exclusive control over all rights and obligations with respect to their respective commitments in respect of the Senior Credit Facility, including all rights with respect to consents, modifications, supplements and amendments, until the initial funding of the Senior Credit Facility on the Closing Date has occurred.</w:t>
      </w:r>
    </w:p>
    <w:p>
      <w:pPr>
        <w:pStyle w:val="TextBody"/>
        <w:spacing w:before="0" w:after="0"/>
        <w:rPr/>
      </w:pPr>
      <w:r>
        <w:rPr/>
      </w:r>
    </w:p>
    <w:p>
      <w:pPr>
        <w:pStyle w:val="TextBody"/>
        <w:spacing w:lineRule="auto" w:line="240"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in this Commitment Letter or the Fee Letters or any other letter agreement or undertaking concerning the financing of the Transactions to the contrary, neither the commencement nor the completion of the syndication of the Senior Credit Facility, the obtaining of any ratings nor the compliance with any of the other provisions set forth in any provision of this Commitment Letter (other than the Exclusive Funding Conditions (as defined below)) shall constitute a condition to the commitments hereunder or the funding of the Senior Credit Facility on the Closing Date.</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The Senior Lead Arrangers, in their capacity as such, will manage, in consultation with you (subject to your rights set forth in the preceding paragraphs of this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and your rights to appoint Additional Agents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all aspects of the syndication, including decisions as to the selection of institutions (other than Disqualified Institutions) to be approached and when they will be approached, when the Lenders’ commitments will be accepted, which Lenders (other than Disqualified Institutions) will participate, the allocation of the commitments among the Lenders and the amount and distribution of fees among the Lenders.</w:t>
      </w:r>
    </w:p>
    <w:p>
      <w:pPr>
        <w:pStyle w:val="TextBody"/>
        <w:spacing w:before="2"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Information</w:t>
      </w:r>
    </w:p>
    <w:p>
      <w:pPr>
        <w:pStyle w:val="TextBody"/>
        <w:spacing w:before="7"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You hereby represent and warrant (with respect to Information (as defined below) relating to the Company and its subsidiaries and businesses, to your knowledge) that (a) all written information, other than any projections, forward looking statements and information of a general economic or industry-specific nature, concerning you, the Borrower, the Company and your and their respective subsidiaries, the Merger and the other Transactions contemplated hereby (the “</w:t>
      </w:r>
      <w:r>
        <w:rPr>
          <w:rFonts w:ascii="Times New Roman;sans-serif" w:hAnsi="Times New Roman;sans-serif"/>
          <w:b w:val="false"/>
          <w:color w:val="000000"/>
          <w:sz w:val="24"/>
          <w:u w:val="single"/>
        </w:rPr>
        <w:t>Information</w:t>
      </w:r>
      <w:r>
        <w:rPr>
          <w:color w:val="000000"/>
        </w:rPr>
        <w:t>”</w:t>
      </w:r>
      <w:r>
        <w:rPr>
          <w:rFonts w:ascii="Times New Roman;sans-serif" w:hAnsi="Times New Roman;sans-serif"/>
          <w:b w:val="false"/>
          <w:color w:val="000000"/>
          <w:sz w:val="24"/>
        </w:rPr>
        <w:t>), that has been or will be made available to us by you or your representatives in connection with the transactions contemplated hereby, taken as a whole and as supplemented, does not contain (or, in the case of Information furnished after the date hereof,</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81050"/>
                <wp:effectExtent l="0" t="0" r="0" b="0"/>
                <wp:wrapNone/>
                <wp:docPr id="38" name="Frame37"/>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will not contain), as of the time it was (or hereafter is) furnished, any untrue statement of a material fact or omit to state a material fact necessary in order to make the statements contained therein not materially misleading in light of the circumstances under which such statements are made, as supplemented and updated as provided below and (b) any financial projections that have been or will be made available to us by or on behalf of you in connection with the transactions contemplated hereby have been or will be prepared in good faith based upon assumptions believed by management to be reasonable at the time furnished (it being recognized by the Commitment Parties that (i) such projections are not to be viewed as facts or a guarantee of performance and are subject to significant uncertainties and contingencies many of which are beyond your control and (ii) no assurance can be given that any particular financial projections will be realized, and that actual results during the period or periods covered by any such projections may differ from the projected results, and such differences may be material). You agree that if, at any time prior to the Closing Date, you become aware that any of the representations and warranties in the preceding sentence would be (with respect to Information relating to the Company and its subsidiaries and businesses, to your knowledge) incorrect in any material respect if the Information or projections were being furnished and such representations and warranties were being made at such time, then you will use commercially reasonable efforts to promptly supplement the Information and the projections so that (with respect to Information and projections relating to the Company and its businesses, to your knowledge) such representations are correct, in all material respects, under those circumstances. The making or accuracy of the foregoing representations and warranties, whether or not cured, shall not be a condition to the obligations of the Commitment Parties. You understand that the Commitment Parties may use and rely on the Information and projections without independent verification thereof, and we do not assume responsibility for the accuracy or completeness of the Information or projections, including in the case of the Senior Lead Arrangers, in connection with arranging and syndicating the Senior Credit Facility.</w:t>
      </w:r>
    </w:p>
    <w:p>
      <w:pPr>
        <w:pStyle w:val="TextBody"/>
        <w:spacing w:before="1"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Fees</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As consideration for the commitments and agreements of the Commitment Parties hereunder, you agree to pay or cause to be paid the nonrefundable compensation and closing payments described in (i) the separate Arranger Fee Letter dated the date hereof among you and us and delivered herewith and (ii) the separate Agent Fee Letter dated the date hereof between you and Goldman Sachs and delivered herewith (each of clauses (i) and (ii) a “</w:t>
      </w:r>
      <w:r>
        <w:rPr>
          <w:rFonts w:ascii="Times New Roman;sans-serif" w:hAnsi="Times New Roman;sans-serif"/>
          <w:b w:val="false"/>
          <w:color w:val="000000"/>
          <w:sz w:val="24"/>
          <w:u w:val="single"/>
        </w:rPr>
        <w:t>Fee Letter</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Fee Letters</w:t>
      </w:r>
      <w:r>
        <w:rPr>
          <w:color w:val="000000"/>
        </w:rPr>
        <w:t>”</w:t>
      </w:r>
      <w:r>
        <w:rPr>
          <w:rFonts w:ascii="Times New Roman;sans-serif" w:hAnsi="Times New Roman;sans-serif"/>
          <w:b w:val="false"/>
          <w:color w:val="000000"/>
          <w:sz w:val="24"/>
        </w:rPr>
        <w:t>), in each case on the terms and subject to the conditions expressly set forth therein.</w:t>
      </w:r>
    </w:p>
    <w:p>
      <w:pPr>
        <w:pStyle w:val="TextBody"/>
        <w:spacing w:before="2"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Conditions</w:t>
      </w:r>
    </w:p>
    <w:p>
      <w:pPr>
        <w:pStyle w:val="TextBody"/>
        <w:spacing w:before="7" w:after="283"/>
        <w:rPr/>
      </w:pPr>
      <w:r>
        <w:rPr/>
      </w:r>
    </w:p>
    <w:p>
      <w:pPr>
        <w:pStyle w:val="TextBody"/>
        <w:spacing w:lineRule="auto" w:line="240"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Initial Senior Lender’s commitments hereunder are subject solely to the satisfaction (or waiver) of the Exclusive Funding Conditions, and upon the satisfaction (or waiver by the Initial Senior Lenders with respect to the Senior Credit Facility) of the Exclusive Funding Conditions, the initial funding of the Senior Credit Facility shall occur.</w:t>
      </w:r>
    </w:p>
    <w:p>
      <w:pPr>
        <w:pStyle w:val="TextBody"/>
        <w:spacing w:before="10"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Commitment Letter, the Fee Letters, the Senior Credit Documentation or any other letter agreement or other undertaking concerning the financing of the transactions contemplated hereby to the contrary, (a) the only representations the accuracy of</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81050"/>
                <wp:effectExtent l="0" t="0" r="0" b="0"/>
                <wp:wrapNone/>
                <wp:docPr id="39" name="Frame38"/>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pPr>
      <w:r>
        <w:rPr>
          <w:rFonts w:ascii="Times New Roman;sans-serif" w:hAnsi="Times New Roman;sans-serif"/>
          <w:b w:val="false"/>
          <w:color w:val="000000"/>
          <w:sz w:val="24"/>
        </w:rPr>
        <w:t>which shall be a condition to the availability of the Senior Credit Facility on the Closing Date shall be (i) such of the representations made by or with respect to the Company in the Merger Agreement as are material to the interests of the Lenders, but only to the extent that you or your applicable subsidiaries have the right (determined without regard to any notice provisions but taking into account any applicable cure provisions) to terminate your (or their) obligations under the Merger Agreement or decline to consummate the Merger as a result of a breach of such representations in the Merger Agreement (the “</w:t>
      </w:r>
      <w:r>
        <w:rPr>
          <w:rFonts w:ascii="Times New Roman;sans-serif" w:hAnsi="Times New Roman;sans-serif"/>
          <w:b w:val="false"/>
          <w:color w:val="000000"/>
          <w:sz w:val="24"/>
          <w:u w:val="single"/>
        </w:rPr>
        <w:t>Specified Merger Agreement Representations</w:t>
      </w:r>
      <w:r>
        <w:rPr>
          <w:color w:val="000000"/>
        </w:rPr>
        <w:t>”</w:t>
      </w:r>
      <w:r>
        <w:rPr>
          <w:rFonts w:ascii="Times New Roman;sans-serif" w:hAnsi="Times New Roman;sans-serif"/>
          <w:b w:val="false"/>
          <w:color w:val="000000"/>
          <w:sz w:val="24"/>
        </w:rPr>
        <w:t>) and (ii) the Specified Representations (as defined below) and (b) the terms of the Senior Credit Documentation shall be in a form such that they do not impair the availability of the Senior Credit Facility on the Closing Date if the Exclusive Funding Conditions are satisfied (or waived by the Initial Senior Lenders), it being understood that, to the extent any lien search, insurance certificate or endorsement or Collateral (including the creation or perfection of any security interest) is not or cannot be provided on the Closing Date (other than the pledge and perfection of Collateral of the Borrower and the guarantors party to your existing senior secured revolving and term loan facilities on the Closing Date that are Guarantors of the Senior Credit Facility with respect to which a lien may be perfected solely by the filing of financing statements under the Uniform Commercial Code (“</w:t>
      </w:r>
      <w:r>
        <w:rPr>
          <w:rFonts w:ascii="Times New Roman;sans-serif" w:hAnsi="Times New Roman;sans-serif"/>
          <w:b w:val="false"/>
          <w:color w:val="000000"/>
          <w:sz w:val="24"/>
          <w:u w:val="single"/>
        </w:rPr>
        <w:t>UCC</w:t>
      </w:r>
      <w:r>
        <w:rPr>
          <w:color w:val="000000"/>
        </w:rPr>
        <w:t>”</w:t>
      </w:r>
      <w:r>
        <w:rPr>
          <w:rFonts w:ascii="Times New Roman;sans-serif" w:hAnsi="Times New Roman;sans-serif"/>
          <w:b w:val="false"/>
          <w:color w:val="000000"/>
          <w:sz w:val="24"/>
        </w:rPr>
        <w:t>)), then the provision and/or perfection, as applicable, of any such lien search, insurance certificate or endorsement, and/or Collateral shall not constitute a condition precedent to the availability of the Senior Credit Facility, but may instead be provided within sixty (60) days after the Closing Date, subject to such extensions as are reasonably agreed by the Administrative Agent and the Borrower, or pursuant to arrangements to be mutually agreed by the parties hereto acting reasonably. “</w:t>
      </w:r>
      <w:r>
        <w:rPr>
          <w:rFonts w:ascii="Times New Roman;sans-serif" w:hAnsi="Times New Roman;sans-serif"/>
          <w:b w:val="false"/>
          <w:color w:val="000000"/>
          <w:sz w:val="24"/>
          <w:u w:val="single"/>
        </w:rPr>
        <w:t>Specified Representations</w:t>
      </w:r>
      <w:r>
        <w:rPr>
          <w:color w:val="000000"/>
        </w:rPr>
        <w:t xml:space="preserve">” </w:t>
      </w:r>
      <w:r>
        <w:rPr>
          <w:rFonts w:ascii="Times New Roman;sans-serif" w:hAnsi="Times New Roman;sans-serif"/>
          <w:b w:val="false"/>
          <w:color w:val="000000"/>
          <w:sz w:val="24"/>
        </w:rPr>
        <w:t xml:space="preserve">means the representations in the Senior Credit Documentation relating to corporate or other organizational existence, organizational power and authority of the Borrower and the Guarantors (as they relate to due authorization, execution, delivery and performance of the Senior Credit Documentation); due authorization, execution, delivery and enforceability, in each case, relating to the entering into and performance of such Senior Credit Documentation by the Borrower and the Guarantors; solvency as of the Closing Date (after giving effect to the Transactions) of the Borrower and its subsidiaries on a consolidated basis (in form and scope consistent with the solvency certificate to be delivered pursuant to </w:t>
      </w:r>
      <w:r>
        <w:rPr>
          <w:rFonts w:ascii="Times New Roman;sans-serif" w:hAnsi="Times New Roman;sans-serif"/>
          <w:b w:val="false"/>
          <w:color w:val="000000"/>
          <w:sz w:val="24"/>
          <w:u w:val="single"/>
        </w:rPr>
        <w:t>paragraph 1</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hereto); no violations or conflicts with organizational documents (as related to the execution and delivery of the Senior Credit Documentation) of the Borrower and the Guarantors; Federal Reserve margin regulations; the Investment Company Act; the PATRIOT Act; use of proceeds of the Term Loans not violating OFAC or FCPA; and the creation and perfection of the security interests (subject to customary permitted liens) in the Collateral of the Borrower and the Guarantors and subject in all respects to the foregoing provisions of this paragraph. Notwithstanding anything in this Commitment Letter, the Fee Letters, the Senior Credit Documentation or any other letter agreement or other undertaking concerning the financing of the transactions contemplated hereby to the contrary,</w:t>
      </w:r>
    </w:p>
    <w:p>
      <w:pPr>
        <w:pStyle w:val="TextBody"/>
        <w:spacing w:lineRule="auto" w:line="240" w:before="4" w:after="283"/>
        <w:jc w:val="both"/>
        <w:rPr/>
      </w:pPr>
      <w:r>
        <w:rPr>
          <w:rFonts w:ascii="Times New Roman;sans-serif" w:hAnsi="Times New Roman;sans-serif"/>
          <w:b w:val="false"/>
          <w:color w:val="000000"/>
          <w:sz w:val="24"/>
        </w:rPr>
        <w:t xml:space="preserve">(a)the commitments of the Initial Senior Lenders hereunder and the Senior Lead Arrangers’ agreements to perform the services described herein are subject to the conditions set forth in this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and in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hereto (collectively, the “</w:t>
      </w:r>
      <w:r>
        <w:rPr>
          <w:rFonts w:ascii="Times New Roman;sans-serif" w:hAnsi="Times New Roman;sans-serif"/>
          <w:b w:val="false"/>
          <w:color w:val="000000"/>
          <w:sz w:val="24"/>
          <w:u w:val="single"/>
        </w:rPr>
        <w:t>Exclusive Funding Conditions</w:t>
      </w:r>
      <w:r>
        <w:rPr>
          <w:color w:val="000000"/>
        </w:rPr>
        <w:t>”</w:t>
      </w:r>
      <w:r>
        <w:rPr>
          <w:rFonts w:ascii="Times New Roman;sans-serif" w:hAnsi="Times New Roman;sans-serif"/>
          <w:b w:val="false"/>
          <w:color w:val="000000"/>
          <w:sz w:val="24"/>
        </w:rPr>
        <w:t>) and (b) the only conditions (express or implied) to the availability of the Senior Credit Facility on the Closing Date are the Exclusive Funding Conditions. This paragraph, and the provisions herein, shall be referred to as the “</w:t>
      </w:r>
      <w:r>
        <w:rPr>
          <w:rFonts w:ascii="Times New Roman;sans-serif" w:hAnsi="Times New Roman;sans-serif"/>
          <w:b w:val="false"/>
          <w:color w:val="000000"/>
          <w:sz w:val="24"/>
          <w:u w:val="single"/>
        </w:rPr>
        <w:t>Certain Funds Provision</w:t>
      </w:r>
      <w:r>
        <w:rPr>
          <w:rFonts w:ascii="Times New Roman;sans-serif" w:hAnsi="Times New Roman;sans-serif"/>
          <w:b w:val="false"/>
          <w:color w:val="000000"/>
          <w:sz w:val="24"/>
        </w:rPr>
        <w:t>.” The Initial Senior Lenders will cooperate with you as reasonably requested in coordinating the timing and procedures for the funding of</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81050"/>
                <wp:effectExtent l="0" t="0" r="0" b="0"/>
                <wp:wrapNone/>
                <wp:docPr id="40" name="Frame39"/>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76" w:before="74" w:after="283"/>
        <w:rPr>
          <w:rFonts w:ascii="Times New Roman;sans-serif" w:hAnsi="Times New Roman;sans-serif"/>
          <w:b w:val="false"/>
          <w:color w:val="000000"/>
          <w:sz w:val="24"/>
        </w:rPr>
      </w:pPr>
      <w:r>
        <w:rPr>
          <w:rFonts w:ascii="Times New Roman;sans-serif" w:hAnsi="Times New Roman;sans-serif"/>
          <w:b w:val="false"/>
          <w:color w:val="000000"/>
          <w:sz w:val="24"/>
        </w:rPr>
        <w:t>the Senior Credit Facility in a manner consistent with the Merger Agreement on the Closing Date.</w:t>
      </w:r>
    </w:p>
    <w:p>
      <w:pPr>
        <w:pStyle w:val="TextBody"/>
        <w:spacing w:before="2" w:after="283"/>
        <w:rPr/>
      </w:pPr>
      <w:r>
        <w:rPr/>
      </w:r>
    </w:p>
    <w:p>
      <w:pPr>
        <w:pStyle w:val="TextBody"/>
        <w:spacing w:lineRule="auto" w:line="240" w:before="0" w:after="0"/>
        <w:ind w:left="0" w:right="0" w:hanging="721"/>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Indemnification and Expenses</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You agree (a) to indemnify and hold harmless the Commitment Parties, their controlled affiliates (other than Excluded Affiliates) and controlling persons and the respective directors, officers, employees, agents and other representatives of each of the foregoing and their respective successors (excluding any Excluded Affiliate, each, an “</w:t>
      </w:r>
      <w:r>
        <w:rPr>
          <w:rFonts w:ascii="Times New Roman;sans-serif" w:hAnsi="Times New Roman;sans-serif"/>
          <w:b w:val="false"/>
          <w:color w:val="000000"/>
          <w:sz w:val="24"/>
          <w:u w:val="single"/>
        </w:rPr>
        <w:t>indemnified person</w:t>
      </w:r>
      <w:r>
        <w:rPr>
          <w:color w:val="000000"/>
        </w:rPr>
        <w:t>”</w:t>
      </w:r>
      <w:r>
        <w:rPr>
          <w:rFonts w:ascii="Times New Roman;sans-serif" w:hAnsi="Times New Roman;sans-serif"/>
          <w:b w:val="false"/>
          <w:color w:val="000000"/>
          <w:sz w:val="24"/>
        </w:rPr>
        <w:t>) from and against any and all actual losses, claims, damages, liabilities and expenses, joint or several, to which any such indemnified person may become subject arising out of or in connection with this Commitment Letter, the Fee Letters, the Transactions or the use of proceeds of the Senior Credit Facility or any claim, litigation, investigation or proceeding (a “</w:t>
      </w:r>
      <w:r>
        <w:rPr>
          <w:rFonts w:ascii="Times New Roman;sans-serif" w:hAnsi="Times New Roman;sans-serif"/>
          <w:b w:val="false"/>
          <w:color w:val="000000"/>
          <w:sz w:val="24"/>
          <w:u w:val="single"/>
        </w:rPr>
        <w:t>Proceeding</w:t>
      </w:r>
      <w:r>
        <w:rPr>
          <w:color w:val="000000"/>
        </w:rPr>
        <w:t>”</w:t>
      </w:r>
      <w:r>
        <w:rPr>
          <w:rFonts w:ascii="Times New Roman;sans-serif" w:hAnsi="Times New Roman;sans-serif"/>
          <w:b w:val="false"/>
          <w:color w:val="000000"/>
          <w:sz w:val="24"/>
        </w:rPr>
        <w:t xml:space="preserve">) relating to any of the foregoing, regardless of whether any indemnified person is a party thereto, whether or not such Proceedings are brought by you, the Company, your or its equity holders, affiliates, creditors or any other person, and to reimburse each indemnified person within thirty (30) days of written demand (together with reasonable backup documentation) for any reasonable out-of- pocket expenses incurred in connection with investigating or defending any of the foregoing (but limited, in the case of legal fees and expenses, to one counsel to such indemnified persons (taken as a whole) and, if reasonably necessary, one local counsel in any relevant material jurisdiction to such indemnified persons (taken as a whole) and, in the case of an actual conflict of interest, one additional counsel to the affected indemnified persons (taken as a whole), in each case excluding allocated costs of in-house counsel);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foregoing indemnity will not, as to any indemnified person, apply to losses, claims, damages, liabilities or related expenses to the extent they arise from (i) the willful misconduct, bad faith, fraud or gross negligence of such indemnified person (or its controlled affiliates and controlling persons and their respective directors, officers, employees, agents and other representatives (other than Excluded Affiliates)),</w:t>
      </w:r>
    </w:p>
    <w:p>
      <w:pPr>
        <w:pStyle w:val="TextBody"/>
        <w:spacing w:lineRule="auto" w:line="240" w:before="2"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 the material breach of the Commitment Letter or Fee Letters by any indemnified person (or its controlled affiliates and controlling persons and their respective directors, officers, employees, agents and other representatives (other than Excluded Affiliates)) (in the case of each of preceding clause (i) and this clause (ii), as determined by a court of competent jurisdiction in a final non-appealable judgment) and (iii) any disputes solely among indemnified persons (other than (x) any claims against the Commitment Parties in their capacity as the Administrative Agent, a Senior Lead Arranger or any similar role under the Senior Credit Facility unless such claim would otherwise be excluded pursuant to clause (i) above and (y) claims arising out of any act or omission of you or the Company) and (b) to reimburse the Commitment Parties and their affiliates (other than any Excluded Affiliate) for all reasonable and documented out-of-pocket expenses (including, but not limited to, due diligence expenses, syndication expenses, travel expenses, and (limited to) reasonable fees, charges and disbursements of one primary counsel to the Senior Lead Arrangers and the Administrative Agent in their capacity as such (which, for the avoidance of doubt, shall not include any fees, charges or disbursements of counsel while acting for any Sale Advisory Person (as defined below))) solely from the date hereof to the Closing Date and, if reasonably necessary, one local counsel in any relevant material jurisdiction incurred in connection with the Senior Credit Facility and any related documentation (including this Commitment Letter, the Fee Letters and the Senior Credit Documentation) or the administration, amendment, modification or waiver of any of the foregoing) within thirty (30) days of written demand (including documentation reasonably supporting such request) (other than with respect</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81050"/>
                <wp:effectExtent l="0" t="0" r="0" b="0"/>
                <wp:wrapNone/>
                <wp:docPr id="41" name="Frame40"/>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pPr>
      <w:r>
        <w:rPr>
          <w:rFonts w:ascii="Times New Roman;sans-serif" w:hAnsi="Times New Roman;sans-serif"/>
          <w:b w:val="false"/>
          <w:color w:val="000000"/>
          <w:sz w:val="24"/>
        </w:rPr>
        <w:t xml:space="preserve">to such fees and expenses paid on the Closing Date for which written demand including documentation reasonably supporting such request is provided at least three (3) business days prior to the Closing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fees and expenses (i) in the case of legal counsel, shall be limited to the reasonable fees and expenses of counsel described in this clause (b) which, in any event, shall exclude allocated costs of in-house counsel and (ii) in the case of any other advisors and consultants, shall be limited solely to advisors and consultants approved by you. No person a party hereto nor the Company or any indemnified person shall be liable for any damages arising from the use by others of Information or other materials obtained through electronic, telecommunications or other information transmission systems, including, without limitation, SyndTrak, IntraLinks, the internet, email or similar electronic transmission systems, in each case, except to the extent any such damages are found in a final non-appealable judgment of a court of competent jurisdiction to have resulted from the gross negligence, bad faith, fraud or willful misconduct of, or material breach of this Commitment Letter or the Fee Letters by, such person (or its controlled affiliates and controlling persons and their respective directors, officers, employees, agents and other representative (other than Excluded Affiliates)). None of the indemnified persons or you, the Company or any of your or their respective affiliates or the respective directors, officers, employees, advisors, agents and other representatives of the foregoing shall be liable for any indirect, special, punitive or consequential damages in connection with this Commitment Letter, the Fee Letters, the Senior Credit Facility or the transactions contemplated hereby;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contained in this sentence shall limit your indemnification and reimbursement obligations to the extent expressly set forth herein in respect of any losses, claims, damages, liabilities and expenses incurred or paid by an indemnified person to a third party unaffiliated with the Commitment Parties. Each indemnified person (by accepting the benefits hereof) agrees to refund and return any and all amounts paid by you to such indemnified person pursuant to the terms of this paragraph to the extent such indemnified person is not entitled to the payment thereof pursuant to the terms of this paragraph as determined by a court of competent jurisdiction in a final non-appealable judgment.</w:t>
      </w:r>
    </w:p>
    <w:p>
      <w:pPr>
        <w:pStyle w:val="TextBody"/>
        <w:spacing w:before="11"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shall not be liable for any settlement of any Proceeding (or expenses solely in respect of such settlement) effected without your consent (which consent shall not be unreasonably withheld, delayed or conditioned), but if settled with your written consent, or if there is a final judgment against an indemnified person in any such Proceeding, you agree to indemnify and hold harmless each indemnified person to the extent and in the manner set forth above. You shall not, without the prior written consent of the affected indemnified person (which consent shall not be unreasonably withheld, conditioned or delayed),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or claims that are the subject matter of such Proceeding, (b) includes customary confidentiality provisions and (c) does not include any statement as to any admission of fault, culpability or failure to act by or on behalf of any indemnified person.</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In case any Proceeding is instituted involving any indemnified person for which indemnification is to be sought hereunder by such indemnified person, then such indemnified person will promptly notify you of the commencement of any Proceeding after such indemnified person has actual knowledge of the same;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failure so to notify you</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81050"/>
                <wp:effectExtent l="0" t="0" r="0" b="0"/>
                <wp:wrapNone/>
                <wp:docPr id="42" name="Frame41"/>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76" w:before="74" w:after="283"/>
        <w:rPr/>
      </w:pPr>
      <w:r>
        <w:rPr>
          <w:rFonts w:ascii="Times New Roman;sans-serif" w:hAnsi="Times New Roman;sans-serif"/>
          <w:b w:val="false"/>
          <w:color w:val="000000"/>
          <w:sz w:val="24"/>
        </w:rPr>
        <w:t xml:space="preserve">will not relieve you from any liability that you may have to such indemnified person pursuant to this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w:t>
      </w:r>
    </w:p>
    <w:p>
      <w:pPr>
        <w:pStyle w:val="TextBody"/>
        <w:spacing w:before="2"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upon the execution of the Senior Credit Documentation (a) the relevant provisions of such definitive documentation shall supersede the provisions of the preceding paragraphs and (b) your obligation pursuant to this Commitment Letter to reimburse an indemnified person (or its related indemnified persons) for losses, claims, damages, liabilities, expenses, fees or any such indemnified obligations or any other expense reimbursement shall automatically terminate and be replaced in all respects by the relevant provisions set forth in the Senior Credit Documentation.</w:t>
      </w:r>
    </w:p>
    <w:p>
      <w:pPr>
        <w:pStyle w:val="TextBody"/>
        <w:spacing w:before="9"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Sharing of Information, Absence of Fiduciary Relationship, Affiliate Activities</w:t>
      </w:r>
    </w:p>
    <w:p>
      <w:pPr>
        <w:pStyle w:val="TextBody"/>
        <w:spacing w:before="1"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the Commitment Parties and their respective affiliates are full service securities firms and we may from time to time (a) effect transactions, for our own or our affiliates’ account or the account of customers, and hold positions in loans, securities or options on loans or securities of you, the Company or its affiliates and of other companies that may be the subject of the transactions contemplated by this Commitment Letter or with which you or the Company may have commercial or other relationships or adverse interests or (b) provide debt financing, equity capital, investment banking, financial advisory services, securities trading, hedging, financing and brokerage activities and financial planning and benefits counseling to other companies in respect of which you may have conflicting interests. In addition, consistent with each Commitment Party’s policy to hold in confidence the affairs of its customers, the Commitment Parties will not furnish information obtained from you, the Company or your or its respective affiliates and representatives to any of their other clients (or to clients of its affiliates) or in connection with the performance by the Senior Lead Arrangers and the Administrative Agent and their respective affiliates of services for its other clients (or for clients of their affiliates). You also acknowledge that the Commitment Parties and their affiliates have no obligation to use in connection with the transactions contemplated hereby, or to furnish to you, confidential information obtained from other companies or other persons.</w:t>
      </w:r>
    </w:p>
    <w:p>
      <w:pPr>
        <w:pStyle w:val="TextBody"/>
        <w:spacing w:before="9"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acknowledge and agree that (a) you are capable of evaluating and understanding, and you understand and accept, the terms, risks and conditions of the transactions contemplated by this Commitment Letter, (b) you have been advised that the Commitment Parties and their affiliates are engaged in a broad range of transactions that may involve interests that differ from your and your affiliates’ interests and that the Commitment Parties have no obligation to disclose such interests and transactions to you or your affiliates, (c) you have consulted your own legal, accounting, regulatory and tax advisors to the extent you have deemed appropriate and you are not relying on any Commitment Party for such advice and (d) none of the Commitment Parties nor their affiliates have any obligation to you or your affiliates with respect to the transactions contemplated hereby except those obligations expressly set forth herein or in any other express writing executed and delivered by such Commitment Party and you.</w:t>
      </w:r>
    </w:p>
    <w:p>
      <w:pPr>
        <w:pStyle w:val="TextBody"/>
        <w:spacing w:before="2" w:after="283"/>
        <w:rPr/>
      </w:pPr>
      <w:r>
        <w:rPr/>
      </w:r>
    </w:p>
    <w:p>
      <w:pPr>
        <w:pStyle w:val="TextBody"/>
        <w:spacing w:lineRule="auto" w:line="240" w:before="90" w:after="283"/>
        <w:ind w:left="0" w:right="0" w:firstLine="720"/>
        <w:jc w:val="both"/>
        <w:rPr/>
      </w:pPr>
      <w:r>
        <w:rPr>
          <w:rFonts w:ascii="Times New Roman;sans-serif" w:hAnsi="Times New Roman;sans-serif"/>
          <w:b w:val="false"/>
          <w:color w:val="000000"/>
          <w:sz w:val="24"/>
        </w:rPr>
        <w:t>In addition, please note that an affiliate of Goldman Sachs has been retained by you as financial advisors (in such capacity, each a “</w:t>
      </w:r>
      <w:r>
        <w:rPr>
          <w:rFonts w:ascii="Times New Roman;sans-serif" w:hAnsi="Times New Roman;sans-serif"/>
          <w:b w:val="false"/>
          <w:color w:val="000000"/>
          <w:sz w:val="24"/>
          <w:u w:val="single"/>
        </w:rPr>
        <w:t>Financial Advisor</w:t>
      </w:r>
      <w:r>
        <w:rPr>
          <w:color w:val="000000"/>
        </w:rPr>
        <w:t>”</w:t>
      </w:r>
      <w:r>
        <w:rPr>
          <w:rFonts w:ascii="Times New Roman;sans-serif" w:hAnsi="Times New Roman;sans-serif"/>
          <w:b w:val="false"/>
          <w:color w:val="000000"/>
          <w:sz w:val="24"/>
        </w:rPr>
        <w:t>) in connection with the Merger. You agree to such retention, and further agree not to assert any claim you might allege based on</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81050"/>
                <wp:effectExtent l="0" t="0" r="0" b="0"/>
                <wp:wrapNone/>
                <wp:docPr id="43" name="Frame42"/>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actual or potential conflicts of interest that might be asserted to arise or result primarily from, on the one hand, the engagement of each Financial Advisor, and on the other hand, our and our affiliates’ relationship with you as described and referred to herein.</w:t>
      </w:r>
    </w:p>
    <w:p>
      <w:pPr>
        <w:pStyle w:val="TextBody"/>
        <w:spacing w:before="8" w:after="283"/>
        <w:rPr/>
      </w:pPr>
      <w:r>
        <w:rPr/>
      </w:r>
    </w:p>
    <w:p>
      <w:pPr>
        <w:pStyle w:val="TextBody"/>
        <w:spacing w:lineRule="auto"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Please note that neither the Commitment Parties nor any of their respective affiliates provide tax, accounting or legal advice.</w:t>
      </w:r>
    </w:p>
    <w:p>
      <w:pPr>
        <w:pStyle w:val="TextBody"/>
        <w:spacing w:before="5"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acknowledge and agree that (a) no fiduciary, advisory or agency relationship between you and us is intended to be or has been created in respect of any of the transactions contemplated by this Commitment Letter, irrespective of whether we or our affiliates have advised or are advising you on other matters, (b) we, on the one hand, and you, on the other hand, have an arms-length business relationship that does not directly or indirectly give rise to, nor do you rely on, any fiduciary duty on our part, (c) in connection therewith and with the process leading to the Transactions, the Commitment Parties and their respective affiliates (as the case may be) are acting solely as a principal and not as agents or fiduciaries of you and your respective management, stockholders, creditors, affiliates or any other person, (d) you are capable of evaluating and understanding, and you understand and accept, the terms, risks and conditions of the transactions contemplated by this Commitment Letter, (e) you have consulted legal and financial advisors to the extent you deemed appropriate, (f) you have been advised that we and our affiliates are engaged in a broad range of transactions that may involve interests that differ from your interests and that we and our affiliates have no obligation to disclose such interests and transactions to you by virtue of any fiduciary, advisory or agency relationship and</w:t>
      </w:r>
    </w:p>
    <w:p>
      <w:pPr>
        <w:pStyle w:val="TextBody"/>
        <w:spacing w:lineRule="auto" w:line="240" w:before="4" w:after="283"/>
        <w:jc w:val="both"/>
        <w:rPr>
          <w:rFonts w:ascii="Times New Roman;sans-serif" w:hAnsi="Times New Roman;sans-serif"/>
          <w:b w:val="false"/>
          <w:color w:val="000000"/>
          <w:sz w:val="24"/>
        </w:rPr>
      </w:pPr>
      <w:r>
        <w:rPr>
          <w:rFonts w:ascii="Times New Roman;sans-serif" w:hAnsi="Times New Roman;sans-serif"/>
          <w:b w:val="false"/>
          <w:color w:val="000000"/>
          <w:sz w:val="24"/>
        </w:rPr>
        <w:t>(g) you will not claim that any Commitment Party (in its capacity as such) or its applicable affiliates, as the case may be, have rendered advisory services of any nature or respect, or owe a fiduciary or similar duty to you or your affiliates, in connection with the transactions contemplated by this Commitment Letter or the process leading thereto.</w:t>
      </w:r>
    </w:p>
    <w:p>
      <w:pPr>
        <w:pStyle w:val="TextBody"/>
        <w:spacing w:before="10" w:after="283"/>
        <w:rPr/>
      </w:pPr>
      <w:r>
        <w:rPr/>
      </w:r>
    </w:p>
    <w:p>
      <w:pPr>
        <w:pStyle w:val="TextBody"/>
        <w:spacing w:lineRule="auto" w:line="240" w:before="0" w:after="0"/>
        <w:ind w:left="0" w:right="0" w:hanging="721"/>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Confidentiality</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This Commitment Letter is delivered to you on the understanding that neither this Commitment Letter nor the Fee Letters nor any of their terms shall be disclosed to any other person, except (a) to your respective officers, directors, employees, affiliates, members, partners, stockholders, actual and potential co-investors, attorneys, accountants, agents and advisors on a confidential basis, (b) to the Company and its officers, directors, employees, affiliates, members, partners, stockholders, attorneys, accountants, agents and advisors on a confidential basis, (c) in any legal, regulatory, judicial or administrative proceeding or as otherwise required by applicable law, rule or regulation or as requested by a governmental authority (including a self-regulatory authority) (in which case you agree, to the extent permitted by law, rule or regulation, to inform us promptly thereof), (d) in connection with the exercise of any remedy or enforcement of any right under this Commitment Letter and the Fee Letters, (e) the existence and contents of the Commitment Letter and the Term Sheet may be disclosed in any proxy, public filing, prospectus, offering memorandum, offering circulation, syndication materials or other materials in connection with the Transactions, (f) the Term Sheet and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hereto (but not the Fee Letters or the contents thereof other than the existence thereof and the contents thereof as part of projections, pro forma information and a generic disclosure of aggregate sources and uses) may be disclosed to actual and prospective Lenders and to any rating agency in connection with the Transactions or in any public regulatory filing requirement relating to the Transactions, (g) to the</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81050"/>
                <wp:effectExtent l="0" t="0" r="0" b="0"/>
                <wp:wrapNone/>
                <wp:docPr id="44" name="Frame43"/>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extent any such information becomes publicly available other than by reason of disclosure by you, your controlled affiliates or your representatives in violation of this Commitment Letter, (h) with the Commitment Parties’ consent in writing (including via e-mail), and (i) after your acceptance hereof, this Commitment Letter and the Arranger Fee Letter (but not the Agent Fee Letter), including the existence and contents hereof and thereof, may be shared with prospective Additional Agents, in each case on a confidential basis. The foregoing restrictions shall cease to apply after the Senior Credit Documentation shall have been executed and delivered by the parties hereto (other than with respect to any economics referenced in the Fee Letters).</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The Commitment Parties shall treat confidentially all information received by them from you, the Company or your or its respective affiliates and representatives in connection with the Merger and the other Transactions and only use such information for the purposes of providing the commitments and, in the case of the Senior Lead Arrangers and the Administrative Agent, the services contemplated by this Commitment Letter;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nothing herein shall prevent the Commitment Parties from disclosing any such information (a) to any actual or prospective Lenders, participants or derivative counterparties (other than Disqualified Institutions and persons to whom you have affirmatively denied to provide your consent to the assignment or syndication thereto);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disclosure of any such information to any actual or prospective Lenders, participants or derivative counterparties shall be made subject to the acknowledgment and acceptance by such actual or prospective Lender, participant or derivative counterparty that such information is being disseminated on a confidential basis (on substantially the terms set forth in this paragraph or as is otherwise reasonably acceptable to you and the Commitment Parties, including, without limitation, as agreed in any confidential information memorandum or other marketing materials) in accordance with the standard syndication or other transfer processes of the Commitment Parties or customary market standards for dissemination of such type of information, in the event of any electronic access through IntraLinks, another website or similar electronic system or platform, which shall in any event require “click through” or other affirmative action on the part of the recipient to access such information and acknowledge its confidentiality obligations in respect thereof, in each case on terms reasonably acceptable to you; (b) in any legal, judicial or administrative proceeding or other compulsory process or otherwise as required by applicable law, rule or regulations or as requested by a governmental authority (in which case such Commitment Party shall promptly notify you, in advance, to the extent permitted by law, rule or regulation (except with respect to any routine audit or examination conducted by bank accountants or regulatory authority exercising routine examination or regulatory authority)); provided that, notwithstanding the foregoing, no notification shall be required in connection with any filings that may be required by the federal securities laws or the rules, regulations, schedules and/or forms of the Securities and Exchange Commission; (c) upon the request or demand of any governmental or regulatory authority having jurisdiction over such Commitment Party or any of its affiliates or upon the good faith determination by counsel that such information should be disclosed in light of ongoing oversight or review of such Commitment Party by any governmental or regulatory authority having jurisdiction over such Commitment Party or its affiliates (in which case such Commitment Party shall, except with respect to any audit or examination conducted by bank accountants or any governmental bank regulatory authority exercising examination or regulatory authority, promptly notify you, in advance, to the extent lawfully permitted to do so); (d) to the lenders, officers, directors, employees, legal counsel, independent auditors, professionals, service providers and other experts or agents of the Commitment Parties (collectively,</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81050"/>
                <wp:effectExtent l="0" t="0" r="0" b="0"/>
                <wp:wrapNone/>
                <wp:docPr id="45" name="Frame44"/>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pPr>
      <w:r>
        <w:rPr>
          <w:color w:val="000000"/>
        </w:rPr>
        <w:t>“</w:t>
      </w:r>
      <w:r>
        <w:rPr>
          <w:rFonts w:ascii="Times New Roman;sans-serif" w:hAnsi="Times New Roman;sans-serif"/>
          <w:b w:val="false"/>
          <w:color w:val="000000"/>
          <w:sz w:val="24"/>
          <w:u w:val="single"/>
        </w:rPr>
        <w:t>Representatives</w:t>
      </w:r>
      <w:r>
        <w:rPr>
          <w:color w:val="000000"/>
        </w:rPr>
        <w:t>”</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Representative is advised of its obligation to retain such information as confidential and agrees to keep information of this type confidential and the Commitment Parties shall remain responsible for such Representatives compliance with this provision); (e) to any of its affiliates (other than an Excluded Affiliate) and Representatives of its affiliates (other than an Excluded Affiliate)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such affiliate or Representative is advised of its obligation to retain such information as confidential, and the Commitment Parties shall be responsible for the compliance of their affiliates and Representatives of their affiliates with this paragraph) solely in connection with the Senior Credit Facility and the related Transactions; (f) to the extent any such information becomes publicly available other than by reason of disclosure by the Commitment Parties, their affiliates or Representatives in breach of this Commitment Letter or other obligation of confidentiality owed to you, the Company or your or its respective affiliates; (g) for purposes of establishing a “due diligence” defense; (h) to the extent that such information is received by such Commitment Party, its affiliates (other than an Excluded Affiliate) or their respective Representatives from a third party that is not known (after due inquiry) by such Commitment Party to be subject to confidentiality obligations to you, the Company or your or its respective affiliates; (i) to the extent that such information is independently developed by such Commitment Party, its affiliates (other than an Excluded Affiliate) or their respective Representatives without the use of such information; (j) to market data collectors, similar services providers to the lending industry, and service providers to the Senior Lead Arrangers and the Lenders in connection with the administration and management of the Senior Credit Facility; and (k) to enforce their respective rights hereunder or under the Fee Letters;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disclosure shall be made by the Commitment Parties to any of their affiliates’ employees, officers, directors, legal counsel, professionals and other experts or agents that are engaged directly or indirectly in a sale of the Company and its subsidiaries as buy-side or sell-side representative and acting in such capacity other than, in each case, any Over the Wall Person (each a “</w:t>
      </w:r>
      <w:r>
        <w:rPr>
          <w:rFonts w:ascii="Times New Roman;sans-serif" w:hAnsi="Times New Roman;sans-serif"/>
          <w:b w:val="false"/>
          <w:color w:val="000000"/>
          <w:sz w:val="24"/>
          <w:u w:val="single"/>
        </w:rPr>
        <w:t>Sale Advisory Person</w:t>
      </w:r>
      <w:r>
        <w:rPr>
          <w:color w:val="000000"/>
        </w:rPr>
        <w:t xml:space="preserve">” </w:t>
      </w:r>
      <w:r>
        <w:rPr>
          <w:rFonts w:ascii="Times New Roman;sans-serif" w:hAnsi="Times New Roman;sans-serif"/>
          <w:b w:val="false"/>
          <w:color w:val="000000"/>
          <w:sz w:val="24"/>
        </w:rPr>
        <w:t>and an “</w:t>
      </w:r>
      <w:r>
        <w:rPr>
          <w:rFonts w:ascii="Times New Roman;sans-serif" w:hAnsi="Times New Roman;sans-serif"/>
          <w:b w:val="false"/>
          <w:color w:val="000000"/>
          <w:sz w:val="24"/>
          <w:u w:val="single"/>
        </w:rPr>
        <w:t>Excluded Affiliate</w:t>
      </w:r>
      <w:r>
        <w:rPr>
          <w:color w:val="000000"/>
        </w:rPr>
        <w:t>”</w:t>
      </w:r>
      <w:r>
        <w:rPr>
          <w:rFonts w:ascii="Times New Roman;sans-serif" w:hAnsi="Times New Roman;sans-serif"/>
          <w:b w:val="false"/>
          <w:color w:val="000000"/>
          <w:sz w:val="24"/>
        </w:rPr>
        <w:t>) or</w:t>
      </w:r>
    </w:p>
    <w:p>
      <w:pPr>
        <w:pStyle w:val="TextBody"/>
        <w:spacing w:lineRule="auto" w:line="240" w:before="3" w:after="283"/>
        <w:jc w:val="both"/>
        <w:rPr/>
      </w:pPr>
      <w:r>
        <w:rPr>
          <w:rFonts w:ascii="Times New Roman;sans-serif" w:hAnsi="Times New Roman;sans-serif"/>
          <w:b w:val="false"/>
          <w:color w:val="000000"/>
          <w:sz w:val="24"/>
        </w:rPr>
        <w:t>(iii) any Disqualified Institution. As used herein, “</w:t>
      </w:r>
      <w:r>
        <w:rPr>
          <w:rFonts w:ascii="Times New Roman;sans-serif" w:hAnsi="Times New Roman;sans-serif"/>
          <w:b w:val="false"/>
          <w:color w:val="000000"/>
          <w:sz w:val="24"/>
          <w:u w:val="single"/>
        </w:rPr>
        <w:t>Over the Wall Person</w:t>
      </w:r>
      <w:r>
        <w:rPr>
          <w:color w:val="000000"/>
        </w:rPr>
        <w:t xml:space="preserve">” </w:t>
      </w:r>
      <w:r>
        <w:rPr>
          <w:rFonts w:ascii="Times New Roman;sans-serif" w:hAnsi="Times New Roman;sans-serif"/>
          <w:b w:val="false"/>
          <w:color w:val="000000"/>
          <w:sz w:val="24"/>
        </w:rPr>
        <w:t>means, with respect to any Commitment Party, any directors, officers or senior employees of such Commitment Party or any of its affiliates who are required, in accordance with industry regulations, or the applicable Commitment Party’s or its affiliate’s internal policies and procedures to act in a supervisory or managerial capacity and the applicable Commitment Party’s and its affiliates’ internal legal, compliance, risk management, conflicts clearance and other support personnel and credit and investment committee members. The Commitment Parties’ obligations under this paragraph shall remain in effect until the earlier of (x) two years from the date hereof and (y) the date the Senior Credit Documentation (which confidentiality provisions shall include exceptions no less permissive than those contained in this Section) is effective, at which time our obligations under this paragraph shall automatically terminate and be superseded by the confidentiality provisions in the Senior Credit Documentation upon the execution and delivery thereof.</w:t>
      </w:r>
    </w:p>
    <w:p>
      <w:pPr>
        <w:pStyle w:val="TextBody"/>
        <w:spacing w:before="11"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any party to this Commitment Letter (and any employee, representative or other agent of such party) may disclose the tax treatment and tax structure of the transactions contemplated by this Commitment Letter and all materials of any kind (including opinions or other tax analyses) that are provided to it relating to such tax treatment and tax structure, except that (i) such disclosures shall not include the identity of any existing or future party (or any affiliate of such party) to this Commitment Letter and (ii) no party shall disclose any information relating to such tax treatment and tax structure to the extent nondisclosure is reasonably necessary in order to comply with applicable securities laws. For this</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81050"/>
                <wp:effectExtent l="0" t="0" r="0" b="0"/>
                <wp:wrapNone/>
                <wp:docPr id="46" name="Frame45"/>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purpose, the tax treatment of the transactions contemplated by this Commitment Letter shall be any purported or claimed U.S. federal income tax treatment of such transactions and the tax structure of such transactions is any fact that may be relevant to understanding the purported or claimed U.S. federal income tax treatment of such transactions.</w:t>
      </w:r>
    </w:p>
    <w:p>
      <w:pPr>
        <w:pStyle w:val="TextBody"/>
        <w:spacing w:before="11"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Miscellaneous</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Subject to the immediately following paragraph, this Commitment Letter shall not be assignable by any party hereto (except (i) by us in connection with the appointment of Additional Agents by you as set forth herein and (ii) Goldman Sachs may assign its commitments hereunder to Goldman Sachs Lending Partners LLC (“</w:t>
      </w:r>
      <w:r>
        <w:rPr>
          <w:rFonts w:ascii="Times New Roman;sans-serif" w:hAnsi="Times New Roman;sans-serif"/>
          <w:b w:val="false"/>
          <w:color w:val="000000"/>
          <w:sz w:val="24"/>
          <w:u w:val="single"/>
        </w:rPr>
        <w:t>GSLP</w:t>
      </w:r>
      <w:r>
        <w:rPr>
          <w:color w:val="000000"/>
        </w:rPr>
        <w:t>”</w:t>
      </w:r>
      <w:r>
        <w:rPr>
          <w:rFonts w:ascii="Times New Roman;sans-serif" w:hAnsi="Times New Roman;sans-serif"/>
          <w:b w:val="false"/>
          <w:color w:val="000000"/>
          <w:sz w:val="24"/>
        </w:rPr>
        <w:t xml:space="preserve">) without the consent of any party hereto, and vice-versa) without the prior written consent of the other parties hereto (and any purported assignment without such consent shall be null and void), is intended to be solely for the benefit of the parties hereto and, to the extent set forth in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the indemnified persons, and is not intended to and does not confer any benefits upon, or create any rights in favor of, any person other than the parties hereto and the indemnified persons to the extent expressly set forth herein. Each Commitment Party shall be liable solely in respect of its own commitment to the Senior Credit Facility on a several, and not joint, basis with any other Lender. This Commitment Letter may not be amended or waived except by an instrument in writing signed by you and the Commitment Parties. This Commitment Letter may be executed in any number of counterparts, each of which shall be an original, and all of which, when taken together, shall constitute one agreement. Delivery of an executed signature page of this Commitment Letter by facsimile or other electronic transmission (e.g., “</w:t>
      </w:r>
      <w:r>
        <w:rPr>
          <w:rFonts w:ascii="Times New Roman;sans-serif" w:hAnsi="Times New Roman;sans-serif"/>
          <w:b w:val="false"/>
          <w:color w:val="000000"/>
          <w:sz w:val="24"/>
          <w:u w:val="single"/>
        </w:rPr>
        <w:t>pdf</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tif</w:t>
      </w:r>
      <w:r>
        <w:rPr>
          <w:color w:val="000000"/>
        </w:rPr>
        <w:t>”</w:t>
      </w:r>
      <w:r>
        <w:rPr>
          <w:rFonts w:ascii="Times New Roman;sans-serif" w:hAnsi="Times New Roman;sans-serif"/>
          <w:b w:val="false"/>
          <w:color w:val="000000"/>
          <w:sz w:val="24"/>
        </w:rPr>
        <w:t xml:space="preserve">) shall be effective as delivery of a manually executed counterpart hereof. The words “execution,” “signed,” “signature,” “delivery,” and words of like import in or relating to this Commitment Letter or any document to be signed in connection hereunder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 This Commitment Letter and the Fee Letters are the only agreements that have been entered into among us and you with respect to the Senior Credit Facility and set forth the entire understanding of the parties with respect thereto. This Commitment Letter shall be governed by, and construed and interpreted in accordance with, the laws of the State of New York without regard to principles of conflicts of law, to the extent that the same are not mandatorily applicable by statute and would require or permit the application of the law of another jurisdiction;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laws of the state of Delaware which governs the Merger Agreement shall govern in determining (a) the interpretation of a “Material Adverse Effect” (as defined in the Merger Agreement as in effect on the date hereof) and whether a “Material Adverse Effect” has occurred, (b) the accuracy of any Specified Merger Agreement Representation and whether as a result of any inaccuracy thereof you or your applicable subsidiaries have the right or would have the right (without regard to any notice requirement but taking into account any applicable cure provisions) to terminate your obligations (or to refuse to consummate the Merger) under the Merger Agreement and (c) whether the Merger has been consummated in accordance with the</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81050"/>
                <wp:effectExtent l="0" t="0" r="0" b="0"/>
                <wp:wrapNone/>
                <wp:docPr id="47" name="Frame46"/>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terms of the Merger Agreement. Each of the parties hereto agrees that (i) this Commitment Letter is a binding and enforceable agreement with respect to the subject matter herein, including an agreement to negotiate in good faith the Senior Credit Documentation by the parties hereto in a manner consistent with this Commitment Letter and the Senior Credit Documentation Principles it being acknowledged and agreed that the funding of the Senior Credit Facility is subject only to the Exclusive Funding Conditions, including the execution and delivery of the Senior Credit Documentation as provided in this Commitment Letter and (ii) the Fee Letters are a binding and enforceable agreement with respect to the subject matter contained therein. Reasonably promptly following the execution of this Commitment Letter, the parties hereto shall proceed with the negotiation in good faith of the Senior Credit Documentation for the purpose of executing and delivering the Senior Credit Documentation substantially simultaneously with the consummation of the Merger. Section headings used herein are for convenience of reference only and are not to affect the construction of, or to be taken into consideration in interpreting, this Commitment Letter.</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Each of the parties hereto irrevocably and unconditionally (a) submits, for itself and its property, to the exclusive jurisdiction of any federal court sitting in the Borough of Manhattan in the City of New York or, if that court does not have subject matter jurisdiction, in any state court located in the City and County of New York, and any appellate court from any thereof, over any suit, action or proceeding arising out of or relating to the Transactions or the other transactions contemplated hereby, this Commitment Letter or the Fee Letters or the performance of services hereunder or thereunder or for recognition or enforcement of any judgment and agrees that all claims in respect of any such action or proceeding shall be heard and determined in such New York state or, to the extent permitted by law, in such federal court;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Commitment Parties shall be entitled to assert jurisdiction over you and your property in any court in which jurisdiction may be held over you or your property and (b) agrees that a final judgment in any such action or proceeding shall be conclusive and may be enforced in other jurisdictions by suit on the judgment or in any other manner provided by law. You and we agree that service of any process, summons, notice or document by registered mail addressed to any of the parties hereto at the applicable addresses above shall be effective service of process for any suit, action or proceeding brought in any such court. You and we hereby irrevocably and unconditionally waive, to the fullest extent you and we may legally and effectively do so, any objection to the laying of venue of any such suit, action or proceeding brought in any court in accordance with </w:t>
      </w:r>
      <w:r>
        <w:rPr>
          <w:rFonts w:ascii="Times New Roman;sans-serif" w:hAnsi="Times New Roman;sans-serif"/>
          <w:b w:val="false"/>
          <w:color w:val="000000"/>
          <w:sz w:val="24"/>
          <w:u w:val="single"/>
        </w:rPr>
        <w:t xml:space="preserve">clause (a) </w:t>
      </w:r>
      <w:r>
        <w:rPr>
          <w:rFonts w:ascii="Times New Roman;sans-serif" w:hAnsi="Times New Roman;sans-serif"/>
          <w:b w:val="false"/>
          <w:color w:val="000000"/>
          <w:sz w:val="24"/>
        </w:rPr>
        <w:t>of the first sentence of this paragraph and any claim that any such suit, action or proceeding has been brought in any inconvenient forum. YOU AND WE HEREBY IRREVOCABLY WAIVE (TO THE FULLEST EXTENT PERMITTED BY APPLICABLE LAW) TRIAL BY JURY IN ANY SUIT, ACTION, PROCEEDING, CLAIM OR COUNTERCLAIM BROUGHT BY OR ON BEHALF OF ANY PARTY RELATED TO OR ARISING OUT OF THE TRANSACTIONS, THIS COMMITMENT LETTER OR THE FEE LETTER OR, IN THE CASE OF SENIOR LEAD ARRANGERS AND THE ADMINISTRATIVE AGENT, THE PERFORMANCE OF SERVICES HEREUNDER OR THEREUNDER.</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The Commitment Parties hereby notify you that, pursuant to the requirements of the USA PATRIOT Act, Title III of Pub. L. 107-56 (signed into law on October 26, 2001) (as amended, the “</w:t>
      </w:r>
      <w:r>
        <w:rPr>
          <w:rFonts w:ascii="Times New Roman;sans-serif" w:hAnsi="Times New Roman;sans-serif"/>
          <w:b w:val="false"/>
          <w:color w:val="000000"/>
          <w:sz w:val="24"/>
          <w:u w:val="single"/>
        </w:rPr>
        <w:t>PATRIOT Act</w:t>
      </w:r>
      <w:r>
        <w:rPr>
          <w:color w:val="000000"/>
        </w:rPr>
        <w:t>”</w:t>
      </w:r>
      <w:r>
        <w:rPr>
          <w:rFonts w:ascii="Times New Roman;sans-serif" w:hAnsi="Times New Roman;sans-serif"/>
          <w:b w:val="false"/>
          <w:color w:val="000000"/>
          <w:sz w:val="24"/>
        </w:rPr>
        <w:t>), they are required to obtain, verify and record information that identifies the Borrower and each Guarantor, which information includes names, addresses, tax</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81050"/>
                <wp:effectExtent l="0" t="0" r="0" b="0"/>
                <wp:wrapNone/>
                <wp:docPr id="48" name="Frame47"/>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identification numbers and other information that will allow the Commitment Parties or such Lender to identify the Borrower and each Guarantor in accordance with the PATRIOT Act. This notice is given in accordance with the requirements of the PATRIOT Act and is effective for the Commitment Parties and each Lender.</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This paragraph, the indemnification, jurisdiction, waiver of jury trial, service of process, venue, governing law, sharing of information, no agency or fiduciary duty and confidentiality provisions contained herein and in the Fee Letters shall remain in full force and effect regardless of whether definitive financing documentation shall be executed and delivered and notwithstanding the termination of this Commitment Letter or the commitments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your obligations under this Commitment Letter (but not the Fee Letters) (and other than your agreements in respect of no fiduciary or similar duties and your obligations in respect confidentiality (which shall terminate in accordance with Section 9)) shall automatically terminate and be superseded by the provisions of the Senior Credit Documentation upon the execution thereof, and you shall automatically be released from all liability in connection therewith at such time. You may terminate the Commitment Parties’ commitments (or a portion thereof) hereunder at any time subject to the provisions of the preceding sentence;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in the case of any termination of the commitments under the Senior Credit Facility in part, such termination is applied to reduce the commitments of the Commitment Parties on a pro rata basis.</w:t>
      </w:r>
    </w:p>
    <w:p>
      <w:pPr>
        <w:pStyle w:val="TextBody"/>
        <w:spacing w:before="11" w:after="283"/>
        <w:rPr/>
      </w:pPr>
      <w:r>
        <w:rPr/>
      </w:r>
    </w:p>
    <w:p>
      <w:pPr>
        <w:pStyle w:val="TextBody"/>
        <w:spacing w:lineRule="auto" w:line="240" w:before="0" w:after="0"/>
        <w:jc w:val="both"/>
        <w:rPr/>
      </w:pPr>
      <w:r>
        <w:rPr>
          <w:rFonts w:ascii="Times New Roman;sans-serif" w:hAnsi="Times New Roman;sans-serif"/>
          <w:b w:val="false"/>
          <w:color w:val="000000"/>
          <w:sz w:val="24"/>
        </w:rPr>
        <w:t>If the foregoing correctly sets forth our agreement, please indicate your acceptance of the terms of this Commitment Letter and the Fee Letters by returning to us executed counterparts of this Commitment Letter and of the Fee Letters not later than 11:59 p.m., New York time, on May 3, 2023. This offer will automatically expire at such time if we have not received such executed counterparts in accordance with the preceding sentence, unless we shall, in our sole discretion, agree to an extension. Unless we shall, in our sole discretion, agree to an extension, this Commitment Letter and the commitments hereunder shall automatically terminate in the event that (a) in respect of the Senior Credit Facility, if the initial borrowing thereunder does not occur on or before 11:59 p.m., New York City time, on February 5, 2024, as such may be extended pursuant to Section 8.1(b)(i) of the Merger Agreement as in effect on the date hereof (such date, including any such extensions thereof, the “</w:t>
      </w:r>
      <w:r>
        <w:rPr>
          <w:rFonts w:ascii="Times New Roman;sans-serif" w:hAnsi="Times New Roman;sans-serif"/>
          <w:b w:val="false"/>
          <w:color w:val="000000"/>
          <w:sz w:val="24"/>
          <w:u w:val="single"/>
        </w:rPr>
        <w:t>Expiration Time</w:t>
      </w:r>
      <w:r>
        <w:rPr>
          <w:color w:val="000000"/>
        </w:rPr>
        <w:t>”</w:t>
      </w:r>
      <w:r>
        <w:rPr>
          <w:rFonts w:ascii="Times New Roman;sans-serif" w:hAnsi="Times New Roman;sans-serif"/>
          <w:b w:val="false"/>
          <w:color w:val="000000"/>
          <w:sz w:val="24"/>
        </w:rPr>
        <w:t xml:space="preserve">), (b) the Merger closes with or without the use of the Senior Credit Facility or (c) after execution of the Merger Agreement and prior to the consummation of the Merger, the termination of the Merger Agreement by you or with your written consent (other than with respect to provisions therein that expressly survive termination);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termination of any commitment pursuant to this sentence does not prejudice your or our rights and remedies in respect of any breach of this Commitment Letter.</w:t>
      </w:r>
    </w:p>
    <w:p>
      <w:pPr>
        <w:pStyle w:val="TextBody"/>
        <w:spacing w:before="1" w:after="283"/>
        <w:rPr/>
      </w:pPr>
      <w:r>
        <w:rPr/>
      </w:r>
    </w:p>
    <w:p>
      <w:pPr>
        <w:pStyle w:val="TextBody"/>
        <w:spacing w:lineRule="auto" w:line="240" w:before="0" w:after="0"/>
        <w:rPr/>
      </w:pPr>
      <w:r>
        <w:rPr>
          <w:rFonts w:ascii="Times New Roman;sans-serif" w:hAnsi="Times New Roman;sans-serif"/>
          <w:b/>
          <w:color w:val="000000"/>
          <w:sz w:val="24"/>
        </w:rPr>
        <w:t>[</w:t>
      </w:r>
      <w:r>
        <w:rPr>
          <w:rFonts w:ascii="Times New Roman;sans-serif" w:hAnsi="Times New Roman;sans-serif"/>
          <w:b w:val="false"/>
          <w:color w:val="000000"/>
          <w:sz w:val="24"/>
        </w:rPr>
        <w:t>THE REMAINDER OF THIS PAGE IS INTENTIONALLY LEFT BLANK</w:t>
      </w:r>
      <w:r>
        <w:rPr>
          <w:rFonts w:ascii="Times New Roman;sans-serif" w:hAnsi="Times New Roman;sans-serif"/>
          <w:b/>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81050"/>
                <wp:effectExtent l="0" t="0" r="0" b="0"/>
                <wp:wrapNone/>
                <wp:docPr id="49" name="Frame48"/>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lineRule="auto" w:line="240" w:before="79"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We are pleased to have been given the opportunity to assist you in connection with this important financing.</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p>
      <w:pPr>
        <w:pStyle w:val="TextBody"/>
        <w:spacing w:before="9" w:after="283"/>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GOLDMAN SACHS BANK USA</w:t>
      </w:r>
    </w:p>
    <w:p>
      <w:pPr>
        <w:pStyle w:val="TextBody"/>
        <w:spacing w:before="0" w:after="0"/>
        <w:rPr/>
      </w:pPr>
      <w:r>
        <w:rPr/>
      </w:r>
    </w:p>
    <w:p>
      <w:pPr>
        <w:pStyle w:val="TextBody"/>
        <w:spacing w:before="0" w:after="0"/>
        <w:rPr/>
      </w:pPr>
      <w:r>
        <w:rPr/>
      </w:r>
    </w:p>
    <w:p>
      <w:pPr>
        <w:pStyle w:val="TextBody"/>
        <w:spacing w:lineRule="auto" w:line="240" w:before="179" w:after="283"/>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Robert Ehudin</w:t>
      </w:r>
    </w:p>
    <w:p>
      <w:pPr>
        <w:pStyle w:val="TextBody"/>
        <w:spacing w:before="0" w:after="0"/>
        <w:rPr/>
      </w:pPr>
      <w:r>
        <w:rPr/>
      </w:r>
    </w:p>
    <w:p>
      <w:pPr>
        <w:pStyle w:val="TextBody"/>
        <w:spacing w:lineRule="auto" w:line="254" w:before="0" w:after="0"/>
        <w:rPr>
          <w:rFonts w:ascii="Times New Roman;sans-serif" w:hAnsi="Times New Roman;sans-serif"/>
          <w:b w:val="false"/>
          <w:color w:val="000000"/>
          <w:sz w:val="22"/>
        </w:rPr>
      </w:pPr>
      <w:r>
        <w:rPr>
          <w:rFonts w:ascii="Times New Roman;sans-serif" w:hAnsi="Times New Roman;sans-serif"/>
          <w:b w:val="false"/>
          <w:color w:val="000000"/>
          <w:sz w:val="22"/>
        </w:rPr>
        <w:t>Name: Robert Ehudin</w:t>
      </w:r>
    </w:p>
    <w:p>
      <w:pPr>
        <w:pStyle w:val="TextBody"/>
        <w:spacing w:lineRule="auto" w:line="240" w:before="0" w:after="0"/>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4"/>
        </w:rPr>
        <w:t>Authorized Signatory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81050"/>
                <wp:effectExtent l="0" t="0" r="0" b="0"/>
                <wp:wrapNone/>
                <wp:docPr id="50" name="Frame49"/>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7620" w:type="dxa"/>
                              <w:jc w:val="left"/>
                              <w:tblInd w:w="0" w:type="dxa"/>
                              <w:tblCellMar>
                                <w:top w:w="28" w:type="dxa"/>
                                <w:left w:w="28" w:type="dxa"/>
                                <w:bottom w:w="28" w:type="dxa"/>
                                <w:right w:w="28" w:type="dxa"/>
                              </w:tblCellMar>
                            </w:tblPr>
                            <w:tblGrid>
                              <w:gridCol w:w="2440"/>
                              <w:gridCol w:w="2145"/>
                              <w:gridCol w:w="3035"/>
                            </w:tblGrid>
                            <w:tr>
                              <w:trPr/>
                              <w:tc>
                                <w:tcPr>
                                  <w:tcW w:w="2440"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3035" w:type="dxa"/>
                                  <w:tcBorders/>
                                  <w:shd w:fill="auto" w:val="clear"/>
                                  <w:vAlign w:val="center"/>
                                </w:tcPr>
                                <w:p>
                                  <w:pPr>
                                    <w:pStyle w:val="TableContents"/>
                                    <w:spacing w:before="0" w:after="283"/>
                                    <w:rPr>
                                      <w:sz w:val="4"/>
                                      <w:szCs w:val="4"/>
                                    </w:rPr>
                                  </w:pPr>
                                  <w:r>
                                    <w:rPr>
                                      <w:sz w:val="4"/>
                                      <w:szCs w:val="4"/>
                                    </w:rPr>
                                  </w:r>
                                </w:p>
                              </w:tc>
                            </w:tr>
                            <w:tr>
                              <w:trPr/>
                              <w:tc>
                                <w:tcPr>
                                  <w:tcW w:w="7620" w:type="dxa"/>
                                  <w:gridSpan w:val="3"/>
                                  <w:tcBorders/>
                                  <w:shd w:fill="auto" w:val="clear"/>
                                  <w:tcMar>
                                    <w:top w:w="0" w:type="dxa"/>
                                    <w:left w:w="0" w:type="dxa"/>
                                    <w:bottom w:w="0" w:type="dxa"/>
                                    <w:right w:w="0" w:type="dxa"/>
                                  </w:tcMar>
                                  <w:vAlign w:val="center"/>
                                </w:tcPr>
                                <w:p>
                                  <w:pPr>
                                    <w:pStyle w:val="TableContents"/>
                                    <w:spacing w:lineRule="auto" w:line="240" w:before="10" w:after="283"/>
                                    <w:jc w:val="center"/>
                                    <w:rPr>
                                      <w:rFonts w:ascii="Times New Roman;sans-serif" w:hAnsi="Times New Roman;sans-serif"/>
                                      <w:b w:val="false"/>
                                      <w:color w:val="DBDBDB"/>
                                      <w:sz w:val="24"/>
                                    </w:rPr>
                                  </w:pPr>
                                  <w:r>
                                    <w:rPr>
                                      <w:rFonts w:ascii="Times New Roman;sans-serif" w:hAnsi="Times New Roman;sans-serif"/>
                                      <w:b w:val="false"/>
                                      <w:color w:val="DBDBDB"/>
                                      <w:sz w:val="24"/>
                                    </w:rPr>
                                    <w:t>[Project Anderson – Senior Credit Facility Commitment Letter Signature Page]</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7620" w:type="dxa"/>
                        <w:jc w:val="left"/>
                        <w:tblInd w:w="0" w:type="dxa"/>
                        <w:tblCellMar>
                          <w:top w:w="28" w:type="dxa"/>
                          <w:left w:w="28" w:type="dxa"/>
                          <w:bottom w:w="28" w:type="dxa"/>
                          <w:right w:w="28" w:type="dxa"/>
                        </w:tblCellMar>
                      </w:tblPr>
                      <w:tblGrid>
                        <w:gridCol w:w="2440"/>
                        <w:gridCol w:w="2145"/>
                        <w:gridCol w:w="3035"/>
                      </w:tblGrid>
                      <w:tr>
                        <w:trPr/>
                        <w:tc>
                          <w:tcPr>
                            <w:tcW w:w="2440"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3035" w:type="dxa"/>
                            <w:tcBorders/>
                            <w:shd w:fill="auto" w:val="clear"/>
                            <w:vAlign w:val="center"/>
                          </w:tcPr>
                          <w:p>
                            <w:pPr>
                              <w:pStyle w:val="TableContents"/>
                              <w:spacing w:before="0" w:after="283"/>
                              <w:rPr>
                                <w:sz w:val="4"/>
                                <w:szCs w:val="4"/>
                              </w:rPr>
                            </w:pPr>
                            <w:r>
                              <w:rPr>
                                <w:sz w:val="4"/>
                                <w:szCs w:val="4"/>
                              </w:rPr>
                            </w:r>
                          </w:p>
                        </w:tc>
                      </w:tr>
                      <w:tr>
                        <w:trPr/>
                        <w:tc>
                          <w:tcPr>
                            <w:tcW w:w="7620" w:type="dxa"/>
                            <w:gridSpan w:val="3"/>
                            <w:tcBorders/>
                            <w:shd w:fill="auto" w:val="clear"/>
                            <w:tcMar>
                              <w:top w:w="0" w:type="dxa"/>
                              <w:left w:w="0" w:type="dxa"/>
                              <w:bottom w:w="0" w:type="dxa"/>
                              <w:right w:w="0" w:type="dxa"/>
                            </w:tcMar>
                            <w:vAlign w:val="center"/>
                          </w:tcPr>
                          <w:p>
                            <w:pPr>
                              <w:pStyle w:val="TableContents"/>
                              <w:spacing w:lineRule="auto" w:line="240" w:before="10" w:after="283"/>
                              <w:jc w:val="center"/>
                              <w:rPr>
                                <w:rFonts w:ascii="Times New Roman;sans-serif" w:hAnsi="Times New Roman;sans-serif"/>
                                <w:b w:val="false"/>
                                <w:color w:val="DBDBDB"/>
                                <w:sz w:val="24"/>
                              </w:rPr>
                            </w:pPr>
                            <w:r>
                              <w:rPr>
                                <w:rFonts w:ascii="Times New Roman;sans-serif" w:hAnsi="Times New Roman;sans-serif"/>
                                <w:b w:val="false"/>
                                <w:color w:val="DBDBDB"/>
                                <w:sz w:val="24"/>
                              </w:rPr>
                              <w:t>[Project Anderson – Senior Credit Facility Commitment Letter Signature Page]</w:t>
                            </w:r>
                          </w:p>
                        </w:tc>
                      </w:tr>
                    </w:tbl>
                    <w:p>
                      <w:pPr>
                        <w:pStyle w:val="TextBody"/>
                        <w:spacing w:before="0" w:after="283"/>
                        <w:rPr/>
                      </w:pPr>
                      <w:r>
                        <w:rPr/>
                      </w:r>
                    </w:p>
                  </w:txbxContent>
                </v:textbox>
              </v:rect>
            </w:pict>
          </mc:Fallback>
        </mc:AlternateContent>
      </w:r>
    </w:p>
    <w:p>
      <w:pPr>
        <w:pStyle w:val="TextBody"/>
        <w:spacing w:lineRule="auto" w:line="240" w:before="79" w:after="283"/>
        <w:rPr>
          <w:rFonts w:ascii="Times New Roman;sans-serif" w:hAnsi="Times New Roman;sans-serif"/>
          <w:b w:val="false"/>
          <w:color w:val="000000"/>
          <w:sz w:val="24"/>
        </w:rPr>
      </w:pPr>
      <w:r>
        <w:rPr>
          <w:rFonts w:ascii="Times New Roman;sans-serif" w:hAnsi="Times New Roman;sans-serif"/>
          <w:b w:val="false"/>
          <w:color w:val="000000"/>
          <w:sz w:val="24"/>
        </w:rPr>
        <w:t>Accepted and agreed to as of the date first above written:</w:t>
      </w:r>
    </w:p>
    <w:p>
      <w:pPr>
        <w:pStyle w:val="TextBody"/>
        <w:spacing w:before="10" w:after="283"/>
        <w:rPr/>
      </w:pPr>
      <w:r>
        <w:rPr/>
      </w:r>
    </w:p>
    <w:p>
      <w:pPr>
        <w:pStyle w:val="TextBody"/>
        <w:spacing w:lineRule="auto" w:line="240" w:before="0" w:after="0"/>
        <w:rPr/>
      </w:pPr>
      <w:r>
        <w:rPr>
          <w:rFonts w:ascii="Times New Roman;sans-serif" w:hAnsi="Times New Roman;sans-serif"/>
          <w:b/>
          <w:color w:val="000000"/>
          <w:sz w:val="24"/>
        </w:rPr>
        <w:t>OPTION CARE HEALTH, INC. (F/K/A BIOSCRIP, INC.)</w:t>
      </w:r>
      <w:r>
        <w:rPr>
          <w:rFonts w:ascii="Times New Roman;sans-serif" w:hAnsi="Times New Roman;sans-serif"/>
          <w:b w:val="false"/>
          <w:color w:val="000000"/>
          <w:sz w:val="24"/>
        </w:rPr>
        <w:t>,</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Shapiro</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Shapiro</w:t>
      </w:r>
    </w:p>
    <w:p>
      <w:pPr>
        <w:pStyle w:val="TextBody"/>
        <w:spacing w:lineRule="auto" w:line="240" w:before="1" w:after="283"/>
        <w:ind w:left="0" w:right="0" w:hanging="780"/>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Chief Financial Officer and Treasurer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81050"/>
                <wp:effectExtent l="0" t="0" r="0" b="0"/>
                <wp:wrapNone/>
                <wp:docPr id="51" name="Frame50"/>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5670" w:type="dxa"/>
                              <w:jc w:val="left"/>
                              <w:tblInd w:w="0" w:type="dxa"/>
                              <w:tblCellMar>
                                <w:top w:w="28" w:type="dxa"/>
                                <w:left w:w="28" w:type="dxa"/>
                                <w:bottom w:w="28" w:type="dxa"/>
                                <w:right w:w="28" w:type="dxa"/>
                              </w:tblCellMar>
                            </w:tblPr>
                            <w:tblGrid>
                              <w:gridCol w:w="1815"/>
                              <w:gridCol w:w="1593"/>
                              <w:gridCol w:w="2262"/>
                            </w:tblGrid>
                            <w:tr>
                              <w:trPr/>
                              <w:tc>
                                <w:tcPr>
                                  <w:tcW w:w="1815"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10" w:after="283"/>
                                    <w:jc w:val="center"/>
                                    <w:rPr/>
                                  </w:pPr>
                                  <w:r>
                                    <w:rPr>
                                      <w:rFonts w:ascii="Times New Roman;sans-serif" w:hAnsi="Times New Roman;sans-serif"/>
                                      <w:b w:val="false"/>
                                      <w:color w:val="DBDBDB"/>
                                      <w:sz w:val="22"/>
                                    </w:rPr>
                                    <w:t>[</w:t>
                                  </w:r>
                                  <w:r>
                                    <w:rPr>
                                      <w:rFonts w:ascii="Times New Roman;sans-serif" w:hAnsi="Times New Roman;sans-serif"/>
                                      <w:b w:val="false"/>
                                      <w:color w:val="DBDBDB"/>
                                      <w:sz w:val="24"/>
                                    </w:rPr>
                                    <w:t xml:space="preserve">Senior Credit Facility </w:t>
                                  </w:r>
                                  <w:r>
                                    <w:rPr>
                                      <w:rFonts w:ascii="Times New Roman;sans-serif" w:hAnsi="Times New Roman;sans-serif"/>
                                      <w:b w:val="false"/>
                                      <w:color w:val="DBDBDB"/>
                                      <w:sz w:val="22"/>
                                    </w:rPr>
                                    <w:t>Commitment Letter Signature Page]</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670" w:type="dxa"/>
                        <w:jc w:val="left"/>
                        <w:tblInd w:w="0" w:type="dxa"/>
                        <w:tblCellMar>
                          <w:top w:w="28" w:type="dxa"/>
                          <w:left w:w="28" w:type="dxa"/>
                          <w:bottom w:w="28" w:type="dxa"/>
                          <w:right w:w="28" w:type="dxa"/>
                        </w:tblCellMar>
                      </w:tblPr>
                      <w:tblGrid>
                        <w:gridCol w:w="1815"/>
                        <w:gridCol w:w="1593"/>
                        <w:gridCol w:w="2262"/>
                      </w:tblGrid>
                      <w:tr>
                        <w:trPr/>
                        <w:tc>
                          <w:tcPr>
                            <w:tcW w:w="1815"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10" w:after="283"/>
                              <w:jc w:val="center"/>
                              <w:rPr/>
                            </w:pPr>
                            <w:r>
                              <w:rPr>
                                <w:rFonts w:ascii="Times New Roman;sans-serif" w:hAnsi="Times New Roman;sans-serif"/>
                                <w:b w:val="false"/>
                                <w:color w:val="DBDBDB"/>
                                <w:sz w:val="22"/>
                              </w:rPr>
                              <w:t>[</w:t>
                            </w:r>
                            <w:r>
                              <w:rPr>
                                <w:rFonts w:ascii="Times New Roman;sans-serif" w:hAnsi="Times New Roman;sans-serif"/>
                                <w:b w:val="false"/>
                                <w:color w:val="DBDBDB"/>
                                <w:sz w:val="24"/>
                              </w:rPr>
                              <w:t xml:space="preserve">Senior Credit Facility </w:t>
                            </w:r>
                            <w:r>
                              <w:rPr>
                                <w:rFonts w:ascii="Times New Roman;sans-serif" w:hAnsi="Times New Roman;sans-serif"/>
                                <w:b w:val="false"/>
                                <w:color w:val="DBDBDB"/>
                                <w:sz w:val="22"/>
                              </w:rPr>
                              <w:t>Commitment Letter Signature Page]</w:t>
                            </w:r>
                          </w:p>
                        </w:tc>
                      </w:tr>
                    </w:tbl>
                    <w:p>
                      <w:pPr>
                        <w:pStyle w:val="TextBody"/>
                        <w:spacing w:before="0" w:after="283"/>
                        <w:rPr/>
                      </w:pPr>
                      <w:r>
                        <w:rPr/>
                      </w:r>
                    </w:p>
                  </w:txbxContent>
                </v:textbox>
              </v:rect>
            </w:pict>
          </mc:Fallback>
        </mc:AlternateContent>
      </w:r>
    </w:p>
    <w:p>
      <w:pPr>
        <w:pStyle w:val="TextBody"/>
        <w:spacing w:lineRule="auto" w:line="240" w:before="72" w:after="283"/>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w:t>
      </w:r>
    </w:p>
    <w:p>
      <w:pPr>
        <w:pStyle w:val="TextBody"/>
        <w:spacing w:before="7" w:after="283"/>
        <w:rPr/>
      </w:pPr>
      <w:r>
        <w:rPr/>
      </w:r>
    </w:p>
    <w:p>
      <w:pPr>
        <w:pStyle w:val="TextBody"/>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PROJECT ANDERSON</w:t>
      </w:r>
    </w:p>
    <w:p>
      <w:pPr>
        <w:pStyle w:val="TextBody"/>
        <w:spacing w:before="3" w:after="283"/>
        <w:rPr/>
      </w:pPr>
      <w:r>
        <w:rPr/>
      </w:r>
    </w:p>
    <w:p>
      <w:pPr>
        <w:pStyle w:val="TextBody"/>
        <w:spacing w:lineRule="auto" w:line="276" w:before="0" w:after="0"/>
        <w:ind w:left="0" w:right="0" w:firstLine="9"/>
        <w:jc w:val="center"/>
        <w:rPr/>
      </w:pPr>
      <w:r>
        <w:rPr>
          <w:rFonts w:ascii="Times New Roman;sans-serif" w:hAnsi="Times New Roman;sans-serif"/>
          <w:b w:val="false"/>
          <w:color w:val="000000"/>
          <w:sz w:val="24"/>
        </w:rPr>
        <w:t xml:space="preserve">Senior Credit Facility </w:t>
      </w:r>
      <w:r>
        <w:rPr>
          <w:rFonts w:ascii="Times New Roman;sans-serif" w:hAnsi="Times New Roman;sans-serif"/>
          <w:b w:val="false"/>
          <w:color w:val="000000"/>
          <w:sz w:val="24"/>
          <w:u w:val="single"/>
        </w:rPr>
        <w:t>Transaction Summary</w:t>
      </w:r>
    </w:p>
    <w:p>
      <w:pPr>
        <w:pStyle w:val="TextBody"/>
        <w:spacing w:before="4" w:after="283"/>
        <w:rPr/>
      </w:pPr>
      <w:r>
        <w:rPr/>
      </w:r>
    </w:p>
    <w:p>
      <w:pPr>
        <w:pStyle w:val="TextBody"/>
        <w:spacing w:lineRule="auto" w:line="276" w:before="93" w:after="283"/>
        <w:ind w:left="0" w:right="0" w:firstLine="720"/>
        <w:jc w:val="both"/>
        <w:rPr/>
      </w:pPr>
      <w:r>
        <w:rPr>
          <w:rFonts w:ascii="Times New Roman;sans-serif" w:hAnsi="Times New Roman;sans-serif"/>
          <w:b w:val="false"/>
          <w:color w:val="000000"/>
          <w:sz w:val="24"/>
        </w:rPr>
        <w:t xml:space="preserve">Capitalized terms used but not defined in this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shall have the meanings set forth in the letter to which this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is attached or in </w:t>
      </w:r>
      <w:r>
        <w:rPr>
          <w:rFonts w:ascii="Times New Roman;sans-serif" w:hAnsi="Times New Roman;sans-serif"/>
          <w:b w:val="false"/>
          <w:color w:val="000000"/>
          <w:sz w:val="24"/>
          <w:u w:val="single"/>
        </w:rPr>
        <w:t>Exhibits 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thereto.</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The Borrower intends to consummate a stock-for-stock exchange, directly or indirectly, with a company previously identified to the Commitment Parties as “Apple”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pursuant to the Merger Agreement defined below. In connection therewith, it is intended that:</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(a)The Borrower will form Uintah Merger Sub, Inc., a wholly owned subsidiary of the Borrower and a Delaware corporation (“</w:t>
      </w:r>
      <w:r>
        <w:rPr>
          <w:rFonts w:ascii="Times New Roman;sans-serif" w:hAnsi="Times New Roman;sans-serif"/>
          <w:b w:val="false"/>
          <w:color w:val="000000"/>
          <w:sz w:val="24"/>
          <w:u w:val="single"/>
        </w:rPr>
        <w:t>Merger Sub</w:t>
      </w:r>
      <w:r>
        <w:rPr>
          <w:color w:val="000000"/>
        </w:rPr>
        <w:t>”</w:t>
      </w:r>
      <w:r>
        <w:rPr>
          <w:rFonts w:ascii="Times New Roman;sans-serif" w:hAnsi="Times New Roman;sans-serif"/>
          <w:b w:val="false"/>
          <w:color w:val="000000"/>
          <w:sz w:val="24"/>
        </w:rPr>
        <w:t>). On the Closing Date, pursuant to that certain Agreement and Plan of Merger, dated as of the date hereof, by and among the Borrower, Merger Sub, and the Company (together with the exhibits and disclosure schedules thereto, as amended, modified, supplemented or waived, the “</w:t>
      </w:r>
      <w:r>
        <w:rPr>
          <w:rFonts w:ascii="Times New Roman;sans-serif" w:hAnsi="Times New Roman;sans-serif"/>
          <w:b w:val="false"/>
          <w:color w:val="000000"/>
          <w:sz w:val="24"/>
          <w:u w:val="single"/>
        </w:rPr>
        <w:t>Merger Agreement</w:t>
      </w:r>
      <w:r>
        <w:rPr>
          <w:color w:val="000000"/>
        </w:rPr>
        <w:t>”</w:t>
      </w:r>
      <w:r>
        <w:rPr>
          <w:rFonts w:ascii="Times New Roman;sans-serif" w:hAnsi="Times New Roman;sans-serif"/>
          <w:b w:val="false"/>
          <w:color w:val="000000"/>
          <w:sz w:val="24"/>
        </w:rPr>
        <w:t>), Merger Sub shall be merged with and into the Company with the Company as the continuing surviving entity (such merger referred to herein as the “</w:t>
      </w:r>
      <w:r>
        <w:rPr>
          <w:rFonts w:ascii="Times New Roman;sans-serif" w:hAnsi="Times New Roman;sans-serif"/>
          <w:b w:val="false"/>
          <w:color w:val="000000"/>
          <w:sz w:val="24"/>
          <w:u w:val="single"/>
        </w:rPr>
        <w:t>Merger</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(b)The Borrower will obtain a senior secured 364-day term loan facility in an aggregate principal amount of up to $450 million (the “</w:t>
      </w:r>
      <w:r>
        <w:rPr>
          <w:rFonts w:ascii="Times New Roman;sans-serif" w:hAnsi="Times New Roman;sans-serif"/>
          <w:b w:val="false"/>
          <w:color w:val="000000"/>
          <w:sz w:val="24"/>
          <w:u w:val="single"/>
        </w:rPr>
        <w:t>Senior Credit Facility</w:t>
      </w:r>
      <w:r>
        <w:rPr>
          <w:color w:val="000000"/>
        </w:rPr>
        <w:t>”</w:t>
      </w:r>
      <w:r>
        <w:rPr>
          <w:rFonts w:ascii="Times New Roman;sans-serif" w:hAnsi="Times New Roman;sans-serif"/>
          <w:b w:val="false"/>
          <w:color w:val="000000"/>
          <w:sz w:val="24"/>
        </w:rPr>
        <w:t xml:space="preserve">), as described in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to the Commitment Letter.</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(c)All existing indebtedness for borrowed money of the Company and its subsidiaries pursuant to that certain Amended and Restated Credit Agreement, dated as of June 29, 2018, by and among the Company, the lenders from time to time party thereto, the other parties from time to time party thereto and Bank of America, N.A. as administrative agent, will be repaid or satisfied or discharged, and all related guaranties and security interests with respect thereto will be terminated and released substantially concurrently with the initial funding of the Senior Credit Facility (or arrangements for such termination and release shall have been made) (collectively, the “</w:t>
      </w:r>
      <w:r>
        <w:rPr>
          <w:rFonts w:ascii="Times New Roman;sans-serif" w:hAnsi="Times New Roman;sans-serif"/>
          <w:b w:val="false"/>
          <w:color w:val="000000"/>
          <w:sz w:val="24"/>
          <w:u w:val="single"/>
        </w:rPr>
        <w:t>Refinancing</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(d)The proceeds of the Senior Credit Facility and cash on hand at the Borrower and its subsidiaries (including proceeds available under the ABL Credit Agreement (as defined below)) and the Company and its subsidiaries on the Closing Date will be applied to effect the Refinancing and to pay the fees, closing payments, premiums, expenses and other transaction costs incurred in connection with the Merger and Refinancing (the “</w:t>
      </w:r>
      <w:r>
        <w:rPr>
          <w:rFonts w:ascii="Times New Roman;sans-serif" w:hAnsi="Times New Roman;sans-serif"/>
          <w:b w:val="false"/>
          <w:color w:val="000000"/>
          <w:sz w:val="24"/>
          <w:u w:val="single"/>
        </w:rPr>
        <w:t>Transaction Costs</w:t>
      </w:r>
      <w:r>
        <w:rPr>
          <w:color w:val="000000"/>
        </w:rPr>
        <w:t>”</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The transactions described above are collectively referred to herein as the “</w:t>
      </w:r>
      <w:r>
        <w:rPr>
          <w:rFonts w:ascii="Times New Roman;sans-serif" w:hAnsi="Times New Roman;sans-serif"/>
          <w:b w:val="false"/>
          <w:color w:val="000000"/>
          <w:sz w:val="24"/>
          <w:u w:val="single"/>
        </w:rPr>
        <w:t>Transactions</w:t>
      </w:r>
      <w:r>
        <w:rPr>
          <w:rFonts w:ascii="Times New Roman;sans-serif" w:hAnsi="Times New Roman;sans-serif"/>
          <w:b w:val="false"/>
          <w:color w:val="000000"/>
          <w:sz w:val="24"/>
        </w:rPr>
        <w:t>.” For purposes of the Commitment Letter and the Fee Letters, “</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shall mean the date of (i) the satisfaction or waiver of the Exclusive Funding Conditions, (ii) the funding of the Senior Credit Facility, (iii) the consummation of the Refinancing and (iv) the consummation of the Merger. The Borrower hereby designates the Transactions described in clauses (a) and (b)</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81050"/>
                <wp:effectExtent l="0" t="0" r="0" b="0"/>
                <wp:wrapNone/>
                <wp:docPr id="52" name="Frame51"/>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76"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above as a “Limited Condition Transaction” for purposes of (x) the First Lien Credit Agreement,</w:t>
      </w:r>
    </w:p>
    <w:p>
      <w:pPr>
        <w:pStyle w:val="TextBody"/>
        <w:spacing w:lineRule="auto" w:line="240" w:before="0" w:after="0"/>
        <w:jc w:val="both"/>
        <w:rPr/>
      </w:pPr>
      <w:r>
        <w:rPr>
          <w:rFonts w:ascii="Times New Roman;sans-serif" w:hAnsi="Times New Roman;sans-serif"/>
          <w:b w:val="false"/>
          <w:color w:val="000000"/>
          <w:sz w:val="24"/>
        </w:rPr>
        <w:t>(y) that certain ABL Credit Agreement, dated as of August 6, 2019 (as amended, restated, amended and restated, supplemented or otherwise modified from time to time, the “</w:t>
      </w:r>
      <w:r>
        <w:rPr>
          <w:rFonts w:ascii="Times New Roman;sans-serif" w:hAnsi="Times New Roman;sans-serif"/>
          <w:b w:val="false"/>
          <w:color w:val="000000"/>
          <w:sz w:val="24"/>
          <w:u w:val="single"/>
        </w:rPr>
        <w:t>ABL Credit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and among Option Care Health, Inc., a Delaware corporation, the other Borrowers (as defined therein) party thereto from time to time, the Guarantors (as defined therein) party thereto from time to time, the lenders from time to time party thereto, and Bank of America, N.A., as administrative agent and (z) that certain Indenture, dated as of October 27, 2021 (as amended, restated, amended and restated, supplemented or otherwise modified from time to time, the “</w:t>
      </w:r>
      <w:r>
        <w:rPr>
          <w:rFonts w:ascii="Times New Roman;sans-serif" w:hAnsi="Times New Roman;sans-serif"/>
          <w:b w:val="false"/>
          <w:color w:val="000000"/>
          <w:sz w:val="24"/>
          <w:u w:val="single"/>
        </w:rPr>
        <w:t>Indenture</w:t>
      </w:r>
      <w:r>
        <w:rPr>
          <w:color w:val="000000"/>
        </w:rPr>
        <w:t>”</w:t>
      </w:r>
      <w:r>
        <w:rPr>
          <w:rFonts w:ascii="Times New Roman;sans-serif" w:hAnsi="Times New Roman;sans-serif"/>
          <w:b w:val="false"/>
          <w:color w:val="000000"/>
          <w:sz w:val="24"/>
        </w:rPr>
        <w:t>), among the Borrower, as issuer, the guarantors party thereto and Ankura Trust Company, LLC, as trustee, with respect to the Borrower’s 4.375% senior notes due 2029. The indebtedness under the Senior Credit Facility may be incurred under (i) with respect to the First Lien Credit Agreement, Section 7.01(bb), 7.01(gg), 7.03(m) and 7.03(p) thereof, (ii) with respect to the ABL Credit Agreement, Section 7.01(bb), 7.01(gg), 7.03(m) and 7.03(k) thereof, and (iii) with respect to the Indenture, one or more of Sections 3.2(a), 3.2(b)(1), 3.2(b)(5), 3.2(b)(14) and 3.6 thereof and clauses (31) and (33) of the definition of “Permitted Liens”.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81050"/>
                <wp:effectExtent l="0" t="0" r="0" b="0"/>
                <wp:wrapNone/>
                <wp:docPr id="53" name="Frame52"/>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lineRule="auto" w:line="240" w:before="72" w:after="283"/>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B</w:t>
      </w:r>
    </w:p>
    <w:p>
      <w:pPr>
        <w:pStyle w:val="TextBody"/>
        <w:spacing w:before="7" w:after="283"/>
        <w:rPr/>
      </w:pPr>
      <w:r>
        <w:rPr/>
      </w:r>
    </w:p>
    <w:p>
      <w:pPr>
        <w:pStyle w:val="TextBody"/>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PROJECT ANDERSON</w:t>
      </w:r>
    </w:p>
    <w:p>
      <w:pPr>
        <w:pStyle w:val="TextBody"/>
        <w:spacing w:before="3" w:after="283"/>
        <w:rPr/>
      </w:pPr>
      <w:r>
        <w:rPr/>
      </w:r>
    </w:p>
    <w:p>
      <w:pPr>
        <w:pStyle w:val="TextBody"/>
        <w:spacing w:lineRule="auto" w:line="276" w:before="0" w:after="0"/>
        <w:ind w:left="0" w:right="0" w:firstLine="652"/>
        <w:rPr/>
      </w:pPr>
      <w:r>
        <w:rPr>
          <w:rFonts w:ascii="Times New Roman;sans-serif" w:hAnsi="Times New Roman;sans-serif"/>
          <w:b w:val="false"/>
          <w:color w:val="000000"/>
          <w:sz w:val="24"/>
        </w:rPr>
        <w:t xml:space="preserve">Senior Credit Facility </w:t>
      </w:r>
      <w:r>
        <w:rPr>
          <w:rFonts w:ascii="Times New Roman;sans-serif" w:hAnsi="Times New Roman;sans-serif"/>
          <w:b w:val="false"/>
          <w:color w:val="000000"/>
          <w:sz w:val="24"/>
          <w:u w:val="single"/>
        </w:rPr>
        <w:t>Summary of Terms and Conditions</w:t>
      </w:r>
    </w:p>
    <w:p>
      <w:pPr>
        <w:pStyle w:val="TextBody"/>
        <w:spacing w:before="4" w:after="283"/>
        <w:rPr/>
      </w:pPr>
      <w:r>
        <w:rPr/>
      </w:r>
    </w:p>
    <w:p>
      <w:pPr>
        <w:pStyle w:val="TextBody"/>
        <w:spacing w:lineRule="auto" w:line="240" w:before="90" w:after="283"/>
        <w:ind w:left="0" w:right="0" w:firstLine="720"/>
        <w:jc w:val="both"/>
        <w:rPr/>
      </w:pPr>
      <w:r>
        <w:rPr>
          <w:rFonts w:ascii="Times New Roman;sans-serif" w:hAnsi="Times New Roman;sans-serif"/>
          <w:b w:val="false"/>
          <w:color w:val="000000"/>
          <w:sz w:val="24"/>
        </w:rPr>
        <w:t xml:space="preserve">Set forth below is a summary of the principal terms and conditions for the Senior Credit Facility. Capitalized terms used but not defined in this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shall have the meanings set forth in the letter to which this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is attached or in </w:t>
      </w:r>
      <w:r>
        <w:rPr>
          <w:rFonts w:ascii="Times New Roman;sans-serif" w:hAnsi="Times New Roman;sans-serif"/>
          <w:b w:val="false"/>
          <w:color w:val="000000"/>
          <w:sz w:val="24"/>
          <w:u w:val="single"/>
        </w:rPr>
        <w:t>Exhibits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attached thereto.</w:t>
      </w:r>
    </w:p>
    <w:p>
      <w:pPr>
        <w:pStyle w:val="TextBody"/>
        <w:spacing w:before="7"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81050"/>
                <wp:effectExtent l="0" t="0" r="0" b="0"/>
                <wp:wrapNone/>
                <wp:docPr id="54" name="Frame53"/>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64"/>
        <w:gridCol w:w="496"/>
        <w:gridCol w:w="500"/>
        <w:gridCol w:w="2531"/>
        <w:gridCol w:w="2531"/>
        <w:gridCol w:w="3583"/>
      </w:tblGrid>
      <w:tr>
        <w:trPr/>
        <w:tc>
          <w:tcPr>
            <w:tcW w:w="56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3583"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Borrower:</w:t>
            </w:r>
          </w:p>
        </w:tc>
        <w:tc>
          <w:tcPr>
            <w:tcW w:w="8645" w:type="dxa"/>
            <w:gridSpan w:val="3"/>
            <w:tcBorders/>
            <w:shd w:fill="auto" w:val="clear"/>
            <w:tcMar>
              <w:top w:w="0" w:type="dxa"/>
              <w:left w:w="0" w:type="dxa"/>
              <w:bottom w:w="0" w:type="dxa"/>
              <w:right w:w="0" w:type="dxa"/>
            </w:tcMar>
            <w:vAlign w:val="center"/>
          </w:tcPr>
          <w:p>
            <w:pPr>
              <w:pStyle w:val="TableContents"/>
              <w:spacing w:lineRule="auto" w:line="280" w:before="0" w:after="0"/>
              <w:jc w:val="left"/>
              <w:rPr/>
            </w:pPr>
            <w:r>
              <w:rPr>
                <w:rFonts w:ascii="Times New Roman;sans-serif" w:hAnsi="Times New Roman;sans-serif"/>
                <w:b w:val="false"/>
                <w:color w:val="000000"/>
                <w:sz w:val="24"/>
              </w:rPr>
              <w:t>Option    Care    Health,    Inc.,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1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w:t>
            </w:r>
          </w:p>
        </w:tc>
        <w:tc>
          <w:tcPr>
            <w:tcW w:w="8645" w:type="dxa"/>
            <w:gridSpan w:val="3"/>
            <w:tcBorders/>
            <w:shd w:fill="auto" w:val="clear"/>
            <w:tcMar>
              <w:top w:w="0" w:type="dxa"/>
              <w:left w:w="0" w:type="dxa"/>
              <w:bottom w:w="0" w:type="dxa"/>
              <w:right w:w="0" w:type="dxa"/>
            </w:tcMar>
            <w:vAlign w:val="center"/>
          </w:tcPr>
          <w:p>
            <w:pPr>
              <w:pStyle w:val="TableContents"/>
              <w:spacing w:lineRule="auto" w:line="240" w:before="113" w:after="283"/>
              <w:jc w:val="both"/>
              <w:rPr/>
            </w:pPr>
            <w:r>
              <w:rPr>
                <w:rFonts w:ascii="Times New Roman;sans-serif" w:hAnsi="Times New Roman;sans-serif"/>
                <w:b w:val="false"/>
                <w:color w:val="000000"/>
                <w:sz w:val="24"/>
              </w:rPr>
              <w:t>Goldman Sachs Bank USA (“</w:t>
            </w:r>
            <w:r>
              <w:rPr>
                <w:rFonts w:ascii="Times New Roman;sans-serif" w:hAnsi="Times New Roman;sans-serif"/>
                <w:b w:val="false"/>
                <w:color w:val="000000"/>
                <w:sz w:val="24"/>
                <w:u w:val="single"/>
              </w:rPr>
              <w:t>Goldman Sachs</w:t>
            </w:r>
            <w:r>
              <w:rPr>
                <w:color w:val="000000"/>
              </w:rPr>
              <w:t>”</w:t>
            </w:r>
            <w:r>
              <w:rPr>
                <w:rFonts w:ascii="Times New Roman;sans-serif" w:hAnsi="Times New Roman;sans-serif"/>
                <w:b w:val="false"/>
                <w:color w:val="000000"/>
                <w:sz w:val="24"/>
              </w:rPr>
              <w:t>) will act as sole and exclusive administrative agent and collateral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for a syndicate of banks, financial institutions and institutional lenders reasonably acceptable to the Borrower (such consent not to be unreasonably withheld, delayed or conditioned) (excluding any Disqualified Institutions)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and will perform the duties customarily associated with such roles.</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80"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Senior Lead Arrangers:</w:t>
            </w:r>
          </w:p>
        </w:tc>
        <w:tc>
          <w:tcPr>
            <w:tcW w:w="8645" w:type="dxa"/>
            <w:gridSpan w:val="3"/>
            <w:tcBorders/>
            <w:shd w:fill="auto" w:val="clear"/>
            <w:tcMar>
              <w:top w:w="0" w:type="dxa"/>
              <w:left w:w="0" w:type="dxa"/>
              <w:bottom w:w="0" w:type="dxa"/>
              <w:right w:w="0" w:type="dxa"/>
            </w:tcMar>
            <w:vAlign w:val="center"/>
          </w:tcPr>
          <w:p>
            <w:pPr>
              <w:pStyle w:val="TableContents"/>
              <w:spacing w:lineRule="auto" w:line="240" w:before="114" w:after="283"/>
              <w:jc w:val="both"/>
              <w:rPr/>
            </w:pPr>
            <w:r>
              <w:rPr>
                <w:rFonts w:ascii="Times New Roman;sans-serif" w:hAnsi="Times New Roman;sans-serif"/>
                <w:b w:val="false"/>
                <w:color w:val="000000"/>
                <w:sz w:val="24"/>
              </w:rPr>
              <w:t>Goldman Sachs and each other Senior Lead Arranger appointed pursuant to the Commitment Letter will act as joint lead arrangers for the Senior Credit Facility (together with any additional arranger or bookrunner appointed pursuant to Section 2 of the Commitment Letter in such capacity, the “</w:t>
            </w:r>
            <w:r>
              <w:rPr>
                <w:rFonts w:ascii="Times New Roman;sans-serif" w:hAnsi="Times New Roman;sans-serif"/>
                <w:b w:val="false"/>
                <w:color w:val="000000"/>
                <w:sz w:val="24"/>
                <w:u w:val="single"/>
              </w:rPr>
              <w:t>Senior Lead</w:t>
            </w:r>
            <w:r>
              <w:rPr>
                <w:color w:val="000000"/>
              </w:rPr>
              <w:t xml:space="preserve"> </w:t>
            </w:r>
            <w:r>
              <w:rPr>
                <w:rFonts w:ascii="Times New Roman;sans-serif" w:hAnsi="Times New Roman;sans-serif"/>
                <w:b w:val="false"/>
                <w:color w:val="000000"/>
                <w:sz w:val="24"/>
                <w:u w:val="single"/>
              </w:rPr>
              <w:t>Arrangers</w:t>
            </w:r>
            <w:r>
              <w:rPr>
                <w:color w:val="000000"/>
              </w:rPr>
              <w:t>”</w:t>
            </w:r>
            <w:r>
              <w:rPr>
                <w:rFonts w:ascii="Times New Roman;sans-serif" w:hAnsi="Times New Roman;sans-serif"/>
                <w:b w:val="false"/>
                <w:color w:val="000000"/>
                <w:sz w:val="24"/>
              </w:rPr>
              <w:t>) and as joint lead bookrunners and will perform the duties customarily associated with such roles.</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Senior Credit Facility:</w:t>
            </w:r>
          </w:p>
        </w:tc>
        <w:tc>
          <w:tcPr>
            <w:tcW w:w="8645"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pPr>
            <w:r>
              <w:rPr>
                <w:rFonts w:ascii="Times New Roman;sans-serif" w:hAnsi="Times New Roman;sans-serif"/>
                <w:b w:val="false"/>
                <w:color w:val="000000"/>
                <w:sz w:val="24"/>
              </w:rPr>
              <w:t>A senior secured 364-day term loan facility in an aggregate principal amount equal to $450 million (the “</w:t>
            </w:r>
            <w:r>
              <w:rPr>
                <w:rFonts w:ascii="Times New Roman;sans-serif" w:hAnsi="Times New Roman;sans-serif"/>
                <w:b w:val="false"/>
                <w:color w:val="000000"/>
                <w:sz w:val="24"/>
                <w:u w:val="single"/>
              </w:rPr>
              <w:t>Senior Credit</w:t>
            </w:r>
            <w:r>
              <w:rPr>
                <w:color w:val="000000"/>
              </w:rPr>
              <w:t xml:space="preserve"> </w:t>
            </w:r>
            <w:r>
              <w:rPr>
                <w:rFonts w:ascii="Times New Roman;sans-serif" w:hAnsi="Times New Roman;sans-serif"/>
                <w:b w:val="false"/>
                <w:color w:val="000000"/>
                <w:sz w:val="24"/>
                <w:u w:val="single"/>
              </w:rPr>
              <w:t>Facility</w:t>
            </w:r>
            <w:r>
              <w:rPr>
                <w:color w:val="000000"/>
              </w:rPr>
              <w:t>”</w:t>
            </w:r>
            <w:r>
              <w:rPr>
                <w:rFonts w:ascii="Times New Roman;sans-serif" w:hAnsi="Times New Roman;sans-serif"/>
                <w:b w:val="false"/>
                <w:color w:val="000000"/>
                <w:sz w:val="24"/>
              </w:rPr>
              <w:t>; the loans thereunder, the “</w:t>
            </w:r>
            <w:r>
              <w:rPr>
                <w:rFonts w:ascii="Times New Roman;sans-serif" w:hAnsi="Times New Roman;sans-serif"/>
                <w:b w:val="false"/>
                <w:color w:val="000000"/>
                <w:sz w:val="24"/>
                <w:u w:val="single"/>
              </w:rPr>
              <w:t>Term Loans</w:t>
            </w:r>
            <w:r>
              <w:rPr>
                <w:color w:val="000000"/>
              </w:rPr>
              <w:t>”</w:t>
            </w:r>
            <w:r>
              <w:rPr>
                <w:rFonts w:ascii="Times New Roman;sans-serif" w:hAnsi="Times New Roman;sans-serif"/>
                <w:b w:val="false"/>
                <w:color w:val="000000"/>
                <w:sz w:val="24"/>
              </w:rPr>
              <w:t>). The Term Loans shall be made in U.S. Dollars.</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5"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Senior Credit Documentation shall contain customary provisions for replacing or terminating the commitments of any Defaulting Lender (to be defined in the Senior Credit Documentation in a manner consistent with the Senior Credit Documentation Principles).</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Incremental Facilities:</w:t>
            </w:r>
          </w:p>
        </w:tc>
        <w:tc>
          <w:tcPr>
            <w:tcW w:w="8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Refinancing Facilities:</w:t>
            </w:r>
          </w:p>
        </w:tc>
        <w:tc>
          <w:tcPr>
            <w:tcW w:w="8645"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Substantially the same as the First Lien Credit Agreement.</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Purpose:</w:t>
            </w:r>
          </w:p>
        </w:tc>
        <w:tc>
          <w:tcPr>
            <w:tcW w:w="8645" w:type="dxa"/>
            <w:gridSpan w:val="3"/>
            <w:tcBorders/>
            <w:shd w:fill="auto" w:val="clear"/>
            <w:tcMar>
              <w:top w:w="0" w:type="dxa"/>
              <w:left w:w="0" w:type="dxa"/>
              <w:bottom w:w="0" w:type="dxa"/>
              <w:right w:w="0" w:type="dxa"/>
            </w:tcMar>
            <w:vAlign w:val="center"/>
          </w:tcPr>
          <w:p>
            <w:pPr>
              <w:pStyle w:val="TableContents"/>
              <w:spacing w:lineRule="auto" w:line="324" w:before="89"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proceeds of the Term Loans will be used by the Borrower on the Closing Date, together with certain other available sources of</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81050"/>
                <wp:effectExtent l="0" t="0" r="0" b="0"/>
                <wp:wrapNone/>
                <wp:docPr id="55" name="Frame54"/>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30"/>
        <w:gridCol w:w="457"/>
        <w:gridCol w:w="459"/>
        <w:gridCol w:w="2575"/>
        <w:gridCol w:w="2514"/>
        <w:gridCol w:w="3570"/>
      </w:tblGrid>
      <w:tr>
        <w:trPr/>
        <w:tc>
          <w:tcPr>
            <w:tcW w:w="630"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575"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3570" w:type="dxa"/>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funds, to finance a portion of the Refinancing and to pay related fees and expenses (including the payment of Transaction Costs, upfront fees and original issue discount with respect to the Senior Credit Facility).</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Availability:</w:t>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Term Loans will be available in a single drawing on the Closing Date. Repayments and prepayments of the Term Loans may not be reborrowed.</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1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Rates and Fees:</w:t>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113" w:after="283"/>
              <w:jc w:val="left"/>
              <w:rPr/>
            </w:pPr>
            <w:r>
              <w:rPr>
                <w:rFonts w:ascii="Times New Roman;sans-serif" w:hAnsi="Times New Roman;sans-serif"/>
                <w:b w:val="false"/>
                <w:color w:val="000000"/>
                <w:sz w:val="24"/>
              </w:rPr>
              <w:t xml:space="preserve">As set forth on </w:t>
            </w:r>
            <w:r>
              <w:rPr>
                <w:rFonts w:ascii="Times New Roman;sans-serif" w:hAnsi="Times New Roman;sans-serif"/>
                <w:b w:val="false"/>
                <w:color w:val="000000"/>
                <w:sz w:val="24"/>
                <w:u w:val="single"/>
              </w:rPr>
              <w:t>Annex I</w:t>
            </w:r>
            <w:r>
              <w:rPr>
                <w:color w:val="000000"/>
              </w:rPr>
              <w:t xml:space="preserve"> </w:t>
            </w:r>
            <w:r>
              <w:rPr>
                <w:rFonts w:ascii="Times New Roman;sans-serif" w:hAnsi="Times New Roman;sans-serif"/>
                <w:b w:val="false"/>
                <w:color w:val="000000"/>
                <w:sz w:val="24"/>
              </w:rPr>
              <w:t>hereto.</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Default Rate:</w:t>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principal payable under or in respect of the Senior Credit Facility not paid when due shall bear interest at the applicable interest rate plus 2% per annum. Other overdue amounts shall bear interest at the interest rate applicable to Base Rate loans plus 2% per annum. Default interest will be payable on demand.</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Final Maturity:</w:t>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114" w:after="283"/>
              <w:jc w:val="both"/>
              <w:rPr/>
            </w:pPr>
            <w:r>
              <w:rPr>
                <w:rFonts w:ascii="Times New Roman;sans-serif" w:hAnsi="Times New Roman;sans-serif"/>
                <w:b w:val="false"/>
                <w:color w:val="000000"/>
                <w:sz w:val="24"/>
              </w:rPr>
              <w:t>The Senior Credit Facility will mature on the date that is three hundred sixty-four (364) days after the Closing Date (the “</w:t>
            </w:r>
            <w:r>
              <w:rPr>
                <w:rFonts w:ascii="Times New Roman;sans-serif" w:hAnsi="Times New Roman;sans-serif"/>
                <w:b w:val="false"/>
                <w:color w:val="000000"/>
                <w:sz w:val="24"/>
                <w:u w:val="single"/>
              </w:rPr>
              <w:t>Maturity Date</w:t>
            </w:r>
            <w:r>
              <w:rPr>
                <w:color w:val="000000"/>
              </w:rPr>
              <w:t>”</w:t>
            </w:r>
            <w:r>
              <w:rPr>
                <w:rFonts w:ascii="Times New Roman;sans-serif" w:hAnsi="Times New Roman;sans-serif"/>
                <w:b w:val="false"/>
                <w:color w:val="000000"/>
                <w:sz w:val="24"/>
              </w:rPr>
              <w:t>).</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Amortization:</w:t>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Guarantees:</w:t>
            </w:r>
          </w:p>
        </w:tc>
        <w:tc>
          <w:tcPr>
            <w:tcW w:w="8659" w:type="dxa"/>
            <w:gridSpan w:val="3"/>
            <w:tcBorders/>
            <w:shd w:fill="auto" w:val="clear"/>
            <w:tcMar>
              <w:top w:w="0" w:type="dxa"/>
              <w:left w:w="0" w:type="dxa"/>
              <w:bottom w:w="0" w:type="dxa"/>
              <w:right w:w="0" w:type="dxa"/>
            </w:tcMar>
            <w:vAlign w:val="center"/>
          </w:tcPr>
          <w:p>
            <w:pPr>
              <w:pStyle w:val="TableContents"/>
              <w:spacing w:lineRule="auto" w:line="240" w:before="114" w:after="283"/>
              <w:jc w:val="both"/>
              <w:rPr/>
            </w:pPr>
            <w:r>
              <w:rPr>
                <w:rFonts w:ascii="Times New Roman;sans-serif" w:hAnsi="Times New Roman;sans-serif"/>
                <w:b w:val="false"/>
                <w:color w:val="000000"/>
                <w:sz w:val="24"/>
              </w:rPr>
              <w:t>Subject to the limitations set forth in the Commitment Letter, including the Certain Funds Provisions, the same guarantees and Guarantors as the First Lien Credit Agreement. “</w:t>
            </w:r>
            <w:r>
              <w:rPr>
                <w:rFonts w:ascii="Times New Roman;sans-serif" w:hAnsi="Times New Roman;sans-serif"/>
                <w:b w:val="false"/>
                <w:color w:val="000000"/>
                <w:sz w:val="24"/>
                <w:u w:val="single"/>
              </w:rPr>
              <w:t>Guarantors</w:t>
            </w:r>
            <w:r>
              <w:rPr>
                <w:color w:val="000000"/>
              </w:rPr>
              <w:t xml:space="preserve">” </w:t>
            </w:r>
            <w:r>
              <w:rPr>
                <w:rFonts w:ascii="Times New Roman;sans-serif" w:hAnsi="Times New Roman;sans-serif"/>
                <w:b w:val="false"/>
                <w:color w:val="000000"/>
                <w:sz w:val="24"/>
              </w:rPr>
              <w:t>as used in this Commitment Letter has meaning given to such defined term in the First Lien Credit Agreement (it being understood that guarantees by the Company and its subsidiaries shall be provided within sixty (60) days of the Closing Date).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81050"/>
                <wp:effectExtent l="0" t="0" r="0" b="0"/>
                <wp:wrapNone/>
                <wp:docPr id="56" name="Frame55"/>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19"/>
        <w:gridCol w:w="546"/>
        <w:gridCol w:w="550"/>
        <w:gridCol w:w="2656"/>
        <w:gridCol w:w="2411"/>
        <w:gridCol w:w="3423"/>
      </w:tblGrid>
      <w:tr>
        <w:trPr/>
        <w:tc>
          <w:tcPr>
            <w:tcW w:w="6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656"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3423"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Security:</w:t>
            </w:r>
          </w:p>
        </w:tc>
        <w:tc>
          <w:tcPr>
            <w:tcW w:w="8490"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pPr>
            <w:r>
              <w:rPr>
                <w:rFonts w:ascii="Times New Roman;sans-serif" w:hAnsi="Times New Roman;sans-serif"/>
                <w:b w:val="false"/>
                <w:color w:val="000000"/>
                <w:sz w:val="24"/>
              </w:rPr>
              <w:t>Subject to the Certain Funds Provision, the same as the First Lien Credit Agreement. “</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as used in this Commitment Letter has the same meaning given to such term in the First Lien Credit Agreement. The Senior Credit Facility shall be secured by the Collateral on a pari passu basis with the liens on the Collateral securing the Term Loans (as defined in the First Lien Credit Agreement), pursuant to the Pari Passu Intercreditor Agreement (as defined below).</w:t>
            </w:r>
          </w:p>
        </w:tc>
      </w:tr>
      <w:tr>
        <w:trPr/>
        <w:tc>
          <w:tcPr>
            <w:tcW w:w="1715"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Mandatory Prepayments and Commitment Reductions:</w:t>
            </w:r>
          </w:p>
        </w:tc>
        <w:tc>
          <w:tcPr>
            <w:tcW w:w="8490"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Intercreditor Agreements, limited to the mandatory prepayments set forth in Section 2.05(b)(ii), Section 2.05(b)(iii) and Section 2.05(b)(iv) of the First Lien Credit Agreement (and subject to the ratable reduction provisions in Section 2.05(b)(vi) of the First Lien Credit Agreement for proceeds applied to “Other Applicable Indebtedness”).</w:t>
            </w:r>
          </w:p>
          <w:p>
            <w:pPr>
              <w:pStyle w:val="TableContents"/>
              <w:spacing w:before="11" w:after="283"/>
              <w:jc w:val="left"/>
              <w:rPr/>
            </w:pPr>
            <w:r>
              <w:rPr/>
            </w:r>
          </w:p>
          <w:p>
            <w:pPr>
              <w:pStyle w:val="TableContents"/>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 the commitments under the Senior Credit Facility shall be automatically reduced, on a dollar-for-dollar basis, by the amount of net cash proceeds received by the Borrower and its subsidiaries from any Permanent Financing consummated on or prior to the Closing Date and (ii) the Term Loans outstanding shall be repaid, on a dollar-for-dollar basis, by the amount of net cash proceeds received by the Borrower and its subsidiaries from any Permanent Financing consummated after the Closing Date.</w:t>
            </w:r>
          </w:p>
          <w:p>
            <w:pPr>
              <w:pStyle w:val="TableContents"/>
              <w:spacing w:lineRule="auto" w:line="240" w:before="228" w:after="283"/>
              <w:jc w:val="both"/>
              <w:rPr/>
            </w:pPr>
            <w:r>
              <w:rPr>
                <w:color w:val="000000"/>
              </w:rPr>
              <w:t>“</w:t>
            </w:r>
            <w:r>
              <w:rPr>
                <w:rFonts w:ascii="Times New Roman;sans-serif" w:hAnsi="Times New Roman;sans-serif"/>
                <w:b w:val="false"/>
                <w:color w:val="000000"/>
                <w:sz w:val="24"/>
                <w:u w:val="single"/>
              </w:rPr>
              <w:t>Permanent Financing</w:t>
            </w:r>
            <w:r>
              <w:rPr>
                <w:color w:val="000000"/>
              </w:rPr>
              <w:t xml:space="preserve">” </w:t>
            </w:r>
            <w:r>
              <w:rPr>
                <w:rFonts w:ascii="Times New Roman;sans-serif" w:hAnsi="Times New Roman;sans-serif"/>
                <w:b w:val="false"/>
                <w:color w:val="000000"/>
                <w:sz w:val="24"/>
              </w:rPr>
              <w:t>means any debt or equity financing (whether in the form of loans, securities or otherwise), (a) prior to the Closing Date, that is incurred to refinance or replace the Senior Credit Facility, and (b) in excess of, individually or in the aggregate, $500,000,000 that is incurred following the Closing Date, subject in the case of this clause (b) to exceptions for (i) revolving loans borrowed under the ABL Credit Agreement, (ii) financing incurred by the Borrower and its subsidiaries in the ordinary course of business consistent with past practice, (iii) refinancings of existing outstanding indebtedness of the Borrower and its subsidiaries (excluding, for the avoidance of doubt, refinancing the indebtedness of the Company contemplated hereunder), and (iv) o</w:t>
            </w:r>
            <w:r>
              <w:rPr>
                <w:rFonts w:ascii="Times New Roman;sans-serif" w:hAnsi="Times New Roman;sans-serif"/>
                <w:b w:val="false"/>
                <w:color w:val="000000"/>
                <w:sz w:val="22"/>
              </w:rPr>
              <w:t>ther working capital facilities.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81050"/>
                <wp:effectExtent l="0" t="0" r="0" b="0"/>
                <wp:wrapNone/>
                <wp:docPr id="57" name="Frame56"/>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743"/>
        <w:gridCol w:w="542"/>
        <w:gridCol w:w="543"/>
        <w:gridCol w:w="2671"/>
        <w:gridCol w:w="2361"/>
        <w:gridCol w:w="3345"/>
      </w:tblGrid>
      <w:tr>
        <w:trPr/>
        <w:tc>
          <w:tcPr>
            <w:tcW w:w="743"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361" w:type="dxa"/>
            <w:tcBorders/>
            <w:shd w:fill="auto" w:val="clear"/>
            <w:vAlign w:val="center"/>
          </w:tcPr>
          <w:p>
            <w:pPr>
              <w:pStyle w:val="TableContents"/>
              <w:spacing w:before="0" w:after="283"/>
              <w:rPr>
                <w:sz w:val="4"/>
                <w:szCs w:val="4"/>
              </w:rPr>
            </w:pPr>
            <w:r>
              <w:rPr>
                <w:sz w:val="4"/>
                <w:szCs w:val="4"/>
              </w:rPr>
            </w:r>
          </w:p>
        </w:tc>
        <w:tc>
          <w:tcPr>
            <w:tcW w:w="3345" w:type="dxa"/>
            <w:tcBorders/>
            <w:shd w:fill="auto" w:val="clear"/>
            <w:vAlign w:val="center"/>
          </w:tcPr>
          <w:p>
            <w:pPr>
              <w:pStyle w:val="TableContents"/>
              <w:spacing w:before="0" w:after="283"/>
              <w:rPr>
                <w:sz w:val="4"/>
                <w:szCs w:val="4"/>
              </w:rPr>
            </w:pPr>
            <w:r>
              <w:rPr>
                <w:sz w:val="4"/>
                <w:szCs w:val="4"/>
              </w:rPr>
            </w:r>
          </w:p>
        </w:tc>
      </w:tr>
      <w:tr>
        <w:trPr/>
        <w:tc>
          <w:tcPr>
            <w:tcW w:w="1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7"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r>
      <w:tr>
        <w:trPr/>
        <w:tc>
          <w:tcPr>
            <w:tcW w:w="1828"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Voluntary Prepayments and Reductions in Commitments:</w:t>
            </w:r>
          </w:p>
        </w:tc>
        <w:tc>
          <w:tcPr>
            <w:tcW w:w="8377"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Substantially the same as the First Lien Credit Agreement.</w:t>
            </w:r>
          </w:p>
        </w:tc>
      </w:tr>
      <w:tr>
        <w:trPr/>
        <w:tc>
          <w:tcPr>
            <w:tcW w:w="1828" w:type="dxa"/>
            <w:gridSpan w:val="3"/>
            <w:tcBorders/>
            <w:shd w:fill="auto" w:val="clear"/>
            <w:tcMar>
              <w:top w:w="0" w:type="dxa"/>
              <w:left w:w="0" w:type="dxa"/>
              <w:bottom w:w="0" w:type="dxa"/>
              <w:right w:w="0" w:type="dxa"/>
            </w:tcMar>
            <w:vAlign w:val="center"/>
          </w:tcPr>
          <w:p>
            <w:pPr>
              <w:pStyle w:val="TableContents"/>
              <w:spacing w:lineRule="auto" w:line="240" w:before="1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Call Protection:</w:t>
            </w:r>
          </w:p>
        </w:tc>
        <w:tc>
          <w:tcPr>
            <w:tcW w:w="8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tc>
      </w:tr>
      <w:tr>
        <w:trPr/>
        <w:tc>
          <w:tcPr>
            <w:tcW w:w="1828" w:type="dxa"/>
            <w:gridSpan w:val="3"/>
            <w:tcBorders/>
            <w:shd w:fill="auto" w:val="clear"/>
            <w:tcMar>
              <w:top w:w="0" w:type="dxa"/>
              <w:left w:w="0" w:type="dxa"/>
              <w:bottom w:w="0" w:type="dxa"/>
              <w:right w:w="0" w:type="dxa"/>
            </w:tcMar>
            <w:vAlign w:val="center"/>
          </w:tcPr>
          <w:p>
            <w:pPr>
              <w:pStyle w:val="TableContents"/>
              <w:spacing w:lineRule="auto" w:line="276" w:before="118"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Senor Credit Documentation:</w:t>
            </w:r>
          </w:p>
        </w:tc>
        <w:tc>
          <w:tcPr>
            <w:tcW w:w="8377" w:type="dxa"/>
            <w:gridSpan w:val="3"/>
            <w:tcBorders/>
            <w:shd w:fill="auto" w:val="clear"/>
            <w:tcMar>
              <w:top w:w="0" w:type="dxa"/>
              <w:left w:w="0" w:type="dxa"/>
              <w:bottom w:w="0" w:type="dxa"/>
              <w:right w:w="0" w:type="dxa"/>
            </w:tcMar>
            <w:vAlign w:val="center"/>
          </w:tcPr>
          <w:p>
            <w:pPr>
              <w:pStyle w:val="TableContents"/>
              <w:spacing w:lineRule="auto" w:line="240" w:before="116" w:after="283"/>
              <w:ind w:left="0" w:right="0" w:hanging="15"/>
              <w:jc w:val="both"/>
              <w:rPr/>
            </w:pPr>
            <w:r>
              <w:rPr>
                <w:rFonts w:ascii="Times New Roman;sans-serif" w:hAnsi="Times New Roman;sans-serif"/>
                <w:b w:val="false"/>
                <w:color w:val="000000"/>
                <w:sz w:val="24"/>
              </w:rPr>
              <w:t>The definitive documentation for the Senior Credit Facility (the “</w:t>
            </w:r>
            <w:r>
              <w:rPr>
                <w:rFonts w:ascii="Times New Roman;sans-serif" w:hAnsi="Times New Roman;sans-serif"/>
                <w:b w:val="false"/>
                <w:color w:val="000000"/>
                <w:sz w:val="24"/>
                <w:u w:val="single"/>
              </w:rPr>
              <w:t>Senior Credit Documentation</w:t>
            </w:r>
            <w:r>
              <w:rPr>
                <w:color w:val="000000"/>
              </w:rPr>
              <w:t>”</w:t>
            </w:r>
            <w:r>
              <w:rPr>
                <w:rFonts w:ascii="Times New Roman;sans-serif" w:hAnsi="Times New Roman;sans-serif"/>
                <w:b w:val="false"/>
                <w:color w:val="000000"/>
                <w:sz w:val="24"/>
              </w:rPr>
              <w:t>) shall be initially drafted by counsel to the Borrower, shall be substantially consistent with (and except as set forth herein, no less favorable to the Borrower and its subsidiaries than) that certain Amended and Restated First Lien Credit Agreement, dated as of October 27, 2021 (as amended, restated, amended and restated, supplemented or otherwise modified from time to time prior to the date hereof and adjusted pursuant to the terms below, the “</w:t>
            </w:r>
            <w:r>
              <w:rPr>
                <w:rFonts w:ascii="Times New Roman;sans-serif" w:hAnsi="Times New Roman;sans-serif"/>
                <w:b w:val="false"/>
                <w:color w:val="000000"/>
                <w:sz w:val="24"/>
                <w:u w:val="single"/>
              </w:rPr>
              <w:t>First Lien Credit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and among Option Care Health, Inc, a Delaware corporation, the other Borrowers (as defined therein) party thereto from time to time, the Guarantors (as defined therein) party thereto from time to time, the Lenders (as defined therein) from time to time party thereto, and Bank of America, N.A., as administrative agent (as amended, restated, amended and restated, supplemented or otherwise modified from time to time prior to the date hereof, and adjusted pursuant to terms below, the “</w:t>
            </w:r>
            <w:r>
              <w:rPr>
                <w:rFonts w:ascii="Times New Roman;sans-serif" w:hAnsi="Times New Roman;sans-serif"/>
                <w:b w:val="false"/>
                <w:color w:val="000000"/>
                <w:sz w:val="24"/>
                <w:u w:val="single"/>
              </w:rPr>
              <w:t>Senior</w:t>
            </w:r>
            <w:r>
              <w:rPr>
                <w:color w:val="000000"/>
              </w:rPr>
              <w:t xml:space="preserve"> </w:t>
            </w:r>
            <w:r>
              <w:rPr>
                <w:rFonts w:ascii="Times New Roman;sans-serif" w:hAnsi="Times New Roman;sans-serif"/>
                <w:b w:val="false"/>
                <w:color w:val="000000"/>
                <w:sz w:val="24"/>
                <w:u w:val="single"/>
              </w:rPr>
              <w:t>Credit Documentation Principles</w:t>
            </w:r>
            <w:r>
              <w:rPr>
                <w:color w:val="000000"/>
              </w:rPr>
              <w:t>”</w:t>
            </w:r>
            <w:r>
              <w:rPr>
                <w:rFonts w:ascii="Times New Roman;sans-serif" w:hAnsi="Times New Roman;sans-serif"/>
                <w:b w:val="false"/>
                <w:color w:val="000000"/>
                <w:sz w:val="24"/>
              </w:rPr>
              <w:t>) and take into account (a) the</w:t>
            </w:r>
          </w:p>
          <w:p>
            <w:pPr>
              <w:pStyle w:val="TableContents"/>
              <w:spacing w:lineRule="auto" w:line="256"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terms set forth in this Commitment Letter, (b) changes in law or accounting standards or to cure mistakes or defects, (c) modifications reasonably acceptable to the Borrower and Goldman Sachs to prevent the release of any Guarantor from its obligations under the Senior Credit Documentation solely as a result of such Guarantor becoming a “non-wholly owned subsidiary” unless such transaction is a result of a joint venture or other strategic transaction entered into for a bona fide business purpose, (d) modifications reasonably acceptable to the Borrower and Goldman Sachs to make amendments to the Senior Credit Documentation (i) to permit any payment or lien subordination or</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to modify pro rata payment sharing provisions shall, in each case, be subject to an “affected lender” vote, and (e) any changes in the operational and agency requirements of the Administrative Agent (including Term SOFR-related provisions customary for similar financings as to which the Administrative Agent acts as administrative agent) and in any event will contain only those conditions to borrowing, mandatory prepayments, representations, warranties, affirmative, negative and financial covenants and events of default expressly set forth in this Term Sheet, in each case applicable to the Borrower and its restricted subsidiaries. The definitive terms will be negotiated in good faith to finalize the Senior Credit Documentation, giving effect to the Certain Funds Provision and the Senior Credit Documentation Principles, as promptly as reasonably practicable.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81050"/>
                <wp:effectExtent l="0" t="0" r="0" b="0"/>
                <wp:wrapNone/>
                <wp:docPr id="58" name="Frame57"/>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88"/>
        <w:gridCol w:w="631"/>
        <w:gridCol w:w="634"/>
        <w:gridCol w:w="2324"/>
        <w:gridCol w:w="2324"/>
        <w:gridCol w:w="3304"/>
      </w:tblGrid>
      <w:tr>
        <w:trPr/>
        <w:tc>
          <w:tcPr>
            <w:tcW w:w="988"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3304" w:type="dxa"/>
            <w:tcBorders/>
            <w:shd w:fill="auto" w:val="clear"/>
            <w:vAlign w:val="center"/>
          </w:tcPr>
          <w:p>
            <w:pPr>
              <w:pStyle w:val="TableContents"/>
              <w:spacing w:before="0" w:after="283"/>
              <w:rPr>
                <w:sz w:val="4"/>
                <w:szCs w:val="4"/>
              </w:rPr>
            </w:pPr>
            <w:r>
              <w:rPr>
                <w:sz w:val="4"/>
                <w:szCs w:val="4"/>
              </w:rPr>
            </w:r>
          </w:p>
        </w:tc>
      </w:tr>
      <w:tr>
        <w:trPr/>
        <w:tc>
          <w:tcPr>
            <w:tcW w:w="2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2"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r>
      <w:tr>
        <w:trPr/>
        <w:tc>
          <w:tcPr>
            <w:tcW w:w="2253"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Intercreditor Agreements:</w:t>
            </w:r>
          </w:p>
        </w:tc>
        <w:tc>
          <w:tcPr>
            <w:tcW w:w="7952"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pPr>
            <w:r>
              <w:rPr>
                <w:rFonts w:ascii="Times New Roman;sans-serif" w:hAnsi="Times New Roman;sans-serif"/>
                <w:b w:val="false"/>
                <w:color w:val="000000"/>
                <w:sz w:val="24"/>
              </w:rPr>
              <w:t>Administrative Agent shall (a) join as a party to the ABL Intercreditor Agreement (as defined in the First Lien Credit Agreement) (the “</w:t>
            </w:r>
            <w:r>
              <w:rPr>
                <w:rFonts w:ascii="Times New Roman;sans-serif" w:hAnsi="Times New Roman;sans-serif"/>
                <w:b w:val="false"/>
                <w:color w:val="000000"/>
                <w:sz w:val="24"/>
                <w:u w:val="single"/>
              </w:rPr>
              <w:t>ABL Intercreditor Agreement</w:t>
            </w:r>
            <w:r>
              <w:rPr>
                <w:color w:val="000000"/>
              </w:rPr>
              <w:t>”</w:t>
            </w:r>
            <w:r>
              <w:rPr>
                <w:rFonts w:ascii="Times New Roman;sans-serif" w:hAnsi="Times New Roman;sans-serif"/>
                <w:b w:val="false"/>
                <w:color w:val="000000"/>
                <w:sz w:val="24"/>
              </w:rPr>
              <w:t>), as agent and representative of the Lenders under the Senior Credit Facility, and</w:t>
            </w:r>
          </w:p>
          <w:p>
            <w:pPr>
              <w:pStyle w:val="TableContents"/>
              <w:spacing w:lineRule="auto" w:line="240" w:before="0" w:after="0"/>
              <w:jc w:val="both"/>
              <w:rPr/>
            </w:pPr>
            <w:r>
              <w:rPr>
                <w:rFonts w:ascii="Times New Roman;sans-serif" w:hAnsi="Times New Roman;sans-serif"/>
                <w:b w:val="false"/>
                <w:color w:val="000000"/>
                <w:sz w:val="24"/>
              </w:rPr>
              <w:t>(b) enter into a pari passu intercreditor agreement with the administrative agent under the First Lien Credit Agreement in the form attached as Exhibit J to the First Lien Credit Agreement (the “</w:t>
            </w:r>
            <w:r>
              <w:rPr>
                <w:rFonts w:ascii="Times New Roman;sans-serif" w:hAnsi="Times New Roman;sans-serif"/>
                <w:b w:val="false"/>
                <w:color w:val="000000"/>
                <w:sz w:val="24"/>
                <w:u w:val="single"/>
              </w:rPr>
              <w:t>Pari Passu Intercreditor Agreement</w:t>
            </w:r>
            <w:r>
              <w:rPr>
                <w:color w:val="000000"/>
              </w:rPr>
              <w:t xml:space="preserve">” </w:t>
            </w:r>
            <w:r>
              <w:rPr>
                <w:rFonts w:ascii="Times New Roman;sans-serif" w:hAnsi="Times New Roman;sans-serif"/>
                <w:b w:val="false"/>
                <w:color w:val="000000"/>
                <w:sz w:val="24"/>
              </w:rPr>
              <w:t>and, together with the ABL Intercreditor Agreement, collectively, the “</w:t>
            </w:r>
            <w:r>
              <w:rPr>
                <w:rFonts w:ascii="Times New Roman;sans-serif" w:hAnsi="Times New Roman;sans-serif"/>
                <w:b w:val="false"/>
                <w:color w:val="000000"/>
                <w:sz w:val="24"/>
                <w:u w:val="single"/>
              </w:rPr>
              <w:t>Intercreditor</w:t>
            </w:r>
            <w:r>
              <w:rPr>
                <w:color w:val="000000"/>
              </w:rPr>
              <w:t xml:space="preserve"> </w:t>
            </w:r>
            <w:r>
              <w:rPr>
                <w:rFonts w:ascii="Times New Roman;sans-serif" w:hAnsi="Times New Roman;sans-serif"/>
                <w:b w:val="false"/>
                <w:color w:val="000000"/>
                <w:sz w:val="24"/>
                <w:u w:val="single"/>
              </w:rPr>
              <w:t>Agreements</w:t>
            </w:r>
            <w:r>
              <w:rPr>
                <w:color w:val="000000"/>
              </w:rPr>
              <w:t>”</w:t>
            </w:r>
            <w:r>
              <w:rPr>
                <w:rFonts w:ascii="Times New Roman;sans-serif" w:hAnsi="Times New Roman;sans-serif"/>
                <w:b w:val="false"/>
                <w:color w:val="000000"/>
                <w:sz w:val="24"/>
              </w:rPr>
              <w:t>).</w:t>
            </w:r>
          </w:p>
        </w:tc>
      </w:tr>
      <w:tr>
        <w:trPr/>
        <w:tc>
          <w:tcPr>
            <w:tcW w:w="2253" w:type="dxa"/>
            <w:gridSpan w:val="3"/>
            <w:tcBorders/>
            <w:shd w:fill="auto" w:val="clear"/>
            <w:tcMar>
              <w:top w:w="0" w:type="dxa"/>
              <w:left w:w="0" w:type="dxa"/>
              <w:bottom w:w="0" w:type="dxa"/>
              <w:right w:w="0" w:type="dxa"/>
            </w:tcMar>
            <w:vAlign w:val="center"/>
          </w:tcPr>
          <w:p>
            <w:pPr>
              <w:pStyle w:val="TableContents"/>
              <w:spacing w:lineRule="auto" w:line="276" w:before="118"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w:t>
            </w:r>
          </w:p>
        </w:tc>
        <w:tc>
          <w:tcPr>
            <w:tcW w:w="7952" w:type="dxa"/>
            <w:gridSpan w:val="3"/>
            <w:tcBorders/>
            <w:shd w:fill="auto" w:val="clear"/>
            <w:tcMar>
              <w:top w:w="0" w:type="dxa"/>
              <w:left w:w="0" w:type="dxa"/>
              <w:bottom w:w="0" w:type="dxa"/>
              <w:right w:w="0" w:type="dxa"/>
            </w:tcMar>
            <w:vAlign w:val="center"/>
          </w:tcPr>
          <w:p>
            <w:pPr>
              <w:pStyle w:val="TableContents"/>
              <w:spacing w:lineRule="auto" w:line="276" w:before="118"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Subject in all    respects to the Certain Funds Provision, substantially the same as the First Lien Credit Agreement.</w:t>
            </w:r>
          </w:p>
        </w:tc>
      </w:tr>
      <w:tr>
        <w:trPr/>
        <w:tc>
          <w:tcPr>
            <w:tcW w:w="2253"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Precedent to Initial Borrowings:</w:t>
            </w:r>
          </w:p>
        </w:tc>
        <w:tc>
          <w:tcPr>
            <w:tcW w:w="7952"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Certain Funds Provision, the availability of the Senior Credit Facility on the Closing Date will be subject only to the Exclusive Funding Conditions.</w:t>
            </w:r>
          </w:p>
        </w:tc>
      </w:tr>
      <w:tr>
        <w:trPr/>
        <w:tc>
          <w:tcPr>
            <w:tcW w:w="2253" w:type="dxa"/>
            <w:gridSpan w:val="3"/>
            <w:tcBorders/>
            <w:shd w:fill="auto" w:val="clear"/>
            <w:tcMar>
              <w:top w:w="0" w:type="dxa"/>
              <w:left w:w="0" w:type="dxa"/>
              <w:bottom w:w="0" w:type="dxa"/>
              <w:right w:w="0" w:type="dxa"/>
            </w:tcMar>
            <w:vAlign w:val="center"/>
          </w:tcPr>
          <w:p>
            <w:pPr>
              <w:pStyle w:val="TableContents"/>
              <w:spacing w:lineRule="auto" w:line="324" w:before="89"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Precedent to Ongoing Borrowings:</w:t>
            </w:r>
          </w:p>
        </w:tc>
        <w:tc>
          <w:tcPr>
            <w:tcW w:w="79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81050"/>
                <wp:effectExtent l="0" t="0" r="0" b="0"/>
                <wp:wrapNone/>
                <wp:docPr id="59" name="Frame58"/>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34"/>
        <w:gridCol w:w="597"/>
        <w:gridCol w:w="599"/>
        <w:gridCol w:w="2432"/>
        <w:gridCol w:w="2333"/>
        <w:gridCol w:w="3310"/>
      </w:tblGrid>
      <w:tr>
        <w:trPr/>
        <w:tc>
          <w:tcPr>
            <w:tcW w:w="934"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2333" w:type="dxa"/>
            <w:tcBorders/>
            <w:shd w:fill="auto" w:val="clear"/>
            <w:vAlign w:val="center"/>
          </w:tcPr>
          <w:p>
            <w:pPr>
              <w:pStyle w:val="TableContents"/>
              <w:spacing w:before="0" w:after="283"/>
              <w:rPr>
                <w:sz w:val="4"/>
                <w:szCs w:val="4"/>
              </w:rPr>
            </w:pPr>
            <w:r>
              <w:rPr>
                <w:sz w:val="4"/>
                <w:szCs w:val="4"/>
              </w:rPr>
            </w:r>
          </w:p>
        </w:tc>
        <w:tc>
          <w:tcPr>
            <w:tcW w:w="3310"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Affirmative Covenants:</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Certain Funds Provision, substantially the same as the First Lien Credit Agreement.</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Negative Covenants:</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116" w:after="283"/>
              <w:jc w:val="both"/>
              <w:rPr/>
            </w:pPr>
            <w:r>
              <w:rPr>
                <w:rFonts w:ascii="Times New Roman;sans-serif" w:hAnsi="Times New Roman;sans-serif"/>
                <w:b w:val="false"/>
                <w:color w:val="000000"/>
                <w:sz w:val="24"/>
              </w:rPr>
              <w:t xml:space="preserve">Substantially the same as the First Lien Credit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debt, liens and restricted payments provisions shall be more restrictive on the Borrower and its restricted subsidiaries in a manner to be agreed.</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Covenant:</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Unrestricted Subsidiaries:</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Substantially the same as the First Lien Credit Agreement.</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Events of Default:</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Substantially the same as the First Lien Credit Agreement.</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Voting:</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1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Substantially the same as the First Lien Credit Agreement.</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Cost and Yield Protection:</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Substantially the same as the First Lien Credit Agreement.</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0"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Assignments and Participations:</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114" w:after="283"/>
              <w:jc w:val="both"/>
              <w:rPr/>
            </w:pPr>
            <w:r>
              <w:rPr>
                <w:rFonts w:ascii="Times New Roman;sans-serif" w:hAnsi="Times New Roman;sans-serif"/>
                <w:b w:val="false"/>
                <w:color w:val="000000"/>
                <w:sz w:val="24"/>
              </w:rPr>
              <w:t xml:space="preserve">Substantially the same as the First Lien Credit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Goldman Sachs shall be permitted to assign its commitments and Term Loans to GSLP (and vice-versa) without any required consents.</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0"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Expenses and Indemnification:</w:t>
            </w:r>
          </w:p>
        </w:tc>
        <w:tc>
          <w:tcPr>
            <w:tcW w:w="8075" w:type="dxa"/>
            <w:gridSpan w:val="3"/>
            <w:tcBorders/>
            <w:shd w:fill="auto" w:val="clear"/>
            <w:tcMar>
              <w:top w:w="0" w:type="dxa"/>
              <w:left w:w="0" w:type="dxa"/>
              <w:bottom w:w="0" w:type="dxa"/>
              <w:right w:w="0" w:type="dxa"/>
            </w:tcMar>
            <w:vAlign w:val="center"/>
          </w:tcPr>
          <w:p>
            <w:pPr>
              <w:pStyle w:val="TableContents"/>
              <w:spacing w:lineRule="auto" w:line="240" w:before="1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Substantially the same as the First Lien Credit Agreement.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81050"/>
                <wp:effectExtent l="0" t="0" r="0" b="0"/>
                <wp:wrapNone/>
                <wp:docPr id="60" name="Frame59"/>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848"/>
        <w:gridCol w:w="446"/>
        <w:gridCol w:w="448"/>
        <w:gridCol w:w="2477"/>
        <w:gridCol w:w="2477"/>
        <w:gridCol w:w="3509"/>
      </w:tblGrid>
      <w:tr>
        <w:trPr/>
        <w:tc>
          <w:tcPr>
            <w:tcW w:w="84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3509" w:type="dxa"/>
            <w:tcBorders/>
            <w:shd w:fill="auto" w:val="clear"/>
            <w:vAlign w:val="center"/>
          </w:tcPr>
          <w:p>
            <w:pPr>
              <w:pStyle w:val="TableContents"/>
              <w:spacing w:before="0" w:after="283"/>
              <w:rPr>
                <w:sz w:val="4"/>
                <w:szCs w:val="4"/>
              </w:rPr>
            </w:pPr>
            <w:r>
              <w:rPr>
                <w:sz w:val="4"/>
                <w:szCs w:val="4"/>
              </w:rPr>
            </w:r>
          </w:p>
        </w:tc>
      </w:tr>
      <w:tr>
        <w:trPr/>
        <w:tc>
          <w:tcPr>
            <w:tcW w:w="1742" w:type="dxa"/>
            <w:gridSpan w:val="3"/>
            <w:tcBorders/>
            <w:shd w:fill="auto" w:val="clear"/>
            <w:tcMar>
              <w:top w:w="0" w:type="dxa"/>
              <w:left w:w="0" w:type="dxa"/>
              <w:bottom w:w="0" w:type="dxa"/>
              <w:right w:w="0" w:type="dxa"/>
            </w:tcMar>
            <w:vAlign w:val="center"/>
          </w:tcPr>
          <w:p>
            <w:pPr>
              <w:pStyle w:val="TableContents"/>
              <w:spacing w:lineRule="auto" w:line="240" w:before="1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 and Forum:</w:t>
            </w:r>
          </w:p>
        </w:tc>
        <w:tc>
          <w:tcPr>
            <w:tcW w:w="8463" w:type="dxa"/>
            <w:gridSpan w:val="3"/>
            <w:tcBorders/>
            <w:shd w:fill="auto" w:val="clear"/>
            <w:tcMar>
              <w:top w:w="0" w:type="dxa"/>
              <w:left w:w="0" w:type="dxa"/>
              <w:bottom w:w="0" w:type="dxa"/>
              <w:right w:w="0" w:type="dxa"/>
            </w:tcMar>
            <w:vAlign w:val="center"/>
          </w:tcPr>
          <w:p>
            <w:pPr>
              <w:pStyle w:val="TableContents"/>
              <w:spacing w:lineRule="auto" w:line="240" w:before="113" w:after="283"/>
              <w:jc w:val="both"/>
              <w:rPr/>
            </w:pPr>
            <w:r>
              <w:rPr>
                <w:rFonts w:ascii="Times New Roman;sans-serif" w:hAnsi="Times New Roman;sans-serif"/>
                <w:b w:val="false"/>
                <w:color w:val="000000"/>
                <w:sz w:val="24"/>
              </w:rPr>
              <w:t xml:space="preserve">New York;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laws of the state of Delaware which governs the Merger Agreement shall govern in determining (a) the interpretation of a “Material Adverse Effect” (as defined in the Merger Agreement as in effect on the date hereof) and whether a “Material Adverse Effect” has occurred, (b) the accuracy of any Specified Merger Agreement Representation and whether as a result of any inaccuracy thereof you or your applicable subsidiaries have the right or would have the right (without regard to any notice requirement but taking into account any applicable cure provisions) to terminate your obligations (or to refuse to consummate the Merger) under the Merger Agreement and (c) whether the Merger has been consummated in accordance with the terms of the Merger Agreement.</w:t>
            </w:r>
          </w:p>
        </w:tc>
      </w:tr>
      <w:tr>
        <w:trPr/>
        <w:tc>
          <w:tcPr>
            <w:tcW w:w="1742"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Counsel to the Administrative Agent and</w:t>
            </w:r>
          </w:p>
          <w:p>
            <w:pPr>
              <w:pStyle w:val="TableContents"/>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Commitment Parties:</w:t>
            </w:r>
          </w:p>
        </w:tc>
        <w:tc>
          <w:tcPr>
            <w:tcW w:w="8463" w:type="dxa"/>
            <w:gridSpan w:val="3"/>
            <w:tcBorders/>
            <w:shd w:fill="auto" w:val="clear"/>
            <w:tcMar>
              <w:top w:w="0" w:type="dxa"/>
              <w:left w:w="0" w:type="dxa"/>
              <w:bottom w:w="0" w:type="dxa"/>
              <w:right w:w="0" w:type="dxa"/>
            </w:tcMar>
            <w:vAlign w:val="center"/>
          </w:tcPr>
          <w:p>
            <w:pPr>
              <w:pStyle w:val="TableContents"/>
              <w:spacing w:lineRule="auto" w:line="240" w:before="1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Davis Polk &amp; Wardwell LLP.</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81050"/>
                <wp:effectExtent l="0" t="0" r="0" b="0"/>
                <wp:wrapNone/>
                <wp:docPr id="61" name="Frame60"/>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0" w:after="283"/>
                              <w:rPr/>
                            </w:pPr>
                            <w:r>
                              <w:rPr/>
                            </w:r>
                          </w:p>
                        </w:tc>
                      </w:tr>
                    </w:tbl>
                    <w:p>
                      <w:pPr>
                        <w:pStyle w:val="TextBody"/>
                        <w:spacing w:before="0" w:after="283"/>
                        <w:rPr/>
                      </w:pPr>
                      <w:r>
                        <w:rPr/>
                      </w:r>
                    </w:p>
                  </w:txbxContent>
                </v:textbox>
              </v:rect>
            </w:pict>
          </mc:Fallback>
        </mc:AlternateContent>
      </w:r>
    </w:p>
    <w:p>
      <w:pPr>
        <w:pStyle w:val="TextBody"/>
        <w:spacing w:lineRule="auto" w:line="518" w:before="72" w:after="283"/>
        <w:ind w:left="0" w:right="0" w:firstLine="7351"/>
        <w:jc w:val="both"/>
        <w:rPr/>
      </w:pPr>
      <w:r>
        <w:rPr>
          <w:rFonts w:ascii="Times New Roman;sans-serif" w:hAnsi="Times New Roman;sans-serif"/>
          <w:b w:val="false"/>
          <w:color w:val="000000"/>
          <w:sz w:val="24"/>
          <w:u w:val="single"/>
        </w:rPr>
        <w:t>Annex I to Exhibit B</w:t>
      </w:r>
      <w:r>
        <w:rPr>
          <w:color w:val="000000"/>
        </w:rPr>
        <w:t xml:space="preserve"> </w:t>
      </w:r>
      <w:r>
        <w:rPr>
          <w:rFonts w:ascii="Times New Roman;sans-serif" w:hAnsi="Times New Roman;sans-serif"/>
          <w:b w:val="false"/>
          <w:color w:val="000000"/>
          <w:sz w:val="24"/>
          <w:u w:val="single"/>
        </w:rPr>
        <w:t>Interest Rates</w:t>
      </w:r>
      <w:r>
        <w:rPr>
          <w:rFonts w:ascii="Times New Roman;sans-serif" w:hAnsi="Times New Roman;sans-serif"/>
          <w:b w:val="false"/>
          <w:color w:val="000000"/>
          <w:sz w:val="24"/>
        </w:rPr>
        <w:t>:    The interest rates under the Senior Credit Facility will be as follows:</w:t>
      </w:r>
    </w:p>
    <w:p>
      <w:pPr>
        <w:pStyle w:val="TextBody"/>
        <w:spacing w:lineRule="auto" w:line="240" w:before="6" w:after="283"/>
        <w:jc w:val="both"/>
        <w:rPr/>
      </w:pPr>
      <w:r>
        <w:rPr>
          <w:rFonts w:ascii="Times New Roman;sans-serif" w:hAnsi="Times New Roman;sans-serif"/>
          <w:b w:val="false"/>
          <w:color w:val="000000"/>
          <w:sz w:val="24"/>
        </w:rPr>
        <w:t xml:space="preserve">At the option of the Borrower, (x) Term SOFR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Term SOFR Applicable Margin or (y) Base Rate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Base Rate Applicable Margin.</w:t>
      </w:r>
    </w:p>
    <w:p>
      <w:pPr>
        <w:pStyle w:val="TextBody"/>
        <w:spacing w:before="4" w:after="283"/>
        <w:rPr/>
      </w:pPr>
      <w:r>
        <w:rPr/>
      </w:r>
    </w:p>
    <w:tbl>
      <w:tblPr>
        <w:tblW w:w="10205" w:type="dxa"/>
        <w:jc w:val="left"/>
        <w:tblInd w:w="0" w:type="dxa"/>
        <w:tblCellMar>
          <w:top w:w="28" w:type="dxa"/>
          <w:left w:w="28" w:type="dxa"/>
          <w:bottom w:w="28" w:type="dxa"/>
          <w:right w:w="28" w:type="dxa"/>
        </w:tblCellMar>
      </w:tblPr>
      <w:tblGrid>
        <w:gridCol w:w="2037"/>
        <w:gridCol w:w="1726"/>
        <w:gridCol w:w="1742"/>
        <w:gridCol w:w="956"/>
        <w:gridCol w:w="956"/>
        <w:gridCol w:w="958"/>
        <w:gridCol w:w="534"/>
        <w:gridCol w:w="534"/>
        <w:gridCol w:w="762"/>
      </w:tblGrid>
      <w:tr>
        <w:trPr/>
        <w:tc>
          <w:tcPr>
            <w:tcW w:w="2037"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top w:val="single" w:sz="4" w:space="0" w:color="000000"/>
              <w:left w:val="single" w:sz="4" w:space="0" w:color="000000"/>
            </w:tcBorders>
            <w:shd w:fill="E4E4E4" w:val="clear"/>
            <w:tcMar>
              <w:top w:w="30" w:type="dxa"/>
              <w:bottom w:w="0" w:type="dxa"/>
              <w:right w:w="0" w:type="dxa"/>
            </w:tcMar>
            <w:vAlign w:val="center"/>
          </w:tcPr>
          <w:p>
            <w:pPr>
              <w:pStyle w:val="TableContents"/>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Time Period</w:t>
            </w:r>
          </w:p>
        </w:tc>
        <w:tc>
          <w:tcPr>
            <w:tcW w:w="2870" w:type="dxa"/>
            <w:gridSpan w:val="3"/>
            <w:tcBorders>
              <w:top w:val="single" w:sz="4" w:space="0" w:color="000000"/>
              <w:left w:val="single" w:sz="4" w:space="0" w:color="000000"/>
            </w:tcBorders>
            <w:shd w:fill="E4E4E4" w:val="clear"/>
            <w:tcMar>
              <w:top w:w="30" w:type="dxa"/>
              <w:bottom w:w="0" w:type="dxa"/>
              <w:right w:w="0" w:type="dxa"/>
            </w:tcMar>
            <w:vAlign w:val="center"/>
          </w:tcPr>
          <w:p>
            <w:pPr>
              <w:pStyle w:val="TableContents"/>
              <w:spacing w:lineRule="auto" w:line="276" w:before="3" w:after="283"/>
              <w:jc w:val="left"/>
              <w:rPr>
                <w:rFonts w:ascii="Times New Roman;sans-serif" w:hAnsi="Times New Roman;sans-serif"/>
                <w:b/>
                <w:color w:val="000000"/>
                <w:sz w:val="24"/>
              </w:rPr>
            </w:pPr>
            <w:r>
              <w:rPr>
                <w:rFonts w:ascii="Times New Roman;sans-serif" w:hAnsi="Times New Roman;sans-serif"/>
                <w:b/>
                <w:color w:val="000000"/>
                <w:sz w:val="24"/>
              </w:rPr>
              <w:t>Term    SOFR Applicable Margin</w:t>
            </w:r>
          </w:p>
        </w:tc>
        <w:tc>
          <w:tcPr>
            <w:tcW w:w="1830" w:type="dxa"/>
            <w:gridSpan w:val="3"/>
            <w:tcBorders>
              <w:top w:val="single" w:sz="4" w:space="0" w:color="000000"/>
              <w:left w:val="single" w:sz="4" w:space="0" w:color="000000"/>
              <w:right w:val="single" w:sz="4" w:space="0" w:color="000000"/>
            </w:tcBorders>
            <w:shd w:fill="E4E4E4" w:val="clear"/>
            <w:tcMar>
              <w:top w:w="30" w:type="dxa"/>
              <w:bottom w:w="0" w:type="dxa"/>
            </w:tcMar>
            <w:vAlign w:val="center"/>
          </w:tcPr>
          <w:p>
            <w:pPr>
              <w:pStyle w:val="TableContents"/>
              <w:spacing w:lineRule="auto" w:line="276" w:before="1" w:after="283"/>
              <w:jc w:val="left"/>
              <w:rPr>
                <w:rFonts w:ascii="Times New Roman;sans-serif" w:hAnsi="Times New Roman;sans-serif"/>
                <w:b/>
                <w:color w:val="000000"/>
                <w:sz w:val="24"/>
              </w:rPr>
            </w:pPr>
            <w:r>
              <w:rPr>
                <w:rFonts w:ascii="Times New Roman;sans-serif" w:hAnsi="Times New Roman;sans-serif"/>
                <w:b/>
                <w:color w:val="000000"/>
                <w:sz w:val="24"/>
              </w:rPr>
              <w:t>Base    Rate</w:t>
            </w:r>
          </w:p>
          <w:p>
            <w:pPr>
              <w:pStyle w:val="TableContents"/>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Applicable Margin</w:t>
            </w:r>
          </w:p>
        </w:tc>
      </w:tr>
      <w:tr>
        <w:trPr/>
        <w:tc>
          <w:tcPr>
            <w:tcW w:w="55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Closing Date to the date that is 89 days after the Closing Date</w:t>
            </w:r>
          </w:p>
        </w:tc>
        <w:tc>
          <w:tcPr>
            <w:tcW w:w="2870" w:type="dxa"/>
            <w:gridSpan w:val="3"/>
            <w:tcBorders>
              <w:top w:val="single" w:sz="4" w:space="0" w:color="000000"/>
              <w:left w:val="single" w:sz="4" w:space="0" w:color="000000"/>
            </w:tcBorders>
            <w:shd w:fill="auto" w:val="clear"/>
            <w:tcMar>
              <w:top w:w="30" w:type="dxa"/>
              <w:left w:w="12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1830" w:type="dxa"/>
            <w:gridSpan w:val="3"/>
            <w:tcBorders>
              <w:top w:val="single" w:sz="4" w:space="0" w:color="000000"/>
              <w:left w:val="single" w:sz="4" w:space="0" w:color="000000"/>
              <w:right w:val="single" w:sz="4" w:space="0" w:color="000000"/>
            </w:tcBorders>
            <w:shd w:fill="auto" w:val="clear"/>
            <w:tcMar>
              <w:top w:w="30" w:type="dxa"/>
              <w:left w:w="130"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55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90 days after the Closing Date to the date that is 179 days after the Closing Date</w:t>
            </w:r>
          </w:p>
        </w:tc>
        <w:tc>
          <w:tcPr>
            <w:tcW w:w="2870" w:type="dxa"/>
            <w:gridSpan w:val="3"/>
            <w:tcBorders>
              <w:top w:val="single" w:sz="4" w:space="0" w:color="000000"/>
              <w:left w:val="single" w:sz="4" w:space="0" w:color="000000"/>
            </w:tcBorders>
            <w:shd w:fill="auto" w:val="clear"/>
            <w:tcMar>
              <w:top w:w="30" w:type="dxa"/>
              <w:left w:w="12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w:t>
            </w:r>
          </w:p>
        </w:tc>
        <w:tc>
          <w:tcPr>
            <w:tcW w:w="1830" w:type="dxa"/>
            <w:gridSpan w:val="3"/>
            <w:tcBorders>
              <w:top w:val="single" w:sz="4" w:space="0" w:color="000000"/>
              <w:left w:val="single" w:sz="4" w:space="0" w:color="000000"/>
              <w:right w:val="single" w:sz="4" w:space="0" w:color="000000"/>
            </w:tcBorders>
            <w:shd w:fill="auto" w:val="clear"/>
            <w:tcMar>
              <w:top w:w="30" w:type="dxa"/>
              <w:left w:w="130"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55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180 days after the Closing Date to the date that is 269 days after the Closing Date</w:t>
            </w:r>
          </w:p>
        </w:tc>
        <w:tc>
          <w:tcPr>
            <w:tcW w:w="2870" w:type="dxa"/>
            <w:gridSpan w:val="3"/>
            <w:tcBorders>
              <w:top w:val="single" w:sz="4" w:space="0" w:color="000000"/>
              <w:left w:val="single" w:sz="4" w:space="0" w:color="000000"/>
            </w:tcBorders>
            <w:shd w:fill="auto" w:val="clear"/>
            <w:tcMar>
              <w:top w:w="30" w:type="dxa"/>
              <w:left w:w="12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3.00%</w:t>
            </w:r>
          </w:p>
        </w:tc>
        <w:tc>
          <w:tcPr>
            <w:tcW w:w="1830" w:type="dxa"/>
            <w:gridSpan w:val="3"/>
            <w:tcBorders>
              <w:top w:val="single" w:sz="4" w:space="0" w:color="000000"/>
              <w:left w:val="single" w:sz="4" w:space="0" w:color="000000"/>
              <w:right w:val="single" w:sz="4" w:space="0" w:color="000000"/>
            </w:tcBorders>
            <w:shd w:fill="auto" w:val="clear"/>
            <w:tcMar>
              <w:top w:w="30" w:type="dxa"/>
              <w:left w:w="130"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550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 days after the Closing Date and thereafter</w:t>
            </w:r>
          </w:p>
        </w:tc>
        <w:tc>
          <w:tcPr>
            <w:tcW w:w="2870" w:type="dxa"/>
            <w:gridSpan w:val="3"/>
            <w:tcBorders>
              <w:top w:val="single" w:sz="4" w:space="0" w:color="000000"/>
              <w:left w:val="single" w:sz="4" w:space="0" w:color="000000"/>
              <w:bottom w:val="single" w:sz="4" w:space="0" w:color="000000"/>
            </w:tcBorders>
            <w:shd w:fill="auto" w:val="clear"/>
            <w:tcMar>
              <w:top w:w="30" w:type="dxa"/>
              <w:left w:w="12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3.50%</w:t>
            </w:r>
          </w:p>
        </w:tc>
        <w:tc>
          <w:tcPr>
            <w:tcW w:w="1830"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130"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w:t>
            </w:r>
          </w:p>
        </w:tc>
      </w:tr>
    </w:tbl>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may elect interest periods of 1, 3 or 6 months for Term SOFR borrowings.</w:t>
      </w:r>
    </w:p>
    <w:p>
      <w:pPr>
        <w:pStyle w:val="TextBody"/>
        <w:spacing w:before="9" w:after="283"/>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Calculation of interest shall be on the basis of the actual days elapsed in a year of 360 days (or 365 or 366 days, as the case may be, in the case of Base Rate loans based on the Prime Rate) and interest shall be payable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in the case of Term SOFR loans, at the end of each interest period and, in any event, at least every 3 months and (ii) in the case of Base Rate loans, quarterly in arrears.</w:t>
      </w:r>
    </w:p>
    <w:p>
      <w:pPr>
        <w:pStyle w:val="TextBody"/>
        <w:spacing w:before="11" w:after="283"/>
        <w:rPr/>
      </w:pPr>
      <w:r>
        <w:rPr/>
      </w:r>
    </w:p>
    <w:p>
      <w:pPr>
        <w:pStyle w:val="TextBody"/>
        <w:spacing w:lineRule="auto" w:line="240" w:before="0" w:after="0"/>
        <w:jc w:val="both"/>
        <w:rPr/>
      </w:pPr>
      <w:r>
        <w:rPr>
          <w:color w:val="000000"/>
        </w:rPr>
        <w:t>“</w:t>
      </w:r>
      <w:r>
        <w:rPr>
          <w:rFonts w:ascii="Times New Roman;sans-serif" w:hAnsi="Times New Roman;sans-serif"/>
          <w:b w:val="false"/>
          <w:color w:val="000000"/>
          <w:sz w:val="24"/>
          <w:u w:val="single"/>
        </w:rPr>
        <w:t>Base Rate</w:t>
      </w:r>
      <w:r>
        <w:rPr>
          <w:color w:val="000000"/>
        </w:rPr>
        <w:t xml:space="preserve">” </w:t>
      </w:r>
      <w:r>
        <w:rPr>
          <w:rFonts w:ascii="Times New Roman;sans-serif" w:hAnsi="Times New Roman;sans-serif"/>
          <w:b w:val="false"/>
          <w:color w:val="000000"/>
          <w:sz w:val="24"/>
        </w:rPr>
        <w:t xml:space="preserve">means for any day a fluctuating rate per annum equal to the highest of (a) the Federal Funds Rate plus 0.50%, (b) the rate of interest in effect for such day as publicly announced from time to time by the Administrative Agent as its “prime rate” and (c) Term SOFR for an interest period of one month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1.00% (or, if such day is not a business day, the immediately preceding business day).</w:t>
      </w:r>
    </w:p>
    <w:p>
      <w:pPr>
        <w:pStyle w:val="TextBody"/>
        <w:spacing w:before="10" w:after="283"/>
        <w:rPr/>
      </w:pPr>
      <w:r>
        <w:rPr/>
      </w:r>
    </w:p>
    <w:p>
      <w:pPr>
        <w:pStyle w:val="TextBody"/>
        <w:spacing w:lineRule="auto" w:line="280" w:before="0" w:after="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means, with respect to any business day, a rate per annum equal to the secured overnight financing rate for such business day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68"/>
        <w:gridCol w:w="324"/>
        <w:gridCol w:w="325"/>
        <w:gridCol w:w="2686"/>
        <w:gridCol w:w="2686"/>
        <w:gridCol w:w="3816"/>
      </w:tblGrid>
      <w:tr>
        <w:trPr/>
        <w:tc>
          <w:tcPr>
            <w:tcW w:w="36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c>
          <w:tcPr>
            <w:tcW w:w="3816" w:type="dxa"/>
            <w:tcBorders/>
            <w:shd w:fill="auto" w:val="clear"/>
            <w:vAlign w:val="cente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published by the SOFR Administrator on the SOFR Administrator’s Website at approximately 8:00 a.m. (New York City time).</w:t>
            </w:r>
          </w:p>
          <w:p>
            <w:pPr>
              <w:pStyle w:val="TableContents"/>
              <w:spacing w:before="5" w:after="283"/>
              <w:jc w:val="left"/>
              <w:rPr/>
            </w:pPr>
            <w:r>
              <w:rPr/>
            </w:r>
          </w:p>
          <w:p>
            <w:pPr>
              <w:pStyle w:val="TableContents"/>
              <w:spacing w:lineRule="auto" w:line="240" w:before="0" w:after="0"/>
              <w:jc w:val="left"/>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means the Federal Reserve Bank of New York (or a successor administrator of the secured overnight financing rate).</w:t>
            </w:r>
          </w:p>
          <w:p>
            <w:pPr>
              <w:pStyle w:val="TableContents"/>
              <w:spacing w:before="1" w:after="283"/>
              <w:jc w:val="left"/>
              <w:rPr/>
            </w:pPr>
            <w:r>
              <w:rPr/>
            </w:r>
          </w:p>
          <w:p>
            <w:pPr>
              <w:pStyle w:val="TableContents"/>
              <w:spacing w:lineRule="auto" w:line="276" w:before="0" w:after="0"/>
              <w:jc w:val="left"/>
              <w:rPr/>
            </w:pPr>
            <w:r>
              <w:rPr>
                <w:color w:val="000000"/>
              </w:rPr>
              <w:t>“</w:t>
            </w:r>
            <w:r>
              <w:rPr>
                <w:rFonts w:ascii="Times New Roman;sans-serif" w:hAnsi="Times New Roman;sans-serif"/>
                <w:b w:val="false"/>
                <w:color w:val="000000"/>
                <w:sz w:val="24"/>
                <w:u w:val="single"/>
              </w:rPr>
              <w:t>SOFR Loan</w:t>
            </w:r>
            <w:r>
              <w:rPr>
                <w:color w:val="000000"/>
              </w:rPr>
              <w:t xml:space="preserve">” </w:t>
            </w:r>
            <w:r>
              <w:rPr>
                <w:rFonts w:ascii="Times New Roman;sans-serif" w:hAnsi="Times New Roman;sans-serif"/>
                <w:b w:val="false"/>
                <w:color w:val="000000"/>
                <w:sz w:val="24"/>
              </w:rPr>
              <w:t>means a loan bearing interested determined by reference to Term SOFR.</w:t>
            </w:r>
          </w:p>
          <w:p>
            <w:pPr>
              <w:pStyle w:val="TableContents"/>
              <w:spacing w:before="2" w:after="283"/>
              <w:jc w:val="left"/>
              <w:rPr/>
            </w:pPr>
            <w:r>
              <w:rPr/>
            </w:r>
          </w:p>
          <w:p>
            <w:pPr>
              <w:pStyle w:val="TableContents"/>
              <w:spacing w:lineRule="auto" w:line="240" w:before="0" w:after="0"/>
              <w:jc w:val="both"/>
              <w:rPr/>
            </w:pPr>
            <w:r>
              <w:rPr>
                <w:color w:val="000000"/>
              </w:rPr>
              <w:t>“</w:t>
            </w:r>
            <w:r>
              <w:rPr>
                <w:rFonts w:ascii="Times New Roman;sans-serif" w:hAnsi="Times New Roman;sans-serif"/>
                <w:b w:val="false"/>
                <w:color w:val="000000"/>
                <w:sz w:val="24"/>
                <w:u w:val="single"/>
              </w:rPr>
              <w:t>Term SOFR</w:t>
            </w:r>
            <w:r>
              <w:rPr>
                <w:color w:val="000000"/>
              </w:rPr>
              <w:t xml:space="preserve">” </w:t>
            </w:r>
            <w:r>
              <w:rPr>
                <w:rFonts w:ascii="Times New Roman;sans-serif" w:hAnsi="Times New Roman;sans-serif"/>
                <w:b w:val="false"/>
                <w:color w:val="000000"/>
                <w:sz w:val="24"/>
              </w:rPr>
              <w:t>shall mean, with respect to any SOFR Loan denominated in U.S. Dollars and for any interest period, the Term SOFR Reference Rate for a tenor comparable to the applicable interest period on the day (such day, the “</w:t>
            </w:r>
            <w:r>
              <w:rPr>
                <w:rFonts w:ascii="Times New Roman;sans-serif" w:hAnsi="Times New Roman;sans-serif"/>
                <w:b w:val="false"/>
                <w:color w:val="000000"/>
                <w:sz w:val="24"/>
                <w:u w:val="single"/>
              </w:rPr>
              <w:t>Periodic Term SOFR Determination Day</w:t>
            </w:r>
            <w:r>
              <w:rPr>
                <w:color w:val="000000"/>
              </w:rPr>
              <w:t>”</w:t>
            </w:r>
            <w:r>
              <w:rPr>
                <w:rFonts w:ascii="Times New Roman;sans-serif" w:hAnsi="Times New Roman;sans-serif"/>
                <w:b w:val="false"/>
                <w:color w:val="000000"/>
                <w:sz w:val="24"/>
              </w:rPr>
              <w:t>) that is two</w:t>
            </w:r>
          </w:p>
          <w:p>
            <w:pPr>
              <w:pStyle w:val="TableContents"/>
              <w:spacing w:lineRule="auto" w:line="240" w:before="1" w:after="283"/>
              <w:jc w:val="both"/>
              <w:rPr/>
            </w:pPr>
            <w:r>
              <w:rPr>
                <w:rFonts w:ascii="Times New Roman;sans-serif" w:hAnsi="Times New Roman;sans-serif"/>
                <w:b w:val="false"/>
                <w:color w:val="000000"/>
                <w:sz w:val="24"/>
              </w:rPr>
              <w:t xml:space="preserve">(2) business days prior to the first day of such interest period, as such rate is published by the Term SOFR Administrator;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published by the Term SOFR Administrator on the business day first preceding such Periodic Term SOFR Determination Day so long as such business day is not more than three (3) business days prior to such Periodic Term SOFR Determination Day.</w:t>
            </w:r>
          </w:p>
          <w:p>
            <w:pPr>
              <w:pStyle w:val="TableContents"/>
              <w:spacing w:before="11" w:after="283"/>
              <w:jc w:val="left"/>
              <w:rPr/>
            </w:pPr>
            <w:r>
              <w:rPr/>
            </w:r>
          </w:p>
          <w:p>
            <w:pPr>
              <w:pStyle w:val="TableContents"/>
              <w:spacing w:lineRule="auto" w:line="240" w:before="0" w:after="0"/>
              <w:jc w:val="both"/>
              <w:rPr/>
            </w:pPr>
            <w:r>
              <w:rPr>
                <w:color w:val="000000"/>
              </w:rPr>
              <w:t>“</w:t>
            </w:r>
            <w:r>
              <w:rPr>
                <w:rFonts w:ascii="Times New Roman;sans-serif" w:hAnsi="Times New Roman;sans-serif"/>
                <w:b w:val="false"/>
                <w:color w:val="000000"/>
                <w:sz w:val="24"/>
                <w:u w:val="single"/>
              </w:rPr>
              <w:t>Term SOFR Administrator</w:t>
            </w:r>
            <w:r>
              <w:rPr>
                <w:color w:val="000000"/>
              </w:rPr>
              <w:t xml:space="preserve">” </w:t>
            </w:r>
            <w:r>
              <w:rPr>
                <w:rFonts w:ascii="Times New Roman;sans-serif" w:hAnsi="Times New Roman;sans-serif"/>
                <w:b w:val="false"/>
                <w:color w:val="000000"/>
                <w:sz w:val="24"/>
              </w:rPr>
              <w:t>shall mean CME Group Benchmark Administration Limited (CBA) (or a successor administrator of the Term SOFR Reference Rate selected by the Administrative Agent in its reasonable discretion).</w:t>
            </w:r>
          </w:p>
          <w:p>
            <w:pPr>
              <w:pStyle w:val="TableContents"/>
              <w:spacing w:before="10" w:after="283"/>
              <w:jc w:val="left"/>
              <w:rPr/>
            </w:pPr>
            <w:r>
              <w:rPr/>
            </w:r>
          </w:p>
          <w:p>
            <w:pPr>
              <w:pStyle w:val="TableContents"/>
              <w:spacing w:lineRule="auto" w:line="240" w:before="1" w:after="283"/>
              <w:jc w:val="both"/>
              <w:rPr/>
            </w:pPr>
            <w:r>
              <w:rPr>
                <w:color w:val="000000"/>
              </w:rPr>
              <w:t>“</w:t>
            </w:r>
            <w:r>
              <w:rPr>
                <w:rFonts w:ascii="Times New Roman;sans-serif" w:hAnsi="Times New Roman;sans-serif"/>
                <w:b w:val="false"/>
                <w:color w:val="000000"/>
                <w:sz w:val="24"/>
                <w:u w:val="single"/>
              </w:rPr>
              <w:t>Term SOFR Reference Rate</w:t>
            </w:r>
            <w:r>
              <w:rPr>
                <w:color w:val="000000"/>
              </w:rPr>
              <w:t xml:space="preserve">” </w:t>
            </w:r>
            <w:r>
              <w:rPr>
                <w:rFonts w:ascii="Times New Roman;sans-serif" w:hAnsi="Times New Roman;sans-serif"/>
                <w:b w:val="false"/>
                <w:color w:val="000000"/>
                <w:sz w:val="24"/>
              </w:rPr>
              <w:t>shall mean, for any day and time, with respect to any SOFR Loan for any interest period, the rate per annum determined by the Administrative Agent as the forward-looking term rate based on SOFR.</w:t>
            </w:r>
          </w:p>
          <w:p>
            <w:pPr>
              <w:pStyle w:val="TableContents"/>
              <w:spacing w:before="10" w:after="283"/>
              <w:jc w:val="left"/>
              <w:rPr/>
            </w:pPr>
            <w:r>
              <w:rPr/>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Term SOFR shall be subject to a floor of 0.00%</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40" w:before="113" w:after="283"/>
              <w:jc w:val="left"/>
              <w:rPr/>
            </w:pPr>
            <w:r>
              <w:rPr>
                <w:rFonts w:ascii="Times New Roman;sans-serif" w:hAnsi="Times New Roman;sans-serif"/>
                <w:b w:val="false"/>
                <w:color w:val="000000"/>
                <w:sz w:val="24"/>
                <w:u w:val="single"/>
              </w:rPr>
              <w:t>Duration Fees</w:t>
            </w:r>
            <w:r>
              <w:rPr>
                <w:rFonts w:ascii="Times New Roman;sans-serif" w:hAnsi="Times New Roman;sans-serif"/>
                <w:b w:val="false"/>
                <w:color w:val="000000"/>
                <w:sz w:val="24"/>
              </w:rPr>
              <w:t>:</w:t>
            </w:r>
          </w:p>
        </w:tc>
        <w:tc>
          <w:tcPr>
            <w:tcW w:w="9188" w:type="dxa"/>
            <w:gridSpan w:val="3"/>
            <w:tcBorders/>
            <w:shd w:fill="auto" w:val="clear"/>
            <w:tcMar>
              <w:top w:w="0" w:type="dxa"/>
              <w:left w:w="0" w:type="dxa"/>
              <w:bottom w:w="0" w:type="dxa"/>
              <w:right w:w="0" w:type="dxa"/>
            </w:tcMar>
            <w:vAlign w:val="center"/>
          </w:tcPr>
          <w:p>
            <w:pPr>
              <w:pStyle w:val="TableContents"/>
              <w:spacing w:lineRule="auto" w:line="240" w:before="113" w:after="283"/>
              <w:jc w:val="left"/>
              <w:rPr/>
            </w:pPr>
            <w:r>
              <w:rPr>
                <w:rFonts w:ascii="Times New Roman;sans-serif" w:hAnsi="Times New Roman;sans-serif"/>
                <w:b w:val="false"/>
                <w:color w:val="000000"/>
                <w:sz w:val="22"/>
              </w:rPr>
              <w:t>The Borrower will pay a fee (the “</w:t>
            </w:r>
            <w:r>
              <w:rPr>
                <w:rFonts w:ascii="Times New Roman;sans-serif" w:hAnsi="Times New Roman;sans-serif"/>
                <w:b w:val="false"/>
                <w:color w:val="000000"/>
                <w:sz w:val="22"/>
                <w:u w:val="single"/>
              </w:rPr>
              <w:t>Duration Fee</w:t>
            </w:r>
            <w:r>
              <w:rPr>
                <w:color w:val="000000"/>
              </w:rPr>
              <w:t>”</w:t>
            </w:r>
            <w:r>
              <w:rPr>
                <w:rFonts w:ascii="Times New Roman;sans-serif" w:hAnsi="Times New Roman;sans-serif"/>
                <w:b w:val="false"/>
                <w:color w:val="000000"/>
                <w:sz w:val="22"/>
              </w:rPr>
              <w:t>), for the ratable benefit of the Lenders, in an amount equal to (i) 0.75% of the aggregate principal amount of the Term Loans under the Senior Credit Facility outstanding on the date which is 90 days after the Closing Date, due and payable in cash on such 90th day (or if such day is not a business day, the next business day); (ii) 1.00% of the aggregate principal amount of the Term Loans under the Senior Credit Facility outstanding on the date</w:t>
            </w:r>
          </w:p>
          <w:p>
            <w:pPr>
              <w:pStyle w:val="TableContents"/>
              <w:spacing w:lineRule="auto" w:line="273" w:before="0" w:after="0"/>
              <w:jc w:val="left"/>
              <w:rPr/>
            </w:pPr>
            <w:r>
              <w:rPr>
                <w:rFonts w:ascii="Times New Roman;sans-serif" w:hAnsi="Times New Roman;sans-serif"/>
                <w:b w:val="false"/>
                <w:color w:val="000000"/>
                <w:sz w:val="22"/>
              </w:rPr>
              <w:t xml:space="preserve">which is 180 days after the Closing Date, due and payable in cash on such 180th day (or if such day is not a business day, the next business </w:t>
            </w:r>
            <w:r>
              <w:rPr>
                <w:rFonts w:ascii="Times New Roman;sans-serif" w:hAnsi="Times New Roman;sans-serif"/>
                <w:b w:val="false"/>
                <w:color w:val="000000"/>
                <w:sz w:val="24"/>
              </w:rPr>
              <w:t>day); and (iii) 1.25% of the aggregate principal amount of the Term Loans under the Senior Credit Facility outstanding on the date which is 270 days after the Closing Date, due and payable in cash on such 270th day (or if such day is not a business day, the next business day).</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72"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72"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EXHIBIT C</w:t>
      </w:r>
    </w:p>
    <w:p>
      <w:pPr>
        <w:pStyle w:val="TextBody"/>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PROJECT ANDERSON</w:t>
      </w:r>
    </w:p>
    <w:p>
      <w:pPr>
        <w:pStyle w:val="TextBody"/>
        <w:spacing w:before="1" w:after="283"/>
        <w:rPr/>
      </w:pPr>
      <w:r>
        <w:rPr/>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Conditions</w:t>
      </w:r>
    </w:p>
    <w:p>
      <w:pPr>
        <w:pStyle w:val="TextBody"/>
        <w:spacing w:before="10" w:after="283"/>
        <w:rPr/>
      </w:pPr>
      <w:r>
        <w:rPr/>
      </w:r>
    </w:p>
    <w:p>
      <w:pPr>
        <w:pStyle w:val="TextBody"/>
        <w:spacing w:lineRule="auto" w:line="240" w:before="90" w:after="283"/>
        <w:ind w:left="0" w:right="0" w:firstLine="720"/>
        <w:jc w:val="both"/>
        <w:rPr/>
      </w:pPr>
      <w:r>
        <w:rPr>
          <w:rFonts w:ascii="Times New Roman;sans-serif" w:hAnsi="Times New Roman;sans-serif"/>
          <w:b w:val="false"/>
          <w:color w:val="000000"/>
          <w:sz w:val="24"/>
        </w:rPr>
        <w:t xml:space="preserve">The availability of the Senior Credit Facility shall be subject solely to the satisfaction or waiver by the </w:t>
      </w:r>
      <w:r>
        <w:rPr>
          <w:rFonts w:ascii="Times New Roman;sans-serif" w:hAnsi="Times New Roman;sans-serif"/>
          <w:b w:val="false"/>
          <w:color w:val="000000"/>
          <w:sz w:val="22"/>
        </w:rPr>
        <w:t>Initial Senior Lenders w</w:t>
      </w:r>
      <w:r>
        <w:rPr>
          <w:rFonts w:ascii="Times New Roman;sans-serif" w:hAnsi="Times New Roman;sans-serif"/>
          <w:b w:val="false"/>
          <w:color w:val="000000"/>
          <w:sz w:val="24"/>
        </w:rPr>
        <w:t xml:space="preserve">ith commitments in respect of the Senior Credit Facility of the following conditions (subject to the Certain Funds Provision). Capitalized terms used but not defined in this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have the meanings set forth in the letter to which this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is attached or in </w:t>
      </w:r>
      <w:r>
        <w:rPr>
          <w:rFonts w:ascii="Times New Roman;sans-serif" w:hAnsi="Times New Roman;sans-serif"/>
          <w:b w:val="false"/>
          <w:color w:val="000000"/>
          <w:sz w:val="24"/>
          <w:u w:val="single"/>
        </w:rPr>
        <w:t>Exhibits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thereto.</w:t>
      </w:r>
    </w:p>
    <w:p>
      <w:pPr>
        <w:pStyle w:val="TextBody"/>
        <w:spacing w:before="1" w:after="283"/>
        <w:rPr/>
      </w:pPr>
      <w:r>
        <w:rPr/>
      </w:r>
    </w:p>
    <w:p>
      <w:pPr>
        <w:pStyle w:val="TextBody"/>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1.Subject to the Certain Funds Provision, the Borrower and each Guarantor shall have executed and delivered the Senior Credit Documentation, in each case, consistent with the Commitment Letter and Term Sheet, to which they are parties and the Commitment Parties shall have received:</w:t>
      </w:r>
    </w:p>
    <w:p>
      <w:pPr>
        <w:pStyle w:val="TextBody"/>
        <w:spacing w:before="1" w:after="283"/>
        <w:rPr/>
      </w:pPr>
      <w:r>
        <w:rPr/>
      </w:r>
    </w:p>
    <w:p>
      <w:pPr>
        <w:pStyle w:val="TextBody"/>
        <w:spacing w:lineRule="auto" w:line="240" w:before="90" w:after="283"/>
        <w:ind w:left="0" w:right="0" w:hanging="721"/>
        <w:rPr>
          <w:rFonts w:ascii="Times New Roman;sans-serif" w:hAnsi="Times New Roman;sans-serif"/>
          <w:b w:val="false"/>
          <w:color w:val="000000"/>
          <w:sz w:val="24"/>
        </w:rPr>
      </w:pPr>
      <w:r>
        <w:rPr>
          <w:rFonts w:ascii="Times New Roman;sans-serif" w:hAnsi="Times New Roman;sans-serif"/>
          <w:b w:val="false"/>
          <w:color w:val="000000"/>
          <w:sz w:val="24"/>
        </w:rPr>
        <w:t>(a)a customary notice of borrowing;</w:t>
      </w:r>
    </w:p>
    <w:p>
      <w:pPr>
        <w:pStyle w:val="TextBody"/>
        <w:spacing w:before="7" w:after="283"/>
        <w:rPr/>
      </w:pPr>
      <w:r>
        <w:rPr/>
      </w:r>
    </w:p>
    <w:p>
      <w:pPr>
        <w:pStyle w:val="TextBody"/>
        <w:spacing w:lineRule="auto" w:line="240"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(b)customary closing officer’s certificate (certifying as to resolutions, organizational documents and incumbency, as to the accuracy of the Specified Representations in all material respects and no amendments or modifications to the provisions of the Merger Agreement that are materially adverse to the interests of the Initial Senior Lenders) and good standing (of the jurisdiction of organization of the Borrower and Guarantors) and legal opinions; and</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(c)a certificate (substantially in the form of </w:t>
      </w:r>
      <w:r>
        <w:rPr>
          <w:rFonts w:ascii="Times New Roman;sans-serif" w:hAnsi="Times New Roman;sans-serif"/>
          <w:b w:val="false"/>
          <w:color w:val="000000"/>
          <w:sz w:val="24"/>
          <w:u w:val="single"/>
        </w:rPr>
        <w:t>Annex I</w:t>
      </w:r>
      <w:r>
        <w:rPr>
          <w:color w:val="000000"/>
        </w:rPr>
        <w:t xml:space="preserve"> </w:t>
      </w:r>
      <w:r>
        <w:rPr>
          <w:rFonts w:ascii="Times New Roman;sans-serif" w:hAnsi="Times New Roman;sans-serif"/>
          <w:b w:val="false"/>
          <w:color w:val="000000"/>
          <w:sz w:val="24"/>
        </w:rPr>
        <w:t xml:space="preserve">to this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from the chief financial officer (or other officer with reasonably equivalent duties) of the Borrower certifying that the Borrower and its subsidiaries, on a consolidated basis after giving effect to the Transactions, are solvent.</w:t>
      </w:r>
    </w:p>
    <w:p>
      <w:pPr>
        <w:pStyle w:val="TextBody"/>
        <w:spacing w:before="10" w:after="283"/>
        <w:rPr/>
      </w:pPr>
      <w:r>
        <w:rPr/>
      </w:r>
    </w:p>
    <w:p>
      <w:pPr>
        <w:pStyle w:val="TextBody"/>
        <w:spacing w:lineRule="auto" w:line="28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2.Prior to, or substantially concurrently with the initial fundings contemplated by the Commitment Letter, the Refinancing shall have been consummated.</w:t>
      </w:r>
    </w:p>
    <w:p>
      <w:pPr>
        <w:pStyle w:val="TextBody"/>
        <w:spacing w:before="4" w:after="283"/>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3.The Merger shall be consummated in all material respects pursuant to the Merger Agreement (for the avoidance of doubt, the Initial Senior Lenders are satisfied with the Merger Agreement dated the date hereof) substantially concurrently with the initial funding of the Senior Credit Facility without giving effect to any amendments or modifications to the provisions thereof or express waivers or consents thereto that, in each case, are materially adverse to the interests of the Initial Senior Lenders without the consent of the Initial Senior Lenders, such consent not to be unreasonably withheld, conditioned or delayed (it being understood and agreed that (i) any change in the Merger Consideration (as defined in the Merger Agreement) shall be deemed not to be adverse to the interest of the Initial Senior Lenders and (ii) any adverse modification to the definition of Material Adverse Effect (as defined in the Merger Agreement as in effect on the date hereof) (or adverse express waiver or express consent in respect of the definition of Material Adverse Effect) without the prior written consent of the Initial Senior Lenders (such consent not to be unreasonably withheld, delayed or conditioned) shall be deemed to be materially adverse to the interests of the Initial Senior Lenders); provided that in each case the Initial Senior Lenders shall be deemed to have consented to such modification, amendment,</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76" w:before="74" w:after="283"/>
        <w:rPr>
          <w:rFonts w:ascii="Times New Roman;sans-serif" w:hAnsi="Times New Roman;sans-serif"/>
          <w:b w:val="false"/>
          <w:color w:val="000000"/>
          <w:sz w:val="24"/>
        </w:rPr>
      </w:pPr>
      <w:r>
        <w:rPr>
          <w:rFonts w:ascii="Times New Roman;sans-serif" w:hAnsi="Times New Roman;sans-serif"/>
          <w:b w:val="false"/>
          <w:color w:val="000000"/>
          <w:sz w:val="24"/>
        </w:rPr>
        <w:t>waiver or consent unless they shall object thereto within 3 business days of receipt of written notice of such modification, amendment, consent or waiver.</w:t>
      </w:r>
    </w:p>
    <w:p>
      <w:pPr>
        <w:pStyle w:val="TextBody"/>
        <w:spacing w:before="2" w:after="283"/>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4.Since December 31, 2022, there have been no Changes (as defined in the Merger Agreement as in effect on the date hereof) that, individually or in the aggregate, have had or would reasonably be expected to have a Material Adverse Effect on Apple (each as defined in the Merger Agreement as in effect on the date hereof).</w:t>
      </w:r>
    </w:p>
    <w:p>
      <w:pPr>
        <w:pStyle w:val="TextBody"/>
        <w:spacing w:before="11" w:after="283"/>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5.So long as requested at least ten (10) business days prior to the Closing Date, the Administrative Agent shall have received, at least three (3) business days prior to the Closing Date, all documentation and other information with respect to the Borrower and the Guarantors that is required by regulatory authorities under applicable “know your customer” and anti-money laundering rules and regulations, including, without limitation, the PATRIOT Act.</w:t>
      </w:r>
    </w:p>
    <w:p>
      <w:pPr>
        <w:pStyle w:val="TextBody"/>
        <w:spacing w:before="8" w:after="283"/>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6.Payment of all fees and expenses earned, due and payable to the Commitment Parties and the Lenders required to be paid on the Closing Date under the Senior Credit Facility for which invoices have been received at least three (3) business days in advance (which amounts may be offset against the proceeds of the Senior Credit Facility) shall have been made (or shall be made substantially contemporaneously with funding).</w:t>
      </w:r>
    </w:p>
    <w:p>
      <w:pPr>
        <w:pStyle w:val="TextBody"/>
        <w:spacing w:before="1" w:after="283"/>
        <w:rPr/>
      </w:pPr>
      <w:r>
        <w:rPr/>
      </w:r>
    </w:p>
    <w:p>
      <w:pPr>
        <w:pStyle w:val="TextBody"/>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7.Subject to the Certain Funds Provision, with respect to the Senior Credit Facility, all actions necessary to establish that the Administrative Agent will have a perfected security interest in the Collateral of the Borrower and each Guarantor under the Senior Credit Facility shall have been taken (or shall be taken substantially contemporaneously with funding).</w:t>
      </w:r>
    </w:p>
    <w:p>
      <w:pPr>
        <w:pStyle w:val="TextBody"/>
        <w:spacing w:before="1" w:after="283"/>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8.The Specified Merger Agreement Representations and the Specified Representations shall be true and correct in all material respects.</w:t>
      </w:r>
    </w:p>
    <w:p>
      <w:pPr>
        <w:pStyle w:val="TextBody"/>
        <w:spacing w:before="2" w:after="283"/>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9.Not less than 14 calendar days prior to the Closing Date, one or more investment banks reasonably satisfactory to the Senior Lead Arrangers shall have been engaged to arrange, underwrite or otherwise place the Permanent Financing.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10" w:after="283"/>
        <w:rPr/>
      </w:pPr>
      <w:r>
        <w:rPr/>
      </w:r>
    </w:p>
    <w:p>
      <w:pPr>
        <w:pStyle w:val="TextBody"/>
        <w:spacing w:lineRule="auto" w:line="240" w:before="1"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SOLVENCY CERTIFICATE</w:t>
      </w:r>
    </w:p>
    <w:p>
      <w:pPr>
        <w:pStyle w:val="TextBody"/>
        <w:spacing w:before="72" w:after="283"/>
        <w:jc w:val="right"/>
        <w:rPr/>
      </w:pPr>
      <w:r>
        <w:rPr/>
      </w:r>
    </w:p>
    <w:p>
      <w:pPr>
        <w:pStyle w:val="TextBody"/>
        <w:spacing w:lineRule="auto" w:line="240" w:before="0" w:after="0"/>
        <w:jc w:val="right"/>
        <w:rPr/>
      </w:pPr>
      <w:r>
        <w:rPr>
          <w:rFonts w:ascii="Times New Roman;sans-serif" w:hAnsi="Times New Roman;sans-serif"/>
          <w:b w:val="false"/>
          <w:color w:val="000000"/>
          <w:sz w:val="24"/>
          <w:u w:val="single"/>
        </w:rPr>
        <w:t>Annex I</w:t>
      </w:r>
      <w:r>
        <w:rPr>
          <w:color w:val="000000"/>
        </w:rPr>
        <w:t xml:space="preserve"> </w:t>
      </w:r>
      <w:r>
        <w:rPr>
          <w:rFonts w:ascii="Times New Roman;sans-serif" w:hAnsi="Times New Roman;sans-serif"/>
          <w:b w:val="false"/>
          <w:color w:val="000000"/>
          <w:sz w:val="24"/>
        </w:rPr>
        <w:t xml:space="preserve">to </w:t>
      </w:r>
      <w:r>
        <w:rPr>
          <w:rFonts w:ascii="Times New Roman;sans-serif" w:hAnsi="Times New Roman;sans-serif"/>
          <w:b w:val="false"/>
          <w:color w:val="000000"/>
          <w:sz w:val="24"/>
          <w:u w:val="single"/>
        </w:rPr>
        <w:t>Exhibit C</w:t>
      </w:r>
    </w:p>
    <w:p>
      <w:pPr>
        <w:pStyle w:val="TextBody"/>
        <w:spacing w:before="0" w:after="0"/>
        <w:rPr/>
      </w:pPr>
      <w:r>
        <w:rPr/>
      </w:r>
    </w:p>
    <w:p>
      <w:pPr>
        <w:pStyle w:val="TextBody"/>
        <w:spacing w:before="0" w:after="0"/>
        <w:rPr/>
      </w:pPr>
      <w:r>
        <w:rPr/>
      </w:r>
    </w:p>
    <w:p>
      <w:pPr>
        <w:pStyle w:val="TextBody"/>
        <w:spacing w:lineRule="auto" w:line="240" w:before="159" w:after="283"/>
        <w:jc w:val="right"/>
        <w:rPr/>
      </w:pPr>
      <w:r>
        <w:rPr>
          <w:rFonts w:ascii="Times New Roman;sans-serif" w:hAnsi="Times New Roman;sans-serif"/>
          <w:b/>
          <w:color w:val="000000"/>
          <w:sz w:val="24"/>
        </w:rPr>
        <w:t>[</w:t>
      </w:r>
      <w:r>
        <w:rPr>
          <w:color w:val="000000"/>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w:t>
      </w:r>
      <w:r>
        <w:rPr>
          <w:color w:val="000000"/>
          <w:u w:val="singl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9" w:after="283"/>
        <w:rPr/>
      </w:pPr>
      <w:r>
        <w:rPr/>
      </w:r>
    </w:p>
    <w:p>
      <w:pPr>
        <w:pStyle w:val="TextBody"/>
        <w:spacing w:lineRule="auto" w:line="240" w:before="90" w:after="283"/>
        <w:ind w:left="0" w:right="0" w:firstLine="720"/>
        <w:jc w:val="both"/>
        <w:rPr/>
      </w:pPr>
      <w:r>
        <w:rPr>
          <w:rFonts w:ascii="Times New Roman;sans-serif" w:hAnsi="Times New Roman;sans-serif"/>
          <w:b w:val="false"/>
          <w:color w:val="000000"/>
          <w:sz w:val="24"/>
        </w:rPr>
        <w:t xml:space="preserve">This Solvency Certificate is being executed and delivered pursuant to </w:t>
      </w:r>
      <w:r>
        <w:rPr>
          <w:rFonts w:ascii="Times New Roman;sans-serif" w:hAnsi="Times New Roman;sans-serif"/>
          <w:b w:val="false"/>
          <w:color w:val="000000"/>
          <w:sz w:val="24"/>
          <w:u w:val="single"/>
        </w:rPr>
        <w:t xml:space="preserve">Section </w:t>
      </w:r>
      <w:r>
        <w:rPr>
          <w:rFonts w:ascii="Times New Roman;sans-serif" w:hAnsi="Times New Roman;sans-serif"/>
          <w:b/>
          <w:color w:val="000000"/>
          <w:sz w:val="24"/>
          <w:u w:val="single"/>
        </w:rPr>
        <w:t>[</w:t>
      </w:r>
      <w:r>
        <w:rPr>
          <w:color w:val="000000"/>
          <w:u w:val="single"/>
        </w:rPr>
        <w:t>●</w:t>
      </w:r>
      <w:r>
        <w:rPr>
          <w:rFonts w:ascii="Times New Roman;sans-serif" w:hAnsi="Times New Roman;sans-serif"/>
          <w:b/>
          <w:color w:val="000000"/>
          <w:sz w:val="24"/>
          <w:u w:val="single"/>
        </w:rPr>
        <w:t>]</w:t>
      </w:r>
      <w:r>
        <w:rPr>
          <w:color w:val="000000"/>
        </w:rPr>
        <w:t xml:space="preserve"> </w:t>
      </w:r>
      <w:r>
        <w:rPr>
          <w:rFonts w:ascii="Times New Roman;sans-serif" w:hAnsi="Times New Roman;sans-serif"/>
          <w:b w:val="false"/>
          <w:color w:val="000000"/>
          <w:sz w:val="24"/>
        </w:rPr>
        <w:t xml:space="preserve">of that certain </w:t>
      </w:r>
      <w:r>
        <w:rPr>
          <w:rFonts w:ascii="Times New Roman;sans-serif" w:hAnsi="Times New Roman;sans-serif"/>
          <w:b/>
          <w:color w:val="000000"/>
          <w:sz w:val="24"/>
        </w:rPr>
        <w:t>[</w:t>
      </w:r>
      <w:r>
        <w:rPr>
          <w:color w:val="000000"/>
        </w:rPr>
        <w:t>●</w:t>
      </w:r>
      <w:r>
        <w:rPr>
          <w:rFonts w:ascii="Times New Roman;sans-serif" w:hAnsi="Times New Roman;sans-serif"/>
          <w:b/>
          <w:color w:val="000000"/>
          <w:sz w:val="24"/>
        </w:rPr>
        <w:t>]</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the terms defined therein being used herein as therein defined.</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I, </w:t>
      </w:r>
      <w:r>
        <w:rPr>
          <w:rFonts w:ascii="Times New Roman;sans-serif" w:hAnsi="Times New Roman;sans-serif"/>
          <w:b/>
          <w:color w:val="000000"/>
          <w:sz w:val="24"/>
        </w:rPr>
        <w:t>[</w:t>
      </w:r>
      <w:r>
        <w:rPr>
          <w:color w:val="000000"/>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the </w:t>
      </w:r>
      <w:r>
        <w:rPr>
          <w:rFonts w:ascii="Times New Roman;sans-serif" w:hAnsi="Times New Roman;sans-serif"/>
          <w:b/>
          <w:color w:val="000000"/>
          <w:sz w:val="24"/>
        </w:rPr>
        <w:t>[</w:t>
      </w:r>
      <w:r>
        <w:rPr>
          <w:rFonts w:ascii="Times New Roman;sans-serif" w:hAnsi="Times New Roman;sans-serif"/>
          <w:b w:val="false"/>
          <w:color w:val="000000"/>
          <w:sz w:val="24"/>
        </w:rPr>
        <w:t>chief financial officer/equivalent officer</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of the Borrower, solely in such capacity and not in an individual capacity, hereby certify that I am the </w:t>
      </w:r>
      <w:r>
        <w:rPr>
          <w:rFonts w:ascii="Times New Roman;sans-serif" w:hAnsi="Times New Roman;sans-serif"/>
          <w:b/>
          <w:color w:val="000000"/>
          <w:sz w:val="24"/>
        </w:rPr>
        <w:t>[</w:t>
      </w:r>
      <w:r>
        <w:rPr>
          <w:rFonts w:ascii="Times New Roman;sans-serif" w:hAnsi="Times New Roman;sans-serif"/>
          <w:b w:val="false"/>
          <w:color w:val="000000"/>
          <w:sz w:val="24"/>
        </w:rPr>
        <w:t>chief financial officer/equivalent officer</w:t>
      </w:r>
      <w:r>
        <w:rPr>
          <w:rFonts w:ascii="Times New Roman;sans-serif" w:hAnsi="Times New Roman;sans-serif"/>
          <w:b/>
          <w:color w:val="000000"/>
          <w:sz w:val="24"/>
        </w:rPr>
        <w:t xml:space="preserve">] </w:t>
      </w:r>
      <w:r>
        <w:rPr>
          <w:rFonts w:ascii="Times New Roman;sans-serif" w:hAnsi="Times New Roman;sans-serif"/>
          <w:b w:val="false"/>
          <w:color w:val="000000"/>
          <w:sz w:val="24"/>
        </w:rPr>
        <w:t>of the Borrower and that I am generally familiar with the businesses and assets of the Borrower and its Subsidiaries (taken as a whole), I have made such other investigations and inquiries as I have deemed appropriate and I am duly authorized to execute this Solvency Certificate on behalf of the Borrower pursuant to the Credit Agreement.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I further certify, solely in my capacity as </w:t>
      </w:r>
      <w:r>
        <w:rPr>
          <w:rFonts w:ascii="Times New Roman;sans-serif" w:hAnsi="Times New Roman;sans-serif"/>
          <w:b/>
          <w:color w:val="000000"/>
          <w:sz w:val="24"/>
        </w:rPr>
        <w:t>[</w:t>
      </w:r>
      <w:r>
        <w:rPr>
          <w:rFonts w:ascii="Times New Roman;sans-serif" w:hAnsi="Times New Roman;sans-serif"/>
          <w:b w:val="false"/>
          <w:color w:val="000000"/>
          <w:sz w:val="24"/>
        </w:rPr>
        <w:t>chief financial officer/equivalent officer</w:t>
      </w:r>
      <w:r>
        <w:rPr>
          <w:rFonts w:ascii="Times New Roman;sans-serif" w:hAnsi="Times New Roman;sans-serif"/>
          <w:b/>
          <w:color w:val="000000"/>
          <w:sz w:val="24"/>
        </w:rPr>
        <w:t xml:space="preserve">] </w:t>
      </w:r>
      <w:r>
        <w:rPr>
          <w:rFonts w:ascii="Times New Roman;sans-serif" w:hAnsi="Times New Roman;sans-serif"/>
          <w:b w:val="false"/>
          <w:color w:val="000000"/>
          <w:sz w:val="24"/>
        </w:rPr>
        <w:t>of the Borrower, and not in my individual capacity, as of the date hereof and after giving effect to the Transactions and the incurrence of the indebtedness and obligations being incurred in connection with the Credit Agreement and the Transactions on the date hereof, that, (a) the sum of the debt (including contingent liabilities) of the Borrower and its Subsidiaries, taken as a whole, does not exceed the present fair saleable value (on a going concern basis) of the assets of the Borrower and its Subsidiaries, taken as a whole; (b) the capital of the Borrower and its Subsidiaries, taken as a whole, is not unreasonably small in relation to the business of the Borrower and its Subsidiaries, taken as a whole, contemplated as of the date hereof; and (c) the Borrower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spacing w:before="0" w:after="0"/>
        <w:rPr/>
      </w:pPr>
      <w:r>
        <w:rPr/>
      </w:r>
    </w:p>
    <w:p>
      <w:pPr>
        <w:pStyle w:val="TextBody"/>
        <w:spacing w:lineRule="auto" w:line="240" w:before="0" w:after="0"/>
        <w:jc w:val="center"/>
        <w:rPr/>
      </w:pPr>
      <w:r>
        <w:rPr>
          <w:rFonts w:ascii="Times New Roman;sans-serif" w:hAnsi="Times New Roman;sans-serif"/>
          <w:b/>
          <w:color w:val="000000"/>
          <w:sz w:val="24"/>
        </w:rPr>
        <w:t>[</w:t>
      </w:r>
      <w:r>
        <w:rPr>
          <w:rFonts w:ascii="Times New Roman;sans-serif" w:hAnsi="Times New Roman;sans-serif"/>
          <w:b w:val="false"/>
          <w:color w:val="000000"/>
          <w:sz w:val="24"/>
        </w:rPr>
        <w:t>Remainder of page intentionally left blank</w:t>
      </w:r>
      <w:r>
        <w:rPr>
          <w:rFonts w:ascii="Times New Roman;sans-serif" w:hAnsi="Times New Roman;sans-serif"/>
          <w:b/>
          <w:color w:val="000000"/>
          <w:sz w:val="24"/>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 w:after="283"/>
        <w:rPr/>
      </w:pPr>
      <w:r>
        <w:rPr/>
        <w:drawing>
          <wp:inline distT="0" distB="63500" distL="0" distR="0">
            <wp:extent cx="1828800" cy="14605"/>
            <wp:effectExtent l="0" t="0" r="0" b="0"/>
            <wp:docPr id="6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 descr=""/>
                    <pic:cNvPicPr>
                      <a:picLocks noChangeAspect="1" noChangeArrowheads="1"/>
                    </pic:cNvPicPr>
                  </pic:nvPicPr>
                  <pic:blipFill>
                    <a:blip r:embed="rId10"/>
                    <a:stretch>
                      <a:fillRect/>
                    </a:stretch>
                  </pic:blipFill>
                  <pic:spPr bwMode="auto">
                    <a:xfrm>
                      <a:off x="0" y="0"/>
                      <a:ext cx="1828800" cy="14605"/>
                    </a:xfrm>
                    <a:prstGeom prst="rect">
                      <a:avLst/>
                    </a:prstGeom>
                  </pic:spPr>
                </pic:pic>
              </a:graphicData>
            </a:graphic>
          </wp:inline>
        </w:drawing>
      </w:r>
    </w:p>
    <w:p>
      <w:pPr>
        <w:pStyle w:val="TextBody"/>
        <w:spacing w:lineRule="auto" w:line="240" w:before="106" w:after="283"/>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Describe Credit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74"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I have executed this Solvency Certificate on the date first written above.</w:t>
      </w:r>
    </w:p>
    <w:p>
      <w:pPr>
        <w:pStyle w:val="TextBody"/>
        <w:spacing w:before="2" w:after="283"/>
        <w:rPr/>
      </w:pPr>
      <w:r>
        <w:rPr/>
      </w:r>
    </w:p>
    <w:p>
      <w:pPr>
        <w:pStyle w:val="TextBody"/>
        <w:spacing w:lineRule="auto" w:line="276" w:before="0" w:after="0"/>
        <w:rPr/>
      </w:pPr>
      <w:r>
        <w:rPr>
          <w:rFonts w:ascii="Times New Roman;sans-serif" w:hAnsi="Times New Roman;sans-serif"/>
          <w:b w:val="false"/>
          <w:color w:val="000000"/>
          <w:sz w:val="24"/>
        </w:rPr>
        <w:t>By:    </w:t>
      </w:r>
      <w:r>
        <w:rPr>
          <w:color w:val="000000"/>
          <w:u w:val="single"/>
        </w:rPr>
        <w:t>    </w:t>
      </w:r>
    </w:p>
    <w:p>
      <w:pPr>
        <w:pStyle w:val="TextBody"/>
        <w:spacing w:lineRule="auto" w:line="276" w:before="0" w:after="0"/>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w:t>
      </w:r>
      <w:r>
        <w:rPr>
          <w:color w:val="000000"/>
        </w:rPr>
        <w:t>●</w:t>
      </w:r>
      <w:r>
        <w:rPr>
          <w:rFonts w:ascii="Times New Roman;sans-serif" w:hAnsi="Times New Roman;sans-serif"/>
          <w:b/>
          <w:color w:val="000000"/>
          <w:sz w:val="24"/>
        </w:rPr>
        <w:t>]</w:t>
      </w:r>
    </w:p>
    <w:p>
      <w:pPr>
        <w:pStyle w:val="TextBody"/>
        <w:spacing w:lineRule="auto" w:line="240" w:before="3" w:after="283"/>
        <w:rPr/>
      </w:pPr>
      <w:r>
        <w:rPr>
          <w:rFonts w:ascii="Times New Roman;sans-serif" w:hAnsi="Times New Roman;sans-serif"/>
          <w:b w:val="false"/>
          <w:color w:val="000000"/>
          <w:sz w:val="24"/>
        </w:rPr>
        <w:t>Title:    </w:t>
      </w:r>
      <w:r>
        <w:rPr>
          <w:rFonts w:ascii="Times New Roman;sans-serif" w:hAnsi="Times New Roman;sans-serif"/>
          <w:b/>
          <w:color w:val="000000"/>
          <w:sz w:val="24"/>
        </w:rPr>
        <w:t>[</w:t>
      </w:r>
      <w:r>
        <w:rPr>
          <w:color w:val="000000"/>
        </w:rPr>
        <w:t>●</w:t>
      </w:r>
      <w:r>
        <w:rPr>
          <w:rFonts w:ascii="Times New Roman;sans-serif" w:hAnsi="Times New Roman;sans-serif"/>
          <w:b/>
          <w:color w:val="000000"/>
          <w:sz w:val="24"/>
        </w:rPr>
        <w: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 </w:t>
      </w:r>
    </w:p>
    <w:p>
      <w:pPr>
        <w:pStyle w:val="TextBody"/>
        <w:spacing w:before="0" w:after="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I, John Rademacher, certify that: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Option Care Health, Inc.; </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100" w:after="100"/>
        <w:ind w:left="0" w:right="0" w:hanging="720"/>
        <w:jc w:val="both"/>
        <w:rPr/>
      </w:pPr>
      <w:r>
        <w:rPr/>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John Rademacher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John Rademacher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Principal Executive Officer</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before="0" w:after="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Shapiro, certify that: </w:t>
      </w:r>
    </w:p>
    <w:p>
      <w:pPr>
        <w:pStyle w:val="TextBody"/>
        <w:spacing w:lineRule="auto" w:line="288" w:before="100" w:after="10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Option Care Health, Inc.; </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spacing w:before="100" w:after="10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Michael Shapiro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Michael Shapiro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and Principal Financial Officer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center"/>
        <w:rPr/>
      </w:pPr>
      <w:r>
        <w:rPr/>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lineRule="auto" w:line="288" w:before="100" w:after="100"/>
        <w:jc w:val="both"/>
        <w:rPr>
          <w:color w:val="000000"/>
        </w:rPr>
      </w:pPr>
      <w:r>
        <w:rPr>
          <w:color w:val="000000"/>
        </w:rPr>
        <w:t>    </w:t>
      </w:r>
      <w:r>
        <w:rPr>
          <w:rFonts w:ascii="Times New Roman;sans-serif" w:hAnsi="Times New Roman;sans-serif"/>
          <w:b w:val="false"/>
          <w:color w:val="000000"/>
          <w:sz w:val="20"/>
        </w:rPr>
        <w:t xml:space="preserve">In connection with the Quarterly Report of Option Care Health, Inc. (the “Company”) on Form 10-Q for the quarter ended March 31, 2023, as filed with the Securities and Exchange Commission on the date hereof (the “Report”), I, John Rademacher, Chief Executive Officer of the Company, do hereby certify, pursuant to 18 U.S.C. Section 1350, as adopted pursuant to Section 906 of the Sarbanes-Oxley Act of 2002, that to my knowledge: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John Rademacher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John Rademacher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Principal Executive Officer</w:t>
      </w:r>
    </w:p>
    <w:p>
      <w:pPr>
        <w:pStyle w:val="TextBody"/>
        <w:spacing w:before="0" w:after="0"/>
        <w:rPr/>
      </w:pPr>
      <w:r>
        <w:rPr/>
      </w:r>
    </w:p>
    <w:p>
      <w:pPr>
        <w:pStyle w:val="TextBody"/>
        <w:spacing w:lineRule="auto" w:line="288" w:before="0" w:after="0"/>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spacing w:lineRule="auto" w:line="288" w:before="100" w:after="100"/>
        <w:jc w:val="both"/>
        <w:rPr>
          <w:color w:val="000000"/>
        </w:rPr>
      </w:pPr>
      <w:r>
        <w:rPr>
          <w:color w:val="000000"/>
        </w:rPr>
        <w:t>    </w:t>
      </w:r>
      <w:r>
        <w:rPr>
          <w:rFonts w:ascii="Times New Roman;sans-serif" w:hAnsi="Times New Roman;sans-serif"/>
          <w:b w:val="false"/>
          <w:color w:val="000000"/>
          <w:sz w:val="20"/>
        </w:rPr>
        <w:t xml:space="preserve">In connection with the Quarterly Report of Option Care Health, Inc. (the “Company”) on Form 10-Q for the quarter ended March 31, 2023, as filed with the Securities and Exchange Commission on the date hereof (the “Report”), I, Michael Shapiro, Chief Financial Officer of the Company, do hereby certify, pursuant to 18 U.S.C. Section 1350, as adopted pursuant to Section 906 of the Sarbanes-Oxley Act of 2002, that to my knowledge: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Michael Shapiro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Michael Shapiro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and Principal Financial Officer </w:t>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14739/000110465923005001/tm233851d1_ex10-1.htm" TargetMode="External"/><Relationship Id="rId4" Type="http://schemas.openxmlformats.org/officeDocument/2006/relationships/hyperlink" Target="http://www.sec.gov/Archives/edgar/data/1014739/000110465923028416/tm238329d2_ex10-1.htm" TargetMode="External"/><Relationship Id="rId5" Type="http://schemas.openxmlformats.org/officeDocument/2006/relationships/hyperlink" Target="http://www.sec.gov/Archives/edgar/data/1014739/000110465923055567/tm2314202d1_ex2-1.htm" TargetMode="External"/><Relationship Id="rId6" Type="http://schemas.openxmlformats.org/officeDocument/2006/relationships/hyperlink" Target="http://www.sec.gov/Archives/edgar/data/1014739/000110465923055567/tm2314202d1_ex2-1.htm" TargetMode="External"/><Relationship Id="rId7" Type="http://schemas.openxmlformats.org/officeDocument/2006/relationships/hyperlink" Target="http://www.sec.gov/Archives/edgar/data/1014739/000110465923055567/tm2314202d1_ex2-1.htm" TargetMode="External"/><Relationship Id="rId8" Type="http://schemas.openxmlformats.org/officeDocument/2006/relationships/hyperlink" Target="http://www.sec.gov/Archives/edgar/data/1014739/000110465923055567/tm2314202d1_ex2-1.htm" TargetMode="External"/><Relationship Id="rId9" Type="http://schemas.openxmlformats.org/officeDocument/2006/relationships/hyperlink" Target="http://www.sec.gov/Archives/edgar/data/1014739/000110465923055567/tm2314202d1_ex2-1.htm" TargetMode="External"/><Relationship Id="rId10" Type="http://schemas.openxmlformats.org/officeDocument/2006/relationships/image" Target="media/image2.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41</Pages>
  <Words>25465</Words>
  <CharactersWithSpaces>164822</CharactersWithSpaces>
  <Paragraphs>1868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