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rPr>
          <w:sz w:val="20"/>
          <w:szCs w:val="20"/>
          <w:color w:val="auto"/>
        </w:rPr>
      </w:pPr>
      <w:r>
        <w:rPr>
          <w:rFonts w:ascii="Courier New" w:cs="Courier New" w:eastAsia="Courier New" w:hAnsi="Courier New"/>
          <w:sz w:val="18"/>
          <w:szCs w:val="18"/>
          <w:color w:val="auto"/>
        </w:rPr>
        <w:t>MIM Corporation</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w:t>
      </w:r>
    </w:p>
    <w:p>
      <w:pPr>
        <w:ind w:left="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______________________Common Capital Stock_________________</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553044108</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w:t>
      </w:r>
    </w:p>
    <w:p>
      <w:pPr>
        <w:ind w:left="2540"/>
        <w:spacing w:after="0"/>
        <w:rPr>
          <w:sz w:val="20"/>
          <w:szCs w:val="20"/>
          <w:color w:val="auto"/>
        </w:rPr>
      </w:pPr>
      <w:r>
        <w:rPr>
          <w:rFonts w:ascii="Courier New" w:cs="Courier New" w:eastAsia="Courier New" w:hAnsi="Courier New"/>
          <w:sz w:val="18"/>
          <w:szCs w:val="18"/>
          <w:color w:val="auto"/>
        </w:rPr>
        <w:t>(CUSIP)</w:t>
      </w:r>
    </w:p>
    <w:p>
      <w:pPr>
        <w:spacing w:after="0" w:line="206" w:lineRule="exact"/>
        <w:rPr>
          <w:sz w:val="24"/>
          <w:szCs w:val="24"/>
          <w:color w:val="auto"/>
        </w:rPr>
      </w:pPr>
    </w:p>
    <w:p>
      <w:pPr>
        <w:ind w:left="120" w:right="1999" w:hanging="7"/>
        <w:spacing w:after="0" w:line="268" w:lineRule="auto"/>
        <w:tabs>
          <w:tab w:leader="none" w:pos="85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w:t>
      </w:r>
    </w:p>
    <w:p>
      <w:pPr>
        <w:ind w:right="2519"/>
        <w:spacing w:after="0" w:line="235" w:lineRule="auto"/>
        <w:rPr>
          <w:sz w:val="20"/>
          <w:szCs w:val="20"/>
          <w:color w:val="auto"/>
        </w:rPr>
      </w:pPr>
      <w:r>
        <w:rPr>
          <w:rFonts w:ascii="Courier New" w:cs="Courier New" w:eastAsia="Courier New" w:hAnsi="Courier New"/>
          <w:sz w:val="18"/>
          <w:szCs w:val="18"/>
          <w:color w:val="auto"/>
        </w:rPr>
        <w:t>securities, and for any subsequent amendment containing information which would alter the disclosures provided in a prior cover page.</w:t>
      </w:r>
    </w:p>
    <w:p>
      <w:pPr>
        <w:spacing w:after="0" w:line="208"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553044108</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w:t>
      </w:r>
    </w:p>
    <w:p>
      <w:pPr>
        <w:spacing w:after="0" w:line="207" w:lineRule="exact"/>
        <w:rPr>
          <w:sz w:val="24"/>
          <w:szCs w:val="24"/>
          <w:color w:val="auto"/>
        </w:rPr>
      </w:pPr>
    </w:p>
    <w:p>
      <w:pPr>
        <w:ind w:left="1060" w:right="1879" w:hanging="1052"/>
        <w:spacing w:after="0" w:line="470" w:lineRule="auto"/>
        <w:tabs>
          <w:tab w:leader="none" w:pos="84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 S. or I.R.S. Identification Nos. of Above Persons: The Kaufmann Fund, Inc. TIN # 13-2605091</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Only:_______________________________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200" w:lineRule="exact"/>
        <w:rPr>
          <w:sz w:val="24"/>
          <w:szCs w:val="24"/>
          <w:color w:val="auto"/>
        </w:rPr>
      </w:pPr>
    </w:p>
    <w:p>
      <w:pPr>
        <w:spacing w:after="0" w:line="204"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1460" w:type="dxa"/>
            <w:vAlign w:val="bottom"/>
            <w:gridSpan w:val="2"/>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w w:val="98"/>
              </w:rPr>
              <w:t>Sole Voting Power: 0 shs:</w:t>
            </w:r>
          </w:p>
        </w:tc>
        <w:tc>
          <w:tcPr>
            <w:tcW w:w="380" w:type="dxa"/>
            <w:vAlign w:val="bottom"/>
          </w:tcPr>
          <w:p>
            <w:pPr>
              <w:spacing w:after="0"/>
              <w:rPr>
                <w:sz w:val="17"/>
                <w:szCs w:val="17"/>
                <w:color w:val="auto"/>
              </w:rPr>
            </w:pPr>
          </w:p>
        </w:tc>
      </w:tr>
      <w:tr>
        <w:trPr>
          <w:trHeight w:val="203"/>
        </w:trPr>
        <w:tc>
          <w:tcPr>
            <w:tcW w:w="1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ficially</w:t>
            </w:r>
          </w:p>
        </w:tc>
        <w:tc>
          <w:tcPr>
            <w:tcW w:w="6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 N/A</w:t>
            </w:r>
          </w:p>
        </w:tc>
        <w:tc>
          <w:tcPr>
            <w:tcW w:w="380" w:type="dxa"/>
            <w:vAlign w:val="bottom"/>
          </w:tcPr>
          <w:p>
            <w:pPr>
              <w:spacing w:after="0"/>
              <w:rPr>
                <w:sz w:val="17"/>
                <w:szCs w:val="17"/>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Owned by</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Each Report-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Sole Dispositive Power: 0</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shs</w:t>
            </w:r>
          </w:p>
        </w:tc>
      </w:tr>
      <w:tr>
        <w:trPr>
          <w:trHeight w:val="203"/>
        </w:trPr>
        <w:tc>
          <w:tcPr>
            <w:tcW w:w="1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ing Person</w:t>
            </w:r>
          </w:p>
        </w:tc>
        <w:tc>
          <w:tcPr>
            <w:tcW w:w="5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9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(8) Shared Dispositive Power: N/A</w:t>
            </w:r>
          </w:p>
        </w:tc>
        <w:tc>
          <w:tcPr>
            <w:tcW w:w="38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 shs</w:t>
      </w:r>
    </w:p>
    <w:p>
      <w:pPr>
        <w:spacing w:after="0" w:line="207"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Shares:_____</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Item 1(a)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MIM Corporation</w:t>
      </w:r>
    </w:p>
    <w:p>
      <w:pPr>
        <w:spacing w:after="0" w:line="238" w:lineRule="auto"/>
        <w:rPr>
          <w:sz w:val="20"/>
          <w:szCs w:val="20"/>
          <w:color w:val="auto"/>
        </w:rPr>
      </w:pPr>
      <w:r>
        <w:rPr>
          <w:rFonts w:ascii="Courier New" w:cs="Courier New" w:eastAsia="Courier New" w:hAnsi="Courier New"/>
          <w:sz w:val="18"/>
          <w:szCs w:val="18"/>
          <w:color w:val="auto"/>
        </w:rPr>
        <w:t>Item l(b)</w:t>
      </w:r>
    </w:p>
    <w:p>
      <w:pPr>
        <w:spacing w:after="0" w:line="5" w:lineRule="exact"/>
        <w:rPr>
          <w:sz w:val="24"/>
          <w:szCs w:val="24"/>
          <w:color w:val="auto"/>
        </w:rPr>
      </w:pPr>
    </w:p>
    <w:p>
      <w:pPr>
        <w:ind w:left="5060" w:right="2839" w:hanging="5056"/>
        <w:spacing w:after="0" w:line="235" w:lineRule="auto"/>
        <w:rPr>
          <w:sz w:val="20"/>
          <w:szCs w:val="20"/>
          <w:color w:val="auto"/>
        </w:rPr>
      </w:pPr>
      <w:r>
        <w:rPr>
          <w:rFonts w:ascii="Courier New" w:cs="Courier New" w:eastAsia="Courier New" w:hAnsi="Courier New"/>
          <w:sz w:val="18"/>
          <w:szCs w:val="18"/>
          <w:color w:val="auto"/>
        </w:rPr>
        <w:t>Address of Issuer's Principal Executive Office: One Blue Hill Plaza Pearl River, NY 10965</w:t>
      </w:r>
    </w:p>
    <w:p>
      <w:pPr>
        <w:ind w:left="7060"/>
        <w:spacing w:after="0"/>
        <w:rPr>
          <w:sz w:val="20"/>
          <w:szCs w:val="20"/>
          <w:color w:val="auto"/>
        </w:rPr>
      </w:pPr>
      <w:r>
        <w:rPr>
          <w:rFonts w:ascii="Courier New" w:cs="Courier New" w:eastAsia="Courier New" w:hAnsi="Courier New"/>
          <w:sz w:val="18"/>
          <w:szCs w:val="18"/>
          <w:color w:val="auto"/>
        </w:rPr>
        <w:t>Item 2(a)</w:t>
      </w:r>
    </w:p>
    <w:p>
      <w:pPr>
        <w:spacing w:after="0" w:line="238" w:lineRule="auto"/>
        <w:rPr>
          <w:sz w:val="20"/>
          <w:szCs w:val="20"/>
          <w:color w:val="auto"/>
        </w:rPr>
      </w:pPr>
      <w:r>
        <w:rPr>
          <w:rFonts w:ascii="Courier New" w:cs="Courier New" w:eastAsia="Courier New" w:hAnsi="Courier New"/>
          <w:sz w:val="18"/>
          <w:szCs w:val="18"/>
          <w:color w:val="auto"/>
        </w:rPr>
        <w:t>Name of Person Filing: The Kaufmann Fund, Inc.</w:t>
      </w:r>
    </w:p>
    <w:p>
      <w:pPr>
        <w:sectPr>
          <w:pgSz w:w="11900" w:h="16855" w:orient="portrait"/>
          <w:cols w:equalWidth="0" w:num="1">
            <w:col w:w="10219"/>
          </w:cols>
          <w:pgMar w:left="240" w:top="244" w:right="1440" w:bottom="0" w:gutter="0" w:footer="0" w:header="0"/>
        </w:sectPr>
      </w:pPr>
    </w:p>
    <w:bookmarkStart w:id="1" w:name="page2"/>
    <w:bookmarkEnd w:id="1"/>
    <w:p>
      <w:pPr>
        <w:ind w:left="5280"/>
        <w:spacing w:after="0"/>
        <w:rPr>
          <w:sz w:val="20"/>
          <w:szCs w:val="20"/>
          <w:color w:val="auto"/>
        </w:rPr>
      </w:pPr>
      <w:r>
        <w:rPr>
          <w:rFonts w:ascii="Courier New" w:cs="Courier New" w:eastAsia="Courier New" w:hAnsi="Courier New"/>
          <w:sz w:val="18"/>
          <w:szCs w:val="18"/>
          <w:color w:val="auto"/>
        </w:rPr>
        <w:t>Item 2(b)</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Address of Principal Business Office or, if none, Residence: 140 E. 45th Street, 43rd Floor, New York, NY 10017</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Item 2(c)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 United States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Capital Stock</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Item 2(e)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 48625010</w:t>
      </w:r>
    </w:p>
    <w:p>
      <w:pPr>
        <w:ind w:left="7180"/>
        <w:spacing w:after="0" w:line="238" w:lineRule="auto"/>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13d-l(b), or 13d-2(b), check whether the person filing is a:</w:t>
      </w:r>
    </w:p>
    <w:p>
      <w:pPr>
        <w:spacing w:after="0" w:line="203" w:lineRule="exact"/>
        <w:rPr>
          <w:sz w:val="20"/>
          <w:szCs w:val="20"/>
          <w:color w:val="auto"/>
        </w:rPr>
      </w:pPr>
    </w:p>
    <w:p>
      <w:pPr>
        <w:ind w:left="1700" w:hanging="849"/>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____Broker of Dealer registered under Section 15 of the Act.</w:t>
      </w:r>
    </w:p>
    <w:p>
      <w:pPr>
        <w:ind w:left="2540" w:hanging="1689"/>
        <w:spacing w:after="0" w:line="238" w:lineRule="auto"/>
        <w:tabs>
          <w:tab w:leader="none" w:pos="2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____Bank as defined in section 3(a)(6) of the Act.</w:t>
      </w:r>
    </w:p>
    <w:p>
      <w:pPr>
        <w:ind w:left="2540" w:hanging="1689"/>
        <w:spacing w:after="0" w:line="238" w:lineRule="auto"/>
        <w:tabs>
          <w:tab w:leader="none" w:pos="2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____Insurance Company as defined in section 3(a)(19) of the Act.</w:t>
      </w:r>
    </w:p>
    <w:p>
      <w:pPr>
        <w:spacing w:after="0" w:line="4" w:lineRule="exact"/>
        <w:rPr>
          <w:rFonts w:ascii="Courier New" w:cs="Courier New" w:eastAsia="Courier New" w:hAnsi="Courier New"/>
          <w:sz w:val="18"/>
          <w:szCs w:val="18"/>
          <w:color w:val="auto"/>
        </w:rPr>
      </w:pPr>
    </w:p>
    <w:p>
      <w:pPr>
        <w:ind w:left="3380" w:right="619" w:hanging="2529"/>
        <w:spacing w:after="0" w:line="235" w:lineRule="auto"/>
        <w:tabs>
          <w:tab w:leader="none" w:pos="25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_X__Investment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2540" w:right="419" w:hanging="1689"/>
        <w:spacing w:after="0" w:line="235" w:lineRule="auto"/>
        <w:tabs>
          <w:tab w:leader="none" w:pos="2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____Investment Adviser registered under section 203 of the Investment Advisers Act of 1940.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w:t>
            </w:r>
          </w:p>
        </w:tc>
        <w:tc>
          <w:tcPr>
            <w:tcW w:w="960" w:type="dxa"/>
            <w:vAlign w:val="bottom"/>
          </w:tcPr>
          <w:p>
            <w:pPr>
              <w:ind w:left="380"/>
              <w:spacing w:after="0"/>
              <w:rPr>
                <w:sz w:val="20"/>
                <w:szCs w:val="20"/>
                <w:color w:val="auto"/>
              </w:rPr>
            </w:pPr>
            <w:r>
              <w:rPr>
                <w:rFonts w:ascii="Courier New" w:cs="Courier New" w:eastAsia="Courier New" w:hAnsi="Courier New"/>
                <w:sz w:val="18"/>
                <w:szCs w:val="18"/>
                <w:color w:val="auto"/>
              </w:rPr>
              <w:t>(f)</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____</w:t>
            </w:r>
          </w:p>
        </w:tc>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rPr>
              <w:t>Employee Benefit Plan, Pension Fund which is subject to the</w:t>
            </w:r>
          </w:p>
        </w:tc>
      </w:tr>
      <w:tr>
        <w:trPr>
          <w:trHeight w:val="203"/>
        </w:trPr>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provisions of the Employee Retirement Income Security Act of 1974</w:t>
            </w:r>
          </w:p>
        </w:tc>
      </w:tr>
      <w:tr>
        <w:trPr>
          <w:trHeight w:val="203"/>
        </w:trPr>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Endowment Fund; see Section 240.13d-l(b)(1)(ii)(F).</w:t>
            </w:r>
          </w:p>
        </w:tc>
      </w:tr>
      <w:tr>
        <w:trPr>
          <w:trHeight w:val="203"/>
        </w:trPr>
        <w:tc>
          <w:tcPr>
            <w:tcW w:w="480" w:type="dxa"/>
            <w:vAlign w:val="bottom"/>
          </w:tcPr>
          <w:p>
            <w:pPr>
              <w:spacing w:after="0"/>
              <w:rPr>
                <w:sz w:val="17"/>
                <w:szCs w:val="17"/>
                <w:color w:val="auto"/>
              </w:rPr>
            </w:pPr>
          </w:p>
        </w:tc>
        <w:tc>
          <w:tcPr>
            <w:tcW w:w="9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(g)</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w:t>
            </w:r>
          </w:p>
        </w:tc>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Parent Holding Company in accordance with Section 240.13d-</w:t>
            </w:r>
          </w:p>
        </w:tc>
      </w:tr>
      <w:tr>
        <w:trPr>
          <w:trHeight w:val="203"/>
        </w:trPr>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l(b)(ii)(G) (Note: See Item 7).</w:t>
            </w:r>
          </w:p>
        </w:tc>
      </w:tr>
      <w:tr>
        <w:trPr>
          <w:trHeight w:val="203"/>
        </w:trPr>
        <w:tc>
          <w:tcPr>
            <w:tcW w:w="480" w:type="dxa"/>
            <w:vAlign w:val="bottom"/>
          </w:tcPr>
          <w:p>
            <w:pPr>
              <w:spacing w:after="0"/>
              <w:rPr>
                <w:sz w:val="17"/>
                <w:szCs w:val="17"/>
                <w:color w:val="auto"/>
              </w:rPr>
            </w:pPr>
          </w:p>
        </w:tc>
        <w:tc>
          <w:tcPr>
            <w:tcW w:w="9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(h)</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w:t>
            </w:r>
          </w:p>
        </w:tc>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Group, in accordance with Section 240-13d-l(b)(1)(ii)(H).</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w:t>
      </w:r>
    </w:p>
    <w:p>
      <w:pPr>
        <w:spacing w:after="0" w:line="207" w:lineRule="exact"/>
        <w:rPr>
          <w:sz w:val="20"/>
          <w:szCs w:val="20"/>
          <w:color w:val="auto"/>
        </w:rPr>
      </w:pPr>
    </w:p>
    <w:p>
      <w:pPr>
        <w:ind w:left="120" w:right="2619" w:hanging="104"/>
        <w:spacing w:after="0" w:line="268" w:lineRule="auto"/>
        <w:rPr>
          <w:sz w:val="20"/>
          <w:szCs w:val="20"/>
          <w:color w:val="auto"/>
        </w:rPr>
      </w:pPr>
      <w:r>
        <w:rPr>
          <w:rFonts w:ascii="Courier New" w:cs="Courier New" w:eastAsia="Courier New" w:hAnsi="Courier New"/>
          <w:sz w:val="16"/>
          <w:szCs w:val="16"/>
          <w:color w:val="auto"/>
        </w:rPr>
        <w:t>If the percent of the class owned, as of December 31 of the year covered by the statement, or as of the last day of any month described in</w:t>
      </w:r>
    </w:p>
    <w:p>
      <w:pPr>
        <w:ind w:right="1879"/>
        <w:spacing w:after="0" w:line="236" w:lineRule="auto"/>
        <w:rPr>
          <w:sz w:val="20"/>
          <w:szCs w:val="20"/>
          <w:color w:val="auto"/>
        </w:rPr>
      </w:pPr>
      <w:r>
        <w:rPr>
          <w:rFonts w:ascii="Courier New" w:cs="Courier New" w:eastAsia="Courier New" w:hAnsi="Courier New"/>
          <w:sz w:val="18"/>
          <w:szCs w:val="18"/>
          <w:color w:val="auto"/>
        </w:rPr>
        <w:t>Rule13d-1(b)(2), if applicable, exceeds five percent, provide the following information as of that date and identify those shares which there is a right to acquire.</w:t>
      </w:r>
    </w:p>
    <w:p>
      <w:pPr>
        <w:spacing w:after="0" w:line="203"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 shs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 shs</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4" w:lineRule="exact"/>
        <w:rPr>
          <w:rFonts w:ascii="Courier New" w:cs="Courier New" w:eastAsia="Courier New" w:hAnsi="Courier New"/>
          <w:sz w:val="18"/>
          <w:szCs w:val="18"/>
          <w:color w:val="auto"/>
        </w:rPr>
      </w:pPr>
    </w:p>
    <w:p>
      <w:pPr>
        <w:ind w:left="960" w:right="3479" w:hanging="952"/>
        <w:spacing w:after="0" w:line="235" w:lineRule="auto"/>
        <w:tabs>
          <w:tab w:leader="none" w:pos="148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 shs</w:t>
      </w:r>
    </w:p>
    <w:p>
      <w:pPr>
        <w:spacing w:after="0" w:line="5" w:lineRule="exact"/>
        <w:rPr>
          <w:rFonts w:ascii="Courier New" w:cs="Courier New" w:eastAsia="Courier New" w:hAnsi="Courier New"/>
          <w:sz w:val="18"/>
          <w:szCs w:val="18"/>
          <w:color w:val="auto"/>
        </w:rPr>
      </w:pPr>
    </w:p>
    <w:p>
      <w:pPr>
        <w:ind w:left="960" w:right="3899" w:hanging="952"/>
        <w:spacing w:after="0" w:line="235" w:lineRule="auto"/>
        <w:tabs>
          <w:tab w:leader="none" w:pos="85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6" w:lineRule="exact"/>
        <w:rPr>
          <w:sz w:val="20"/>
          <w:szCs w:val="20"/>
          <w:color w:val="auto"/>
        </w:rPr>
      </w:pPr>
    </w:p>
    <w:p>
      <w:pPr>
        <w:ind w:right="2099"/>
        <w:spacing w:after="0"/>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Rule 13d-3(d)(1). Item 5</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4" w:lineRule="exact"/>
        <w:rPr>
          <w:sz w:val="20"/>
          <w:szCs w:val="20"/>
          <w:color w:val="auto"/>
        </w:rPr>
      </w:pPr>
    </w:p>
    <w:p>
      <w:pPr>
        <w:ind w:left="120" w:right="1999" w:hanging="104"/>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w:t>
      </w:r>
    </w:p>
    <w:p>
      <w:pPr>
        <w:spacing w:after="0"/>
        <w:tabs>
          <w:tab w:leader="none" w:pos="6940" w:val="left"/>
        </w:tabs>
        <w:rPr>
          <w:sz w:val="20"/>
          <w:szCs w:val="20"/>
          <w:color w:val="auto"/>
        </w:rPr>
      </w:pPr>
      <w:r>
        <w:rPr>
          <w:rFonts w:ascii="Courier New" w:cs="Courier New" w:eastAsia="Courier New" w:hAnsi="Courier New"/>
          <w:sz w:val="18"/>
          <w:szCs w:val="18"/>
          <w:color w:val="auto"/>
        </w:rPr>
        <w:t>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N/A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01" w:lineRule="exact"/>
        <w:rPr>
          <w:sz w:val="20"/>
          <w:szCs w:val="20"/>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9</w:t>
      </w:r>
    </w:p>
    <w:p>
      <w:pPr>
        <w:spacing w:after="0" w:line="201"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left="120" w:right="2739" w:hanging="104"/>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Rule 13d-l(b):</w:t>
      </w:r>
    </w:p>
    <w:p>
      <w:pPr>
        <w:spacing w:after="0" w:line="208" w:lineRule="exact"/>
        <w:rPr>
          <w:sz w:val="20"/>
          <w:szCs w:val="20"/>
          <w:color w:val="auto"/>
        </w:rPr>
      </w:pPr>
    </w:p>
    <w:p>
      <w:pPr>
        <w:ind w:left="120" w:right="2099" w:hanging="104"/>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0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31,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Signature___________________________</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ANTHONY W. TOOGOOD</w:t>
      </w:r>
    </w:p>
    <w:p>
      <w:pPr>
        <w:ind w:left="2640"/>
        <w:spacing w:after="0" w:line="238" w:lineRule="auto"/>
        <w:rPr>
          <w:sz w:val="20"/>
          <w:szCs w:val="20"/>
          <w:color w:val="auto"/>
        </w:rPr>
      </w:pPr>
      <w:r>
        <w:rPr>
          <w:rFonts w:ascii="Courier New" w:cs="Courier New" w:eastAsia="Courier New" w:hAnsi="Courier New"/>
          <w:sz w:val="18"/>
          <w:szCs w:val="18"/>
          <w:color w:val="auto"/>
        </w:rPr>
        <w:t>Name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__Vice-President_________</w:t>
      </w:r>
    </w:p>
    <w:p>
      <w:pPr>
        <w:ind w:left="22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9"/>
    </w:lvl>
    <w:lvl w:ilvl="1">
      <w:lvlJc w:val="left"/>
      <w:lvlText w:val="%2)"/>
      <w:numFmt w:val="decimal"/>
      <w:start w:val="10"/>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2019-12-14T08:55:55Z</dcterms:created>
  <dcterms:modified xsi:type="dcterms:W3CDTF">2019-12-14T08:55:55Z</dcterms:modified>
</cp:coreProperties>
</file>