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35"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2" w:lineRule="exact"/>
        <w:rPr>
          <w:sz w:val="24"/>
          <w:szCs w:val="24"/>
          <w:color w:val="auto"/>
        </w:rPr>
      </w:pPr>
    </w:p>
    <w:p>
      <w:pPr>
        <w:ind w:left="1100" w:right="2220" w:hanging="626"/>
        <w:spacing w:after="0" w:line="281" w:lineRule="auto"/>
        <w:tabs>
          <w:tab w:leader="none" w:pos="11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spacing w:after="0" w:line="1" w:lineRule="exact"/>
        <w:rPr>
          <w:sz w:val="24"/>
          <w:szCs w:val="24"/>
          <w:color w:val="auto"/>
        </w:rPr>
      </w:pPr>
    </w:p>
    <w:p>
      <w:pPr>
        <w:ind w:left="60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32" w:lineRule="exact"/>
        <w:rPr>
          <w:sz w:val="24"/>
          <w:szCs w:val="24"/>
          <w:color w:val="auto"/>
        </w:rPr>
      </w:pPr>
    </w:p>
    <w:p>
      <w:pPr>
        <w:ind w:left="1100" w:hanging="626"/>
        <w:spacing w:after="0"/>
        <w:tabs>
          <w:tab w:leader="none" w:pos="11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2" w:lineRule="exact"/>
        <w:rPr>
          <w:sz w:val="24"/>
          <w:szCs w:val="24"/>
          <w:color w:val="auto"/>
        </w:rPr>
      </w:pPr>
    </w:p>
    <w:p>
      <w:pPr>
        <w:ind w:left="1100"/>
        <w:spacing w:after="0"/>
        <w:tabs>
          <w:tab w:leader="none" w:pos="338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001-11993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21590</wp:posOffset>
            </wp:positionV>
            <wp:extent cx="1354455" cy="522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OPTION CARE HEALTH, INC.</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ectPr>
          <w:pgSz w:w="11900" w:h="16838" w:orient="portrait"/>
          <w:cols w:equalWidth="0" w:num="1">
            <w:col w:w="11240"/>
          </w:cols>
          <w:pgMar w:left="320" w:top="828" w:right="339" w:bottom="1440" w:gutter="0" w:footer="0" w:header="0"/>
        </w:sectPr>
      </w:pPr>
    </w:p>
    <w:p>
      <w:pPr>
        <w:spacing w:after="0" w:line="126"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2"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 or organization)</w:t>
      </w:r>
    </w:p>
    <w:p>
      <w:pPr>
        <w:spacing w:after="0" w:line="32"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6"/>
          <w:szCs w:val="16"/>
          <w:b w:val="1"/>
          <w:bCs w:val="1"/>
          <w:color w:val="auto"/>
        </w:rPr>
        <w:t>3000 Lakeside Dr. Suite 300N, Bannockburn, IL</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6"/>
          <w:szCs w:val="16"/>
          <w:b w:val="1"/>
          <w:bCs w:val="1"/>
          <w:color w:val="auto"/>
        </w:rPr>
        <w:t>05-0489664</w:t>
      </w:r>
    </w:p>
    <w:p>
      <w:pPr>
        <w:spacing w:after="0" w:line="32"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32"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16"/>
          <w:szCs w:val="16"/>
          <w:b w:val="1"/>
          <w:bCs w:val="1"/>
          <w:color w:val="auto"/>
        </w:rPr>
        <w:t>60015</w:t>
      </w:r>
    </w:p>
    <w:p>
      <w:pPr>
        <w:spacing w:after="0" w:line="32" w:lineRule="exact"/>
        <w:rPr>
          <w:sz w:val="24"/>
          <w:szCs w:val="24"/>
          <w:color w:val="auto"/>
        </w:rPr>
      </w:pPr>
    </w:p>
    <w:p>
      <w:pPr>
        <w:sectPr>
          <w:pgSz w:w="11900" w:h="16838" w:orient="portrait"/>
          <w:cols w:equalWidth="0" w:num="2">
            <w:col w:w="6540" w:space="720"/>
            <w:col w:w="3980"/>
          </w:cols>
          <w:pgMar w:left="320" w:top="828" w:right="3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i w:val="1"/>
          <w:iCs w:val="1"/>
          <w:color w:val="auto"/>
        </w:rPr>
        <w:t>(Zip Code)</w:t>
      </w:r>
    </w:p>
    <w:p>
      <w:pPr>
        <w:spacing w:after="0" w:line="100" w:lineRule="exact"/>
        <w:rPr>
          <w:sz w:val="24"/>
          <w:szCs w:val="24"/>
          <w:color w:val="auto"/>
        </w:rPr>
      </w:pPr>
    </w:p>
    <w:p>
      <w:pPr>
        <w:sectPr>
          <w:pgSz w:w="11900" w:h="16838" w:orient="portrait"/>
          <w:cols w:equalWidth="0" w:num="2">
            <w:col w:w="7360" w:space="720"/>
            <w:col w:w="3160"/>
          </w:cols>
          <w:pgMar w:left="320" w:top="82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312-940-2443</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828" w:right="339" w:bottom="1440" w:gutter="0" w:footer="0" w:header="0"/>
          <w:type w:val="continuous"/>
        </w:sectPr>
      </w:pPr>
    </w:p>
    <w:p>
      <w:pPr>
        <w:spacing w:after="0" w:line="120"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340" w:space="720"/>
            <w:col w:w="2080" w:space="720"/>
            <w:col w:w="3380"/>
          </w:cols>
          <w:pgMar w:left="320" w:top="828" w:right="33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OPCH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Nasdaq Global Select Market</w:t>
      </w:r>
    </w:p>
    <w:p>
      <w:pPr>
        <w:spacing w:after="0" w:line="111" w:lineRule="exact"/>
        <w:rPr>
          <w:sz w:val="24"/>
          <w:szCs w:val="24"/>
          <w:color w:val="auto"/>
        </w:rPr>
      </w:pPr>
    </w:p>
    <w:p>
      <w:pPr>
        <w:sectPr>
          <w:pgSz w:w="11900" w:h="16838" w:orient="portrait"/>
          <w:cols w:equalWidth="0" w:num="3">
            <w:col w:w="4680" w:space="720"/>
            <w:col w:w="2280" w:space="720"/>
            <w:col w:w="2840"/>
          </w:cols>
          <w:pgMar w:left="320" w:top="82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ectPr>
          <w:pgSz w:w="11900" w:h="16838" w:orient="portrait"/>
          <w:cols w:equalWidth="0" w:num="1">
            <w:col w:w="11240"/>
          </w:cols>
          <w:pgMar w:left="320" w:top="828" w:right="339" w:bottom="1440" w:gutter="0" w:footer="0" w:header="0"/>
          <w:type w:val="continuous"/>
        </w:sectPr>
      </w:pPr>
    </w:p>
    <w:p>
      <w:pPr>
        <w:spacing w:after="0" w:line="21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2">
            <w:col w:w="8100" w:space="220"/>
            <w:col w:w="2920"/>
          </w:cols>
          <w:pgMar w:left="320" w:top="828"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47" w:lineRule="exact"/>
        <w:rPr>
          <w:sz w:val="24"/>
          <w:szCs w:val="24"/>
          <w:color w:val="auto"/>
        </w:rPr>
      </w:pPr>
    </w:p>
    <w:p>
      <w:pPr>
        <w:sectPr>
          <w:pgSz w:w="11900" w:h="16838" w:orient="portrait"/>
          <w:cols w:equalWidth="0" w:num="2">
            <w:col w:w="8260" w:space="200"/>
            <w:col w:w="2780"/>
          </w:cols>
          <w:pgMar w:left="320" w:top="82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ectPr>
          <w:pgSz w:w="11900" w:h="16838" w:orient="portrait"/>
          <w:cols w:equalWidth="0" w:num="1">
            <w:col w:w="11240"/>
          </w:cols>
          <w:pgMar w:left="320" w:top="828" w:right="339" w:bottom="1440" w:gutter="0" w:footer="0" w:header="0"/>
          <w:type w:val="continuous"/>
        </w:sectPr>
      </w:pP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w:t>
      </w:r>
    </w:p>
    <w:p>
      <w:pPr>
        <w:spacing w:after="0" w:line="1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90 days.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hanging="152"/>
        <w:spacing w:after="0" w:line="209" w:lineRule="exact"/>
        <w:rPr>
          <w:sz w:val="20"/>
          <w:szCs w:val="20"/>
          <w:color w:val="auto"/>
        </w:rPr>
      </w:pPr>
      <w:r>
        <w:rPr>
          <w:rFonts w:ascii="Times New Roman" w:cs="Times New Roman" w:eastAsia="Times New Roman" w:hAnsi="Times New Roman"/>
          <w:sz w:val="16"/>
          <w:szCs w:val="16"/>
          <w:color w:val="auto"/>
        </w:rPr>
        <w:t xml:space="preserve">for such shorter period that the registrant was required to file such reports), and (2) has been subject to such filing requirements for the past No </w:t>
      </w: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1040" w:space="220"/>
            <w:col w:w="9980"/>
          </w:cols>
          <w:pgMar w:left="320" w:top="828" w:right="339" w:bottom="1440" w:gutter="0" w:footer="0" w:header="0"/>
          <w:type w:val="continuous"/>
        </w:sect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p>
      <w:pPr>
        <w:ind w:left="1100"/>
        <w:spacing w:after="0" w:line="184" w:lineRule="exact"/>
        <w:tabs>
          <w:tab w:leader="none" w:pos="2920" w:val="left"/>
          <w:tab w:leader="none" w:pos="4400" w:val="left"/>
          <w:tab w:leader="none" w:pos="6200" w:val="left"/>
          <w:tab w:leader="none" w:pos="83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36"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8"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48" w:lineRule="exact"/>
        <w:rPr>
          <w:sz w:val="24"/>
          <w:szCs w:val="24"/>
          <w:color w:val="auto"/>
        </w:rPr>
      </w:pPr>
    </w:p>
    <w:p>
      <w:pPr>
        <w:ind w:right="32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73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13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as of June 30, 2025, the last business day of the registrant’s most recently completed second fiscal quarter, was approximately $5,271,294,634 based on the closing price of the registrant’s Common Stock on the Nasdaq Global Select Market on such date.</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19, 2026, there were 156,447,972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281940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2026 Annual Meeting of Stockholders to be filed with the Securities and Exchange Commission (the “SEC”)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246380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8"/>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64"/>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Number</w:t>
            </w:r>
          </w:p>
        </w:tc>
      </w:tr>
      <w:tr>
        <w:trPr>
          <w:trHeight w:val="214"/>
        </w:trPr>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6"/>
              </w:rPr>
              <w:t>PART I</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Business</w:t>
            </w:r>
          </w:p>
        </w:tc>
        <w:tc>
          <w:tcPr>
            <w:tcW w:w="1140" w:type="dxa"/>
            <w:vAlign w:val="bottom"/>
            <w:gridSpan w:val="2"/>
          </w:tcPr>
          <w:p>
            <w:pPr>
              <w:jc w:val="center"/>
              <w:ind w:left="979"/>
              <w:spacing w:after="0"/>
              <w:rPr>
                <w:sz w:val="20"/>
                <w:szCs w:val="20"/>
                <w:color w:val="auto"/>
              </w:rPr>
            </w:pPr>
            <w:r>
              <w:rPr>
                <w:rFonts w:ascii="Times New Roman" w:cs="Times New Roman" w:eastAsia="Times New Roman" w:hAnsi="Times New Roman"/>
                <w:sz w:val="16"/>
                <w:szCs w:val="16"/>
                <w:color w:val="0000FF"/>
                <w:w w:val="99"/>
              </w:rPr>
              <w:t>4</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1A.</w:t>
            </w:r>
          </w:p>
        </w:tc>
        <w:tc>
          <w:tcPr>
            <w:tcW w:w="920" w:type="dxa"/>
            <w:vAlign w:val="bottom"/>
            <w:gridSpan w:val="2"/>
          </w:tcPr>
          <w:p>
            <w:pPr>
              <w:spacing w:after="0"/>
              <w:rPr>
                <w:sz w:val="17"/>
                <w:szCs w:val="17"/>
                <w:color w:val="auto"/>
              </w:rPr>
            </w:pPr>
          </w:p>
        </w:tc>
        <w:tc>
          <w:tcPr>
            <w:tcW w:w="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9"/>
              </w:rPr>
              <w:t>Risk Factors</w:t>
            </w:r>
          </w:p>
        </w:tc>
        <w:tc>
          <w:tcPr>
            <w:tcW w:w="7280" w:type="dxa"/>
            <w:vAlign w:val="bottom"/>
            <w:gridSpan w:val="17"/>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13</w:t>
            </w:r>
          </w:p>
        </w:tc>
        <w:tc>
          <w:tcPr>
            <w:tcW w:w="260" w:type="dxa"/>
            <w:vAlign w:val="bottom"/>
          </w:tcPr>
          <w:p>
            <w:pPr>
              <w:spacing w:after="0"/>
              <w:rPr>
                <w:sz w:val="17"/>
                <w:szCs w:val="17"/>
                <w:color w:val="auto"/>
              </w:rPr>
            </w:pPr>
          </w:p>
        </w:tc>
      </w:tr>
      <w:tr>
        <w:trPr>
          <w:trHeight w:val="196"/>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89"/>
              </w:rPr>
              <w:t>Item 1B.</w:t>
            </w:r>
          </w:p>
        </w:tc>
        <w:tc>
          <w:tcPr>
            <w:tcW w:w="980" w:type="dxa"/>
            <w:vAlign w:val="bottom"/>
            <w:gridSpan w:val="3"/>
          </w:tcPr>
          <w:p>
            <w:pPr>
              <w:spacing w:after="0"/>
              <w:rPr>
                <w:sz w:val="17"/>
                <w:szCs w:val="17"/>
                <w:color w:val="auto"/>
              </w:rPr>
            </w:pPr>
          </w:p>
        </w:tc>
        <w:tc>
          <w:tcPr>
            <w:tcW w:w="1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9"/>
              </w:rPr>
              <w:t>Unresolved Staff Comments</w:t>
            </w:r>
          </w:p>
        </w:tc>
        <w:tc>
          <w:tcPr>
            <w:tcW w:w="6260" w:type="dxa"/>
            <w:vAlign w:val="bottom"/>
            <w:gridSpan w:val="11"/>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25</w:t>
            </w:r>
          </w:p>
        </w:tc>
        <w:tc>
          <w:tcPr>
            <w:tcW w:w="260" w:type="dxa"/>
            <w:vAlign w:val="bottom"/>
          </w:tcPr>
          <w:p>
            <w:pPr>
              <w:spacing w:after="0"/>
              <w:rPr>
                <w:sz w:val="17"/>
                <w:szCs w:val="17"/>
                <w:color w:val="auto"/>
              </w:rPr>
            </w:pPr>
          </w:p>
        </w:tc>
      </w:tr>
      <w:tr>
        <w:trPr>
          <w:trHeight w:val="196"/>
        </w:trPr>
        <w:tc>
          <w:tcPr>
            <w:tcW w:w="100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1C.</w:t>
            </w:r>
          </w:p>
        </w:tc>
        <w:tc>
          <w:tcPr>
            <w:tcW w:w="520" w:type="dxa"/>
            <w:vAlign w:val="bottom"/>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Cybersecurity</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25</w:t>
            </w:r>
          </w:p>
        </w:tc>
        <w:tc>
          <w:tcPr>
            <w:tcW w:w="260" w:type="dxa"/>
            <w:vAlign w:val="bottom"/>
          </w:tcPr>
          <w:p>
            <w:pPr>
              <w:spacing w:after="0"/>
              <w:rPr>
                <w:sz w:val="17"/>
                <w:szCs w:val="17"/>
                <w:color w:val="auto"/>
              </w:rPr>
            </w:pPr>
          </w:p>
        </w:tc>
      </w:tr>
      <w:tr>
        <w:trPr>
          <w:trHeight w:val="196"/>
        </w:trPr>
        <w:tc>
          <w:tcPr>
            <w:tcW w:w="1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2.</w:t>
            </w:r>
          </w:p>
        </w:tc>
        <w:tc>
          <w:tcPr>
            <w:tcW w:w="520" w:type="dxa"/>
            <w:vAlign w:val="bottom"/>
          </w:tcPr>
          <w:p>
            <w:pPr>
              <w:spacing w:after="0"/>
              <w:rPr>
                <w:sz w:val="17"/>
                <w:szCs w:val="17"/>
                <w:color w:val="auto"/>
              </w:rPr>
            </w:pPr>
          </w:p>
        </w:tc>
        <w:tc>
          <w:tcPr>
            <w:tcW w:w="9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Properties</w:t>
            </w:r>
          </w:p>
        </w:tc>
        <w:tc>
          <w:tcPr>
            <w:tcW w:w="7200" w:type="dxa"/>
            <w:vAlign w:val="bottom"/>
            <w:gridSpan w:val="16"/>
          </w:tcPr>
          <w:p>
            <w:pPr>
              <w:spacing w:after="0"/>
              <w:rPr>
                <w:sz w:val="17"/>
                <w:szCs w:val="17"/>
                <w:color w:val="auto"/>
              </w:rPr>
            </w:pP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26</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3.</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26</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4.</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26</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9"/>
              </w:rPr>
              <w:t>PART II</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5.</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27</w:t>
            </w:r>
          </w:p>
        </w:tc>
        <w:tc>
          <w:tcPr>
            <w:tcW w:w="26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6.</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Reserved</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29</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7.</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29</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7A.</w:t>
            </w:r>
          </w:p>
        </w:tc>
        <w:tc>
          <w:tcPr>
            <w:tcW w:w="920" w:type="dxa"/>
            <w:vAlign w:val="bottom"/>
            <w:gridSpan w:val="2"/>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39</w:t>
            </w:r>
          </w:p>
        </w:tc>
        <w:tc>
          <w:tcPr>
            <w:tcW w:w="260" w:type="dxa"/>
            <w:vAlign w:val="bottom"/>
          </w:tcPr>
          <w:p>
            <w:pPr>
              <w:spacing w:after="0"/>
              <w:rPr>
                <w:sz w:val="17"/>
                <w:szCs w:val="17"/>
                <w:color w:val="auto"/>
              </w:rPr>
            </w:pPr>
          </w:p>
        </w:tc>
      </w:tr>
      <w:tr>
        <w:trPr>
          <w:trHeight w:val="196"/>
        </w:trPr>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8.</w:t>
            </w:r>
          </w:p>
        </w:tc>
        <w:tc>
          <w:tcPr>
            <w:tcW w:w="60" w:type="dxa"/>
            <w:vAlign w:val="bottom"/>
            <w:tcBorders>
              <w:top w:val="single" w:sz="8" w:color="0000FF"/>
            </w:tcBorders>
          </w:tcPr>
          <w:p>
            <w:pPr>
              <w:spacing w:after="0"/>
              <w:rPr>
                <w:sz w:val="17"/>
                <w:szCs w:val="17"/>
                <w:color w:val="auto"/>
              </w:rPr>
            </w:pPr>
          </w:p>
        </w:tc>
        <w:tc>
          <w:tcPr>
            <w:tcW w:w="920" w:type="dxa"/>
            <w:vAlign w:val="bottom"/>
            <w:gridSpan w:val="2"/>
          </w:tcPr>
          <w:p>
            <w:pPr>
              <w:spacing w:after="0"/>
              <w:rPr>
                <w:sz w:val="17"/>
                <w:szCs w:val="17"/>
                <w:color w:val="auto"/>
              </w:rPr>
            </w:pPr>
          </w:p>
        </w:tc>
        <w:tc>
          <w:tcPr>
            <w:tcW w:w="30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920" w:type="dxa"/>
            <w:vAlign w:val="bottom"/>
            <w:tcBorders>
              <w:top w:val="single" w:sz="8" w:color="0000FF"/>
            </w:tcBorders>
            <w:gridSpan w:val="2"/>
          </w:tcPr>
          <w:p>
            <w:pPr>
              <w:spacing w:after="0"/>
              <w:rPr>
                <w:sz w:val="17"/>
                <w:szCs w:val="17"/>
                <w:color w:val="auto"/>
              </w:rPr>
            </w:pPr>
          </w:p>
        </w:tc>
        <w:tc>
          <w:tcPr>
            <w:tcW w:w="4180" w:type="dxa"/>
            <w:vAlign w:val="bottom"/>
            <w:gridSpan w:val="6"/>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40</w:t>
            </w:r>
          </w:p>
        </w:tc>
        <w:tc>
          <w:tcPr>
            <w:tcW w:w="260" w:type="dxa"/>
            <w:vAlign w:val="bottom"/>
          </w:tcPr>
          <w:p>
            <w:pPr>
              <w:spacing w:after="0"/>
              <w:rPr>
                <w:sz w:val="17"/>
                <w:szCs w:val="17"/>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9.</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72</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9A.</w:t>
            </w:r>
          </w:p>
        </w:tc>
        <w:tc>
          <w:tcPr>
            <w:tcW w:w="920" w:type="dxa"/>
            <w:vAlign w:val="bottom"/>
            <w:gridSpan w:val="2"/>
          </w:tcPr>
          <w:p>
            <w:pPr>
              <w:spacing w:after="0"/>
              <w:rPr>
                <w:sz w:val="17"/>
                <w:szCs w:val="17"/>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6500" w:type="dxa"/>
            <w:vAlign w:val="bottom"/>
            <w:gridSpan w:val="13"/>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72</w:t>
            </w:r>
          </w:p>
        </w:tc>
        <w:tc>
          <w:tcPr>
            <w:tcW w:w="260" w:type="dxa"/>
            <w:vAlign w:val="bottom"/>
          </w:tcPr>
          <w:p>
            <w:pPr>
              <w:spacing w:after="0"/>
              <w:rPr>
                <w:sz w:val="17"/>
                <w:szCs w:val="17"/>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9B.</w:t>
            </w:r>
          </w:p>
        </w:tc>
        <w:tc>
          <w:tcPr>
            <w:tcW w:w="980" w:type="dxa"/>
            <w:vAlign w:val="bottom"/>
            <w:gridSpan w:val="3"/>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9"/>
              </w:rPr>
              <w:t>Item 9C.</w:t>
            </w:r>
          </w:p>
        </w:tc>
        <w:tc>
          <w:tcPr>
            <w:tcW w:w="980" w:type="dxa"/>
            <w:vAlign w:val="bottom"/>
            <w:gridSpan w:val="3"/>
          </w:tcPr>
          <w:p>
            <w:pPr>
              <w:spacing w:after="0"/>
              <w:rPr>
                <w:sz w:val="17"/>
                <w:szCs w:val="17"/>
                <w:color w:val="auto"/>
              </w:rPr>
            </w:pP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17"/>
                <w:szCs w:val="17"/>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393"/>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00"/>
              <w:spacing w:after="0"/>
              <w:rPr>
                <w:sz w:val="20"/>
                <w:szCs w:val="20"/>
                <w:color w:val="auto"/>
              </w:rPr>
            </w:pPr>
            <w:r>
              <w:rPr>
                <w:rFonts w:ascii="Times New Roman" w:cs="Times New Roman" w:eastAsia="Times New Roman" w:hAnsi="Times New Roman"/>
                <w:sz w:val="16"/>
                <w:szCs w:val="16"/>
                <w:b w:val="1"/>
                <w:bCs w:val="1"/>
                <w:color w:val="auto"/>
                <w:w w:val="99"/>
              </w:rPr>
              <w:t>PART III</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43"/>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10.</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24"/>
                <w:szCs w:val="24"/>
                <w:color w:val="auto"/>
              </w:rPr>
            </w:pPr>
          </w:p>
        </w:tc>
      </w:tr>
      <w:tr>
        <w:trPr>
          <w:trHeight w:val="196"/>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3"/>
              </w:rPr>
              <w:t>Item 11.</w:t>
            </w:r>
          </w:p>
        </w:tc>
        <w:tc>
          <w:tcPr>
            <w:tcW w:w="980" w:type="dxa"/>
            <w:vAlign w:val="bottom"/>
            <w:gridSpan w:val="3"/>
          </w:tcPr>
          <w:p>
            <w:pPr>
              <w:spacing w:after="0"/>
              <w:rPr>
                <w:sz w:val="17"/>
                <w:szCs w:val="17"/>
                <w:color w:val="auto"/>
              </w:rPr>
            </w:pPr>
          </w:p>
        </w:tc>
        <w:tc>
          <w:tcPr>
            <w:tcW w:w="36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4420" w:type="dxa"/>
            <w:vAlign w:val="bottom"/>
            <w:gridSpan w:val="7"/>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74</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12.</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13.</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14.</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Principal Accountant Fees and Services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74</w:t>
            </w:r>
          </w:p>
        </w:tc>
        <w:tc>
          <w:tcPr>
            <w:tcW w:w="260" w:type="dxa"/>
            <w:vAlign w:val="bottom"/>
          </w:tcPr>
          <w:p>
            <w:pPr>
              <w:spacing w:after="0"/>
              <w:rPr>
                <w:sz w:val="17"/>
                <w:szCs w:val="17"/>
                <w:color w:val="auto"/>
              </w:rPr>
            </w:pPr>
          </w:p>
        </w:tc>
      </w:tr>
      <w:tr>
        <w:trPr>
          <w:trHeight w:val="393"/>
        </w:trPr>
        <w:tc>
          <w:tcPr>
            <w:tcW w:w="4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20" w:type="dxa"/>
            <w:vAlign w:val="bottom"/>
            <w:gridSpan w:val="7"/>
          </w:tcPr>
          <w:p>
            <w:pPr>
              <w:jc w:val="center"/>
              <w:ind w:right="3620"/>
              <w:spacing w:after="0"/>
              <w:rPr>
                <w:sz w:val="20"/>
                <w:szCs w:val="20"/>
                <w:color w:val="auto"/>
              </w:rPr>
            </w:pPr>
            <w:r>
              <w:rPr>
                <w:rFonts w:ascii="Times New Roman" w:cs="Times New Roman" w:eastAsia="Times New Roman" w:hAnsi="Times New Roman"/>
                <w:sz w:val="16"/>
                <w:szCs w:val="16"/>
                <w:b w:val="1"/>
                <w:bCs w:val="1"/>
                <w:color w:val="auto"/>
                <w:w w:val="97"/>
              </w:rPr>
              <w:t>PART IV</w:t>
            </w:r>
          </w:p>
        </w:tc>
        <w:tc>
          <w:tcPr>
            <w:tcW w:w="10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r>
      <w:tr>
        <w:trPr>
          <w:trHeight w:val="344"/>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15.</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Exhibits and Financial Statement Schedules</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75</w:t>
            </w:r>
          </w:p>
        </w:tc>
        <w:tc>
          <w:tcPr>
            <w:tcW w:w="260" w:type="dxa"/>
            <w:vAlign w:val="bottom"/>
          </w:tcPr>
          <w:p>
            <w:pPr>
              <w:spacing w:after="0"/>
              <w:rPr>
                <w:sz w:val="24"/>
                <w:szCs w:val="24"/>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gridSpan w:val="6"/>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260" w:type="dxa"/>
            <w:vAlign w:val="bottom"/>
            <w:gridSpan w:val="9"/>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5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16.</w:t>
            </w:r>
          </w:p>
        </w:tc>
        <w:tc>
          <w:tcPr>
            <w:tcW w:w="810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Form 10-K Summary</w:t>
            </w:r>
          </w:p>
        </w:tc>
        <w:tc>
          <w:tcPr>
            <w:tcW w:w="1140" w:type="dxa"/>
            <w:vAlign w:val="bottom"/>
            <w:gridSpan w:val="2"/>
          </w:tcPr>
          <w:p>
            <w:pPr>
              <w:jc w:val="center"/>
              <w:ind w:left="899"/>
              <w:spacing w:after="0"/>
              <w:rPr>
                <w:sz w:val="20"/>
                <w:szCs w:val="20"/>
                <w:color w:val="auto"/>
              </w:rPr>
            </w:pPr>
            <w:r>
              <w:rPr>
                <w:rFonts w:ascii="Times New Roman" w:cs="Times New Roman" w:eastAsia="Times New Roman" w:hAnsi="Times New Roman"/>
                <w:sz w:val="16"/>
                <w:szCs w:val="16"/>
                <w:color w:val="0000FF"/>
                <w:w w:val="99"/>
              </w:rPr>
              <w:t>75</w:t>
            </w:r>
          </w:p>
        </w:tc>
        <w:tc>
          <w:tcPr>
            <w:tcW w:w="260" w:type="dxa"/>
            <w:vAlign w:val="bottom"/>
          </w:tcPr>
          <w:p>
            <w:pPr>
              <w:spacing w:after="0"/>
              <w:rPr>
                <w:sz w:val="17"/>
                <w:szCs w:val="17"/>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r>
      <w:tr>
        <w:trPr>
          <w:trHeight w:val="196"/>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8"/>
              </w:rPr>
              <w:t>SIGNATURES</w:t>
            </w: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74"/>
              </w:rPr>
              <w:t>76</w:t>
            </w:r>
          </w:p>
        </w:tc>
        <w:tc>
          <w:tcPr>
            <w:tcW w:w="2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40" w:top="887"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Annual Report on Form 10-K (“Annual Report”) contains statements not purely historical and which may be considered forward-looking statements within the meaning of Section 27A of the Securities Act of 1933, as amended (the “Securities Act”), and Section 21E of the Securities Exchange Act of 1934, as amended (the “Exchange Act”), including statements regarding our expectations, beliefs, future plans and strategies, anticipated events or trends concerning matters that are not historical facts or that necessarily depend upon future events. In some cases, you can identify forward-looking statements by terms such as “may,” “will,” “should,” “could,” “would,” “expect,” “plan,” “anticipate,” “believe,” “estimate,” “project,” “predict,” “potential,” “intend,” and similar expressions. This Annual Report contains, among others, forward-looking statements based upon current expectations that involve numerous risks and uncertainties, including those described in Item 1A. “Risk Factors”.</w:t>
      </w:r>
    </w:p>
    <w:p>
      <w:pPr>
        <w:spacing w:after="0" w:line="162"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Investors are cautioned that any such forward-looking statements are not guarantees of future performance, involve risks and uncertainties and that actual results may differ materially from those possible results discussed in the forward-looking statements as a result of various factors.</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Do not place undue reliance on such forward-looking statements as they speak only as of the date they are made. Except as required by law, Option Care Health, Inc. assumes no obligation to publicly update or revise any forward-looking statement even if experience or future changes make it clear that any projected results expressed or implied therein will not be realized.</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Option Care Health, Inc. (“Option Care Health”, “we”, “us”, “our”, or the “Company”) is the largest independent provider of home and alternate site infusion services through its national network of 196 locations in 43 states. Option Care Health draws on over 40 years of clinical care experience to offer patient-centered, cost-effective infusion therapy. Option Care Health’s infusion services include the clinical management of infusion therapy, nursing support and care coordination. Option Care Health’s multidisciplinary team of more than 5,000 clinicians, including pharmacists, pharmacy technicians, nurses and dietitians, are able to provide infusion service coverage for nearly all patients across the United States (“U.S.”) needing treatment for complex and chronic medical conditions.</w:t>
      </w:r>
    </w:p>
    <w:p>
      <w:pPr>
        <w:spacing w:after="0" w:line="147"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April 7, 2015, HC Group Holdings II, Inc. (“HC II”) and its sole shareholder, HC Group Holdings I, LLC. (“HC I”), collectively acquired Walgreens Infusion Services, Inc. and its subsidiaries from Walgreen Co., and the business was rebranded as Option Care, Inc. (“Option Care”).</w:t>
      </w:r>
    </w:p>
    <w:p>
      <w:pPr>
        <w:spacing w:after="0" w:line="135"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On March 14, 2019, HC I and HC II entered into a definitive agreement to merge with and into a wholly-owned subsidiary of BioScrip, Inc. (“BioScrip”) (the “Merger”), a national provider of infusion and home care management solutions, which was completed on August 6, 2019 (the “Merger Date”). Following the close of the Merger, BioScrip was rebranded as Option Care Health, Inc.</w:t>
      </w:r>
    </w:p>
    <w:p>
      <w:pPr>
        <w:spacing w:after="0" w:line="13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Option Care Health contracts with managed care organizations, third-party payers, hospitals, physicians and other referral sources to provide pharmaceuticals and complex compounded solutions to patients for intravenous delivery in the patients’ homes or other nonhospital settings. Our services are provided in coordination with, and under the direction of, the patient’s physician. Our multidisciplinary team of clinicians, including pharmacists, nurses, and dietitians, work with the physician to develop a plan of care suited to each patient’s specific needs. We provide home infusion services consisting of anti-infectives, nutrition support, chronic inflammatory disorders, neurological disorders, immunoglobulin therapy, and other therapies for chronic and acute conditions. The Company operates in one segment, infusion services.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operating model enables it to provide favorable outcomes to its stakeholders as follows:</w:t>
      </w:r>
    </w:p>
    <w:p>
      <w:pPr>
        <w:spacing w:after="0" w:line="194" w:lineRule="exact"/>
        <w:rPr>
          <w:sz w:val="20"/>
          <w:szCs w:val="20"/>
          <w:color w:val="auto"/>
        </w:rPr>
      </w:pPr>
    </w:p>
    <w:p>
      <w:pPr>
        <w:ind w:left="660" w:right="12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Patients. </w:t>
      </w:r>
      <w:r>
        <w:rPr>
          <w:rFonts w:ascii="Times New Roman" w:cs="Times New Roman" w:eastAsia="Times New Roman" w:hAnsi="Times New Roman"/>
          <w:sz w:val="18"/>
          <w:szCs w:val="18"/>
          <w:color w:val="auto"/>
        </w:rPr>
        <w:t>The Company improves patients’ quality of life by allowing them to receive infusion therapy at home or at one of its ambulatory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infusion suites. In addition, the Company helps manage patients’ conditions through counseling and education regarding their treatment and by providing ongoing monitoring to encourage patient compliance with the prescribed therapy. The Company also provides services to help patients receive reimbursement benefits.</w:t>
      </w:r>
    </w:p>
    <w:p>
      <w:pPr>
        <w:spacing w:after="0" w:line="135" w:lineRule="exact"/>
        <w:rPr>
          <w:rFonts w:ascii="Times New Roman" w:cs="Times New Roman" w:eastAsia="Times New Roman" w:hAnsi="Times New Roman"/>
          <w:sz w:val="18"/>
          <w:szCs w:val="18"/>
          <w:b w:val="1"/>
          <w:bCs w:val="1"/>
          <w:color w:val="auto"/>
        </w:rPr>
      </w:pPr>
    </w:p>
    <w:p>
      <w:pPr>
        <w:jc w:val="both"/>
        <w:ind w:left="660" w:right="24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Payers. </w:t>
      </w:r>
      <w:r>
        <w:rPr>
          <w:rFonts w:ascii="Times New Roman" w:cs="Times New Roman" w:eastAsia="Times New Roman" w:hAnsi="Times New Roman"/>
          <w:sz w:val="18"/>
          <w:szCs w:val="18"/>
          <w:color w:val="auto"/>
        </w:rPr>
        <w:t>The Company provides payers with a comprehensive approach to meeting their pharmacy service needs and providing a cost-effective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 The Company’s provision of infusion pharmacy services in the patient’s home or at one of its local ambulatory infusion suites offers a lower cost alternative to providing these therapies in a hospital setting. The Company also provides payers with utilization and outcome data to evaluate therapy effectiveness.</w:t>
      </w:r>
    </w:p>
    <w:p>
      <w:pPr>
        <w:spacing w:after="0" w:line="135" w:lineRule="exact"/>
        <w:rPr>
          <w:rFonts w:ascii="Times New Roman" w:cs="Times New Roman" w:eastAsia="Times New Roman" w:hAnsi="Times New Roman"/>
          <w:sz w:val="18"/>
          <w:szCs w:val="18"/>
          <w:b w:val="1"/>
          <w:bCs w:val="1"/>
          <w:color w:val="auto"/>
        </w:rPr>
      </w:pPr>
    </w:p>
    <w:p>
      <w:pPr>
        <w:jc w:val="both"/>
        <w:ind w:left="660" w:right="12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Providers. </w:t>
      </w:r>
      <w:r>
        <w:rPr>
          <w:rFonts w:ascii="Times New Roman" w:cs="Times New Roman" w:eastAsia="Times New Roman" w:hAnsi="Times New Roman"/>
          <w:sz w:val="18"/>
          <w:szCs w:val="18"/>
          <w:color w:val="auto"/>
        </w:rPr>
        <w:t>The Company offers providers timely patient clinical support by providing care management related to their patients’ pharmacy needs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improving compliance with therapy protocols. The Company eliminates the need for providers to carry inventories of high-cost prescriptions by distributing the medications directly to patients’ homes.</w:t>
      </w:r>
    </w:p>
    <w:p>
      <w:pPr>
        <w:spacing w:after="0" w:line="143" w:lineRule="exact"/>
        <w:rPr>
          <w:rFonts w:ascii="Times New Roman" w:cs="Times New Roman" w:eastAsia="Times New Roman" w:hAnsi="Times New Roman"/>
          <w:sz w:val="18"/>
          <w:szCs w:val="18"/>
          <w:b w:val="1"/>
          <w:bCs w:val="1"/>
          <w:color w:val="auto"/>
        </w:rPr>
      </w:pPr>
    </w:p>
    <w:p>
      <w:pPr>
        <w:ind w:left="660" w:hanging="328"/>
        <w:spacing w:after="0" w:line="262"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Pharmaceutical Manufacturers. </w:t>
      </w:r>
      <w:r>
        <w:rPr>
          <w:rFonts w:ascii="Times New Roman" w:cs="Times New Roman" w:eastAsia="Times New Roman" w:hAnsi="Times New Roman"/>
          <w:sz w:val="18"/>
          <w:szCs w:val="18"/>
          <w:color w:val="auto"/>
        </w:rPr>
        <w:t>The Company collaborates with pharmaceutical manufacturers to provide a broad distribution channel for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existing pharmaceuticals and their new product launches. The Company implements patient monitoring programs that encourage compliance with the prescribed therapy. The Company also provides valuable clinical information in the form of outcomes and compliance data to manufacturers to aid in their evaluation of the efficacy of their products.</w:t>
      </w:r>
    </w:p>
    <w:p>
      <w:pPr>
        <w:spacing w:after="0" w:line="135" w:lineRule="exact"/>
        <w:rPr>
          <w:rFonts w:ascii="Times New Roman" w:cs="Times New Roman" w:eastAsia="Times New Roman" w:hAnsi="Times New Roman"/>
          <w:sz w:val="18"/>
          <w:szCs w:val="18"/>
          <w:b w:val="1"/>
          <w:bCs w:val="1"/>
          <w:color w:val="auto"/>
        </w:rPr>
      </w:pPr>
    </w:p>
    <w:p>
      <w:pPr>
        <w:ind w:left="660" w:right="20" w:hanging="328"/>
        <w:spacing w:after="0" w:line="268"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Health Systems. </w:t>
      </w:r>
      <w:r>
        <w:rPr>
          <w:rFonts w:ascii="Times New Roman" w:cs="Times New Roman" w:eastAsia="Times New Roman" w:hAnsi="Times New Roman"/>
          <w:sz w:val="18"/>
          <w:szCs w:val="18"/>
          <w:color w:val="auto"/>
        </w:rPr>
        <w:t>The Company partners with health systems across the country to provide seamless transitional care within an effective post-acute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network to manage patients across the continuum of care. The Company assists partnered health systems in monitoring key metrics that tie back to what most payers monitor in their value-based contracts.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Quality is at the core of the Company’s mission as it strives to deliver quality healthcare, leading to favorable outcomes and more cost-effective care. The Company offers comprehensive services that align with specific healthcare provider needs and has demonstrated success in improving outcomes across a broad range of therapies through improved clinically reported patient adherence rates and low rates of unplanned hospital readmissions.</w:t>
      </w:r>
    </w:p>
    <w:p>
      <w:pPr>
        <w:spacing w:after="0" w:line="149" w:lineRule="exact"/>
        <w:rPr>
          <w:sz w:val="20"/>
          <w:szCs w:val="20"/>
          <w:color w:val="auto"/>
        </w:rPr>
      </w:pPr>
    </w:p>
    <w:p>
      <w:pPr>
        <w:ind w:right="660" w:firstLine="324"/>
        <w:spacing w:after="0" w:line="266" w:lineRule="auto"/>
        <w:rPr>
          <w:sz w:val="20"/>
          <w:szCs w:val="20"/>
          <w:color w:val="auto"/>
        </w:rPr>
      </w:pPr>
      <w:r>
        <w:rPr>
          <w:rFonts w:ascii="Times New Roman" w:cs="Times New Roman" w:eastAsia="Times New Roman" w:hAnsi="Times New Roman"/>
          <w:sz w:val="18"/>
          <w:szCs w:val="18"/>
          <w:color w:val="auto"/>
        </w:rPr>
        <w:t>The Company’s commitment to continuous quality improvement to provide optimal outcomes for its patients is evidenced by its national accreditations, including accreditations from Accreditation Commission for Health Care (“ACHC”), Pharmacy Compounding Accreditation Board (“PCAB”), American Society of Health-System Pharmacists (“ASHP”) and Utilization Review Accreditation Commission (“URAC”).</w:t>
      </w:r>
    </w:p>
    <w:p>
      <w:pPr>
        <w:spacing w:after="0" w:line="135"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ACHC accreditation is awarded to healthcare organizations that meet regulatory requirements and accreditation standards, and PCAB accreditation offers the most comprehensive compliance solution in the industry based on more than 65 sterile compounding standards in the U.S. Pharmacopeia Pharmaceutical Compounding - Sterile Preparations Standards (“USP 797”).</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w:t>
      </w:r>
    </w:p>
    <w:p>
      <w:pPr>
        <w:spacing w:after="0" w:line="18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is the largest independent provider of home and alternate site infusion services. The Company’s services are most typically provided in the patient’s home, but may also be provided at clinics, physicians’ offices or ambulatory infusion suites. The Company provides a broad therapy portfolio through a national network of 87 full-service pharmacies, including 73 with ambulatory infusion suites. Additionally, the Company has 109 stand-alone ambulatory infusion suites, including 27 with advanced practitioner capabilities. The Company’s home infusion services include medication and supplies for administration and use at home or within one of its ambulatory infusion suites, consultation and education regarding the patient’s condition and the prescribed medication nursing support, clinical monitoring and assistance in monitoring potential side effects, and assistance in obtaining reimbursement. The Company administers a wide variety of therapies and services, including the following:</w:t>
      </w:r>
    </w:p>
    <w:p>
      <w:pPr>
        <w:spacing w:after="0" w:line="158" w:lineRule="exact"/>
        <w:rPr>
          <w:sz w:val="20"/>
          <w:szCs w:val="20"/>
          <w:color w:val="auto"/>
        </w:rPr>
      </w:pPr>
    </w:p>
    <w:p>
      <w:pPr>
        <w:ind w:left="660" w:right="14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Anti-Infectives Infusion. </w:t>
      </w:r>
      <w:r>
        <w:rPr>
          <w:rFonts w:ascii="Times New Roman" w:cs="Times New Roman" w:eastAsia="Times New Roman" w:hAnsi="Times New Roman"/>
          <w:sz w:val="18"/>
          <w:szCs w:val="18"/>
          <w:color w:val="auto"/>
        </w:rPr>
        <w:t>The Company provides comprehensive home infusion services to combat serious infections in patients of all ages.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anti-infective therapy and services help avoid hospitalizations for many infections that can be safely treated at home.</w:t>
      </w:r>
    </w:p>
    <w:p>
      <w:pPr>
        <w:spacing w:after="0" w:line="114" w:lineRule="exact"/>
        <w:rPr>
          <w:rFonts w:ascii="Times New Roman" w:cs="Times New Roman" w:eastAsia="Times New Roman" w:hAnsi="Times New Roman"/>
          <w:sz w:val="18"/>
          <w:szCs w:val="18"/>
          <w:b w:val="1"/>
          <w:bCs w:val="1"/>
          <w:color w:val="auto"/>
        </w:rPr>
      </w:pPr>
    </w:p>
    <w:p>
      <w:pPr>
        <w:jc w:val="both"/>
        <w:ind w:left="660" w:right="16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Nutrition Support. </w:t>
      </w:r>
      <w:r>
        <w:rPr>
          <w:rFonts w:ascii="Times New Roman" w:cs="Times New Roman" w:eastAsia="Times New Roman" w:hAnsi="Times New Roman"/>
          <w:sz w:val="18"/>
          <w:szCs w:val="18"/>
          <w:color w:val="auto"/>
        </w:rPr>
        <w:t>The Company delivers comprehensive nutrition support across pediatric, adult, and geriatric patients. The Company’s expert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team provides home parenteral nutrition and enteral nutrition support for numerous acute and chronic conditions negatively affecting nutritional status, such as stroke, cancer, and gastrointestinal diseases.</w:t>
      </w:r>
    </w:p>
    <w:p>
      <w:pPr>
        <w:spacing w:after="0" w:line="130" w:lineRule="exact"/>
        <w:rPr>
          <w:rFonts w:ascii="Times New Roman" w:cs="Times New Roman" w:eastAsia="Times New Roman" w:hAnsi="Times New Roman"/>
          <w:sz w:val="18"/>
          <w:szCs w:val="18"/>
          <w:b w:val="1"/>
          <w:bCs w:val="1"/>
          <w:color w:val="auto"/>
        </w:rPr>
      </w:pPr>
    </w:p>
    <w:p>
      <w:pPr>
        <w:ind w:left="660" w:right="200" w:hanging="328"/>
        <w:spacing w:after="0" w:line="262"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Immunoglobulin Infusion. </w:t>
      </w:r>
      <w:r>
        <w:rPr>
          <w:rFonts w:ascii="Times New Roman" w:cs="Times New Roman" w:eastAsia="Times New Roman" w:hAnsi="Times New Roman"/>
          <w:sz w:val="18"/>
          <w:szCs w:val="18"/>
          <w:color w:val="auto"/>
        </w:rPr>
        <w:t>The Company offers expertise, access, and support in immunoglobulin (“IG”) infusion therapy designed to treat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immune deficiencies. Immune deficiencies are disorders that reduce the patient’s ability to identify and destroy substances that do not belong in the human body and are characterized by reduced levels of antibodies. Intravenous IG infusions are concentrated antibodies that have been purified from large numbers of human blood donors.</w:t>
      </w:r>
    </w:p>
    <w:p>
      <w:pPr>
        <w:spacing w:after="0" w:line="149" w:lineRule="exact"/>
        <w:rPr>
          <w:rFonts w:ascii="Times New Roman" w:cs="Times New Roman" w:eastAsia="Times New Roman" w:hAnsi="Times New Roman"/>
          <w:sz w:val="18"/>
          <w:szCs w:val="18"/>
          <w:b w:val="1"/>
          <w:bCs w:val="1"/>
          <w:i w:val="1"/>
          <w:iCs w:val="1"/>
          <w:color w:val="auto"/>
        </w:rPr>
      </w:pPr>
    </w:p>
    <w:p>
      <w:pPr>
        <w:ind w:left="66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Chronic Inflammatory Disorders. </w:t>
      </w:r>
      <w:r>
        <w:rPr>
          <w:rFonts w:ascii="Times New Roman" w:cs="Times New Roman" w:eastAsia="Times New Roman" w:hAnsi="Times New Roman"/>
          <w:sz w:val="18"/>
          <w:szCs w:val="18"/>
          <w:color w:val="auto"/>
        </w:rPr>
        <w:t>The Company treats chronic inflammatory disorders, which include Crohn’s disease, plaque psoriasis, psoriatic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arthritis, rheumatoid arthritis, ulcerative colitis, and other chronic inflammatory disorders.</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30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Neurological Disorders. </w:t>
      </w:r>
      <w:r>
        <w:rPr>
          <w:rFonts w:ascii="Times New Roman" w:cs="Times New Roman" w:eastAsia="Times New Roman" w:hAnsi="Times New Roman"/>
          <w:sz w:val="18"/>
          <w:szCs w:val="18"/>
          <w:color w:val="auto"/>
        </w:rPr>
        <w:t>The Company provides an array of treatments to manage the progression of neurological disorders such as Duchenne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Muscular Dystrophy, Multiple Sclerosis, Alzheimer’s Disease, and other neurological disorders.</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80" w:hanging="328"/>
        <w:spacing w:after="0" w:line="268"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Bleeding Disorders Infusion. </w:t>
      </w:r>
      <w:r>
        <w:rPr>
          <w:rFonts w:ascii="Times New Roman" w:cs="Times New Roman" w:eastAsia="Times New Roman" w:hAnsi="Times New Roman"/>
          <w:sz w:val="18"/>
          <w:szCs w:val="18"/>
          <w:color w:val="auto"/>
        </w:rPr>
        <w:t>As a provider of home infusion therapy for hemophilia and von Willebrand disease, the Company streamlines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burdens associated with infusion therapies for bleeding disorders. The Company works with medical specialists across the country to offer access to all approved factor products, a full range of therapies, and dedicated support services.</w:t>
      </w:r>
    </w:p>
    <w:p>
      <w:pPr>
        <w:spacing w:after="0" w:line="143" w:lineRule="exact"/>
        <w:rPr>
          <w:rFonts w:ascii="Times New Roman" w:cs="Times New Roman" w:eastAsia="Times New Roman" w:hAnsi="Times New Roman"/>
          <w:sz w:val="18"/>
          <w:szCs w:val="18"/>
          <w:b w:val="1"/>
          <w:bCs w:val="1"/>
          <w:color w:val="auto"/>
        </w:rPr>
      </w:pPr>
    </w:p>
    <w:p>
      <w:pPr>
        <w:ind w:left="660" w:right="46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Naven Health. </w:t>
      </w:r>
      <w:r>
        <w:rPr>
          <w:rFonts w:ascii="Times New Roman" w:cs="Times New Roman" w:eastAsia="Times New Roman" w:hAnsi="Times New Roman"/>
          <w:sz w:val="18"/>
          <w:szCs w:val="18"/>
          <w:color w:val="auto"/>
        </w:rPr>
        <w:t>The Company offers a nationwide home infusion nursing network and clinical platform. Naven Health focuses on delivering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highly specialized infusion care.</w:t>
      </w:r>
    </w:p>
    <w:p>
      <w:pPr>
        <w:spacing w:after="0" w:line="114" w:lineRule="exact"/>
        <w:rPr>
          <w:rFonts w:ascii="Times New Roman" w:cs="Times New Roman" w:eastAsia="Times New Roman" w:hAnsi="Times New Roman"/>
          <w:sz w:val="18"/>
          <w:szCs w:val="18"/>
          <w:b w:val="1"/>
          <w:bCs w:val="1"/>
          <w:i w:val="1"/>
          <w:iCs w:val="1"/>
          <w:color w:val="auto"/>
        </w:rPr>
      </w:pPr>
    </w:p>
    <w:p>
      <w:pPr>
        <w:ind w:left="660" w:right="12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Women’s Health. </w:t>
      </w:r>
      <w:r>
        <w:rPr>
          <w:rFonts w:ascii="Times New Roman" w:cs="Times New Roman" w:eastAsia="Times New Roman" w:hAnsi="Times New Roman"/>
          <w:sz w:val="18"/>
          <w:szCs w:val="18"/>
          <w:color w:val="auto"/>
        </w:rPr>
        <w:t>The Company offers therapies that women need to survive and thrive through high-risk pregnancies. Personalized programs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prematurity, nausea and vomiting hyperemesis, diabetes in pregnancy, and hypertension help meet the needs of each mother.</w:t>
      </w:r>
    </w:p>
    <w:p>
      <w:pPr>
        <w:spacing w:after="0" w:line="114" w:lineRule="exact"/>
        <w:rPr>
          <w:rFonts w:ascii="Times New Roman" w:cs="Times New Roman" w:eastAsia="Times New Roman" w:hAnsi="Times New Roman"/>
          <w:sz w:val="18"/>
          <w:szCs w:val="18"/>
          <w:b w:val="1"/>
          <w:bCs w:val="1"/>
          <w:color w:val="auto"/>
        </w:rPr>
      </w:pPr>
    </w:p>
    <w:p>
      <w:pPr>
        <w:ind w:left="660" w:right="28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Heart Failure. </w:t>
      </w:r>
      <w:r>
        <w:rPr>
          <w:rFonts w:ascii="Times New Roman" w:cs="Times New Roman" w:eastAsia="Times New Roman" w:hAnsi="Times New Roman"/>
          <w:sz w:val="18"/>
          <w:szCs w:val="18"/>
          <w:color w:val="auto"/>
        </w:rPr>
        <w:t>The Company administers home infusion services to treat heart failure, either in anticipation of cardiac transplant or to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palliation of heart failure symptoms.</w:t>
      </w:r>
    </w:p>
    <w:p>
      <w:pPr>
        <w:spacing w:after="0" w:line="127" w:lineRule="exact"/>
        <w:rPr>
          <w:rFonts w:ascii="Times New Roman" w:cs="Times New Roman" w:eastAsia="Times New Roman" w:hAnsi="Times New Roman"/>
          <w:sz w:val="18"/>
          <w:szCs w:val="18"/>
          <w:b w:val="1"/>
          <w:bCs w:val="1"/>
          <w:color w:val="auto"/>
        </w:rPr>
      </w:pPr>
    </w:p>
    <w:p>
      <w:pPr>
        <w:ind w:left="660" w:right="340" w:hanging="328"/>
        <w:spacing w:after="0" w:line="286" w:lineRule="auto"/>
        <w:tabs>
          <w:tab w:leader="none" w:pos="65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The Company offers a range of other infusion therapies to treat a variety of conditions, including pain management, chemotherapy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respiratory medication.</w:t>
      </w:r>
    </w:p>
    <w:p>
      <w:pPr>
        <w:spacing w:after="0" w:line="118"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Company also provides nursing services to support the above therapies, comprised of its nursing team of approximately 2,700 employees, and through its network of sub-contracted nursing agencies.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8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sales and marketing efforts focus on three primary objectives: (1) building new relationships and expanding existing contracts with managed care organizations; (2) establishing, maintaining and strengthening relationships with local and regional health systems, specialty prescribers, and other patient referral sources; and (3) maintaining existing and developing new relationships with pharmaceutical manufacturers to gain distribution access as they release new products.</w:t>
      </w:r>
    </w:p>
    <w:p>
      <w:pPr>
        <w:spacing w:after="0" w:line="15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Company’s sales structure is focused on maintaining and expanding its relationships with drug manufacturers to establish its position as a participating provider when they release new products. In addition, the Company’s sales structure allows it to leverage its national managed care relationships to provide sales and contract pull-through by the Company’s local field-based sales personnel. This cross-utilization enables the Company to market its services to numerous sources of patient referrals, including physicians, hospital discharge planners, hospital personnel, Health Maintenance Organizations (“HMOs”) and Preferred Provider Organizations (“PPOs”).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Company competes in the large and highly fragmented home and alternative site infusion market for contracts with managed care organizations and other third-party payers to receive referrals from physicians, case managers and hospital discharge planners. Competition in the home infusion market is based on quality of care, clinical outcomes, pricing and cost of service, reputation, and reliability of service. The Company’s competitors within the home infusion market include Optum Infusion Pharmacy (a unit of UnitedHealth Group), Coram CVS/specialty infusion services (a division of CVS Health), Amerita Specialty Pharmacy (a division of BrightSpring Health), KabaFusion, Soleo Health, Vital Care and many other regional and local home infusion companies, ambulatory infusion centers, or specialty pharmacies including Accredo, CVS Caremark, Optum Rx, and Orsini. The Company believes that its reputation for providing quality services, the strength of its national presence and its ability to effectively market its services at national, regional and local levels places it in a strong position against existing and potential competitors.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8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Option Care Health and its subsidiaries own a variety of trademarks, licenses, and service marks, including but not limited to: “Option Care Health”, “Option Care”, “Critical Care Systems”, “Clinical Specialties”, “BioScrip”, “BioScrip Infusion Services”, “HomeChoice Partners”, “InfuScience”, “InfusionCare”, “Infusion Partners”, “Infusion Solutions”, “New England Home Therapies”, “Professional Home Care Services”, “Wilcox Home Infusion”, “Home Solutions”, “Home Solutions Infusion Therapy”, “Naven Health”, “Naven Connect”, “Restore+ by Option Care Health”, “IG Complete+”, “Care Nav+ by Option Care Health”, “BioCure”, “DP Diabetes in Pregnancy Program”, “HP Hypertension in Pregnancy Program”, “NV Nausea and Vomiting Hyperemesis Program”, “PM Prematurity Program”, “Factor Ape”, “Intramed Plus”, “Intramed Plus Infusion and Medical Center”, as well as several others.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w:t>
      </w:r>
    </w:p>
    <w:p>
      <w:pPr>
        <w:spacing w:after="0" w:line="18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purchases pharmaceuticals and medical supplies directly through pharmaceutical manufacturers, authorized distributors and group purchasing organizations. As a national pharmacy provider with broad coverage and clinical expertise of its 87 full-service pharmacies, the Company provides pharmaceutical manufacturers with an extensive distribution channel for its existing and prospective pharmaceutical products. Many of the pharmaceuticals that the Company purchases are available from multiple sources and are available in sufficient quantities to meet the needs of the Company and its patients. However, some drugs are only available through sole distribution sources and/or limited distribution models from the manufacturer that may be subject to limits on distribution. In such cases, it is important that the Company establishes and maintains good working relationships with the manufacturer to secure a sufficient supply to meet its patients’ needs. Additionally, certain drugs may become subject to supply shortages. Such shortages can result in cost increases or hamper the Company’s ability to obtain sufficient quantities to meet the needs of its patients. The Company actively manages its relationships with direct manufacturers and distributors to provide differentiated access and service to ensure consistent supply and cost-effective procurement. These relationships provide the Company the opportunity to become a selected partner in the launch of their new products. The Company may also receive fees, which it records as revenue, from certain biotech manufacturers for providing them with bona fide services often focused around clinical outcomes/data. The Company’s continued growth will be dependent on maintaining its existing relationships with manufacturers and establishing new relationships with additional manufacturers as the Company launches new products.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approximately 68% of the Company’s pharmaceutical and medical supply purchases were from four vendors. Most of the pharmaceuticals that we purchase are available from multiple distributors, and we believe they are available in sufficient quantities to meet our needs and the needs of our patients. However, a change in suppliers could cause delays in service delivery and possible losses in revenue, which could adversely affect the Company’s financial condition or operating results.</w:t>
      </w:r>
    </w:p>
    <w:p>
      <w:pPr>
        <w:spacing w:after="0" w:line="139" w:lineRule="exact"/>
        <w:rPr>
          <w:sz w:val="20"/>
          <w:szCs w:val="20"/>
          <w:color w:val="auto"/>
        </w:rPr>
      </w:pPr>
    </w:p>
    <w:p>
      <w:pPr>
        <w:ind w:right="160" w:firstLine="324"/>
        <w:spacing w:after="0" w:line="312" w:lineRule="auto"/>
        <w:rPr>
          <w:sz w:val="20"/>
          <w:szCs w:val="20"/>
          <w:color w:val="auto"/>
        </w:rPr>
      </w:pPr>
      <w:r>
        <w:rPr>
          <w:rFonts w:ascii="Times New Roman" w:cs="Times New Roman" w:eastAsia="Times New Roman" w:hAnsi="Times New Roman"/>
          <w:sz w:val="17"/>
          <w:szCs w:val="17"/>
          <w:color w:val="auto"/>
        </w:rPr>
        <w:t>Through the purchasing power of its national platform, the Company is able to negotiate favorable terms and economics, including volume purchase rebates and vendor administration fees. Such fees are recorded as reductions to cost of revenue when the pharmaceuticals are delivered to the patient.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Billing &amp; Significant Payers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generates most of its revenue from contracts with third-party payers, including managed care organizations, insurance companies, self-insured employers, Medicare, and Medicaid programs. Where permissible, the Company bills patients for any amounts not reimbursed by third-party payers. The majority of the Company’s infusion pharmacy revenue consists of reimbursements for both the cost of the pharmaceuticals sold and the cost of services provided. Pharmaceuticals are typically reimbursed on a percentage discount from the published average wholesale price (“AWP”) of each drug or on a percentage premium to average sales price (“ASP”). Nursing services are typically billed separately, while other patient support services, such as pharmacy compounding service, delivery service and ancillary medical supplies are reimbursed either separately or on a per diem basis, as applicable.</w:t>
      </w:r>
    </w:p>
    <w:p>
      <w:pPr>
        <w:spacing w:after="0" w:line="14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Company’s largest payer represented approximately 14% of its revenue for the year ended December 31, 2025. No other single payer represented more than 10% of its revenue. The Company also provides services that are directly reimbursable through government healthcare programs such as Medicare and state Medicaid programs. For the year ended December 31, 2025, approximately 12% of the Company’s revenue was reimbursable through direct government healthcare programs, such as Medicare and Medicaid.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Matters Affecting Drug Prices</w:t>
      </w:r>
    </w:p>
    <w:p>
      <w:pPr>
        <w:spacing w:after="0" w:line="2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Pricing benchmarks in the pharmacy industry are periodically published by third parties such as Red Book, Medi-Span, RJ Health, and the Centers for Medicare &amp; Medicaid Services (“CMS”), and the benchmark reimbursement varies by payer contract. The most commonly used benchmarks are AWP and ASP. AWP is based on self-reported prices charged by wholesalers and manufacturers and reimbursement is generally AWP minus a percentage and may include a per diem fee or a fixed dispensing fee. ASP is based on actual sales transactions reported by wholesalers and is generally lower than AWP; reimbursement is generally ASP plus a percentage. The Company may also receive a fixed dispensing fee or a per diem fee for each day a patient is on service. Changes to these pricing benchmarks may have a significant impact on the profitability of the Company’s business.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home infusion industry is subject to extensive regulation by a number of federal, state and local governmental entities. The industry is also subject to frequent regulatory changes. Laws and regulations in the healthcare industry are complex and, at times, the industry does not benefit from significant regulatory or judicial interpretation that would clarify how these laws and regulations should be applied. Moreover, the Company’s business is also impacted by certain laws and regulations that are applicable to its managed care and other clients. If the Company fails to comply with the laws and regulations directly applicable to its business, the Company could suffer civil and/or criminal penalties, and the Company could be excluded from participating in Medicare, Medicaid and other federal and state healthcare programs, which would have an adverse impact on its business.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Professional Licensure</w:t>
      </w:r>
    </w:p>
    <w:p>
      <w:pPr>
        <w:spacing w:after="0" w:line="18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Nurses, pharmacists and certain other healthcare professionals employed by the Company are required to be individually licensed or certified under applicable state law. The Company performs criminal and other background checks on employees and takes steps to ensure that its employees possess all necessary licenses and certifications, and the Company believes that its employees comply in all material respects with applicable licensure laws.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Pharmacy Licensing and Registration</w:t>
      </w:r>
    </w:p>
    <w:p>
      <w:pPr>
        <w:spacing w:after="0" w:line="202"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State laws require that each pharmacy location be licensed as an in-state pharmacy to dispense pharmaceuticals in that state. Certain states also require that pharmacy locations be licensed as out-of-state pharmacies if the Company delivers prescription pharmaceuticals into those states from locations outside of the state. The Company believes that it materially complies with all applicable state licensing laws. If the Company is unable to maintain its licenses or if states place burdensome regulations on non-resident pharmacies, its ability to operate in some states would be limited, which could have an adverse impact on its business. Laws enforced by the Drug Enforcement Administration (“DEA”), as well as some similar state agencies, require its pharmacy locations to individually register in order to handle controlled substances, including prescription pharmaceuticals. A separate registration is required at each principal place of business where the Company dispenses controlled substances. Federal and state laws also require that the Company follow specific labeling, reporting and record-keeping requirements for controlled substances. The Company maintains federal and state controlled substance registrations for each of its facilities that require such registration and materially follows procedures intended to comply with all applicable federal and state requirements regarding controlled substances.</w:t>
      </w:r>
    </w:p>
    <w:p>
      <w:pPr>
        <w:spacing w:after="0" w:line="15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Many states in which the Company operates also require home infusion companies to be licensed as home health agencies. The Company believes it is in material compliance with these laws, as applicable.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Security Requirements</w:t>
      </w:r>
    </w:p>
    <w:p>
      <w:pPr>
        <w:spacing w:after="0" w:line="20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Health Insurance Portability and Accountability Act of 1996 (“HIPAA”) as amended by the Health Information Technology for Economic and Clinical Health Act (“HITECH”), and its implementing regulations, regulate the use, disclosure, confidentiality, availability and integrity of individually identifiable health information, known as “protected health information,” and provide for a number of individual rights with respect to such information. The federal privacy regulations are designed to protect health-related information that could be used to identify an individual’s protected health information.</w:t>
      </w:r>
    </w:p>
    <w:p>
      <w:pPr>
        <w:spacing w:after="0" w:line="143"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requirements imposed by HIPAA are extensive, and the Company has taken and intends to continue to take steps to ensure its policies and procedures are in material compliance with the applicable provisions.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Federal Food, Drug, and Cosmetic Act. </w:t>
      </w:r>
      <w:r>
        <w:rPr>
          <w:rFonts w:ascii="Times New Roman" w:cs="Times New Roman" w:eastAsia="Times New Roman" w:hAnsi="Times New Roman"/>
          <w:sz w:val="18"/>
          <w:szCs w:val="18"/>
          <w:color w:val="auto"/>
        </w:rPr>
        <w:t>Certain provisions of the Federal Food, Drug, and Cosmetic Act (“FDCA”) govern the handling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of pharmaceutical products. This law exempts certain pharmaceuticals and medical devices from federal labeling and packaging requirements as long as they are not adulterated or misbranded and are dispensed in accordance with and pursuant to a valid prescription. The Company believes it materially complies with all applicable requirements. The FDCA also governs interstate commerce for pharmaceutical products. The Company cannot predict the impact of any future FDCA regulations on its ability to ship drugs to different states from its pharmacies.</w:t>
      </w:r>
    </w:p>
    <w:p>
      <w:pPr>
        <w:spacing w:after="0" w:line="158" w:lineRule="exact"/>
        <w:rPr>
          <w:sz w:val="20"/>
          <w:szCs w:val="20"/>
          <w:color w:val="auto"/>
        </w:rPr>
      </w:pPr>
    </w:p>
    <w:p>
      <w:pPr>
        <w:jc w:val="both"/>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Drug Quality and Security Act (“DQSA”) amended the FDCA to grant the Food and Drug Administration (“FDA”) authority to regulate the manufacturing of compounded pharmaceutical drugs. The Company materially complies with the PCAB Accreditation Standards for Sterile and Non-Sterile Pharmacy Compounding and pursues accreditation from quality associations. The Company believes it complies in all material respects with all applicable requirements of a non-outsourcing-facility pharmacy.</w:t>
      </w:r>
    </w:p>
    <w:p>
      <w:pPr>
        <w:spacing w:after="0" w:line="13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FDA also regulates certain medical devices, such as infusion pumps that the Company uses to provide its services. In recent years, the FDA has increased its oversight of infusion pumps, resulting in additional requirements around patient education and adverse event reporting. The Company believes it complies in all material respects with all applicable requirements and that its employees have the level of proficiency required to use these devices and provide training to its patients.</w:t>
      </w:r>
    </w:p>
    <w:p>
      <w:pPr>
        <w:spacing w:after="0" w:line="13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Anti-Kickback Statute</w:t>
      </w:r>
      <w:r>
        <w:rPr>
          <w:rFonts w:ascii="Times New Roman" w:cs="Times New Roman" w:eastAsia="Times New Roman" w:hAnsi="Times New Roman"/>
          <w:sz w:val="18"/>
          <w:szCs w:val="18"/>
          <w:color w:val="auto"/>
        </w:rPr>
        <w:t>. The federal Anti-Kickback Statute prohibits individuals and entities from knowingly and willfully paying, offering, receiving,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soliciting money or anything else of value in order to induce the referral of patients or to induce a person to purchase, lease, order, arrange for, or recommend services or goods covered by Medicare, Medicaid, or other government healthcare programs. The Anti-Kickback Statute is broad and potentially covers many standard business arrangements. A number of states also have statutes and regulations that prohibit the same general types of conduct as those prohibited by the Anti-Kickback Statute described above. Violations can lead to significant criminal or civil penalties, including imprisonment. The Office of the Inspector General (“OIG”) could also seek Civil Monetary Penalties (“CMP”) or exclusion against individuals or entities who knowingly and willfully: (1) offer or pay remuneration, directly or indirectly, to induce referrals of government healthcare program business; or (2) solicit or receive remuneration, directly or indirectly, in return for referrals of government healthcare program business. The OIG of the U.S. Department of Health and Human Services (“HHS”) has published clarifying regulations that identify a limited number of safe harbors from criminal enforcement or civil administrative actions. The Company attempts to structure its business relationships to materially comply with these statutes and to satisfy an applicable safe harbor, where applicable. However, in situations where a business relationship does not fully satisfy the elements of a safe harbor, or where no safe harbor exists, the Company attempts to satisfy as many elements of an applicable or equivalent safe harbor as possible.</w:t>
      </w:r>
    </w:p>
    <w:p>
      <w:pPr>
        <w:spacing w:after="0" w:line="16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False Claims Act</w:t>
      </w:r>
      <w:r>
        <w:rPr>
          <w:rFonts w:ascii="Times New Roman" w:cs="Times New Roman" w:eastAsia="Times New Roman" w:hAnsi="Times New Roman"/>
          <w:sz w:val="18"/>
          <w:szCs w:val="18"/>
          <w:color w:val="auto"/>
        </w:rPr>
        <w:t>. The Company is subject to state and federal laws that govern the submission of claims for reimbursement. These laws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an individual or entity from knowingly and willfully presenting a claim or causing a claim to be presented for payment from a federal healthcare program that is false or fraudulent. The standard for “knowing and willful” may include conduct that amounts to a reckless disregard for the accuracy of information presented to payers. Penalties under these statutes include substantial civil and criminal fines, exclusion from the Medicare or Medicaid programs and imprisonment. One of the most prominent of these laws is the federal False Claims Act, which may be enforced by the federal government directly or by a private plaintiff by filing a whistleblower lawsuit on the government’s behalf. Under the False Claims Act, the government and private plaintiffs, if any, may recover monetary penalties in the amount of $14,308 to $28,619 per false claim, as well as an amount equal to three times the amount of damages sustained by the government as a result of the false claim. A number of states, including states in which the Company operates, have adopted their own false claims statutes as well as statutes that allow individuals to bring whistleblower actions. The Company believes that it has procedures in place to ensure the material accuracy of its claims.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Ethics in Patient Referrals Law (“Stark Law”)</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Stark Law exempts certain business relationships that meet its exception requirements. However, unlike the Anti-Kickback Statute under which an activity may fall outside a safe harbor and still be lawful, a referral for certain Designated Health Services (“DHS”) that does not fall within an exception is strictly prohibited by the Stark Law. In addition to the Stark Law, many of the states in which the Company operates have comparable restrictions on the ability of physicians to refer patients for certain services to entities with which the Company has a financial relationship. Certain of these state statutes mirror the Stark Law while others may be more restrictive. The Company attempts to structure all of its business relationships with physicians to comply with the Stark Law and any applicable state self-referral laws.</w:t>
      </w:r>
    </w:p>
    <w:p>
      <w:pPr>
        <w:spacing w:after="0" w:line="16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federal Stark Law generally prohibits a physician from making referrals for certain DHS, reimbursable by Medicare or Medicaid, to entities with which the physician or an immediate family member has a financial relationship, unless an exception applies. A financial relationship is generally defined as an ownership, investment or compensation relationship. DHS includes outpatient pharmaceuticals, parenteral and enteral nutrition products, home health services, durable medical equipment, physical and occupational therapy services, and inpatient and outpatient hospital services. Among other sanctions, a CMP may be imposed for each bill or claim for a service a person knows or should know is for a service for which payment may not be made due to the Stark Law. Such persons or entities are also subject to exclusion from the Medicare and Medicaid programs. Any person or entity participating in a circumvention scheme to avoid the referral prohibitions is liable for CMPs, and additional fines may be imposed for failure to comply with reporting requirements regarding an entity’s ownership, investment and compensation arrangements for each day for which reporting is required to have been made under the Stark Law.</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Company’s mission is to transform healthcare by providing innovative services that improve outcomes, reduce costs and deliver hope for patients and their families. The values we embody support each of our team members as they deliver life-changing, extraordinary care.</w:t>
      </w:r>
    </w:p>
    <w:p>
      <w:pPr>
        <w:spacing w:after="0" w:line="13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employed 6,528 persons on a full-time basis and 1,738 persons on a part-time basis. The majority of its part-time employees are clinicians due to the nature and timing of the services the Company provides.</w:t>
      </w:r>
    </w:p>
    <w:p>
      <w:pPr>
        <w:spacing w:after="0" w:line="121"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Attracting and retaining a highly skilled and diverse team to deliver extraordinary care is a top priority. The Company’s strategy includes four distinct areas to empower our people so that they remain focused on providing extraordinary care that changes lives:</w:t>
      </w:r>
    </w:p>
    <w:p>
      <w:pPr>
        <w:spacing w:after="0" w:line="117" w:lineRule="exact"/>
        <w:rPr>
          <w:sz w:val="20"/>
          <w:szCs w:val="20"/>
          <w:color w:val="auto"/>
        </w:rPr>
      </w:pPr>
    </w:p>
    <w:p>
      <w:pPr>
        <w:ind w:left="660" w:right="120" w:hanging="328"/>
        <w:spacing w:after="0" w:line="262" w:lineRule="auto"/>
        <w:tabs>
          <w:tab w:leader="none" w:pos="65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Talent Development. </w:t>
      </w:r>
      <w:r>
        <w:rPr>
          <w:rFonts w:ascii="Times New Roman" w:cs="Times New Roman" w:eastAsia="Times New Roman" w:hAnsi="Times New Roman"/>
          <w:sz w:val="18"/>
          <w:szCs w:val="18"/>
          <w:color w:val="auto"/>
        </w:rPr>
        <w:t>The Company strives to empower our team members by giving them the tools and resources to strengthen and expand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knowledge and skills and advance their careers through training, leadership development programs, continuing functional education and other professional development opportunities. The Company also focuses on performance management, 360 degree feedback, and succession planning through calibration assessments on each team leader’s potential, performance and readiness for advancement.</w:t>
      </w:r>
    </w:p>
    <w:p>
      <w:pPr>
        <w:spacing w:after="0" w:line="149" w:lineRule="exact"/>
        <w:rPr>
          <w:rFonts w:ascii="Times New Roman" w:cs="Times New Roman" w:eastAsia="Times New Roman" w:hAnsi="Times New Roman"/>
          <w:sz w:val="18"/>
          <w:szCs w:val="18"/>
          <w:b w:val="1"/>
          <w:bCs w:val="1"/>
          <w:color w:val="auto"/>
        </w:rPr>
      </w:pPr>
    </w:p>
    <w:p>
      <w:pPr>
        <w:ind w:left="660" w:right="40" w:hanging="328"/>
        <w:spacing w:after="0" w:line="259"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Employee Engagement. </w:t>
      </w:r>
      <w:r>
        <w:rPr>
          <w:rFonts w:ascii="Times New Roman" w:cs="Times New Roman" w:eastAsia="Times New Roman" w:hAnsi="Times New Roman"/>
          <w:sz w:val="18"/>
          <w:szCs w:val="18"/>
          <w:color w:val="auto"/>
        </w:rPr>
        <w:t>The Company believes that highly engaged team members deliver a better patient experience. The foundation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engagement strategy is a culture that connects our team members to our mission and values while promoting a sense of community, while also aligning behind business priorities. Our approach to employee engagement is to cultivate our culture and build relationships across geographically distributed team members. The Company promotes employee engagement with engagement surveys, an internal social media platform, quarterly and annual peer recognition programs, and company newsletters.</w:t>
      </w:r>
    </w:p>
    <w:p>
      <w:pPr>
        <w:spacing w:after="0" w:line="138" w:lineRule="exact"/>
        <w:rPr>
          <w:rFonts w:ascii="Times New Roman" w:cs="Times New Roman" w:eastAsia="Times New Roman" w:hAnsi="Times New Roman"/>
          <w:sz w:val="18"/>
          <w:szCs w:val="18"/>
          <w:b w:val="1"/>
          <w:bCs w:val="1"/>
          <w:i w:val="1"/>
          <w:iCs w:val="1"/>
          <w:color w:val="auto"/>
        </w:rPr>
      </w:pPr>
    </w:p>
    <w:p>
      <w:pPr>
        <w:ind w:left="660" w:right="120" w:hanging="328"/>
        <w:spacing w:after="0" w:line="268" w:lineRule="auto"/>
        <w:tabs>
          <w:tab w:leader="none" w:pos="655"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Health and Well-being. </w:t>
      </w:r>
      <w:r>
        <w:rPr>
          <w:rFonts w:ascii="Times New Roman" w:cs="Times New Roman" w:eastAsia="Times New Roman" w:hAnsi="Times New Roman"/>
          <w:sz w:val="18"/>
          <w:szCs w:val="18"/>
          <w:color w:val="auto"/>
        </w:rPr>
        <w:t>The Company provides a holistic range of resources and programs to our team members to address each person’s unique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needs, including physical, mental and financial health and well-being with programs to support healthy lifestyles, specialized programs to help manage chronic conditions, behavioral health education, coaching, and counseling, and financial wellness resources.</w:t>
      </w:r>
    </w:p>
    <w:p>
      <w:pPr>
        <w:spacing w:after="0" w:line="130" w:lineRule="exact"/>
        <w:rPr>
          <w:rFonts w:ascii="Times New Roman" w:cs="Times New Roman" w:eastAsia="Times New Roman" w:hAnsi="Times New Roman"/>
          <w:sz w:val="18"/>
          <w:szCs w:val="18"/>
          <w:b w:val="1"/>
          <w:bCs w:val="1"/>
          <w:i w:val="1"/>
          <w:iCs w:val="1"/>
          <w:color w:val="auto"/>
        </w:rPr>
      </w:pPr>
    </w:p>
    <w:p>
      <w:pPr>
        <w:ind w:left="660" w:right="40" w:hanging="328"/>
        <w:spacing w:after="0" w:line="26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Inclusion and Belonging. </w:t>
      </w:r>
      <w:r>
        <w:rPr>
          <w:rFonts w:ascii="Times New Roman" w:cs="Times New Roman" w:eastAsia="Times New Roman" w:hAnsi="Times New Roman"/>
          <w:sz w:val="18"/>
          <w:szCs w:val="18"/>
          <w:color w:val="auto"/>
        </w:rPr>
        <w:t>The Company believes that a workforce with a variety of backgrounds, experiences, and viewpoints makes us stronger,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innovative and better able to serve our patients. The Company strives to foster an inclusive workplace where team members feel valued, respected, and empowered to contribute their unique perspectives. We assess the effectiveness of our inclusion efforts through qualitative and quantitative insights, ensuring that our workplace supports the development and success of all team members.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Company relies on its ability to attract and retain nursing staff, pharmacists and other professionals who possess the skills, experience and licenses necessary to meet the requirements of their job responsibilities. The Company’s ability to attract and retain personnel depends on several factors, including the ability to provide them with engaging assignments and competitive salaries and benefits. The Company is committed to fostering a workplace where team members feel valued and supported through initiatives focused on professional development, employee engagement, and overall well-being.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corporate headquarters is located at 3000 Lakeside Drive, Suite 300N, Bannockburn, IL 60015. The Company maintains a website at www.optioncarehealth.com. The information contained on its website is not incorporated by reference into this Annual Report and should not be considered part of this Annual Report. The Company’s Annual Reports on Form 10-K, Quarterly Reports on Form 10-Q, Current Reports on Form 8-K, and Proxy Statements are available through its website at https://investors.optioncarehealth.com, free of charge, as soon as reasonably practicable after they are filed with or furnished to the SEC.</w:t>
      </w:r>
    </w:p>
    <w:p>
      <w:pPr>
        <w:spacing w:after="0" w:line="14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Investors should carefully consider the following Company-specific and general risk factors.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Company-Specific Risk Factors</w:t>
      </w:r>
    </w:p>
    <w:p>
      <w:pPr>
        <w:spacing w:after="0" w:line="185"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and profitability could decline if the pharmaceutical industry undergoes certain changes, including limiting or discontinuing research, development, production and marketing of the pharmaceuticals that are compatible with the services we provide.</w:t>
      </w:r>
    </w:p>
    <w:p>
      <w:pPr>
        <w:spacing w:after="0" w:line="11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business is highly dependent on the ability of pharmaceutical manufacturers to develop, supply and market pharmaceuticals that are compatible with the services we provide. Our revenue and profitability will decline if those companies were to sell pharmaceuticals directly to the public, fail to support existing pharmaceuticals or develop new pharmaceuticals with different administration requirements than our service offerings are currently equipped to handle. Our business could also be harmed if the pharmaceutical industry experiences any supply shortages, pharmaceutical recalls, changes in the FDA approval processes, or changes to how pharmaceutical manufacturers finance, promote or sell pharmaceutical products. The Company has experienced drug and supply shortages and has leveraged its relationships with direct manufacturers and distributors to ensure consistent supply and cost-effective procurement. A reduction in the supply of and market for pharmaceuticals that are compatible with the services we provide may have a material adverse effect on our financial condition and results of operations.</w:t>
      </w:r>
    </w:p>
    <w:p>
      <w:pPr>
        <w:spacing w:after="0" w:line="161" w:lineRule="exact"/>
        <w:rPr>
          <w:sz w:val="20"/>
          <w:szCs w:val="20"/>
          <w:color w:val="auto"/>
        </w:rPr>
      </w:pPr>
    </w:p>
    <w:p>
      <w:pPr>
        <w:ind w:right="3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relationships with managed care organizations (“MCOs”) and other non-governmental third-party payers, we could lose access to a significant number of patients and our revenue and profitability could decline.</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are highly dependent on reimbursement from MCOs, government programs such as Medicare and Medicaid and commercial insurers (collectively, “Third-Party Payers”). For the year ended December 31, 2025, 88% of our revenue came from MCOs and other non-governmental payers, including Medicare Advantage plans, Managed Medicaid plans, pharmacy benefit managers (“PBMs”), and self-pay patients. Many payers seek to limit the number of providers that supply pharmaceuticals to their enrollees in order to build volume that justifies their discounted pricing. From time to time, payers with whom we have relationships require that we bid against our competitors to keep their business. As a result of this bidding process, we may not be retained, and even if we are retained, the prices at which we are able to retain the business may be reduced. The loss of a payer relationship could significantly reduce the number of patients we serve and have a material adverse effect on our revenue and net income, and a reduction in pricing could reduce our gross margins and net income.</w:t>
      </w:r>
    </w:p>
    <w:p>
      <w:pPr>
        <w:spacing w:after="0" w:line="147"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competition from established and vertically integrated healthcare providers, coupled with industry consolidation and cost pressures, may limit our ability to grow revenue, maintain pricing, secure favorable contracts, and access critical pharmaceutical products.</w:t>
      </w:r>
    </w:p>
    <w:p>
      <w:pPr>
        <w:spacing w:after="0" w:line="13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healthcare industry is highly competitive. We compete directly with national, regional and local healthcare providers. There are many other companies and individuals currently providing healthcare services that we provide, many of which have been in business longer and/or have substantially more resources. Other companies could enter the healthcare industry in the future and divert some or all of our business. We expect to continue to encounter competition in the future that could limit our ability to grow revenue and/or maintain acceptable pricing levels.</w:t>
      </w:r>
    </w:p>
    <w:p>
      <w:pPr>
        <w:spacing w:after="0" w:line="139"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Some of our competitors have vertically integrated business models with commercial payers or are under common control with, or owned by, pharmaceutical wholesalers and distributors, MCOs, PBMs or retail pharmacy chains and may be better positioned with respect to the cost-effective distribution of pharmaceuticals. In addition, some of our competitors may have secured long-term supply or distribution arrangements for prescription pharmaceuticals necessary to treat certain chronic disease states on price terms substantially more favorable than the terms currently available to us. Consequently, we may be less price competitive than some of our competitors with respect to certain pharmaceutical products.</w:t>
      </w:r>
    </w:p>
    <w:p>
      <w:pPr>
        <w:spacing w:after="0" w:line="14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Accountable Care Organizations (“ACOs”) and other clinical integration models may result in lower reimbursement rates. Some of our competitors may negotiate exclusivity provisions with managed care plans or otherwise interfere with the ability of MCOs to contract with us. Increasing consolidation in the payer and supplier industries, including vertical integration efforts among insurers, providers, and suppliers, and cost-reduction strategies by large employer groups and their affiliates may limit our ability to negotiate favorable terms and conditions in our contracts and otherwise intensify competitive pressure. In addition, our competitive position could be adversely affected by any inability to obtain access to new biotech pharmaceutical products.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relationships with existing patient referral sources, our business and consolidated financial condition, results of operations, and cash flows could be materially adversely affected.</w:t>
      </w:r>
    </w:p>
    <w:p>
      <w:pPr>
        <w:spacing w:after="0" w:line="11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Our success depends on referrals from physicians, hospitals, and other sources in the communities we serve and on our ability to maintain good relationships with existing referral sources. Our referral sources are not contractually obligated to refer patients to us and may refer their patients to other providers. Our growth and profitability depend, in part, on our ability to establish and maintain close working relationships with these patient referral sources and to increase awareness and acceptance of the benefits of home infusion by our referral sources and their patients. Our loss of, or failure to maintain, existing relationships or our failure to develop new referral relationships could have a material adverse effect on our business and consolidated financial condition, results of operations, and cash flows.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industry pricing benchmarks could adversely affect our financial performance.</w:t>
      </w:r>
    </w:p>
    <w:p>
      <w:pPr>
        <w:spacing w:after="0" w:line="18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Contracts and fee schedules for prescription drug reimbursement, including our contracts with commercial payers, PBMs, and Medicaid programs, generally use certain published benchmarks to establish pricing. These benchmarks include Average Wholesale Price (“AWP”), Wholesale Acquisition price (“WAC”), Average Selling Price (“ASP”), among others. Future changes to the use of AWP, WAC, ASP or other public pricing benchmarks used to establish drug pricing, including changes in reimbursement calculations by federal and state healthcare programs, could impact our reimbursement and our ability to negotiate rebates and/or discounts with drug manufacturers and wholesalers.</w:t>
      </w:r>
    </w:p>
    <w:p>
      <w:pPr>
        <w:spacing w:after="0" w:line="139"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relationships with pharmaceutical manufacturers, including changes in drug availability or pricing, could adversely affect our business and financial results.</w:t>
      </w:r>
    </w:p>
    <w:p>
      <w:pPr>
        <w:spacing w:after="0" w:line="132"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We have contractual relationships with pharmaceutical manufacturers to purchase the pharmaceuticals that we dispense. In order to have access to these pharmaceuticals, and to be able to participate in the launch of new pharmaceuticals, we must maintain a good working relationship with these manufacturers. Most of the manufacturers of the pharmaceuticals we sell have the right to cancel their supply contracts with us without cause and after giving only minimal notice. Any changes to these relationships, including, but not limited to, the loss of a manufacturer relationship, drug shortages or changes in pricing, could have an adverse effect on our business and financial results.</w:t>
      </w:r>
    </w:p>
    <w:p>
      <w:pPr>
        <w:spacing w:after="0" w:line="14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Some pharmaceutical manufacturers attempt to limit the number of preferred distributors that may market certain of their pharmaceutical products. We cannot provide assurance that we will be selected and retained as a preferred distributor or that we can remain a preferred distributor to market these products. Although we believe we can effectively meet our suppliers’ requirements, we cannot provide assurance that we will be able to compete effectively with other providers to retain our position as a distributor of each of our core products. Our failure to retain our position as a distributor of each of our core products could have a material adverse effect on our financial condition and results of operations.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disruption in pharmaceutical and medical supply could adversely impact our business.</w:t>
      </w:r>
    </w:p>
    <w:p>
      <w:pPr>
        <w:spacing w:after="0" w:line="20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approximately 68% of our pharmaceutical and medical supply purchases were from four vendors. Most of the pharmaceuticals that we purchase are available from multiple distributors, and we believe they are available in sufficient quantities to meet our needs and the needs of our patients. We keep safety stock to ensure continuity of service for reasonable, but limited, periods of time. Should a supply disruption result in our inability to obtain especially high margin drugs and compound components necessary for patient care, our consolidated financial statements could be negatively impacted.</w:t>
      </w:r>
    </w:p>
    <w:p>
      <w:pPr>
        <w:spacing w:after="0" w:line="143"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In addition, there is currently significant uncertainty with respect to trade policies, treaties, tariffs and customs duties and taxes. If tariffs, trade restrictions or trade barriers are expanded, increased or interpreted by a court or governmental agency to apply to more of our products, then our exposure to future taxes and duties on such imported products and components could be significant and could have a material effect on our financial results.</w:t>
      </w:r>
    </w:p>
    <w:p>
      <w:pPr>
        <w:spacing w:after="0" w:line="113"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shortage of qualified registered nursing staff, pharmacists and other professionals could adversely affect our ability to attract, train and retain qualified personnel and could increase operating costs.</w:t>
      </w:r>
    </w:p>
    <w:p>
      <w:pPr>
        <w:spacing w:after="0" w:line="132"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business relies on our ability to attract, train and retain nursing staff, pharmacists and other professionals who possess the skills, experience and licenses necessary to meet the requirements of their job responsibilities. From time to time, and particularly in recent years, there have been shortages of nursing staff, pharmacists and other professionals in certain local and regional markets. As a result, we are often required to compete for personnel with other healthcare systems and our competitors. Our ability to attract, train and retain personnel depends on several factors, including our ability to provide them with engaging assignments and competitive salaries and benefits. We may not be successful in any of these areas.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where labor shortages arise in markets in which we operate, we have faced higher costs to attract personnel and we have had to provide them with more attractive benefit packages than originally anticipated or are being paid in other markets where such shortages do not exist at the time. In either case, such circumstances cause operating costs to increase and our profitability to decline. Finally, if we expand our operations into geographic areas where healthcare providers historically have unionized or unionization occurs in our existing geographic areas, negotiating collective bargaining agreements may have a negative effect on our ability to timely and successfully recruit qualified personnel and on our financial results. If we are unable to attract, train and retain nursing staff, pharmacists and other professionals, the quality of our services may decline and we could lose patients and referral sources, which could have a material adverse effect on our business and consolidated financial condition, results of operations and cash flows.</w:t>
      </w:r>
    </w:p>
    <w:p>
      <w:pPr>
        <w:spacing w:after="0" w:line="144" w:lineRule="exact"/>
        <w:rPr>
          <w:sz w:val="20"/>
          <w:szCs w:val="20"/>
          <w:color w:val="auto"/>
        </w:rPr>
      </w:pPr>
    </w:p>
    <w:p>
      <w:pPr>
        <w:ind w:right="6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Introduction of new drugs, accelerated adoption of existing lower margin drugs or withdrawal of existing drugs could adversely affect our revenues and profitability when prescribers prescribe these drugs for their patients or they are mandated by Third-Party Payers.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pharmaceutical industry pipeline of new drugs includes many drugs that over the long term may replace older, more expensive therapies. As a result of such older drugs losing patent protection and being replaced by generic substitutes, new and less expensive delivery methods (such as when an infusion or injectable drug is replaced with an oral drug) or additional products that are added to a therapeutic class, increase price competition among competing manufacturers’ products in that therapeutic category. In such cases, manufacturers have the ability to increase drug acquisition costs or lower the selling price of replaced products. These actions could negatively impact our revenues and/or profitability.</w:t>
      </w:r>
    </w:p>
    <w:p>
      <w:pPr>
        <w:spacing w:after="0" w:line="139" w:lineRule="exact"/>
        <w:rPr>
          <w:sz w:val="20"/>
          <w:szCs w:val="20"/>
          <w:color w:val="auto"/>
        </w:rPr>
      </w:pPr>
    </w:p>
    <w:p>
      <w:pPr>
        <w:ind w:right="3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if we fail to effectively adopt and integrate evolving technologies such as artificial intelligence (“AI”), attract and retain necessary technical talent, or adapt to competitive, technological, or structural changes in the healthcare products and services industry, any of which could impair our ability to attract and retain clients and maintain our competitive position.</w:t>
      </w:r>
    </w:p>
    <w:p>
      <w:pPr>
        <w:spacing w:after="0" w:line="134"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operate in a highly competitive environment. We develop new services from time to time to assist our clients. If we are unsuccessful in developing innovative services, our ability to attract new clients and retain existing clients may suffer.</w:t>
      </w:r>
    </w:p>
    <w:p>
      <w:pPr>
        <w:spacing w:after="0" w:line="13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Technology, including the ability to capture and report outcomes, is also an important component of our business as we continue to utilize new and better channels to communicate and interact with our clients, members and business partners. If we fail to successfully integrate AI into our platform and business processes, or if we fail to keep pace with rapidly evolving AI technological developments, including attracting and retaining talented AI developers and programmers, we may face a competitive disadvantage.</w:t>
      </w:r>
    </w:p>
    <w:p>
      <w:pPr>
        <w:spacing w:after="0" w:line="135" w:lineRule="exact"/>
        <w:rPr>
          <w:sz w:val="20"/>
          <w:szCs w:val="20"/>
          <w:color w:val="auto"/>
        </w:rPr>
      </w:pPr>
    </w:p>
    <w:p>
      <w:pPr>
        <w:ind w:right="7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future business conditions could cause business investments and/or recorded goodwill to become impaired, and our results of operations could suffer if there is an impairment of goodwill.</w:t>
      </w:r>
    </w:p>
    <w:p>
      <w:pPr>
        <w:spacing w:after="0" w:line="11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acquisitions resulted in significant goodwill reported on our financial statements. Goodwill results when the purchase price exceeds the fair value of the identifiable tangible and intangible assets and liabilities acquired. We may not realize the full value of this goodwill. As such, we evaluate on at least an annual basis whether events and circumstances indicate that all or some of the carrying value of goodwill is no longer recoverable, in which case we would recognize the unrecoverable goodwill as a charge against our earnings. The Company completes its goodwill impairment test annually in the fourth quarter on a qualitative basis. If the fair value is more likely than not less than the carrying value, a quantitative assessment will be performed. When evaluating goodwill for potential impairment on a quantitative basis, we compare the fair value of our reporting units to their respective carrying amounts. We estimate the fair value of our reporting units using the income approach. If the carrying amount of a reporting unit exceeds its estimated fair value, a goodwill impairment loss is recognized in an amount equal to the excess to the extent of the goodwill balance. The income approach requires us to estimate a number of factors for our reporting units, including projected future operating results, economic projections, anticipated future cash flows, and discount rates. The fair value determined using the income approach is then compared to marketplace fair value data from within a comparable industry grouping for reasonableness. Because of the significance of our goodwill, any future impairment could result in material non-cash charges to our results of operations, which could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or noncompliance with, governmental regulations and other legal requirements could have a material adverse effect on our reputation and profitability.</w:t>
      </w:r>
    </w:p>
    <w:p>
      <w:pPr>
        <w:spacing w:after="0" w:line="118"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We operate in complex, highly regulated environments and could be materially and adversely affected by changes to applicable legal requirements including related interpretations and enforcement practices, new legal requirements and/or any failure to comply with applicable regulations. Our home infusion and alternate site infusion businesses are subject to numerous federal, state and local regulations including licensing and other requirements for pharmacies and reimbursement arrangements.</w:t>
      </w:r>
    </w:p>
    <w:p>
      <w:pPr>
        <w:spacing w:after="0" w:line="15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federal and state statutes and regulations to which we are subject include, but are not limited to, laws requiring the registration and regulation of pharmacies; laws governing the dispensing of pharmaceuticals and controlled substances; laws regulating the protection of the environment and health and safety matters, including those governing exposure to, and the management and disposal of, hazardous substances; laws regarding food and drug safety, including those of the FDA and the DEA; applicable governmental payer regulations, including those applicable to Medicare and Medicaid; data privacy and security laws, including HIPAA and its associated regulations; federal and state fraud and abuse laws, including, but not limited to, the Anti-Kickback Statute and false claims laws; trade regulations, including those of the U.S. Federal Trade Commission (“FTC”), the U.S. Foreign Corrupt Practices Act (the “FCPA”) and similar anti-corruption laws in connection with the services provided by certain of our contractors; and consumer protection and safety laws, including those of the Consumer Product Safety Commission.</w:t>
      </w:r>
    </w:p>
    <w:p>
      <w:pPr>
        <w:spacing w:after="0" w:line="15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required to hold valid DEA and state-level licenses, meet various security and operating standards and comply with federal and various state controlled substance acts and related regulations governing the sale, dispensing, disposal, holding and distribution of controlled substances. The DEA, the FDA and state regulatory authorities have broad enforcement powers, including the ability to seize or recall products and impose significant criminal, civil and administrative sanctions for violations of these laws and regulations.</w:t>
      </w:r>
    </w:p>
    <w:p>
      <w:pPr>
        <w:spacing w:after="0" w:line="13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use, disclose and otherwise process personally identifiable information, including health information, making us subject to HIPAA and other federal and state privacy and security regulations, and failure to comply with those regulations or to adequately secure the information we hold could result in significant liability or reputational harm and, in turn, could have a material adverse effect on our patient base and revenue.</w:t>
      </w:r>
    </w:p>
    <w:p>
      <w:pPr>
        <w:spacing w:after="0" w:line="1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are also governed by federal and state laws of general applicability, including laws regulating matters of working conditions, health and safety and equal employment opportunity and other labor and employment matters as well as employee benefits, competition, antitrust, taxation and escheatment matters. Material violations of any such laws could have a material adverse effect on our patient base and revenue. In addition, we could have significant exposure if we are found to have infringed another party’s intellectual property rights.</w:t>
      </w:r>
    </w:p>
    <w:p>
      <w:pPr>
        <w:spacing w:after="0" w:line="13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Changes in laws, regulations and policies and the related interpretations and enforcement practices may alter the landscape in which we do business and may significantly affect our cost of doing business, the impact of which generally cannot be predicted. Such changes may require extensive system and operational changes, be difficult to implement, increase our operating costs and require significant capital expenditures. Ultimately, our noncompliance with applicable laws and regulations could result in the imposition of civil and criminal penalties that could adversely affect the continued operation of our business, including: suspension of payments from government programs; loss of required government certifications; loss of authorizations to participate in or exclusion from government programs, including the Medicare and Medicaid programs; loss of licenses; and significant fines or monetary penalties. Any failure to comply with applicable regulatory requirements could result in significant legal and financial exposure, damage our reputation, and have a material adverse effect on our business operations,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Federal actions and legislation could reduce reimbursement rates from governmental payers and adversely affect our results of operations.</w:t>
      </w:r>
    </w:p>
    <w:p>
      <w:pPr>
        <w:spacing w:after="0" w:line="189" w:lineRule="exact"/>
        <w:rPr>
          <w:sz w:val="20"/>
          <w:szCs w:val="20"/>
          <w:color w:val="auto"/>
        </w:rPr>
      </w:pPr>
    </w:p>
    <w:p>
      <w:pPr>
        <w:ind w:right="140" w:firstLine="324"/>
        <w:spacing w:after="0" w:line="253" w:lineRule="auto"/>
        <w:rPr>
          <w:sz w:val="20"/>
          <w:szCs w:val="20"/>
          <w:color w:val="auto"/>
        </w:rPr>
      </w:pPr>
      <w:r>
        <w:rPr>
          <w:rFonts w:ascii="Times New Roman" w:cs="Times New Roman" w:eastAsia="Times New Roman" w:hAnsi="Times New Roman"/>
          <w:sz w:val="18"/>
          <w:szCs w:val="18"/>
          <w:color w:val="auto"/>
        </w:rPr>
        <w:t>In recent years, Congress has passed legislation reducing payments to healthcare providers. The Budget Control Act of 2011, as amended, requires automatic spending reductions to reduce the federal deficit, including Medicare spending reductions of up to 2% per fiscal year that extend through 2027. CMS began imposing a 2% reduction on Medicare claims on April 1, 2013. The Affordable Care Act provides for material reductions in the growth of Medicare program spending. The 21st Century Cures Act (the “Cures Act”) significantly reduced the amount paid by Medicare for drug costs, while delaying the implementation of a clinical services payment, although Congress also passed a temporary transitional service payment that took effect January 1, 2019. In addition, from time to time, CMS revises the reimbursement systems used to reimburse healthcare providers, which may result in reduced Medicare payments. Most recently, the Inflation Reduction Act of 2022 (the “IRA”) granted CMS the authority to negotiate drug prices under Medicare Part D. In August 2024, CMS announced the results of its first round of drug price negotiations, which included a 66% reduction from 2023 list price for one therapy in our portfolio effective January 2026. The direct and indirect impact IRA-mandated price negotiations and future CMS determinations is expected to negatively impact our results of operations.</w:t>
      </w:r>
    </w:p>
    <w:p>
      <w:pPr>
        <w:spacing w:after="0" w:line="16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12% of our revenue was derived from reimbursement by direct federal and state programs such as Medicare and Medicaid. Reimbursement from these and other government programs is subject to statutory and regulatory requirements, administrative rulings, interpretations of policy, implementation of reimbursement procedures, retroactive payment adjustments, governmental funding restrictions and changes to or new legislation, all of which may materially affect the amount and timing of reimbursement payments to us. Changes to the way Medicare pays for our services, including mandatory payment reductions, such as sequestration, may reduce our revenue and profitability on services provided to Medicare patients and increase our working capital requirements. In addition, we are sensitive to possible changes in state Medicaid programs.</w:t>
      </w:r>
    </w:p>
    <w:p>
      <w:pPr>
        <w:spacing w:after="0" w:line="14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Because most states must operate with balanced budgets and because the Medicaid program is often a state’s largest program, some states have enacted or may consider enacting legislation designed to reduce their Medicaid expenditures. Further, many states have taken steps to reduce coverage and/or enroll Medicaid recipients in managed care programs. The current economic environment has increased the budgetary pressures on many states, and these budgetary pressures have resulted, and will likely continue to result, in decreased spending, or decreased spending growth, for Medicaid programs and the Children’s Health Insurance Program in many states.</w:t>
      </w:r>
    </w:p>
    <w:p>
      <w:pPr>
        <w:spacing w:after="0" w:line="14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some cases, Third-Party Payers rely on all or portions of Medicare payment systems to determine payment rates. Changes to government healthcare programs that reduce payments under these programs may negatively impact payments from Third-Party Payers. Current or future healthcare reform and deficit reduction efforts, changes in other laws or regulations affecting government healthcare programs, changes in the administration of government healthcare programs and changes in payment rates by Third-Party Payers could have a material, adverse effect on our financial position and results of operations.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Delays in reimbursement may adversely affect our liquidity, cash flows and results of operations.</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reimbursement process for the services we provide is complex, resulting in delays between the time we bill for a service and receipt of payment that can be significant. Reimbursement and procedural issues often require us to resubmit claims multiple times and respond to multiple administrative requests before payment is remitted. The collection of accounts receivable is challenging and requires constant focus and involvement by management and ongoing enhancements to information systems and billing center operating procedures. While management believes that our controls and processes are satisfactory, there can be no assurance that collections of accounts receivable will continue at historical rates. The risks associated with third-party payers and the inability to collect outstanding accounts receivable could have a material adverse effect on our liquidity,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Ongoing reimbursement rate reductions, pricing pressures from Third-Party Payers and managed care payers, and increasing payer consolidation could significantly impact revenue, reduce profitability, and concentrate financial dependence on a few large payers.</w:t>
      </w:r>
    </w:p>
    <w:p>
      <w:pPr>
        <w:spacing w:after="0" w:line="11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Competition to provide healthcare services, efforts by traditional Third-Party Payers to contain or reduce healthcare costs, and the increasing influence of managed care payers such as HMOs, have resulted in reduced rates of reimbursement for home infusion and specialty pharmacy services. Changes in reimbursement policies of governmental Third-Party Payers, including policies relating to Medicare, Medicaid and other federal and state funded programs, could reduce the amounts reimbursed to our customers for our products and, in turn, the amount these customers would be willing to pay for our products and services, or could directly reduce the amounts payable to us by such payers. Pricing pressures by Third-Party Payers may continue, and these trends may adversely affect our business.</w:t>
      </w:r>
    </w:p>
    <w:p>
      <w:pPr>
        <w:spacing w:after="0" w:line="16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Also, continued growth in managed care plans has pressured healthcare providers to find ways of becoming more cost competitive. MCOs have grown substantially in terms of the percentage of the population they cover and in terms of the portion of the healthcare economy they control. MCOs have continued to consolidate to enhance their ability to influence the delivery of healthcare services and to exert pressure to control healthcare costs. A rapid concentration of revenue derived from individual managed care payers could harm our business.</w:t>
      </w:r>
    </w:p>
    <w:p>
      <w:pPr>
        <w:spacing w:after="0" w:line="135"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periodic reviews and billing audits by governmental and private payers, which could result in adverse findings that may negatively impact our business.</w:t>
      </w:r>
    </w:p>
    <w:p>
      <w:pPr>
        <w:spacing w:after="0" w:line="11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our participation in the Medicare and Medicaid programs, we are subject to various governmental reviews and audits to verify our compliance with these programs and applicable laws and regulations. We also are subject to audits under various government programs in which third-party firms engaged by CMS conduct extensive reviews of claims data and medical and other records to identify potential improper payments under the Medicare program. Third-Party Payers may also conduct audits. Disputes with payers can arise from these reviews. Payers can claim that payments based on certain billing practices or billing errors were made incorrectly. If billing errors are identified in the sample of reviewed claims, the billing error can be extrapolated to all claims filed, which could result in a larger overpayment than originally identified in the sample of reviewed claims. Our costs to respond to and defend claims, reviews and audits may be significant and could have a material adverse effect on our business and financial condition, results of operations and cash flows. Moreover, an adverse claim, review or audit could result in:</w:t>
      </w:r>
    </w:p>
    <w:p>
      <w:pPr>
        <w:spacing w:after="0" w:line="16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refunding or retroactive adjustment of amounts we have been paid by governmental payers or Third-Party Payers;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federal agencies imposing fines, penalties and other sanctions on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exclusion from the Medicare program, state programs, or one or more third-party payer networks;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and reputation in various markets.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results could have a material adverse effect on our business and financial condition, results of operations and cash flows.</w:t>
      </w:r>
    </w:p>
    <w:p>
      <w:pPr>
        <w:spacing w:after="0" w:line="181"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pharmacies fail to comply with the conditions of participation in the Medicare program, that pharmacy could be terminated from Medicare, which could adversely affect our consolidated financial statements.</w:t>
      </w:r>
    </w:p>
    <w:p>
      <w:pPr>
        <w:spacing w:after="0" w:line="13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pharmacies must comply with the extensive conditions of participation in the Medicare program. If a pharmacy fails to meet any of the Medicare supplier standards, that pharmacy could be terminated from the Medicare program. We respond in the ordinary course to deficiency notices issued by surveyors, and none of our pharmacies has ever been terminated from the Medicare program for failure to comply with the Medicare supplier standards. Any termination of one or more of our pharmacies from the Medicare program for failure to satisfy the Medicare supplier standards could adversely affect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changes, increased scrutiny, or reclassification of our compounding practices as an FDA-regulated outsourcing facility could lead to costly compliance requirements, operational disruptions, and reputational harm.</w:t>
      </w:r>
    </w:p>
    <w:p>
      <w:pPr>
        <w:spacing w:after="0" w:line="118"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color w:val="auto"/>
        </w:rPr>
        <w:t>The operations of compounding pharmacies are regulated by federal and state governmental agencies. We believe that our compounding is performed in safe environments, and we have clinically appropriate policies and procedures in place. We do not believe that our current compounding practices qualify us as an outsourcing facility because we only compound pursuant to a patient-specific prescription and do so in compliance with the applicable United States Pharmacopeia, Chapter 797 (“USP 797”) standards and applicable state pharmacy laws. Should state regulators or the FDA disagree, or should our business practices change to qualify us as an outsourcing facility, there is risk of regulatory action and/or increased resources required to comply with federal requirements imposed pursuant to the Drug Quality &amp; Security Act (“DQSA”) on outsourcing facilities that could significantly increase our costs or otherwise affect our results of operations. Furthermore, we cannot predict the overall impact of increased scrutiny on compounding pharmacies.</w:t>
      </w:r>
    </w:p>
    <w:p>
      <w:pPr>
        <w:spacing w:after="0" w:line="144"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The DQSA amended the FDCA to grant the FDA additional authority to regulate and monitor the manufacturing of compounded pharmaceutical drugs. In 2013, Congress passed the DQSA, which creates a new category of compounding facilities called outsourcing facilities that are regulated by the FDA. The Company complies with all federal and state regulations, as well as all PCAB Accreditation Standards for Sterile and Non-Sterile Pharmacy Compounding, and pursues accreditation from quality associations. The Company believes it complies in all material respects with all applicable requirements of a non-outsourcing-facility pharmacy, as outlined in Section 503A of the FDCA. In addition, the Company believes it complies in all material respects with the Drug Supply Chain Security Act (“DSCSA”), which includes an electronic, interoperable system to identify and trace certain prescription drugs as they are distributed in the United States. These regulatory measures, future DSCSA regulatory measures and the potential for increased DSCSA enforcement by the FDA could increase pharmacy costs. Noncompliance with these regulations could have an adverse impact on our reputation and profitability.</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existing indebtedness could adversely affect our business and growth prospects.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had $1,176.3 million of outstanding borrowings, including (i) $676.3 million under our First Lien Term Loan (as defined herein) and (ii) $500.0 million under our 4.375% Senior Unsecured Notes due 2029 (the “Senior Notes”). All obligations under the First Lien Term Loan are secured by first-priority perfected security interests in substantially all of our assets and the assets of our subsidiaries, subject to permitted liens and other exceptions. Our indebtedness, or any additional indebtedness we may incur, could require us to divert funds identified for other purposes for debt service and impair our liquidity position.</w:t>
      </w:r>
    </w:p>
    <w:p>
      <w:pPr>
        <w:spacing w:after="0" w:line="156" w:lineRule="exact"/>
        <w:rPr>
          <w:sz w:val="20"/>
          <w:szCs w:val="20"/>
          <w:color w:val="auto"/>
        </w:rPr>
      </w:pPr>
    </w:p>
    <w:p>
      <w:pPr>
        <w:ind w:right="660" w:firstLine="324"/>
        <w:spacing w:after="0" w:line="282" w:lineRule="auto"/>
        <w:rPr>
          <w:sz w:val="20"/>
          <w:szCs w:val="20"/>
          <w:color w:val="auto"/>
        </w:rPr>
      </w:pPr>
      <w:r>
        <w:rPr>
          <w:rFonts w:ascii="Times New Roman" w:cs="Times New Roman" w:eastAsia="Times New Roman" w:hAnsi="Times New Roman"/>
          <w:sz w:val="18"/>
          <w:szCs w:val="18"/>
          <w:color w:val="auto"/>
        </w:rPr>
        <w:t>Our indebtedness, the cash flow needed to satisfy our debt and the covenants contained in our credit agreements and indenture have important consequences, including but not limited to:</w:t>
      </w:r>
    </w:p>
    <w:p>
      <w:pPr>
        <w:spacing w:after="0" w:line="121" w:lineRule="exact"/>
        <w:rPr>
          <w:sz w:val="20"/>
          <w:szCs w:val="20"/>
          <w:color w:val="auto"/>
        </w:rPr>
      </w:pPr>
    </w:p>
    <w:p>
      <w:pPr>
        <w:ind w:left="660" w:right="4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funds otherwise available for financing our capital expenditures by requiring us to dedicate a portion of our cash flows from operations to the repayment of debt and the interest on this debt;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incur additional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capitalize on significant business opportunities;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rising interest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in the event of a downturn in our business.</w:t>
      </w:r>
    </w:p>
    <w:p>
      <w:pPr>
        <w:spacing w:after="0" w:line="16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Fluctuations in interest rates can increase borrowing costs. Increases in interest rates may directly impact the amount of interest we are required to pay, as our First Lien Term Loan has an applicable interest rate of Term SOFR plus 1.75%, and reduce earnings accordingly. In addition, developments in tax policy, such as the disallowance of tax deductions for interest paid on outstanding indebtedness, could have an adverse effect on our liquidity and our business, financial condition and results of operations. Further, our credit agreements and indenture contain customary affirmative and negative covenants and certain restrictions on operations that could impose operating and financial limitations and restrictions on us, including restrictions on our ability to enter into particular transactions and to engage in other actions that we may believe are advisable or necessary for our business. Our First Lien Term Loan is also subject to mandatory prepayments in certain circumstances and requires a prepayment of a certain percentage of our excess cash flow. This excess cash flow payment, and future required prepayments, will reduce our cash available for investment in our business.</w:t>
      </w:r>
    </w:p>
    <w:p>
      <w:pPr>
        <w:spacing w:after="0" w:line="165" w:lineRule="exact"/>
        <w:rPr>
          <w:sz w:val="20"/>
          <w:szCs w:val="20"/>
          <w:color w:val="auto"/>
        </w:rPr>
      </w:pPr>
    </w:p>
    <w:p>
      <w:pPr>
        <w:ind w:right="600" w:firstLine="324"/>
        <w:spacing w:after="0" w:line="266" w:lineRule="auto"/>
        <w:rPr>
          <w:sz w:val="20"/>
          <w:szCs w:val="20"/>
          <w:color w:val="auto"/>
        </w:rPr>
      </w:pPr>
      <w:r>
        <w:rPr>
          <w:rFonts w:ascii="Times New Roman" w:cs="Times New Roman" w:eastAsia="Times New Roman" w:hAnsi="Times New Roman"/>
          <w:sz w:val="18"/>
          <w:szCs w:val="18"/>
          <w:color w:val="auto"/>
        </w:rPr>
        <w:t>We expect to use cash flow from operations to meet current and future financial obligations, including funding our operations, debt service requirements and capital expenditures. The ability to make these payments depends on our financial and operating performance, which is subject to prevailing economic, industry and competitive conditions and to certain financial, business, economic and other factors beyond our control.</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debt, which could increase the risks associated with our leverage.</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may incur additional indebtedness, including additional secured indebtedness, in the future, in connection with future acquisitions, strategic investments and strategic relationships. Although the financing documents governing our indebtedness contain covenants and restrictions on the incurrence of additional debt, these restrictions are subject to a number of qualifications and exceptions and, under certain circumstances, debt incurred in compliance with these restrictions, including secured debt, could be substantial. Adding additional debt to current debt levels could exacerbate the leverage-related risks described above.</w:t>
      </w:r>
    </w:p>
    <w:p>
      <w:pPr>
        <w:spacing w:after="0" w:line="152" w:lineRule="exact"/>
        <w:rPr>
          <w:sz w:val="20"/>
          <w:szCs w:val="20"/>
          <w:color w:val="auto"/>
        </w:rPr>
      </w:pPr>
    </w:p>
    <w:p>
      <w:pPr>
        <w:ind w:right="6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service all of our indebtedness and may be forced to take other actions to satisfy our obligations under such indebtedness, which may not be successful.</w:t>
      </w:r>
    </w:p>
    <w:p>
      <w:pPr>
        <w:spacing w:after="0" w:line="11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We may not be able to maintain a sufficient level of cash flow from operating activities to permit us to pay the principal, premium, if any, and interest on our indebtedness. Any failure to make payments of interest and principal on our outstanding indebtedness on a timely basis would likely result in a reduction of our credit rating, which would also harm our ability to incur additional indebtedness.</w:t>
      </w:r>
    </w:p>
    <w:p>
      <w:pPr>
        <w:spacing w:after="0" w:line="13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may be required to reduce or delay capital expenditures, sell assets, seek additional capital or seek to restructure or refinance our indebtedness. Any refinancing of our indebtedness could be at higher interest rates and may require us to comply with more onerous covenants. These alternative measures may not be successful and may not permit us to meet our scheduled debt service obligations. In the absence of such cash flow and resources, we could face liquidity problems and might be required to sell material assets or operations to attempt to meet our debt service obligations. The financing documents governing our First Lien Term Loan, Revolver Facility (as defined herein) and our Senior Notes restrict our ability to conduct asset sales and/or use the proceeds from asset sales. We may not be able to consummate these asset sales to raise capital or sell assets at prices and on terms that we believe are fair and any proceeds that we do receive may not be adequate to meet any debt service obligations then due. If we cannot meet our debt service obligations, the holders of our indebtedness may accelerate such indebtedness and, to the extent such indebtedness is secured, foreclose on our assets. In such an event, we may not have sufficient assets to repay all of our indebtedness.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Relating to Our Common Stock</w:t>
      </w:r>
    </w:p>
    <w:p>
      <w:pPr>
        <w:spacing w:after="0" w:line="18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corporate governance documents could make an acquisition of us more difficult and may prevent attempts by our stockholders to replace or remove our current management, even if it is beneficial to our stockholders.</w:t>
      </w:r>
    </w:p>
    <w:p>
      <w:pPr>
        <w:spacing w:after="0" w:line="13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could make it more difficult for a third party to acquire us, even if doing so might be beneficial to our stockholders. Among other things, these provisions:</w:t>
      </w:r>
    </w:p>
    <w:p>
      <w:pPr>
        <w:spacing w:after="0" w:line="121" w:lineRule="exact"/>
        <w:rPr>
          <w:sz w:val="20"/>
          <w:szCs w:val="20"/>
          <w:color w:val="auto"/>
        </w:rPr>
      </w:pPr>
    </w:p>
    <w:p>
      <w:pPr>
        <w:jc w:val="both"/>
        <w:ind w:left="660" w:right="18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 and which could depress the price of our common stock;</w:t>
      </w:r>
    </w:p>
    <w:p>
      <w:pPr>
        <w:spacing w:after="0" w:line="1"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with or without cause only by the affirmative vote of holders of at least 66 2∕3% of the voting power of all the then-outstanding shares of our stock entitled to vote thereon, voting together as a single class;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and</w:t>
      </w:r>
    </w:p>
    <w:p>
      <w:pPr>
        <w:spacing w:after="0" w:line="9" w:lineRule="exact"/>
        <w:rPr>
          <w:rFonts w:ascii="Times New Roman" w:cs="Times New Roman" w:eastAsia="Times New Roman" w:hAnsi="Times New Roman"/>
          <w:sz w:val="18"/>
          <w:szCs w:val="18"/>
          <w:color w:val="auto"/>
        </w:rPr>
      </w:pPr>
    </w:p>
    <w:p>
      <w:pPr>
        <w:jc w:val="both"/>
        <w:ind w:left="660" w:right="48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amendment, alteration, rescission or repeal of our bylaws or certificate of incorporation by our stockholders will require the affirmative vote of the holders of at least 66 2∕3% of the voting power of all the then-outstanding shares of our stock entitled to vote thereon, voting together as a single class.</w:t>
      </w:r>
    </w:p>
    <w:p>
      <w:pPr>
        <w:spacing w:after="0" w:line="14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certificate of incorporation, bylaws and Delaware law could make it more difficult for shareholders or potential acquirers to obtain control of our Board of Directors or initiate actions that are opposed by our then-current Board, including delaying or impeding a merger, tender offer or proxy contest involving the Company. The existence of these provisions could negatively affect the price of our common stock and limit opportunities to realize value in a corporate transaction.</w:t>
      </w:r>
    </w:p>
    <w:p>
      <w:pPr>
        <w:spacing w:after="0" w:line="153"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Moreover, Section 203 of the Delaware General Corporation Law (“DGCL”) may discourage, delay, or prevent a change of control of the Company. Section 203 of the DGCL imposes certain restrictions on mergers, business combinations, and other transactions between us and holders of 15% or more of our common stock.</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1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employees and stockholders to us or our stockholders, (iii) any action asserting a claim against us arising pursuant to any provision of the DGCL or as to which the DGCL confers jurisdiction on the Court of Chancery of the State of Delaware, our amended and restated certificate of incorporation or our bylaws or (iv)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Exchange Act or any other claim for which the federal courts have exclusive jurisdiction. Our amended and restated certificate of incorporation will further provide that any person or entity purchasing or otherwise acquiring any interest in shares of our capital stock is deemed to have notice of and consented to the provisions of our amended and restated certificate of incorporation described above. The forum selection clause in our amended and restated certificate of incorporation may have the effect of discouraging lawsuits against us or our directors and officers and may limit our stockholders’ ability to obtain a favorable judicial forum for disputes with us.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guarantee that our stock repurchase program will enhance long-term stockholder value.</w:t>
      </w:r>
    </w:p>
    <w:p>
      <w:pPr>
        <w:spacing w:after="0" w:line="18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January 2026, the Company’s Board of Directors approved an increase to its 2025 share repurchase program authorization from $500 million to $1 billion. The repurchase program does not have an expiration date, and we are not obligated to repurchase a specified number or dollar value of shares, on any particular timetable or at all. There can be no assurance that we will repurchase stock at favorable prices. The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Pending and future litigation could subject us to significant monetary damages and/or require us to change our business practices.</w:t>
      </w:r>
    </w:p>
    <w:p>
      <w:pPr>
        <w:spacing w:after="0" w:line="202"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employ pharmacists, dietitians, nurses and other healthcare professionals. We are subject to liability for negligent acts, omissions, or injuries occurring at any of our clinics or caused by any of our employees. We are subject to risks relating to asserted claims, litigation, and other proceedings in connection with our operations. We are facing, or may face, claims or become a party to a variety of legal actions that affect our business, including breach of contract actions, employment and employment discrimination-related suits, employee benefit claims, stockholder suits and other securities laws claims, and tort claims. Due to the nature of our business, we, through our employees and caregivers who provide services on our behalf, may be the subject of medical malpractice claims. A court could find these individuals should be considered our agents, and as a result, we could be held liable for their acts or omissions.</w:t>
      </w:r>
    </w:p>
    <w:p>
      <w:pPr>
        <w:spacing w:after="0" w:line="14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may incur substantial expenses in defending such claims or litigation, regardless of merit, and such claims or litigation could result in a significant diversion of the efforts of our management personnel. Successful claims against us may result in monetary liability or a material disruption in the conduct of our business. Similarly, if we settle such legal proceedings, it may affect how we operate our business. See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consolidated financial statements included in Item 8 of this Annual Report for a description of material proceedings pending against the Company. We believe that these proceedings are without merit and, to the extent they are not already concluded, we intend to contest them vigorously. However, an adverse outcome in one or more of these proceedings may have a material adverse effect on our consolidated results of operations, consolidated financial position, and/or consolidated cash flow from operations, or may require us to make material changes to our business practices.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liability claims for damages and other expenses that are not covered by insurance.</w:t>
      </w:r>
    </w:p>
    <w:p>
      <w:pPr>
        <w:spacing w:after="0" w:line="20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As a result of operating in the home infusion industry, our business is subject to inherent risk of claims, losses and potential lawsuits alleging medical professional liability incidents involving our employees that are likely to occur in a patient’s home or alternate site. We maintain professional liability insurance to provide coverage to us and our subsidiaries against these risks. A successful professional liability claim in excess of our insurance coverage could harm our consolidated financial statements. Various aspects of our business may subject us to litigation and liability for damages. For example, a prescription drug dispensing error could result in a patient receiving the wrong amount of medication, which could lead to personal injury or death. Our business and consolidated financial statements could suffer if we pay damages or defense costs in connection with a claim that is outside the scope of any applicable contractual indemnity or insurance coverage.</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coverage also includes property and business interruption liability, cyber liability, clinical trials liability, crime liability, auto liability, intercompany transit liability, workers’ compensation, employers’ liability, executive liability policies (employment practices liability, fiduciary liability, directors’ and officers’ liability), umbrella/excess liability, storage tank liability and general liability with varying limits. We cannot assure that the insurance we maintain will satisfy claims made against us or that insurance coverage will continue to be available to us at commercially reasonable rates, in adequate amounts or on satisfactory terms or at all. Claims made against us will be subject to the terms, conditions and exclusions of the insurance policies we maintain. Any claims made against us, regardless of their merit or eventual outcome, could damage our reputation and business.</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Pressures relating to downturns in the economy could adversely affect our business and consolidated financial statements.</w:t>
      </w:r>
    </w:p>
    <w:p>
      <w:pPr>
        <w:spacing w:after="0" w:line="20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Medicare and other federal and state payers account for a portion of our revenues. During economic downturns and periods of stagnant or slow economic growth, federal and state budgets are typically negatively affected, resulting in reduced reimbursements or delayed payments by the federal and state government healthcare coverage programs in which we participate, including Medicare, Medicaid, and other federal or state assistance plans. Government programs could also slow or temporarily suspend payments, negatively impacting our cash flow and increasing our working capital needs and interest payments. We have seen, and believe we will continue to see, Medicare and state Medicaid programs institute measures aimed at controlling spending growth, including reductions in reimbursement rates.</w:t>
      </w:r>
    </w:p>
    <w:p>
      <w:pPr>
        <w:spacing w:after="0" w:line="14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Higher unemployment rates and significant employment layoffs and downsizings may lead to lower numbers of patients enrolled in employer-provided plans. Adverse economic conditions could also cause employers to stop offering, or limit, healthcare coverage, or modify program designs, shifting more costs to the individual and exposing us to greater credit risk from patients or the discontinuance of therapy.</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General levels of inflation and specific inflationary pressures may impact areas such as labor, transportation and medical supplies and may persist due to events outside of our control, for example, potential pandemic events, supply chain disruptions, and the broader macroeconomic environment. The rise of inflation may adversely impact our business operations, financial condition and results of operations.</w:t>
      </w:r>
    </w:p>
    <w:p>
      <w:pPr>
        <w:spacing w:after="0" w:line="131" w:lineRule="exact"/>
        <w:rPr>
          <w:sz w:val="20"/>
          <w:szCs w:val="20"/>
          <w:color w:val="auto"/>
        </w:rPr>
      </w:pPr>
    </w:p>
    <w:p>
      <w:pPr>
        <w:ind w:right="70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Pursuing acquisitions or strategic investments and alliances may expose us to integration challenges, valuation uncertainties, operational disruptions, and potential financial losses if these investments fail to deliver expected benefits.</w:t>
      </w:r>
    </w:p>
    <w:p>
      <w:pPr>
        <w:spacing w:after="0" w:line="13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may pursue acquisitions or strategic investments in, or alliances with, businesses and technologies. Acquisitions may entail numerous risks, including difficulties in assessing values for acquired businesses, intangible assets and technologies, difficulties in the assimilation of acquired operations and products, diversion of management’s attention from other business concerns, assumption of unknown material liabilities of acquired companies, amortization of acquired intangible assets that could reduce future reported earnings, and potential loss of clients or key employees of acquired companies. We may not be able to successfully integrate the operations, personnel, services or products that we have acquired or may acquire in the future. Strategic investments may also entail some of the risks described above. If these investments are unsuccessful, we may need to incur charges against earnings.</w:t>
      </w:r>
    </w:p>
    <w:p>
      <w:pPr>
        <w:spacing w:after="0" w:line="14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may also pursue a number of strategic relationships. These relationships may be important to our business and growth prospects. However, we may not be able to maintain these relationships or develop new strategic alliances.</w:t>
      </w:r>
    </w:p>
    <w:p>
      <w:pPr>
        <w:spacing w:after="0" w:line="117"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upon our information systems. A cyber-attack, security breach or our inability to effectively integrate, manage and keep our information systems secure and operational could disrupt our operations.</w:t>
      </w:r>
    </w:p>
    <w:p>
      <w:pPr>
        <w:spacing w:after="0" w:line="13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Cybersecurity refers to the combination of technologies, processes and procedures established to protect information technology systems and data from unauthorized access, attack, or damage as well as the development of a company culture of security and data protection. The Company relies on its information systems to provide security for processing, transmitting, and storing confidential information about patients, customers, and personnel, such as names, addresses and other individually identifiable information protected by HIPAA and other privacy laws. Cybersecurity risks could compromise our information and expose us to liability, which may harm our ability to operate effectively and may cause harm to our business and reputation. Cyber incidents can result from deliberate attacks or unintentional events. The regulatory environment surrounding information security and privacy is increasingly demanding, with the frequent imposition of new and changing requirements. Compliance with changes in privacy and information security laws and with rapidly evolving industry standards may result in the Company incurring significant expense due to increased investment in technology and the development of new operational processes.</w:t>
      </w:r>
    </w:p>
    <w:p>
      <w:pPr>
        <w:spacing w:after="0" w:line="14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experience interruptions, delays and outages in service and availability from time to time, including infrastructure changes, human or software errors, upgrade disruptions and capacity constraints. We have not experienced any material known attacks on our information technology systems that compromised any confidential information. We maintain our information technology systems with safeguards against cyber-attacks including intrusion prevention and detection, firewalls and continuous monitoring of our environment for viruses and malware. In addition, we provide our employees with extensive training on best ways to protect our patient information, including, among others, avoiding phishing emails and sharing access to sensitive information on a need-only basis. However, these safeguards do not ensure that a significant cyber-attack could not occur. Although we have taken steps to protect the security of our information technology systems and the data maintained in those systems, it is possible that our safety and security measures will not prevent the systems’ improper functioning or damage or the improper access or disclosure of personal health information or personally identifiable information such as in the event of a cyber-attack or employee error or misuse of the system.</w:t>
      </w:r>
    </w:p>
    <w:p>
      <w:pPr>
        <w:spacing w:after="0" w:line="14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Security breaches, including physical or electronic break-ins, computer viruses, attacks by hackers and similar breaches can create system disruptions or shutdowns or the unauthorized use or disclosure of confidential information. If personally identifiable information or protected health information is improperly accessed, tampered with or disclosed as a result of a security breach, we may incur significant costs to notify, and mitigate potential harm to the affected individuals. We may be subject to sanctions and civil or criminal penalties if we are found to be in violation of the privacy or security rules under HIPAA or other federal or state laws protecting confidential personal information. In addition, a security breach of our information technology systems could damage our reputation, subject us to liability claims or regulatory penalties for compromised personal information and could have a materially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third-party hosting services exposes us to potential security breaches, service disruptions, and pricing changes that could negatively impact operations and financial performance.</w:t>
      </w:r>
    </w:p>
    <w:p>
      <w:pPr>
        <w:spacing w:after="0" w:line="11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information technology infrastructure includes hosting services provided by third parties. While we believe these third parties are high-performing organizations with secure platforms and customary certifications, they could suffer a security breach or business interruption, which in turn could impact our operations negatively.</w:t>
      </w:r>
    </w:p>
    <w:p>
      <w:pPr>
        <w:spacing w:after="0" w:line="145" w:lineRule="exact"/>
        <w:rPr>
          <w:sz w:val="20"/>
          <w:szCs w:val="20"/>
          <w:color w:val="auto"/>
        </w:rPr>
      </w:pPr>
    </w:p>
    <w:p>
      <w:pPr>
        <w:ind w:right="46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use of AI technologies could expose us to significant governance, compliance, and legal liabilities, including evolving regulatory requirements, heightened scrutiny, litigation risk, and substantial compliance costs, that may adversely affect our operations, financial condition, and ability to successfully adopt and deploy AI.</w:t>
      </w:r>
    </w:p>
    <w:p>
      <w:pPr>
        <w:spacing w:after="0" w:line="13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use or offering of AI technologies may result in new or expanded risks and liabilities, including enhanced government or regulatory scrutiny, litigation, compliance issues, ethical concerns, confidentiality, reputational harm and security risks. It is not possible to predict all of the risks related to the use of AI and changes in laws, rules, directives, and regulations governing the use of AI may adversely affect our ability to develop and use AI or subject us to legal liability. The cost of complying with laws and regulations governing AI could be significant and would increase our operating expenses, which could adversely affect our business, financial condition and results of operations. Further, market demand and acceptance of AI technologies are uncertain, and we may be unsuccessful in efforts to further incorporate AI into our processes.</w:t>
      </w:r>
    </w:p>
    <w:p>
      <w:pPr>
        <w:spacing w:after="0" w:line="143"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 over our financial reporting could have an adverse effect on our ability to report our financial results on a timely and accurate basis.</w:t>
      </w:r>
    </w:p>
    <w:p>
      <w:pPr>
        <w:spacing w:after="0" w:line="13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and is required to evaluate the effectiveness of these controls and procedures on a periodic basis and publicly disclose the results of these evaluations and related matters in accordance with the requirements of Section 404 of the Sarbanes-Oxley Act of 2002. Effective internal control over financial reporting is necessary for us to provide reliable financial reports, to help mitigate the risk of fraud and to operate successfully. Any failure to implement and maintain effective internal controls could result in material weaknesses or material misstatements in our consolidated financial statements.</w:t>
      </w:r>
    </w:p>
    <w:p>
      <w:pPr>
        <w:spacing w:after="0" w:line="143"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If we fail to maintain effective internal control over financial reporting, or our independent registered public accounting firm is unable to provide us with an unqualified attestation report on our internal control, we may be required to take corrective measures or restate the affected historical financial statements. In addition, we may be subjected to investigations and/or sanctions by federal and state securities regulators and/or civil lawsuits by security holders. Any of the foregoing could also cause investors to lose confidence in our reported financial information and in us and would likely result in a decline in the market price of our stock and in our ability to raise additional financing if needed in the future.</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Acts of God, such as major weather disturbances or other force majeure events, could disrupt our business.</w:t>
      </w:r>
    </w:p>
    <w:p>
      <w:pPr>
        <w:spacing w:after="0" w:line="20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Acts of God, such as major weather disturbances, natural disasters, or other force majeure events, could disrupt our operations, supply chain, and the services we provide to patients. Our business relies on a network of prescribers, providers, patients and facilities that can be negatively impacted by local weather disturbances and other force majeure events. For example, in anticipation of major weather events, patients with impaired health may be moved to alternate sites. After a major weather event, availability of electricity, clean water and transportation can impact our ability to provide service in patients’ homes. Additionally, such events could impact key suppliers or vendors, disrupting the services or materials they provide to us. In addition, acts of God and other force majeure events may cause a reduction in our business or increased costs, such as increased costs in our operations as we incur overtime charges or redirect services to other locations, delays in our ability to work with payers, hospitals, physicians and other strategic partners on new business initiatives, and disruption to referral patterns as patients are moved out of facilities affected by such events or are unable to return to sites of service in patients’ homes.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8"/>
          <w:szCs w:val="18"/>
          <w:b w:val="1"/>
          <w:bCs w:val="1"/>
          <w:i w:val="1"/>
          <w:iCs w:val="1"/>
          <w:color w:val="auto"/>
        </w:rPr>
        <w:t>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developed and implemented a cybersecurity framework designed to identify, detect, protect, respond to and recover from risks stemming from threats to the security of our information, systems and network using a governance-led risk-based approach. The framework is informed, in part, by the National Institute of Standards and Technology (NIST) Cybersecurity Framework, although this does not necessarily mean that we meet all technical standards, specifications or requirements outlined in the NIST framework. Additionally, we maintain a Systems and Organization Controls (SOC) 2 Type 2 attestation.</w:t>
      </w:r>
    </w:p>
    <w:p>
      <w:pPr>
        <w:spacing w:after="0" w:line="156" w:lineRule="exact"/>
        <w:rPr>
          <w:sz w:val="20"/>
          <w:szCs w:val="20"/>
          <w:color w:val="auto"/>
        </w:rPr>
      </w:pPr>
    </w:p>
    <w:p>
      <w:pPr>
        <w:jc w:val="both"/>
        <w:ind w:right="140" w:firstLine="324"/>
        <w:spacing w:after="0" w:line="289" w:lineRule="auto"/>
        <w:rPr>
          <w:sz w:val="20"/>
          <w:szCs w:val="20"/>
          <w:color w:val="auto"/>
        </w:rPr>
      </w:pPr>
      <w:r>
        <w:rPr>
          <w:rFonts w:ascii="Times New Roman" w:cs="Times New Roman" w:eastAsia="Times New Roman" w:hAnsi="Times New Roman"/>
          <w:sz w:val="17"/>
          <w:szCs w:val="17"/>
          <w:color w:val="auto"/>
        </w:rPr>
        <w:t>Our goal is to maintain an information technology infrastructure that implements physical, administrative, and technical controls and is supplemented by a strong culture of security across the organization. These controls are adjusted based on risk and designed to protect the confidentiality, integrity, and availability of our information systems, including the customer information, personal information, and proprietary information stored on our networks.</w:t>
      </w:r>
    </w:p>
    <w:p>
      <w:pPr>
        <w:spacing w:after="0" w:line="117"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have a cybersecurity incident response plan and dedicated teams to respond to cybersecurity incidents. When a cybersecurity incident occurs, we have cross-functional teams that are responsible for leading the initial assessment of priority and severity. Our information security team assists in taking remedial action in response to an incident, and external experts may also be engaged as appropriate.</w:t>
      </w:r>
    </w:p>
    <w:p>
      <w:pPr>
        <w:spacing w:after="0" w:line="13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overarching approach to cybersecurity risk management centers on governance, people, processes, and technology. We provide security awareness training to help employees understand their role in protecting our information. This includes mandatory annual cybersecurity training and monthly phishing simulations. We also perform periodic internal tabletops or simulation exercises involving technical experts, business and functional leaders, as well as separate exercises with select critical third-party service providers.</w:t>
      </w:r>
    </w:p>
    <w:p>
      <w:pPr>
        <w:spacing w:after="0" w:line="15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We conduct third-party assessments of potential new vendors who process, store or transmit our data. This includes a formal security review which may consist of review of documentation related to a vendor’s security attestations, such as SOC 2 Type 2 or HITRUST certifications.</w:t>
      </w:r>
    </w:p>
    <w:p>
      <w:pPr>
        <w:spacing w:after="0" w:line="121" w:lineRule="exact"/>
        <w:rPr>
          <w:sz w:val="20"/>
          <w:szCs w:val="20"/>
          <w:color w:val="auto"/>
        </w:rPr>
      </w:pPr>
    </w:p>
    <w:p>
      <w:pPr>
        <w:jc w:val="both"/>
        <w:ind w:right="560" w:firstLine="324"/>
        <w:spacing w:after="0" w:line="266" w:lineRule="auto"/>
        <w:rPr>
          <w:sz w:val="20"/>
          <w:szCs w:val="20"/>
          <w:color w:val="auto"/>
        </w:rPr>
      </w:pPr>
      <w:r>
        <w:rPr>
          <w:rFonts w:ascii="Times New Roman" w:cs="Times New Roman" w:eastAsia="Times New Roman" w:hAnsi="Times New Roman"/>
          <w:sz w:val="18"/>
          <w:szCs w:val="18"/>
          <w:color w:val="auto"/>
        </w:rPr>
        <w:t>We leverage third-party auditing companies to assess our cybersecurity program and procedures and reaffirm our NIST CSF Maturity level, our compliance with SOC 2 standards as well as the HIPAA Security Rule. These assessments aid in continual improvement of our program and help us identify and address cybersecurity related risks.</w:t>
      </w:r>
    </w:p>
    <w:p>
      <w:pPr>
        <w:spacing w:after="0" w:line="135" w:lineRule="exact"/>
        <w:rPr>
          <w:sz w:val="20"/>
          <w:szCs w:val="20"/>
          <w:color w:val="auto"/>
        </w:rPr>
      </w:pPr>
    </w:p>
    <w:p>
      <w:pPr>
        <w:jc w:val="both"/>
        <w:ind w:right="200" w:firstLine="324"/>
        <w:spacing w:after="0" w:line="289" w:lineRule="auto"/>
        <w:rPr>
          <w:sz w:val="20"/>
          <w:szCs w:val="20"/>
          <w:color w:val="auto"/>
        </w:rPr>
      </w:pPr>
      <w:r>
        <w:rPr>
          <w:rFonts w:ascii="Times New Roman" w:cs="Times New Roman" w:eastAsia="Times New Roman" w:hAnsi="Times New Roman"/>
          <w:sz w:val="17"/>
          <w:szCs w:val="17"/>
          <w:color w:val="auto"/>
        </w:rPr>
        <w:t>We also consider cybersecurity, along with our other top risks, within our enterprise risk management framework. This framework involves internal reporting at the business and enterprise levels, considering key risk indicators, trends and countermeasures. Our Senior Vice President, Chief Information Security Officer (CISO) serves on the Enterprise Risk Committee that assesses our enterprise-wide risks and oversees risk mitigation activities.</w:t>
      </w:r>
    </w:p>
    <w:p>
      <w:pPr>
        <w:spacing w:after="0" w:line="131"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us or our results of operations, cash flow or financial condition. However, the scope and impact of any future incident, or the identification of new information related to prior cybersecurity incidents, cannot be predicted. See “Item 1A. Risk Factors” for more information about our cybersecurity-related risks.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Quality, Technology and Compliance Committee (“QTCC”) of our Board of Directors provides board-level oversight of cybersecurity risk. As part of its oversight role, the QTCC receives reports about our practices, programs, or notable threats or incidents related to cybersecurity throughout the year, including through periodic updates from our CISO and other leaders. The QTCC provides regular reports to the full Board about these matters and other areas within its responsibility, and the CISO and other leaders provide updates regarding cybersecurity matters to the full Board as appropriate.</w:t>
      </w:r>
    </w:p>
    <w:p>
      <w:pPr>
        <w:spacing w:after="0" w:line="15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CISO reports to our Chief Information Officer and leads our overall cybersecurity function. Our CISO has over 20 years of experience in various security roles, which include managing information security, developing cybersecurity strategy, and implementing cybersecurity programs. Our CISO collaborates with senior leaders and other members of our organization to identify and analyze cybersecurity risks and implement controls as appropriate and feasible to mitigate these risks. The CISO also supervises efforts to prevent, detect, mitigate and remediate cybersecurity risks and incidents through various means, including by collaborating with internal and external stakeholders. Our CISO is supported by a management-led Security Council, which consists of our Chief Executive Officer, Chief Financial Officer and other senior leaders throughout our organization. The Security Council reviews and discusses our cybersecurity program as well as emerging cyber risks, threats, and industry trends, among other topics.</w:t>
      </w:r>
    </w:p>
    <w:p>
      <w:pPr>
        <w:spacing w:after="0" w:line="14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currently lease all of our properties from third parties under various lease terms expiring over periods extending through 2039, in addition to a number of non-material month-to-month leases. Our corporate headquarters is located at 3000 Lakeside Drive, Suite 300N, Bannockburn, IL 60015. Our other properties mainly consist of infusion pharmacies equipped with clean room and compounding capabilities. Some infusion pharmacies are co-located with an ambulatory infusion center where patients receive infusion treatments. As of December 31, 2025, we have 87 pharmacies and 109 stand-alone ambulatory infusion suites that support our infusion services business in 43 states.</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7" w:lineRule="exact"/>
        <w:rPr>
          <w:sz w:val="20"/>
          <w:szCs w:val="20"/>
          <w:color w:val="auto"/>
        </w:rPr>
      </w:pPr>
    </w:p>
    <w:p>
      <w:pPr>
        <w:ind w:right="360" w:firstLine="369"/>
        <w:spacing w:after="0" w:line="284" w:lineRule="auto"/>
        <w:rPr>
          <w:sz w:val="20"/>
          <w:szCs w:val="20"/>
          <w:color w:val="auto"/>
        </w:rPr>
      </w:pPr>
      <w:r>
        <w:rPr>
          <w:rFonts w:ascii="Times New Roman" w:cs="Times New Roman" w:eastAsia="Times New Roman" w:hAnsi="Times New Roman"/>
          <w:sz w:val="18"/>
          <w:szCs w:val="18"/>
          <w:color w:val="auto"/>
        </w:rPr>
        <w:t xml:space="preserve">For a summary of material legal proceedings, if any, refer to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of the consolidated financial statements included in Item 8 of this Annual Report.</w:t>
      </w:r>
    </w:p>
    <w:p>
      <w:pPr>
        <w:spacing w:after="0" w:line="11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Item not applicable.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par value $0.0001 per share, is traded on the Nasdaq Global Select Market under the symbol “OPCH”.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February 19, 2026, there were 66 stockholders of record of our Common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never paid cash dividends on our Common Stock and do not anticipate doing so in the foreseeable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12. “Security Ownership of Certain Beneficial Owners and Management and Related Stockholder Matters”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 and Use of Proceeds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On February 20, 2023, the Company’s Board of Directors authorized a share repurchase program of up to an aggregate $250 million of common stock of the Company. On December 6, 2023, the Company’s Board of Directors approved an increase to its 2023 share repurchase program authorization from $250 million to $500 million. This program was completed in December 2024. On January 10, 2025, the Company’s Board of Directors authorized a new share repurchase program of up to an aggregate $500 million of common stock of the Company. In January 2026, the Board of Directors approved an increase to its 2025 share repurchase program authorization from $500 million to $1 billion.</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the Company’s repurchases of common stock from October 1, 2025 through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00" w:type="dxa"/>
            <w:vAlign w:val="bottom"/>
          </w:tcPr>
          <w:p>
            <w:pPr>
              <w:spacing w:after="0"/>
              <w:rPr>
                <w:sz w:val="16"/>
                <w:szCs w:val="16"/>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Approximate Dollar</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Value of Shares That</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Average Price Paid per</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Purchased as Part of</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60" w:type="dxa"/>
            <w:vAlign w:val="bottom"/>
            <w:gridSpan w:val="2"/>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00" w:type="dxa"/>
            <w:vAlign w:val="bottom"/>
          </w:tcPr>
          <w:p>
            <w:pPr>
              <w:spacing w:after="0"/>
              <w:rPr>
                <w:sz w:val="14"/>
                <w:szCs w:val="14"/>
                <w:color w:val="auto"/>
              </w:rPr>
            </w:pPr>
          </w:p>
        </w:tc>
        <w:tc>
          <w:tcPr>
            <w:tcW w:w="16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80" w:type="dxa"/>
            <w:vAlign w:val="bottom"/>
          </w:tcPr>
          <w:p>
            <w:pPr>
              <w:spacing w:after="0"/>
              <w:rPr>
                <w:sz w:val="18"/>
                <w:szCs w:val="18"/>
                <w:color w:val="auto"/>
              </w:rPr>
            </w:pP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00" w:type="dxa"/>
            <w:vAlign w:val="bottom"/>
          </w:tcPr>
          <w:p>
            <w:pPr>
              <w:spacing w:after="0"/>
              <w:rPr>
                <w:sz w:val="18"/>
                <w:szCs w:val="18"/>
                <w:color w:val="auto"/>
              </w:rPr>
            </w:pPr>
          </w:p>
        </w:tc>
        <w:tc>
          <w:tcPr>
            <w:tcW w:w="16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October 1, 2025 - October 31, 2025</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1,379,417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1,379,417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250,000,941</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November 1, 2025 - November 30,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28.54</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224,678,743</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1, 2025 - December 31,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1,006,795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1,006,795</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192,539,758</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3,273,388</w:t>
            </w:r>
          </w:p>
        </w:tc>
        <w:tc>
          <w:tcPr>
            <w:tcW w:w="120" w:type="dxa"/>
            <w:vAlign w:val="bottom"/>
          </w:tcPr>
          <w:p>
            <w:pPr>
              <w:spacing w:after="0"/>
              <w:rPr>
                <w:sz w:val="17"/>
                <w:szCs w:val="17"/>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3,273,388</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192,539,758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8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total cumulative returns of Option Care Health, the Nasdaq Composite Index and the S&amp;P Health Care Services Select Industry Index for the five-year period from December 31, 2020 through December 31, 2025. The graph shows the performance of a $100 investment in our Common Stock and each index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106045</wp:posOffset>
            </wp:positionV>
            <wp:extent cx="5863590" cy="386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63590"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$100 invested on December 31, 2020 in stock or index, including reinvestment of dividends.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4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 Care Health, Inc.</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203.71</w:t>
            </w:r>
          </w:p>
        </w:tc>
      </w:tr>
      <w:tr>
        <w:trPr>
          <w:trHeight w:val="213"/>
        </w:trPr>
        <w:tc>
          <w:tcPr>
            <w:tcW w:w="4360" w:type="dxa"/>
            <w:vAlign w:val="bottom"/>
          </w:tcPr>
          <w:p>
            <w:pPr>
              <w:spacing w:after="0"/>
              <w:rPr>
                <w:sz w:val="20"/>
                <w:szCs w:val="20"/>
                <w:color w:val="auto"/>
              </w:rPr>
            </w:pPr>
            <w:r>
              <w:rPr>
                <w:rFonts w:ascii="Times New Roman" w:cs="Times New Roman" w:eastAsia="Times New Roman" w:hAnsi="Times New Roman"/>
                <w:sz w:val="16"/>
                <w:szCs w:val="16"/>
                <w:color w:val="auto"/>
              </w:rPr>
              <w:t>Nasdaq Composite Index</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81.21</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116.47</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180.33</w:t>
            </w:r>
          </w:p>
        </w:tc>
      </w:tr>
      <w:tr>
        <w:trPr>
          <w:trHeight w:val="21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S&amp;P Health Care Services Select Industry Index</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109.45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i w:val="1"/>
          <w:iCs w:val="1"/>
          <w:color w:val="auto"/>
        </w:rPr>
        <w:t>Reserved</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02"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is designed to assist the reader in understanding our consolidated financial statements, the changes in certain key items in those financial statements from year-to-year and the primary factors that accounted for those changes as well as how certain accounting principles affect our consolidated financial statements.</w:t>
      </w:r>
    </w:p>
    <w:p>
      <w:pPr>
        <w:spacing w:after="0" w:line="135" w:lineRule="exact"/>
        <w:rPr>
          <w:sz w:val="20"/>
          <w:szCs w:val="20"/>
          <w:color w:val="auto"/>
        </w:rPr>
      </w:pPr>
    </w:p>
    <w:p>
      <w:pPr>
        <w:ind w:right="340" w:firstLine="324"/>
        <w:spacing w:after="0" w:line="258"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following discussion contains forward-looking statements that are subject to known and unknown risks, uncertainties and other factors that may cause our actual results to differ materially from those expressed or implied by such forward-looking statements. We discuss such risks, uncertainties and other factors throughout this Annual Report and specifically under the caption “Forward-Looking Statements” and in Item 1A. “Risk Factors” in this Annual Report. In addition, the following discussion of financial condition and results of operations should be read in conjunction with the consolidated financial statements and notes thereto appearing in Item 8 in this Annual Report.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Option Care Health and its wholly-owned subsidiaries provide infusion therapy and other ancillary healthcare services through a national network of</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196 locations around the United States. Our national footprint enables us to collaborate with health systems and national payers to provide high quality care at an appropriate cost in a comfortable setting. We have established key relationships that allow us access to local resources to ensure responsiveness to our patients’ needs. At the center of everything we do is the patient. This is the driving force behind all of our actions and the partnerships that we have broadly across the healthcare ecosystem.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Results of Operations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results of operations include the accounts of Option Care Health and our subsidiaries for the years ended December 31, 2025 and 2024.</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represents our net revenue less cost of revenue.</w:t>
      </w:r>
    </w:p>
    <w:p>
      <w:pPr>
        <w:spacing w:after="0" w:line="183" w:lineRule="exact"/>
        <w:rPr>
          <w:sz w:val="20"/>
          <w:szCs w:val="20"/>
          <w:color w:val="auto"/>
        </w:rPr>
      </w:pPr>
    </w:p>
    <w:p>
      <w:pPr>
        <w:ind w:right="18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Net Revenue</w:t>
      </w:r>
      <w:r>
        <w:rPr>
          <w:rFonts w:ascii="Times New Roman" w:cs="Times New Roman" w:eastAsia="Times New Roman" w:hAnsi="Times New Roman"/>
          <w:sz w:val="18"/>
          <w:szCs w:val="18"/>
          <w:color w:val="auto"/>
        </w:rPr>
        <w:t>. Infusion and related healthcare services revenue is reported at the estimated net realizable amounts from third-party payers and patients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goods sold and services rendered. When pharmaceuticals are provided to a patient, revenue is recognized upon delivery of the goods. When nursing services are provided, revenue is recognized when the services are rendered.</w:t>
      </w:r>
    </w:p>
    <w:p>
      <w:pPr>
        <w:spacing w:after="0" w:line="148"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7"/>
          <w:szCs w:val="17"/>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 Specifically, the complexity of many third-party billing arrangements and the uncertainty of reimbursement amounts for certain services from certain payers may result in adjustments to amounts originally recorded.</w:t>
      </w:r>
    </w:p>
    <w:p>
      <w:pPr>
        <w:spacing w:after="0" w:line="12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the actual cost of pharmaceuticals and other medical supplies dispensed to patients. In addition to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cost of revenue includes warehousing costs, purchasing costs, depreciation expense relating to revenue-generating assets, such as infusion pumps, shipping and handling costs, and wages and related costs for the pharmacists, nurses, and all other employees and contracted workers directly involved in providing service to the patient.</w:t>
      </w:r>
    </w:p>
    <w:p>
      <w:pPr>
        <w:spacing w:after="0" w:line="141"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receives volume-based rebates and prompt payment discounts from some of its pharmaceutical and medical supplies vendors. These payments are recorded as a reduction of inventory and are accounted for as a reduction of cost of revenue when the related inventory is sold.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87"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consist principally of salaries for administrative employees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directly and indirectly support the operations, occupancy costs, marketing expenditures, insurance, and professional fees.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 </w:t>
      </w:r>
      <w:r>
        <w:rPr>
          <w:rFonts w:ascii="Times New Roman" w:cs="Times New Roman" w:eastAsia="Times New Roman" w:hAnsi="Times New Roman"/>
          <w:sz w:val="18"/>
          <w:szCs w:val="18"/>
          <w:color w:val="auto"/>
        </w:rPr>
        <w:t>Depreciation within this caption relates to property and equipment and amortization relates to intangibles.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of revenue-generating assets, such as infusion pumps, is included in cost of revenue.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consists principally of interest and fee payments on the Company’s outstanding borrowings under the First Lien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Loan, Revolver Facility, Senior Notes, amortization of discount and deferred financing fees, payments associated with the interest rate cap, and interest income earned on cash and cash equivalents. Refer to the “Liquidity and Capital Resources” section below for further discussion of these outstanding borrowings.</w:t>
      </w:r>
    </w:p>
    <w:p>
      <w:pPr>
        <w:spacing w:after="0" w:line="139" w:lineRule="exact"/>
        <w:rPr>
          <w:sz w:val="20"/>
          <w:szCs w:val="20"/>
          <w:color w:val="auto"/>
        </w:rPr>
      </w:pPr>
    </w:p>
    <w:p>
      <w:pPr>
        <w:ind w:right="24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Equity in Earnings of Joint Ventures</w:t>
      </w:r>
      <w:r>
        <w:rPr>
          <w:rFonts w:ascii="Times New Roman" w:cs="Times New Roman" w:eastAsia="Times New Roman" w:hAnsi="Times New Roman"/>
          <w:sz w:val="18"/>
          <w:szCs w:val="18"/>
          <w:color w:val="auto"/>
        </w:rPr>
        <w:t>. Equity in earnings of joint ventures consists of our proportionate share of equity earnings or losses from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 two infusion joint ventures with health systems.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(expense) income primarily includes activity related to non-operating income and expenses.</w:t>
      </w:r>
    </w:p>
    <w:p>
      <w:pPr>
        <w:spacing w:after="0" w:line="185" w:lineRule="exact"/>
        <w:rPr>
          <w:sz w:val="20"/>
          <w:szCs w:val="20"/>
          <w:color w:val="auto"/>
        </w:rPr>
      </w:pPr>
    </w:p>
    <w:p>
      <w:pPr>
        <w:ind w:right="2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The Company is subject to taxation in the United States and various states. The Company’s income tax expense is reflective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federal and state tax rates.</w:t>
      </w:r>
    </w:p>
    <w:p>
      <w:pPr>
        <w:spacing w:after="0" w:line="11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Change in Unrealized (Loss) Gain on Cash Flow Hedge, Net of Income Tax Benefit (Expense)</w:t>
      </w:r>
      <w:r>
        <w:rPr>
          <w:rFonts w:ascii="Times New Roman" w:cs="Times New Roman" w:eastAsia="Times New Roman" w:hAnsi="Times New Roman"/>
          <w:sz w:val="18"/>
          <w:szCs w:val="18"/>
          <w:color w:val="auto"/>
        </w:rPr>
        <w:t>. Change in unrealized (loss) gain on cash flow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of income tax benefit (expense), consists of the (loss) gain associated with the changes in the fair value of derivatives designated as hedging instruments related to the interest rate cap, net of income taxes.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presents Option Care Health’s consolidated results of operations for the years ended December 31, 2025 and 2024 (in thousands, except for percentages). For a discussion of Option Care Health’s consolidated results of operations for the year ended December 31, 2024 compared to the year ended December 31, 2023, refer to Part II, Item 7. “Management’s Discussion and Analysis of Financial Condition and Results of Operations” in our 2024 Annual Report on Form 10-K filed with the Securities and Exchange Commission on February 26,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3"/>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of Revenue</w:t>
            </w:r>
          </w:p>
        </w:tc>
        <w:tc>
          <w:tcPr>
            <w:tcW w:w="0" w:type="dxa"/>
            <w:vAlign w:val="bottom"/>
          </w:tcPr>
          <w:p>
            <w:pPr>
              <w:spacing w:after="0"/>
              <w:rPr>
                <w:sz w:val="1"/>
                <w:szCs w:val="1"/>
                <w:color w:val="auto"/>
              </w:rPr>
            </w:pPr>
          </w:p>
        </w:tc>
      </w:tr>
      <w:tr>
        <w:trPr>
          <w:trHeight w:val="211"/>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5,649,519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4,998,202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4,561,624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80.7 %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3,985,209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79.7 %</w:t>
            </w: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1,087,895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7"/>
        </w:trPr>
        <w:tc>
          <w:tcPr>
            <w:tcW w:w="5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749,989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691,160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0" w:type="dxa"/>
            <w:vAlign w:val="bottom"/>
          </w:tcPr>
          <w:p>
            <w:pPr>
              <w:spacing w:after="0"/>
              <w:rPr>
                <w:sz w:val="1"/>
                <w:szCs w:val="1"/>
                <w:color w:val="auto"/>
              </w:rPr>
            </w:pPr>
          </w:p>
        </w:tc>
      </w:tr>
      <w:tr>
        <w:trPr>
          <w:trHeight w:val="210"/>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0" w:type="dxa"/>
            <w:vAlign w:val="bottom"/>
          </w:tcPr>
          <w:p>
            <w:pPr>
              <w:spacing w:after="0"/>
              <w:rPr>
                <w:sz w:val="1"/>
                <w:szCs w:val="1"/>
                <w:color w:val="auto"/>
              </w:rPr>
            </w:pPr>
          </w:p>
        </w:tc>
      </w:tr>
      <w:tr>
        <w:trPr>
          <w:trHeight w:val="199"/>
        </w:trPr>
        <w:tc>
          <w:tcPr>
            <w:tcW w:w="5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 tax benefit</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3"/>
        </w:trPr>
        <w:tc>
          <w:tcPr>
            <w:tcW w:w="5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(expense) of $2,272 and $1,284, respectively</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5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consolidated comparative results of operations for the years ended December 31, 2025 and 2024:</w:t>
      </w: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5,649,519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4,998,202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651,317</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13.0 %</w:t>
            </w:r>
          </w:p>
        </w:tc>
        <w:tc>
          <w:tcPr>
            <w:tcW w:w="0" w:type="dxa"/>
            <w:vAlign w:val="bottom"/>
          </w:tcPr>
          <w:p>
            <w:pPr>
              <w:spacing w:after="0"/>
              <w:rPr>
                <w:sz w:val="1"/>
                <w:szCs w:val="1"/>
                <w:color w:val="auto"/>
              </w:rPr>
            </w:pPr>
          </w:p>
        </w:tc>
      </w:tr>
      <w:tr>
        <w:trPr>
          <w:trHeight w:val="21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4,561,624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3,985,209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576,415</w:t>
            </w:r>
          </w:p>
        </w:tc>
        <w:tc>
          <w:tcPr>
            <w:tcW w:w="6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1,087,895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1,012,993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74,902</w:t>
            </w:r>
          </w:p>
        </w:tc>
        <w:tc>
          <w:tcPr>
            <w:tcW w:w="6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right="40" w:firstLine="324"/>
        <w:spacing w:after="0" w:line="274" w:lineRule="auto"/>
        <w:rPr>
          <w:sz w:val="20"/>
          <w:szCs w:val="20"/>
          <w:color w:val="auto"/>
        </w:rPr>
      </w:pPr>
      <w:r>
        <w:rPr>
          <w:rFonts w:ascii="Times New Roman" w:cs="Times New Roman" w:eastAsia="Times New Roman" w:hAnsi="Times New Roman"/>
          <w:sz w:val="17"/>
          <w:szCs w:val="17"/>
          <w:color w:val="auto"/>
        </w:rPr>
        <w:t>The increase in net revenue during the year ended December 31, 2025 was primarily driven by organic growth in the Company’s portfolio of therapies, consisting of acute revenue that had mid-teens growth relative to the prior year while chronic revenue grew in the low double-digits. Acute growth was largely driven by the impact of shifts in the competitive landscape, which increased the volume of patient service. The increase in cost of revenue was primarily driven by the growth in revenue and therapy mix. The decrease in gross profit margin was primarily due to mix, including certain higher cost therapies included within chronic growth (including rare and orphan therapies) as well as biosimilar adoption, partially offset by certain mitigation efforts executed in the first quarter of 2025. Management expects these dynamics to negatively impact gross profit by $25 million to $35 million in 2026.</w:t>
      </w:r>
    </w:p>
    <w:p>
      <w:pPr>
        <w:spacing w:after="0" w:line="3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9"/>
        </w:trPr>
        <w:tc>
          <w:tcPr>
            <w:tcW w:w="4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52,200</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8.3 %</w:t>
            </w:r>
          </w:p>
        </w:tc>
      </w:tr>
      <w:tr>
        <w:trPr>
          <w:trHeight w:val="213"/>
        </w:trPr>
        <w:tc>
          <w:tcPr>
            <w:tcW w:w="4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67,538</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6,629</w:t>
            </w:r>
          </w:p>
        </w:tc>
        <w:tc>
          <w:tcPr>
            <w:tcW w:w="66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10.9 %</w:t>
            </w:r>
          </w:p>
        </w:tc>
      </w:tr>
      <w:tr>
        <w:trPr>
          <w:trHeight w:val="237"/>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749,989</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691,160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58,829</w:t>
            </w:r>
          </w:p>
        </w:tc>
        <w:tc>
          <w:tcPr>
            <w:tcW w:w="6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increase in selling, general and administrative expenses during the year ended December 31, 2025 was primarily due to investment in internal resources and other general costs to support both ongoing business needs as well as future business growth. Selling, general and administrative expenses have declined as a percentage of revenue to 12.1% for the year ended December 31, 2025 compared to 12.6% for the year ended December 31, 2024, due to the Company’s focus on leveraging existing infrastructure to control spending. The increase in depreciation and amortization expense was primarily due to the Intramed Plus acquisition. See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of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(5,529)</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11.3 %</w:t>
            </w: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24.2 %</w:t>
            </w: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(12,688)</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9"/>
                <w:szCs w:val="9"/>
                <w:color w:val="auto"/>
              </w:rPr>
              <w:t>(1)</w:t>
            </w:r>
          </w:p>
        </w:tc>
      </w:tr>
      <w:tr>
        <w:trPr>
          <w:trHeight w:val="209"/>
        </w:trPr>
        <w:tc>
          <w:tcPr>
            <w:tcW w:w="4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(55,006)</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(16,772)</w:t>
            </w:r>
          </w:p>
        </w:tc>
        <w:tc>
          <w:tcPr>
            <w:tcW w:w="6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43.9 %</w:t>
            </w:r>
          </w:p>
        </w:tc>
      </w:tr>
      <w:tr>
        <w:trPr>
          <w:trHeight w:val="21"/>
        </w:trPr>
        <w:tc>
          <w:tcPr>
            <w:tcW w:w="4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Not meaningful</w:t>
      </w:r>
    </w:p>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increase in interest expense, net during the year ended December 31, 2025 was primarily attributable to less interest income generated from our cash and cash equivalents due to lower interest rates, partially offset by a decrease in the interest rate on the Company’s First Lien Term Loan, compared to the year ended December 31, 2024. See 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consolidated financial statements for further information.</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change in other, net during the year ended December 31, 2025 was primarily attributable to accruals for an abandoned or unclaimed property voluntary disclosure agreement program related to the pre-merger operations of BioScrip, Inc. (“BioScrip”), which was entered into by BioScrip prior to its merger with the Company in 2019. As of December 31, 2025, the matters related to this program are ongoing. Additionally, the change in other, net was attributable to the $4.7 million loss on extinguishment of debt from the Company’s debt refinancing during the year ended December 31, 2025 with no comparable activity during the year ended December 31, 2024.</w:t>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4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11"/>
        </w:trPr>
        <w:tc>
          <w:tcPr>
            <w:tcW w:w="4780" w:type="dxa"/>
            <w:vAlign w:val="bottom"/>
          </w:tcPr>
          <w:p>
            <w:pPr>
              <w:spacing w:after="0"/>
              <w:rPr>
                <w:sz w:val="18"/>
                <w:szCs w:val="18"/>
                <w:color w:val="auto"/>
              </w:rPr>
            </w:pPr>
          </w:p>
        </w:tc>
        <w:tc>
          <w:tcPr>
            <w:tcW w:w="11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40" w:type="dxa"/>
            <w:vAlign w:val="bottom"/>
            <w:tcBorders>
              <w:bottom w:val="single" w:sz="8" w:color="auto"/>
            </w:tcBorders>
          </w:tcPr>
          <w:p>
            <w:pPr>
              <w:spacing w:after="0"/>
              <w:rPr>
                <w:sz w:val="18"/>
                <w:szCs w:val="18"/>
                <w:color w:val="auto"/>
              </w:rPr>
            </w:pPr>
          </w:p>
        </w:tc>
      </w:tr>
      <w:tr>
        <w:trPr>
          <w:trHeight w:val="249"/>
        </w:trPr>
        <w:tc>
          <w:tcPr>
            <w:tcW w:w="4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1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75,315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3,539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r>
    </w:tbl>
    <w:p>
      <w:pPr>
        <w:spacing w:after="0" w:line="25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income tax expense of $75.3 million and $71.8 million, which represents an effective tax rate of 26.6% and 25.3% for the years ended December 31, 2025 and 2024, respectively. The income tax expense for the year ended December 31, 2025 includes the release of $0.4 million of state valuation allowance, compared to a $2.2 million release in 2024. The variance in the Company’s effective tax rate of 26.6% and 25.3% for the years ended December 31, 2025 and 2024, respectively, compared to the federal statutory rate of 21%, as well as year-over-year changes, was primarily attributable to the inclusion of state taxes in multiple jurisdictions, various non-deductible expenses, and changes in state valuation allowance.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231F20"/>
        </w:rPr>
        <w:t>Net Income and Other Comprehensive (Loss) Income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gridSpan w:val="6"/>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211,823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(4,238)</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w:t>
            </w:r>
          </w:p>
        </w:tc>
        <w:tc>
          <w:tcPr>
            <w:tcW w:w="10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6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76.6 %</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benefit (expense)</w:t>
            </w:r>
          </w:p>
        </w:tc>
        <w:tc>
          <w:tcPr>
            <w:tcW w:w="10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6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76.6 %</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200,644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207,892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(7,248)</w:t>
            </w:r>
          </w:p>
        </w:tc>
        <w:tc>
          <w:tcPr>
            <w:tcW w:w="6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 in net income was attributable to the factors described in the above sections.</w:t>
      </w:r>
    </w:p>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change in unrealized (loss) gain on cash flow hedge, net of income tax benefit (expense) was related to the change in fair market value of the $300.0 million interest rate cap hedge executed in October 2021.</w:t>
      </w:r>
    </w:p>
    <w:p>
      <w:pPr>
        <w:spacing w:after="0" w:line="121"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Net comprehensive income decreased to $200.6 million for the year ended December 31, 2025, compared to net comprehensive income of $207.9 million for the year ended December 31, 2024, primarily as a result of the factors described in the above sections.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the Company’s primary sources of liquidity were cash and cash equivalents of $232.6 million and $412.6 million, respectively. As of December 31, 2025, the Company had $396.0 million of borrowings available under its credit facilities (net of $4.0 million undrawn letters of credit issued and outstanding), described further below. During the years ended December 31, 2025 and 2024, the Company’s positive cash flows from operations have enabled investments in pharmacy, infusion suites, and information technology infrastructure to support growth and create additional capacity in the future, as well as to pursue acquisitions and repurchases of Company shares.</w:t>
      </w:r>
    </w:p>
    <w:p>
      <w:pPr>
        <w:spacing w:after="0" w:line="156" w:lineRule="exact"/>
        <w:rPr>
          <w:sz w:val="20"/>
          <w:szCs w:val="20"/>
          <w:color w:val="auto"/>
        </w:rPr>
      </w:pPr>
    </w:p>
    <w:p>
      <w:pPr>
        <w:ind w:right="40" w:firstLine="324"/>
        <w:spacing w:after="0" w:line="312" w:lineRule="auto"/>
        <w:rPr>
          <w:sz w:val="20"/>
          <w:szCs w:val="20"/>
          <w:color w:val="auto"/>
        </w:rPr>
      </w:pPr>
      <w:r>
        <w:rPr>
          <w:rFonts w:ascii="Times New Roman" w:cs="Times New Roman" w:eastAsia="Times New Roman" w:hAnsi="Times New Roman"/>
          <w:sz w:val="17"/>
          <w:szCs w:val="17"/>
          <w:color w:val="auto"/>
        </w:rPr>
        <w:t>The Company’s primary uses of cash and cash equivalents include supporting our ongoing business activities, internal investment in resources to support future growth, investment in capital expenditures in both facilities and technology, the pursuit of acquisitions, and the pursuit of share repurchases.</w:t>
      </w:r>
    </w:p>
    <w:p>
      <w:pPr>
        <w:spacing w:after="0" w:line="9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Ongoing operating cash outflows are associated with procuring and dispensing drugs, personnel and other costs associated with servicing patients, as well as paying cash interest on outstanding debt and cash taxes. Ongoing investing cash flows are primarily associated with capital projects and business acquisitions, the improvement and maintenance of our pharmacy facilities and investment in our information technology systems. Ongoing financing cash flows are primarily associated with the quarterly principal payments on our outstanding debt, along with potential future share repurchases.</w:t>
      </w:r>
    </w:p>
    <w:p>
      <w:pPr>
        <w:spacing w:after="0" w:line="13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business strategy includes strategic deployment of capital to internal investments in resources, infrastructure, and technologies to support future growth, the pursuit of strategic tuck-in and adjacent acquisitions that complement our existing operations and the pursuit of share repurchases. We continue to evaluate acquisition opportunities and view acquisitions as a key part of our growth strategy. The Company has generally funded its acquisitions with cash and cash equivalents. The Company may require additional capital in excess of current availability in order to complete future acquisitions. It is impossible to predict the amount of capital that may be required for acquisitions, and there is no assurance that sufficient financing for these activities will be available on acceptable terms.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Short-Term and Long-Term Liquidity Requirements</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Company’s ability to make principal and interest payments on any borrowings under our credit facilities and our ability to fund planned capital expenditures will depend on our ability to generate cash and cash equivalents in the future, which to a certain extent, is subject to general economic, financial, competitive, regulatory and other conditions. Based on our current level of operations and planned capital expenditures, we believe that our existing cash and cash equivalents balances, expected cash flows generated from operations, and credit facility will be sufficient to meet our operating requirements over the next 12 months and beyond. We may require additional borrowings under our credit facilities and alternative forms of financings or investments to achieve our longer-term strategic plans.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22, 2025, the Company entered into the fourth amendment (“the Fourth Amendment”) to the amended and restated First Lien Credit Agreement (the “Credit Agreement”) dated as of October 27, 2021. The Fourth Amendment, among other things, (i) refinances the existing term loans with a new class of term loans (the “First Lien Term Loan”), reduces the interest rate on the First Lien Term Loan from Term Secured Overnight Financing Rate (“SOFR”) plus 2.25% to Term SOFR plus 1.75% and extends the maturity date of the First Lien Term Loan to September 22, 2032, (ii) provides for an additional $49.6 million of incremental First Lien Term Loan indebtedness, and (iii) extends the maturity date of the revolving credit commitments under the Credit Agreement (the “Revolver Facility”) to September 22, 2030.</w:t>
      </w:r>
    </w:p>
    <w:p>
      <w:pPr>
        <w:spacing w:after="0" w:line="160"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Under the Fourth Amendment, the principal balance of the First Lien Term Loan is repayable in quarterly installments of $1.7 million plus interest, with a final payment of all remaining outstanding principal due on September 22, 2032. Interest on the First Lien Term Loan is payable monthly on either (i) the SOFR plus an applicable margin of 1.75% for Term SOFR Loans; or (ii) a base rate, plus 0.75% for Base Rate Loans.</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Senior Notes bear interest at a rate of 4.375% per annum, which are payable semi-annually in arrears on October 31 and April 30 of each year, and which began on April 30, 2022. The Senior Notes mature on October 31, 2029.</w:t>
      </w:r>
    </w:p>
    <w:p>
      <w:pPr>
        <w:spacing w:after="0" w:line="121"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The Company’s Revolver Facility provides for borrowings up to $400.0 million pursuant to which such lenders have agreed to make Revolving Credit Loans to the Company. The Revolver Facility matures on the date that is the earlier of (i) September 22, 2030 and (ii) the date that is 91 days prior to the stated maturity date applicable to the Senior Notes to the extent any amount of the Senior Notes remains unpaid and outstanding as of the date that is 91 days prior to the stated maturity date applicable to the Senior Notes. Borrowings under the Revolver Facility will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Fourth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 As of December 31, 2025, the Company had $4.0 million of undrawn letters of credit issued and outstanding, resulting in net borrowing availability under the Revolver Facility of $396.0 million.</w:t>
      </w:r>
    </w:p>
    <w:p>
      <w:pPr>
        <w:spacing w:after="0" w:line="15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payments over the course of long-term debt obligations total an estimated $338.1 million based on final maturity dates of the Company’s credit facilities. Interest payments are calculated based on current rates as of December 31, 2025. Actual payments are based on changes in SOFR and exclude the interest rate cap derivative instrument.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02"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data from Option Care Health’s consolidated statements of cash flows for the years ended December 31, 2025 and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3740" w:type="dxa"/>
            <w:vAlign w:val="bottom"/>
            <w:gridSpan w:val="6"/>
          </w:tcPr>
          <w:p>
            <w:pPr>
              <w:ind w:left="9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1"/>
        </w:trPr>
        <w:tc>
          <w:tcPr>
            <w:tcW w:w="57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249"/>
        </w:trPr>
        <w:tc>
          <w:tcPr>
            <w:tcW w:w="5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258,447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(64,945)</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(161,083)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(124,613)</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(277,305)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(59,099)</w:t>
            </w:r>
          </w:p>
        </w:tc>
      </w:tr>
      <w:tr>
        <w:trPr>
          <w:trHeight w:val="207"/>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0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(179,941)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68,716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(248,657)</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412,565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68,716</w:t>
            </w:r>
          </w:p>
        </w:tc>
      </w:tr>
      <w:tr>
        <w:trPr>
          <w:trHeight w:val="212"/>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232,624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412,565</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(179,941)</w:t>
            </w:r>
          </w:p>
        </w:tc>
      </w:tr>
      <w:tr>
        <w:trPr>
          <w:trHeight w:val="20"/>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change in cash provided by operating activities during the year ended December 31, 2025 was primarily due to increases in inventories due to strategic purchases and a focus on maximizing the impact from volume based rebates and prompt pay purchase discounts. The change was also largely related to an increase in accounts receivable driven by revenue growth. The change in cash provided by operating activities for the year ended December 31, 2024 was largely driven by an increase in accounts payable due to timing of strategic purchases in inventories ahead of expected future price increases on certain drugs.</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8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increase in cash used in investing activities during the year ended December 31, 2025 was primarily related to the Intramed Plus acquisition activity with no comparable activity during the year ended December 31, 2024.</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increase in cash used in financing activities was primarily related to the Company’s $310.0 million repurchase of common stock and related excise taxes during the year ended December 31, 2025, compared to $252.7 million repurchase of common stock and related excise taxes during the year ended December 31, 2024. The increase was partially offset by the Company’s debt refinancing in September 2025, in which $49.6 million in net proceeds from issuance of debt was received.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United States generally accepted accounting principles (“GAAP”), which require the Company to make estimates and assumptions. The Company evaluates its estimates and assumptions on an ongoing basis. Estimates and assumptions are based on historical experience and on various other factors that are believed to be reasonable under the circumstances, the results of which form the basis for making assumptions about the carrying values of assets and liabilities at the date of the financial statements and the reported amounts of revenues and expenses for the period presented. The Company’s actual results may differ from these estimates, and different assumptions or conditions may yield different estimates.</w:t>
      </w:r>
    </w:p>
    <w:p>
      <w:pPr>
        <w:spacing w:after="0" w:line="16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following discussion is not intended to be a comprehensive list of all the accounting policies, estimates or assumptions made in the preparation of our financial statements. A discussion of our significant accounting policies, including further discussion of the accounting policies described below, can be found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within the notes to the consolidated financial statements included in Item 8 of this Annual Report.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Accounts Receivable</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revenue is reported at the net realizable value amount that reflects the consideration the Company expects to receive in exchange for providing services. Revenues are from commercial payers, government payers, and patients for goods and services provided and are based on a gross price based on payer contracts, fee schedules, or other arrangements less any implicit price concessions.</w:t>
      </w:r>
    </w:p>
    <w:p>
      <w:pPr>
        <w:spacing w:after="0" w:line="14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3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3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provides a variety of infusion-related therapies to patients, which frequently include multiple deliverables of pharmaceutical drugs and related nursing services. After applying the criteria from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6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are reported at the net realizable value amount that reflects the consideration the Company expects to receive in exchange for providing services, which is inclusive of adjustments for price concessions. The majority of accounts receivable are due from private insurance carriers and governmental healthcare programs, such as Medicare and Medicaid.</w:t>
      </w:r>
    </w:p>
    <w:p>
      <w:pPr>
        <w:spacing w:after="0" w:line="13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Included in accounts receivable are earned but unbilled gross receivables. Delays ranging from one day up to several weeks between the date of service and billing can occur due to delays in obtaining certain required payer-specific documentation from internal and external sources.</w:t>
      </w:r>
    </w:p>
    <w:p>
      <w:pPr>
        <w:spacing w:after="0" w:line="135"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After applying the criteria from ASC 606, an allowance for doubtful accounts is established only as a result of an adverse change in the payers’ ability to pay outstanding billings. As of December 31, 2025 and 2024, the Company had an immaterial allowance for doubtful accounts. The Company recorded an allowance for implicit price concessions based on its historical experience of additional revenue being recorded or revenue being written off when amounts received are greater than or less than the originally estimated net realizable value. The detailed assessments included, among other factors, current over/under payments which had not yet been applied to an account, historical contractual adjustments, and historical payments. Contractual allowance estimates are adjusted to actual amounts as cash is received and claims are settled.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business acquisitions in accordance with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assets and liabilities being recorded at their acquisition date fair values and goodwill being calculated as the purchase price in excess of the net identifiable assets. The application of ASC 805 requires management to make estimates and assumptions when determining the acquisition date fair values of acquired assets and assumed liabilities. Management’s estimates and assumptions include, but are not limited to, the future cash flows an asset is expected to generate and the weighted-average cost of capital. See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for further discussion of business acquisitions.</w:t>
      </w:r>
    </w:p>
    <w:p>
      <w:pPr>
        <w:spacing w:after="0" w:line="15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48" w:lineRule="exact"/>
        <w:rPr>
          <w:sz w:val="20"/>
          <w:szCs w:val="20"/>
          <w:color w:val="auto"/>
        </w:rPr>
      </w:pPr>
    </w:p>
    <w:p>
      <w:pPr>
        <w:ind w:firstLine="324"/>
        <w:spacing w:after="0" w:line="231" w:lineRule="exact"/>
        <w:rPr>
          <w:sz w:val="20"/>
          <w:szCs w:val="20"/>
          <w:color w:val="auto"/>
        </w:rPr>
      </w:pPr>
      <w:r>
        <w:rPr>
          <w:rFonts w:ascii="Times New Roman" w:cs="Times New Roman" w:eastAsia="Times New Roman" w:hAnsi="Times New Roman"/>
          <w:sz w:val="18"/>
          <w:szCs w:val="18"/>
          <w:color w:val="auto"/>
        </w:rPr>
        <w:t>The Company’s primary market risk exposure is to changing SOFR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interest rates. Interest rate risk is highly sensitive due to many factors, including U.S. monetary and tax policies, U.S. and international economic factors and other factors beyond our control. At December 31, 2025, we had outstanding debt of $676.3 million under our First Lien Term Loan with a variable interest rate component. See 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of the consolidated financial statements for more information.</w:t>
      </w:r>
    </w:p>
    <w:p>
      <w:pPr>
        <w:spacing w:after="0" w:line="173"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To reduce interest rate risk, the Company has utilized an interest rate derivative contract to hedge against fluctuations in SOFR rates on the First Lien Term Loan. In conjunction with the October 2021 debt refinancing, the Company entered into an interest rate cap hedge with a notional amount of $300.0 million for a five-year term, effective on November 30, 2021.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of the consolidated financial statements for more information.</w:t>
      </w:r>
    </w:p>
    <w:p>
      <w:pPr>
        <w:spacing w:after="0" w:line="13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hypothetical 100-basis point increase or decrease in market interest rates associated with the unhedged variable-rate debt over a 12-month period would result in a change to interest expense of approximately $3.8 million.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18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0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Option Care Health, Inc. and subsidiaries (the Company) as of December 31, 2025 and 2024, the related consolidated statements of comprehensive income,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24, 2026 expressed an unqualified opinion on the effectiveness of the Company’s internal control over financial reporting.</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Sufficiency of audit evidence over the evaluation of transaction price adjustments</w:t>
      </w:r>
    </w:p>
    <w:p>
      <w:pPr>
        <w:spacing w:after="0" w:line="106" w:lineRule="exact"/>
        <w:rPr>
          <w:sz w:val="20"/>
          <w:szCs w:val="20"/>
          <w:color w:val="auto"/>
        </w:rPr>
      </w:pPr>
    </w:p>
    <w:p>
      <w:pPr>
        <w:ind w:left="340" w:right="240"/>
        <w:spacing w:after="0" w:line="261" w:lineRule="auto"/>
        <w:rPr>
          <w:sz w:val="20"/>
          <w:szCs w:val="20"/>
          <w:color w:val="auto"/>
        </w:rPr>
      </w:pPr>
      <w:r>
        <w:rPr>
          <w:rFonts w:ascii="Times New Roman" w:cs="Times New Roman" w:eastAsia="Times New Roman" w:hAnsi="Times New Roman"/>
          <w:sz w:val="18"/>
          <w:szCs w:val="18"/>
          <w:color w:val="auto"/>
        </w:rPr>
        <w:t>As discussed in Notes 2 and 4 to the consolidated financial statements, net revenue is reported at the net realizable value amount that reflects the consideration the Company expects to receive in exchange for providing goods and services. Revenues are from commercial payers, government payers, and patients for infusion therapy and other ancillary health care services. The Company estimates the transaction price adjustments based on the verification of the patient’s insurance coverage, historical price concessions, and historical payments.</w:t>
      </w:r>
    </w:p>
    <w:p>
      <w:pPr>
        <w:spacing w:after="0" w:line="139" w:lineRule="exact"/>
        <w:rPr>
          <w:sz w:val="20"/>
          <w:szCs w:val="20"/>
          <w:color w:val="auto"/>
        </w:rPr>
      </w:pPr>
    </w:p>
    <w:p>
      <w:pPr>
        <w:jc w:val="both"/>
        <w:ind w:left="340" w:right="720"/>
        <w:spacing w:after="0" w:line="266" w:lineRule="auto"/>
        <w:rPr>
          <w:sz w:val="20"/>
          <w:szCs w:val="20"/>
          <w:color w:val="auto"/>
        </w:rPr>
      </w:pPr>
      <w:r>
        <w:rPr>
          <w:rFonts w:ascii="Times New Roman" w:cs="Times New Roman" w:eastAsia="Times New Roman" w:hAnsi="Times New Roman"/>
          <w:sz w:val="18"/>
          <w:szCs w:val="18"/>
          <w:color w:val="auto"/>
        </w:rPr>
        <w:t>We identified the sufficiency of audit evidence over the evaluation of transaction price adjustments as a critical audit matter. Complex auditor judgment was required to evaluate the sufficiency of audit evidence obtained due to the large volume of data and information technology (IT) applications utilized in the transaction price adjustment process to capture and aggregate the data.</w:t>
      </w:r>
    </w:p>
    <w:p>
      <w:pPr>
        <w:spacing w:after="0" w:line="135" w:lineRule="exact"/>
        <w:rPr>
          <w:sz w:val="20"/>
          <w:szCs w:val="20"/>
          <w:color w:val="auto"/>
        </w:rPr>
      </w:pPr>
    </w:p>
    <w:p>
      <w:pPr>
        <w:ind w:left="340" w:right="16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transaction price adjustment process, including general IT controls and IT application controls. We involved IT professionals with specialized skills and knowledge who assisted in the identification and testing of certain IT systems used by the Company for processing and recording of transaction price adjustments. We tested the relevance and reliability of the underlying data that served as the basis for the transaction price adjustments by agreeing a selection of certain data elements to underlying support. We assessed the sufficiency of audit evidence obtained related to transaction price adjustments by evaluating the cumulative results of the audit procedures.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40"/>
          </w:cols>
          <w:pgMar w:left="320" w:top="118" w:right="339" w:bottom="9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974"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SHARES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412,565</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473,566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409,733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471,149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388,131</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87,629</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112,198</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assets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1,264,968</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1,322,627</w:t>
            </w:r>
          </w:p>
        </w:tc>
        <w:tc>
          <w:tcPr>
            <w:tcW w:w="0" w:type="dxa"/>
            <w:vAlign w:val="bottom"/>
          </w:tcPr>
          <w:p>
            <w:pPr>
              <w:spacing w:after="0"/>
              <w:rPr>
                <w:sz w:val="1"/>
                <w:szCs w:val="1"/>
                <w:color w:val="auto"/>
              </w:rPr>
            </w:pPr>
          </w:p>
        </w:tc>
      </w:tr>
      <w:tr>
        <w:trPr>
          <w:trHeight w:val="239"/>
        </w:trPr>
        <w:tc>
          <w:tcPr>
            <w:tcW w:w="7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139,236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127,367</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86,528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16,993</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Referral sources, net</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287,281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284,017</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1,606,743</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44,394</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43,965</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noncurrent assets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2,190,801</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2,099,116</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3,455,769</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3,421,743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639,829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610,779</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63,028</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88,329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77,783</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liability</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23,996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22,044</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829,348</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780,146</w:t>
            </w: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net of discount, deferred financing costs and current portion</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1,154,052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1,104,641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84,776</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56,019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12"/>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1,300,028</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1,237,359</w:t>
            </w:r>
          </w:p>
        </w:tc>
        <w:tc>
          <w:tcPr>
            <w:tcW w:w="0" w:type="dxa"/>
            <w:vAlign w:val="bottom"/>
          </w:tcPr>
          <w:p>
            <w:pPr>
              <w:spacing w:after="0"/>
              <w:rPr>
                <w:sz w:val="1"/>
                <w:szCs w:val="1"/>
                <w:color w:val="auto"/>
              </w:rPr>
            </w:pP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liabilities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2,129,376</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2,017,505</w:t>
            </w:r>
          </w:p>
        </w:tc>
        <w:tc>
          <w:tcPr>
            <w:tcW w:w="0" w:type="dxa"/>
            <w:vAlign w:val="bottom"/>
          </w:tcPr>
          <w:p>
            <w:pPr>
              <w:spacing w:after="0"/>
              <w:rPr>
                <w:sz w:val="1"/>
                <w:szCs w:val="1"/>
                <w:color w:val="auto"/>
              </w:rPr>
            </w:pPr>
          </w:p>
        </w:tc>
      </w:tr>
      <w:tr>
        <w:trPr>
          <w:trHeight w:val="239"/>
        </w:trPr>
        <w:tc>
          <w:tcPr>
            <w:tcW w:w="7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12,500,000 shares authorized, no shares outstanding as of December 31, 2025</w:t>
            </w:r>
          </w:p>
        </w:tc>
        <w:tc>
          <w:tcPr>
            <w:tcW w:w="10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and 2024</w:t>
            </w:r>
          </w:p>
        </w:tc>
        <w:tc>
          <w:tcPr>
            <w:tcW w:w="10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Common stock; $0.0001 par value: 250,000,000 shares authorized, 184,522,423 shares issued and 156,857,801</w:t>
            </w: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outstanding as of December 31, 2025; 183,846,725 shares issued and 166,261,112 shares outstanding as of</w:t>
            </w:r>
          </w:p>
        </w:tc>
        <w:tc>
          <w:tcPr>
            <w:tcW w:w="10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2024</w:t>
            </w:r>
          </w:p>
        </w:tc>
        <w:tc>
          <w:tcPr>
            <w:tcW w:w="10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Treasury stock; 27,664,622 and 17,585,613 shares outstanding, at cost, as of December 31, 2025 and 2024,</w:t>
            </w:r>
          </w:p>
        </w:tc>
        <w:tc>
          <w:tcPr>
            <w:tcW w:w="10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(818,201)</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(507,598)</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10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1,263,549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1,231,435</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876,921</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669,336</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1,326,393</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1,404,238</w:t>
            </w:r>
          </w:p>
        </w:tc>
        <w:tc>
          <w:tcPr>
            <w:tcW w:w="0" w:type="dxa"/>
            <w:vAlign w:val="bottom"/>
          </w:tcPr>
          <w:p>
            <w:pPr>
              <w:spacing w:after="0"/>
              <w:rPr>
                <w:sz w:val="1"/>
                <w:szCs w:val="1"/>
                <w:color w:val="auto"/>
              </w:rPr>
            </w:pP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3,455,769</w:t>
            </w:r>
          </w:p>
        </w:tc>
        <w:tc>
          <w:tcPr>
            <w:tcW w:w="120" w:type="dxa"/>
            <w:vAlign w:val="bottom"/>
          </w:tcPr>
          <w:p>
            <w:pPr>
              <w:spacing w:after="0"/>
              <w:rPr>
                <w:sz w:val="18"/>
                <w:szCs w:val="18"/>
                <w:color w:val="auto"/>
              </w:rPr>
            </w:pPr>
          </w:p>
        </w:tc>
        <w:tc>
          <w:tcPr>
            <w:tcW w:w="5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3,421,743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5,649,519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4,998,202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4,302,324</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4,561,624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3,985,209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3,321,101</w:t>
            </w:r>
          </w:p>
        </w:tc>
        <w:tc>
          <w:tcPr>
            <w:tcW w:w="0" w:type="dxa"/>
            <w:vAlign w:val="bottom"/>
          </w:tcPr>
          <w:p>
            <w:pPr>
              <w:spacing w:after="0"/>
              <w:rPr>
                <w:sz w:val="1"/>
                <w:szCs w:val="1"/>
                <w:color w:val="auto"/>
              </w:rPr>
            </w:pPr>
          </w:p>
        </w:tc>
      </w:tr>
      <w:tr>
        <w:trPr>
          <w:trHeight w:val="212"/>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1,087,895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1,012,993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981,223</w:t>
            </w:r>
          </w:p>
        </w:tc>
        <w:tc>
          <w:tcPr>
            <w:tcW w:w="0" w:type="dxa"/>
            <w:vAlign w:val="bottom"/>
          </w:tcPr>
          <w:p>
            <w:pPr>
              <w:spacing w:after="0"/>
              <w:rPr>
                <w:sz w:val="1"/>
                <w:szCs w:val="1"/>
                <w:color w:val="auto"/>
              </w:rPr>
            </w:pPr>
          </w:p>
        </w:tc>
      </w:tr>
      <w:tr>
        <w:trPr>
          <w:trHeight w:val="257"/>
        </w:trPr>
        <w:tc>
          <w:tcPr>
            <w:tcW w:w="5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682,451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630,251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607,427</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67,538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59,201</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749,989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691,160</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666,628</w:t>
            </w: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321,833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314,595</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(54,558)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(51,248)</w:t>
            </w:r>
          </w:p>
        </w:tc>
        <w:tc>
          <w:tcPr>
            <w:tcW w:w="0" w:type="dxa"/>
            <w:vAlign w:val="bottom"/>
          </w:tcPr>
          <w:p>
            <w:pPr>
              <w:spacing w:after="0"/>
              <w:rPr>
                <w:sz w:val="1"/>
                <w:szCs w:val="1"/>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89,865</w:t>
            </w: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income</w:t>
            </w:r>
          </w:p>
        </w:tc>
        <w:tc>
          <w:tcPr>
            <w:tcW w:w="10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(38,234)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44,147</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282,900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283,599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358,742</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91,652</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Change in unrealized (loss) gain on cash flow hedges, net of income tax benefit</w:t>
            </w:r>
          </w:p>
        </w:tc>
        <w:tc>
          <w:tcPr>
            <w:tcW w:w="1040" w:type="dxa"/>
            <w:vAlign w:val="bottom"/>
            <w:vMerge w:val="restart"/>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52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20" w:type="dxa"/>
            <w:vAlign w:val="bottom"/>
          </w:tcPr>
          <w:p>
            <w:pPr>
              <w:spacing w:after="0"/>
              <w:rPr>
                <w:sz w:val="14"/>
                <w:szCs w:val="14"/>
                <w:color w:val="auto"/>
              </w:rPr>
            </w:pPr>
          </w:p>
        </w:tc>
        <w:tc>
          <w:tcPr>
            <w:tcW w:w="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0" w:type="dxa"/>
            <w:vAlign w:val="bottom"/>
          </w:tcPr>
          <w:p>
            <w:pPr>
              <w:spacing w:after="0"/>
              <w:rPr>
                <w:sz w:val="1"/>
                <w:szCs w:val="1"/>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(expense) of $2,272, $1,284, and $2,158, respectively</w:t>
            </w:r>
          </w:p>
        </w:tc>
        <w:tc>
          <w:tcPr>
            <w:tcW w:w="10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0" w:type="dxa"/>
            <w:vAlign w:val="bottom"/>
          </w:tcPr>
          <w:p>
            <w:pPr>
              <w:spacing w:after="0"/>
              <w:rPr>
                <w:sz w:val="1"/>
                <w:szCs w:val="1"/>
                <w:color w:val="auto"/>
              </w:rPr>
            </w:pPr>
          </w:p>
        </w:tc>
      </w:tr>
      <w:tr>
        <w:trPr>
          <w:trHeight w:val="209"/>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INCOME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200,644</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207,892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260,909</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Earnings per share, basic</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share, diluted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basic</w:t>
            </w: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162,099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178,973</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diluted</w:t>
            </w:r>
          </w:p>
        </w:tc>
        <w:tc>
          <w:tcPr>
            <w:tcW w:w="10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163,365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172,845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180,375</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7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211"/>
        </w:trPr>
        <w:tc>
          <w:tcPr>
            <w:tcW w:w="57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62,200</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18,533</w:t>
            </w: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w:t>
            </w: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incentive compensation expense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30,479</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from equity method investments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adjustments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(81,469)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(51,000)</w:t>
            </w: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(6,290)</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183,395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47,703</w:t>
            </w: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compensation and employee benefits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15,546</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w:t>
            </w:r>
          </w:p>
        </w:tc>
      </w:tr>
      <w:tr>
        <w:trPr>
          <w:trHeight w:val="213"/>
        </w:trPr>
        <w:tc>
          <w:tcPr>
            <w:tcW w:w="5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(17,529)</w:t>
            </w:r>
          </w:p>
        </w:tc>
      </w:tr>
      <w:tr>
        <w:trPr>
          <w:trHeight w:val="219"/>
        </w:trPr>
        <w:tc>
          <w:tcPr>
            <w:tcW w:w="5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(8,372)</w:t>
            </w:r>
          </w:p>
        </w:tc>
      </w:tr>
      <w:tr>
        <w:trPr>
          <w:trHeight w:val="207"/>
        </w:trPr>
        <w:tc>
          <w:tcPr>
            <w:tcW w:w="57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258,447</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323,392</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371,295</w:t>
            </w:r>
          </w:p>
        </w:tc>
      </w:tr>
      <w:tr>
        <w:trPr>
          <w:trHeight w:val="239"/>
        </w:trPr>
        <w:tc>
          <w:tcPr>
            <w:tcW w:w="57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(41,866)</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 acquisitions, net of cash acquired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(12,494)</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(5,889)</w:t>
            </w:r>
          </w:p>
        </w:tc>
      </w:tr>
      <w:tr>
        <w:trPr>
          <w:trHeight w:val="210"/>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(161,083)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(56,506)</w:t>
            </w:r>
          </w:p>
        </w:tc>
      </w:tr>
      <w:tr>
        <w:trPr>
          <w:trHeight w:val="239"/>
        </w:trPr>
        <w:tc>
          <w:tcPr>
            <w:tcW w:w="5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tax withholdings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(3,115)</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company stock and related excise taxes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(252,726)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(250,261)</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debt</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debt principal</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debt obligations</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(5,750)</w:t>
            </w:r>
          </w:p>
        </w:tc>
      </w:tr>
      <w:tr>
        <w:trPr>
          <w:trHeight w:val="210"/>
        </w:trPr>
        <w:tc>
          <w:tcPr>
            <w:tcW w:w="5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(277,305)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(218,206)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(265,126)</w:t>
            </w:r>
          </w:p>
        </w:tc>
      </w:tr>
      <w:tr>
        <w:trPr>
          <w:trHeight w:val="199"/>
        </w:trPr>
        <w:tc>
          <w:tcPr>
            <w:tcW w:w="5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68,716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49,663</w:t>
            </w:r>
          </w:p>
        </w:tc>
      </w:tr>
      <w:tr>
        <w:trPr>
          <w:trHeight w:val="213"/>
        </w:trPr>
        <w:tc>
          <w:tcPr>
            <w:tcW w:w="5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412,565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343,849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294,186</w:t>
            </w:r>
          </w:p>
        </w:tc>
      </w:tr>
      <w:tr>
        <w:trPr>
          <w:trHeight w:val="237"/>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END OF PERIOD</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232,624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412,565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343,849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 of cash flows information:</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64,658</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71,553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69,804</w:t>
            </w:r>
          </w:p>
        </w:tc>
      </w:tr>
      <w:tr>
        <w:trPr>
          <w:trHeight w:val="21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67,287</w:t>
            </w:r>
          </w:p>
        </w:tc>
        <w:tc>
          <w:tcPr>
            <w:tcW w:w="52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75,241</w:t>
            </w:r>
          </w:p>
        </w:tc>
      </w:tr>
      <w:tr>
        <w:trPr>
          <w:trHeight w:val="210"/>
        </w:trPr>
        <w:tc>
          <w:tcPr>
            <w:tcW w:w="5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operating leases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30,737</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27,391</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20" w:type="dxa"/>
            <w:vAlign w:val="bottom"/>
          </w:tcPr>
          <w:p>
            <w:pPr>
              <w:spacing w:after="0"/>
              <w:rPr>
                <w:sz w:val="16"/>
                <w:szCs w:val="16"/>
                <w:color w:val="auto"/>
              </w:rPr>
            </w:pPr>
          </w:p>
        </w:tc>
        <w:tc>
          <w:tcPr>
            <w:tcW w:w="900" w:type="dxa"/>
            <w:vAlign w:val="bottom"/>
            <w:vMerge w:val="restart"/>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2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1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20" w:type="dxa"/>
            <w:vAlign w:val="bottom"/>
            <w:gridSpan w:val="3"/>
            <w:vMerge w:val="continue"/>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1,176,906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1,386,103</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30,479</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(252,704)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(252,704)</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(255,107)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1,204,270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457,513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1,421,672</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36,143</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(8,978)</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(252,491)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(252,491)</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(3,931)</w:t>
            </w:r>
          </w:p>
        </w:tc>
        <w:tc>
          <w:tcPr>
            <w:tcW w:w="0" w:type="dxa"/>
            <w:vAlign w:val="bottom"/>
          </w:tcPr>
          <w:p>
            <w:pPr>
              <w:spacing w:after="0"/>
              <w:rPr>
                <w:sz w:val="1"/>
                <w:szCs w:val="1"/>
                <w:color w:val="auto"/>
              </w:rPr>
            </w:pPr>
          </w:p>
        </w:tc>
      </w:tr>
      <w:tr>
        <w:trPr>
          <w:trHeight w:val="212"/>
        </w:trPr>
        <w:tc>
          <w:tcPr>
            <w:tcW w:w="2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(507,598)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1,231,435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669,336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1,404,238</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incentive compensation</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39,956</w:t>
            </w:r>
          </w:p>
        </w:tc>
        <w:tc>
          <w:tcPr>
            <w:tcW w:w="0" w:type="dxa"/>
            <w:vAlign w:val="bottom"/>
          </w:tcPr>
          <w:p>
            <w:pPr>
              <w:spacing w:after="0"/>
              <w:rPr>
                <w:sz w:val="1"/>
                <w:szCs w:val="1"/>
                <w:color w:val="auto"/>
              </w:rPr>
            </w:pPr>
          </w:p>
        </w:tc>
      </w:tr>
      <w:tr>
        <w:trPr>
          <w:trHeight w:val="165"/>
        </w:trPr>
        <w:tc>
          <w:tcPr>
            <w:tcW w:w="27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Exercise of stock options, vesting of</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6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restricted stock, and related tax</w:t>
            </w: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withholdings</w:t>
            </w: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6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Purchase of company stock, and related</w:t>
            </w:r>
          </w:p>
        </w:tc>
        <w:tc>
          <w:tcPr>
            <w:tcW w:w="160" w:type="dxa"/>
            <w:vAlign w:val="bottom"/>
          </w:tcPr>
          <w:p>
            <w:pPr>
              <w:spacing w:after="0"/>
              <w:rPr>
                <w:sz w:val="14"/>
                <w:szCs w:val="14"/>
                <w:color w:val="auto"/>
              </w:rPr>
            </w:pPr>
          </w:p>
        </w:tc>
        <w:tc>
          <w:tcPr>
            <w:tcW w:w="1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(310,603)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(310,603)</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effects</w:t>
            </w: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0" w:type="dxa"/>
            <w:vAlign w:val="bottom"/>
          </w:tcPr>
          <w:p>
            <w:pPr>
              <w:spacing w:after="0"/>
              <w:rPr>
                <w:sz w:val="1"/>
                <w:szCs w:val="1"/>
                <w:color w:val="auto"/>
              </w:rPr>
            </w:pPr>
          </w:p>
        </w:tc>
      </w:tr>
      <w:tr>
        <w:trPr>
          <w:trHeight w:val="213"/>
        </w:trPr>
        <w:tc>
          <w:tcPr>
            <w:tcW w:w="2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0" w:type="dxa"/>
            <w:vAlign w:val="bottom"/>
          </w:tcPr>
          <w:p>
            <w:pPr>
              <w:spacing w:after="0"/>
              <w:rPr>
                <w:sz w:val="18"/>
                <w:szCs w:val="18"/>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(6,941)</w:t>
            </w:r>
          </w:p>
        </w:tc>
        <w:tc>
          <w:tcPr>
            <w:tcW w:w="0" w:type="dxa"/>
            <w:vAlign w:val="bottom"/>
          </w:tcPr>
          <w:p>
            <w:pPr>
              <w:spacing w:after="0"/>
              <w:rPr>
                <w:sz w:val="1"/>
                <w:szCs w:val="1"/>
                <w:color w:val="auto"/>
              </w:rPr>
            </w:pPr>
          </w:p>
        </w:tc>
      </w:tr>
      <w:tr>
        <w:trPr>
          <w:trHeight w:val="237"/>
        </w:trPr>
        <w:tc>
          <w:tcPr>
            <w:tcW w:w="2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(818,201)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1,263,549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1,326,393</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PRESENTATION OF FINANCIAL STATEMENTS</w:t>
      </w:r>
    </w:p>
    <w:p>
      <w:pPr>
        <w:spacing w:after="0" w:line="198"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Corporate Organization and Business </w:t>
      </w:r>
      <w:r>
        <w:rPr>
          <w:rFonts w:ascii="Times New Roman" w:cs="Times New Roman" w:eastAsia="Times New Roman" w:hAnsi="Times New Roman"/>
          <w:sz w:val="18"/>
          <w:szCs w:val="18"/>
          <w:color w:val="auto"/>
        </w:rPr>
        <w:t>— Option Care Health, and its wholly-owned subsidiaries, provide infusion therapy and other ancillary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services through a national network of 87 full service pharmacies, including 73 with ambulatory infusion suites. Additionally, the Company has 109 stand-alone ambulatory infusion sites, including 27 with advanced practitioner capabilities. The Company contracts with managed care organizations, third-party payers, hospitals, physicians, and other referral sources to provide pharmaceuticals and complex compounded solutions to patients for intravenous delivery in the patients’ homes or other nonhospital settings. The Company operates in one segment, infusion services. The Company’s stock is listed on the Nasdaq Global Select Market as of December 31, 2025, under the stock ticker OPCH.</w:t>
      </w:r>
    </w:p>
    <w:p>
      <w:pPr>
        <w:spacing w:after="0" w:line="142" w:lineRule="exact"/>
        <w:rPr>
          <w:sz w:val="20"/>
          <w:szCs w:val="20"/>
          <w:color w:val="auto"/>
        </w:rPr>
      </w:pPr>
    </w:p>
    <w:p>
      <w:pPr>
        <w:ind w:right="1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 accompanying consolidated financial statements have been prepared in conformity with generally accepted 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principles (“GAAP”) in the United States. GAAP requires management to make certain estimates and assumptions in determining assets, liabilities, revenue, expenses, and related disclosures. Actual amounts could differ materially from those estimates.</w:t>
      </w:r>
    </w:p>
    <w:p>
      <w:pPr>
        <w:spacing w:after="0" w:line="130" w:lineRule="exact"/>
        <w:rPr>
          <w:sz w:val="20"/>
          <w:szCs w:val="20"/>
          <w:color w:val="auto"/>
        </w:rPr>
      </w:pPr>
    </w:p>
    <w:p>
      <w:pPr>
        <w:ind w:right="9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w:t>
      </w:r>
      <w:r>
        <w:rPr>
          <w:rFonts w:ascii="Times New Roman" w:cs="Times New Roman" w:eastAsia="Times New Roman" w:hAnsi="Times New Roman"/>
          <w:sz w:val="18"/>
          <w:szCs w:val="18"/>
          <w:color w:val="auto"/>
        </w:rPr>
        <w:t>— The Company’s consolidated financial statements include the accounts of Option Care Health, Inc.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All intercompany transactions and balances are eliminated in consolidation.</w:t>
      </w:r>
    </w:p>
    <w:p>
      <w:pPr>
        <w:spacing w:after="0" w:line="132"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investments in companies that are 50% owned and are accounted for as equity-method investments. The Company’s share of earnings from equity-method investments is included in the line entitled “Equity in earnings of joint ventures” in the consolidated statements of comprehensive income. See “Equity-Method Investments” within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discussion of the Company’s equity-method investments.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original maturities of three months or less to be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As of December 31, 2025 and 2024, cash equivalents consisted of money market funds.</w:t>
      </w:r>
    </w:p>
    <w:p>
      <w:pPr>
        <w:spacing w:after="0" w:line="128" w:lineRule="exact"/>
        <w:rPr>
          <w:sz w:val="20"/>
          <w:szCs w:val="20"/>
          <w:color w:val="auto"/>
        </w:rPr>
      </w:pPr>
    </w:p>
    <w:p>
      <w:pPr>
        <w:jc w:val="both"/>
        <w:ind w:right="6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w:t>
      </w:r>
      <w:r>
        <w:rPr>
          <w:rFonts w:ascii="Times New Roman" w:cs="Times New Roman" w:eastAsia="Times New Roman" w:hAnsi="Times New Roman"/>
          <w:sz w:val="18"/>
          <w:szCs w:val="18"/>
          <w:color w:val="auto"/>
        </w:rPr>
        <w:t>— The Company’s accounts receivable are reported at the net realizable value amount that reflects the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expects to receive in exchange for providing services, which is inclusive of adjustments for price concessions. The majority of accounts receivable are due from private insurance carriers and governmental healthcare programs, such as Medicare and Medicaid.</w:t>
      </w:r>
    </w:p>
    <w:p>
      <w:pPr>
        <w:spacing w:after="0" w:line="134"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Price concessions may result from patient hardships, patient uncollectible accounts sent to collection agencies, lack of recovery due to not receiving prior authorization, differing interpretations of covered therapies in payer contracts, different pricing methodologies, or various other reasons.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(“ASC 606”), an allowance for doubtful accounts is established only as a result of an adverse change in the Company’s payers’ ability to pay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billings. In addition, the Company assesses if there have been any changes to historical credit losses to determine if an allowance for credit losses is needed. The Company had an immaterial allowance for doubtful accounts and credit losses as of December 31, 2025 and 2024.</w:t>
      </w:r>
    </w:p>
    <w:p>
      <w:pPr>
        <w:spacing w:after="0" w:line="14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Included in accounts receivable are earned but unbilled gross receivables of $155.1 million and $105.3 million as of December 31, 2025 and 2024, respectively. Delays ranging from one day up to several weeks between the date of service and billing can occur due to standard billing practices and delays in obtaining certain required payer-specific documentation from internal and external sources.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“Revenue Recognition” for a further discussion of the Company’s revenue recognition policy.</w:t>
      </w:r>
    </w:p>
    <w:p>
      <w:pPr>
        <w:spacing w:after="0" w:line="144" w:lineRule="exact"/>
        <w:rPr>
          <w:sz w:val="20"/>
          <w:szCs w:val="20"/>
          <w:color w:val="auto"/>
        </w:rPr>
      </w:pPr>
    </w:p>
    <w:p>
      <w:pPr>
        <w:ind w:right="240" w:firstLine="324"/>
        <w:spacing w:after="0" w:line="245" w:lineRule="exact"/>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 Inventories, which consist primarily of pharmaceuticals, are stated at the lower of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cost or net realizable value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Company believes is reflective of the physical flow of inventories.</w:t>
      </w:r>
    </w:p>
    <w:p>
      <w:pPr>
        <w:spacing w:after="0" w:line="154" w:lineRule="exact"/>
        <w:rPr>
          <w:sz w:val="20"/>
          <w:szCs w:val="20"/>
          <w:color w:val="auto"/>
        </w:rPr>
      </w:pPr>
    </w:p>
    <w:p>
      <w:pPr>
        <w:ind w:right="34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Prepaid Expenses and Other Current Assets </w:t>
      </w:r>
      <w:r>
        <w:rPr>
          <w:rFonts w:ascii="Times New Roman" w:cs="Times New Roman" w:eastAsia="Times New Roman" w:hAnsi="Times New Roman"/>
          <w:sz w:val="17"/>
          <w:szCs w:val="17"/>
          <w:color w:val="auto"/>
        </w:rPr>
        <w:t>— Included in prepaid expenses and other current assets are volume-based rebates receivable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pharmaceutical and medical supply manufacturers of $35.3 million and $54.4 million for the years ended December 31, 2025 and 2024, respectively.</w:t>
      </w:r>
    </w:p>
    <w:p>
      <w:pPr>
        <w:spacing w:after="0" w:line="105" w:lineRule="exact"/>
        <w:rPr>
          <w:sz w:val="20"/>
          <w:szCs w:val="20"/>
          <w:color w:val="auto"/>
        </w:rPr>
      </w:pPr>
    </w:p>
    <w:p>
      <w:pPr>
        <w:jc w:val="both"/>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 The Company has lease agreements for facilities, warehouses, office space and property and equipment. At the inception of a contract,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determines if the contract is a lease or contains an embedded lease arrangement. Operating leases are included in the operating lease right-of-use asset (“ROU asset”) and operating lease liabilities in the consolidated financial statements.</w:t>
      </w:r>
    </w:p>
    <w:p>
      <w:pPr>
        <w:spacing w:after="0" w:line="134"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ROU assets, which represent the Company’s right to use the leased assets, and operating lease liabilities, which represent the present value of unpaid lease payments, are both recognized by the Company at the lease commencement date. The Company utilizes its estimated incremental borrowing rate at the lease commencement date to determine the present value of unpaid lease obligations. The rates are estimated primarily using a methodology dependent on the Company’s financial condition, creditworthiness, and availability of certain observable data. In particular, the Company considers its actual cost of borrowing for collateralized loans and its credit rating, along with the corporate bond yield curve in estimating its incremental borrowing rates. ROU assets are recorded as the amount of operating lease liability, adjusted for prepayments, accrued lease payments, initial direct costs, lease incentives, and impairment of the ROU asset. Tenant improvement allowances used to fund leasehold improvements are recognized when earned and reduce the related ROU asset. Tenant improvement allowances are recognized through the ROU asset as a reduction of expense over the term of the lease.</w:t>
      </w:r>
    </w:p>
    <w:p>
      <w:pPr>
        <w:spacing w:after="0" w:line="131"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Leases may contain rent escalations; however, the Company recognizes the lease expense on a straight-line basis over the expected lease term. The Company reviews the terms of any lease renewal options to determine if it is reasonably certain that the renewal options will be exercised. The Company has determined that the expected lease term is typically the minimum non-cancelable period of the lease.</w:t>
      </w:r>
    </w:p>
    <w:p>
      <w:pPr>
        <w:spacing w:after="0" w:line="14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lease agreements that contain both lease and non-lease components which the Company has elected to account for as a single lease component for all asset classes. Leases with an initial term of 12 months or less are not recorded on the consolidated balance sheet and are expensed on a straight-line basis over the term of the lease. The Company’s lease agreements do not contain any material residual value guarantees or material restrictive covenants. 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discussion of leases.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Goodwill, Intangible Assets, Property and Equipment, and Referral Sources </w:t>
      </w:r>
      <w:r>
        <w:rPr>
          <w:rFonts w:ascii="Times New Roman" w:cs="Times New Roman" w:eastAsia="Times New Roman" w:hAnsi="Times New Roman"/>
          <w:sz w:val="18"/>
          <w:szCs w:val="18"/>
          <w:color w:val="auto"/>
        </w:rPr>
        <w:t>— Goodwill represents the excess of the purchase price over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value of assets acquired and liabilities assumed. The Company accounts for goodwill under ASC Topic 350, </w:t>
      </w:r>
      <w:r>
        <w:rPr>
          <w:rFonts w:ascii="Times New Roman" w:cs="Times New Roman" w:eastAsia="Times New Roman" w:hAnsi="Times New Roman"/>
          <w:sz w:val="18"/>
          <w:szCs w:val="18"/>
          <w:i w:val="1"/>
          <w:iCs w:val="1"/>
          <w:color w:val="auto"/>
        </w:rPr>
        <w:t>Intangibles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Goodwill and Other.</w:t>
      </w:r>
      <w:r>
        <w:rPr>
          <w:rFonts w:ascii="Times New Roman" w:cs="Times New Roman" w:eastAsia="Times New Roman" w:hAnsi="Times New Roman"/>
          <w:sz w:val="18"/>
          <w:szCs w:val="18"/>
          <w:color w:val="auto"/>
        </w:rPr>
        <w:t xml:space="preserve"> The Company tests goodwill for impairment annually, or more frequently whenever events or circumstances indicate that impairment may exist. Goodwill is stated at cost less accumulated impairment losses. The Company completes its goodwill impairment test annually in the fourth quarter on a qualitative basis. See Note 10,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for further discussion of the Company’s goodwill and other intangible assets.</w:t>
      </w:r>
    </w:p>
    <w:p>
      <w:pPr>
        <w:spacing w:after="0" w:line="102" w:lineRule="exact"/>
        <w:rPr>
          <w:sz w:val="20"/>
          <w:szCs w:val="20"/>
          <w:color w:val="auto"/>
        </w:rPr>
      </w:pPr>
    </w:p>
    <w:p>
      <w:pPr>
        <w:ind w:right="240" w:firstLine="324"/>
        <w:spacing w:after="0" w:line="245" w:lineRule="exact"/>
        <w:rPr>
          <w:sz w:val="20"/>
          <w:szCs w:val="20"/>
          <w:color w:val="auto"/>
        </w:rPr>
      </w:pPr>
      <w:r>
        <w:rPr>
          <w:rFonts w:ascii="Times New Roman" w:cs="Times New Roman" w:eastAsia="Times New Roman" w:hAnsi="Times New Roman"/>
          <w:sz w:val="18"/>
          <w:szCs w:val="18"/>
          <w:color w:val="auto"/>
        </w:rPr>
        <w:t>Intangible assets arising from the Company’s acquisitions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estimated useful life of each asset. Referral sources have a useful life ranging from fifteen to twenty years. Trademarks/names have a useful life ranging from ten to fifteen years. The other amortizable intangible assets have a useful life of approximately five years. The Company does not have any indefinite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intangible assets.</w:t>
      </w:r>
    </w:p>
    <w:p>
      <w:pPr>
        <w:spacing w:after="0" w:line="143" w:lineRule="exact"/>
        <w:rPr>
          <w:sz w:val="20"/>
          <w:szCs w:val="20"/>
          <w:color w:val="auto"/>
        </w:rPr>
      </w:pPr>
    </w:p>
    <w:p>
      <w:pPr>
        <w:ind w:right="40" w:firstLine="324"/>
        <w:spacing w:after="0" w:line="218" w:lineRule="exact"/>
        <w:rPr>
          <w:sz w:val="20"/>
          <w:szCs w:val="20"/>
          <w:color w:val="auto"/>
        </w:rPr>
      </w:pPr>
      <w:r>
        <w:rPr>
          <w:rFonts w:ascii="Times New Roman" w:cs="Times New Roman" w:eastAsia="Times New Roman" w:hAnsi="Times New Roman"/>
          <w:sz w:val="18"/>
          <w:szCs w:val="18"/>
          <w:color w:val="auto"/>
        </w:rPr>
        <w:t>Property and equipment is recorded at cost, net of accumulated depreciation. Depreciation on owned property and equipment is provided for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estimated useful lives of owned assets. Leasehold improvements are amortized over the estimated useful life of the property or over the term of the lease, whichever is shorter. Estimated useful lives are seven years for infusion pumps and three to thirteen years for equipment. Major repairs, which extend the useful life of an asset, are capitalized in the property and equipment accounts. Routine maintenance and repairs are expensed as incurred. Computer software is included in property and equipment and consists of purchased software and internally-developed software. The Company capitalizes application-stage development costs for significant internally-developed software projects. Once the software is ready for its intended use, these costs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software’s estimated useful life, generally five years. Costs recognized in the preliminary project phase and the post-implementation phase, as well as maintenance and training costs, are expensed as incurred. See “Recently Issued Accounting Pronouncements” for discussion of ASU 2025-06 and upcoming changes to accounting for software costs.</w:t>
      </w:r>
    </w:p>
    <w:p>
      <w:pPr>
        <w:spacing w:after="0" w:line="123" w:lineRule="exact"/>
        <w:rPr>
          <w:sz w:val="20"/>
          <w:szCs w:val="20"/>
          <w:color w:val="auto"/>
        </w:rPr>
      </w:pPr>
    </w:p>
    <w:p>
      <w:pPr>
        <w:ind w:firstLine="324"/>
        <w:spacing w:after="0" w:line="231" w:lineRule="exact"/>
        <w:rPr>
          <w:sz w:val="20"/>
          <w:szCs w:val="20"/>
          <w:color w:val="auto"/>
        </w:rPr>
      </w:pPr>
      <w:r>
        <w:rPr>
          <w:rFonts w:ascii="Times New Roman" w:cs="Times New Roman" w:eastAsia="Times New Roman" w:hAnsi="Times New Roman"/>
          <w:sz w:val="18"/>
          <w:szCs w:val="18"/>
          <w:color w:val="auto"/>
        </w:rPr>
        <w:t>The Company assesses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whenever events or circumstances indicate that a certain asset or asset group may be impaired. If circumstances require that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flows basis, an impairment is recognized to the extent that the carrying amount exceeds its fair value.</w:t>
      </w:r>
    </w:p>
    <w:p>
      <w:pPr>
        <w:spacing w:after="0" w:line="15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Equity-Method Investments </w:t>
      </w:r>
      <w:r>
        <w:rPr>
          <w:rFonts w:ascii="Times New Roman" w:cs="Times New Roman" w:eastAsia="Times New Roman" w:hAnsi="Times New Roman"/>
          <w:sz w:val="18"/>
          <w:szCs w:val="18"/>
          <w:color w:val="auto"/>
        </w:rPr>
        <w:t>— The Company’s investments in certain unconsolidated entities are accounted for under the equity method.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balance of these investments is included in other noncurrent assets in the accompanying consolidated balance sheets. As of December 31, 2025 and 2024, the balance of the investments was $27.9 million and $24.5 million, respectively. The balance of these investments is increased to reflect the Company’s capital contributions and equity in earnings of the investees. The balance of these investments is decreased to reflect the Company’s equity in losses of the investees and for distributions received that are not in excess of the carrying amount of the investments. The Company’s proportionate share of earnings or losses of the investees is recorded in equity in earnings of joint ventures in the accompanying consolidated statements of comprehensive income. The Company’s proportionate share of earnings was $7.4 million, $6.0 million, and $5.5 million for the years ended December 31, 2025, 2024, and 2023, respectively. Distributions from the investees are treated as cash inflows from operating activities in the consolidated statements of cash flows. During the years ended December 31, 2025, 2024, and 2023, the Company received distributions from the investees of $4.0 million, $2.4 million, and $4.0 million, respectively. See Note 17, </w:t>
      </w:r>
      <w:r>
        <w:rPr>
          <w:rFonts w:ascii="Times New Roman" w:cs="Times New Roman" w:eastAsia="Times New Roman" w:hAnsi="Times New Roman"/>
          <w:sz w:val="18"/>
          <w:szCs w:val="18"/>
          <w:i w:val="1"/>
          <w:iCs w:val="1"/>
          <w:color w:val="auto"/>
        </w:rPr>
        <w:t>Related-Party Transactions</w:t>
      </w:r>
      <w:r>
        <w:rPr>
          <w:rFonts w:ascii="Times New Roman" w:cs="Times New Roman" w:eastAsia="Times New Roman" w:hAnsi="Times New Roman"/>
          <w:sz w:val="18"/>
          <w:szCs w:val="18"/>
          <w:color w:val="auto"/>
        </w:rPr>
        <w:t>, for discussion of related-party transactions with these investees.</w:t>
      </w:r>
    </w:p>
    <w:p>
      <w:pPr>
        <w:spacing w:after="0" w:line="158"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Hedging Instruments </w:t>
      </w:r>
      <w:r>
        <w:rPr>
          <w:rFonts w:ascii="Times New Roman" w:cs="Times New Roman" w:eastAsia="Times New Roman" w:hAnsi="Times New Roman"/>
          <w:sz w:val="18"/>
          <w:szCs w:val="18"/>
          <w:color w:val="auto"/>
        </w:rPr>
        <w:t>— The Company uses derivative financial instruments to limit its exposure to increases in the interest rate of its variable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debt instruments. The derivative financial instruments are recognized on the consolidated balance sheets at fair value.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additional information.</w:t>
      </w:r>
    </w:p>
    <w:p>
      <w:pPr>
        <w:spacing w:after="0" w:line="13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At inception of the hedge, the Company designated the derivative instruments as a hedge of the cash flows related to the interest on the variable rate debt. For all instruments designated as hedges, the Company documents the hedging relationships and its risk management objective of the hedging relationship. For all hedging instruments, the terms of the hedge perfectly offset the hedged expected cash flows.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 Net revenue is reported at the net realizable value amount that reflects the consideration the Company expects to receive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for providing goods and services. Revenues are from government payers, commercial payers, and patients for goods and services provided and are based on a gross price based on payer contracts, fee schedules, or other arrangements less any implicit price concessions.</w:t>
      </w:r>
    </w:p>
    <w:p>
      <w:pPr>
        <w:spacing w:after="0" w:line="134"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Due to the nature of the healthcare industry and the reimbursement environment in which the Company operates, certain estimates are required to record revenue and accounts receivable at their net realizable values at the time goods or services are provided. Inherent in these estimates is the risk that they will have to be revised or updated as additional information becomes available.</w:t>
      </w:r>
    </w:p>
    <w:p>
      <w:pPr>
        <w:spacing w:after="0" w:line="14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assesses the expected consideration to be received at the time of patient acceptance, based on the verification of the patient’s insurance coverage, historical information with the patient, similar patients, or the payer. Performance obligations are determined based on the nature of the services provided by the Company. The majority of the Company’s performance obligations are to provide infusion services to deliver medicine, nutrients, or fluids directly into the body.</w:t>
      </w:r>
    </w:p>
    <w:p>
      <w:pPr>
        <w:spacing w:after="0" w:line="13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provides a variety of infusion-related therapies to patients, which frequently include multiple deliverables of pharmaceutical drugs and related nursing services. After applying the criteria from ASC 606, the Company concluded that multiple performance obligations exist in its contracts with its customers. Revenue is allocated to each performance obligation based on relative standalone price, determined based on reimbursement rates established in the third-party payer contracts. Pharmaceutical drug revenue is recognized at the time the pharmaceutical drug is delivered to the patient, and nursing revenue is recognized on the date of service.</w:t>
      </w:r>
    </w:p>
    <w:p>
      <w:pPr>
        <w:spacing w:after="0" w:line="14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Company's outstanding performance obligations relate to contracts with a duration of less than one year. Therefore, the Company has elected to apply the practical expedient provided by ASC 606 and is not required to disclose the aggregate amount of the transaction price allocated to performance obligations that are unsatisfied or partially unsatisfied at the end of the reporting period. Any unsatisfied or partially unsatisfied performance obligations at the end of a reporting period are generally completed prior to the patient being discharged. See Note 4,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for further discussion of revenue.</w:t>
      </w:r>
    </w:p>
    <w:p>
      <w:pPr>
        <w:spacing w:after="0" w:line="149" w:lineRule="exact"/>
        <w:rPr>
          <w:sz w:val="20"/>
          <w:szCs w:val="20"/>
          <w:color w:val="auto"/>
        </w:rPr>
      </w:pPr>
    </w:p>
    <w:p>
      <w:pPr>
        <w:ind w:right="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Cost of Revenue </w:t>
      </w:r>
      <w:r>
        <w:rPr>
          <w:rFonts w:ascii="Times New Roman" w:cs="Times New Roman" w:eastAsia="Times New Roman" w:hAnsi="Times New Roman"/>
          <w:sz w:val="17"/>
          <w:szCs w:val="17"/>
          <w:color w:val="auto"/>
        </w:rPr>
        <w:t>— Cost of revenue consists of the actual cost of pharmaceuticals and other medical supplies dispensed to patients, as well as all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costs directly related to the production of revenue. These costs include warehousing costs, purchasing costs, freight costs, cash discounts, volume-based rebates, wages and related costs for pharmacists and nurses, along with depreciation expense relating to revenue-generating assets, such as infusion pumps.</w:t>
      </w:r>
    </w:p>
    <w:p>
      <w:pPr>
        <w:spacing w:after="0" w:line="116"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Company also receives rebates from pharmaceutical and medical supply manufacturers. Rebates are generally volume-based incentives and are recorded as a reduction of inventory and are accounted for as a reduction of cost of goods sold when the related inventory is sold.</w:t>
      </w:r>
    </w:p>
    <w:p>
      <w:pPr>
        <w:spacing w:after="0" w:line="117" w:lineRule="exact"/>
        <w:rPr>
          <w:sz w:val="20"/>
          <w:szCs w:val="20"/>
          <w:color w:val="auto"/>
        </w:rPr>
      </w:pPr>
    </w:p>
    <w:p>
      <w:pPr>
        <w:ind w:right="720" w:firstLine="324"/>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Selling, General and Administrative Expenses </w:t>
      </w:r>
      <w:r>
        <w:rPr>
          <w:rFonts w:ascii="Times New Roman" w:cs="Times New Roman" w:eastAsia="Times New Roman" w:hAnsi="Times New Roman"/>
          <w:sz w:val="17"/>
          <w:szCs w:val="17"/>
          <w:color w:val="auto"/>
        </w:rPr>
        <w:t>— Selling, general and administrative expenses mainly consist of salaries for administrative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that directly and indirectly support the operations, occupancy costs, marketing expenditures, insurance, and professional fees.</w:t>
      </w:r>
    </w:p>
    <w:p>
      <w:pPr>
        <w:spacing w:after="0" w:line="10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Stock Based Incentive Compensation </w:t>
      </w:r>
      <w:r>
        <w:rPr>
          <w:rFonts w:ascii="Times New Roman" w:cs="Times New Roman" w:eastAsia="Times New Roman" w:hAnsi="Times New Roman"/>
          <w:sz w:val="18"/>
          <w:szCs w:val="18"/>
          <w:color w:val="auto"/>
        </w:rPr>
        <w:t>— The Company accounts for stock-based incentive compensation expense in accordance with ASC Topic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Stock-based incentive compensation expense is based on the grant date fair value. The Company estimates the fair value of stock option awards using a Black-Scholes option pricing model and the fair value of restricted stock unit awards using the closing price of the Company’s common stock on the grant date. For awards with a service-based vesting condition, the Company recognizes expense on a straight-line basis over the service period of the award. For awards with performance-based vesting conditions, the Company will recognize expense when it is probable that the performance-based conditions will be met. When the Company determines that it is probable that the performance-based conditions will be met, a cumulative catch-up of expense will be recorded as if the award had been vesting on a straight-line basis from the award date. The award will continue to be expensed on a straight-line basis through the remainder of the vesting period and will be updated if the Company determines that there has been a change in the probability of achieving the performance-based conditions. The Company records the impact of forfeited awards in the period in which the forfeiture occurs.</w:t>
      </w:r>
    </w:p>
    <w:p>
      <w:pPr>
        <w:spacing w:after="0" w:line="145" w:lineRule="exact"/>
        <w:rPr>
          <w:sz w:val="20"/>
          <w:szCs w:val="20"/>
          <w:color w:val="auto"/>
        </w:rPr>
      </w:pPr>
    </w:p>
    <w:p>
      <w:pPr>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color w:val="auto"/>
        </w:rPr>
        <w:t>— The Company accounts for business acquisitions in accordance with ASC Topic 805,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with assets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liabilities being recorded at their acquisition date fair value and goodwill being calculated as the purchase price in excess of the net identifiable assets. See Note 3,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for further discussion of the Company’s business acquisitions.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The Company accounts for income taxes using the asset and liability method. Deferred tax assets and liabilities are reported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book-tax basis differences and are measured based on currently enacted tax laws using rates expected to apply to taxable income in the years in which the differences are expected to reverse. The effect of a change in tax rate on deferred taxes is recognized in income tax expense in the period that includes the enactment date of the change.</w:t>
      </w:r>
    </w:p>
    <w:p>
      <w:pPr>
        <w:spacing w:after="0" w:line="14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Valuation allowances are established when necessary to reduce deferred tax assets to the amounts more likely than not to be realized.</w:t>
      </w:r>
    </w:p>
    <w:p>
      <w:pPr>
        <w:spacing w:after="0" w:line="14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income tax positions that are more likely than not to be sustained on their technical merits. The Company measures recognized income tax positions at the maximum benefit that is more likely than not, based on cumulative probability, realizable upon final settlement of the position. Interest and penalties related to unrecognized tax benefits are reported in income tax expense (benefit). Tax related interest and penalties are classified as a component of income tax expense (benefit).</w:t>
      </w:r>
    </w:p>
    <w:p>
      <w:pPr>
        <w:spacing w:after="0" w:line="13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Concentrations of Business Risk </w:t>
      </w:r>
      <w:r>
        <w:rPr>
          <w:rFonts w:ascii="Times New Roman" w:cs="Times New Roman" w:eastAsia="Times New Roman" w:hAnsi="Times New Roman"/>
          <w:sz w:val="18"/>
          <w:szCs w:val="18"/>
          <w:color w:val="auto"/>
        </w:rPr>
        <w:t>— The Company generates revenue from managed care contracts and other agreements with commercial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payers. Revenue related to the Company’s largest payer was approximately 14%, 15%, and 14% for the years ended December 31, 2025, 2024, and 2023, respectively. There were no other managed care contracts that represent greater than 10% of revenue for the years presented.</w:t>
      </w:r>
    </w:p>
    <w:p>
      <w:pPr>
        <w:spacing w:after="0" w:line="134"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approximately 12% of the Company’s revenue was reimbursable through direct government healthcare programs such as Medicare and Medicaid. As of December 31, 2025 and 2024, approximately 13% and 11%, respectively, of the Company’s accounts receivable was related to these programs. Governmental programs pay for services based on fee schedules and rates that are determined by the related governmental agency. Laws and regulations pertaining to government programs are complex and subject to interpretation. As a result, there is at least a reasonable possibility that recorded estimates will change in the near term.</w:t>
      </w:r>
    </w:p>
    <w:p>
      <w:pPr>
        <w:spacing w:after="0" w:line="156"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require its patients or other payers to carry collateral for any amounts owed for goods or services provided. Other than as discussed above, concentrations of credit risk relating to trade accounts receivable are limited due to the Company’s diversity of patients and payers. Further, the Company generally does not provide charity care; however, Option Care Health offers a financial assistance program for patients that meet certain defined hardship criteria.</w:t>
      </w:r>
    </w:p>
    <w:p>
      <w:pPr>
        <w:spacing w:after="0" w:line="13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2025, approximately 68% of the Company’s pharmaceutical and medical supply purchases were from four vendors. For the year ended December 31, 2024, approximately 58% of the Company’s pharmaceutical and medical supply purchases were from three vendors. For the year ended December 31, 2023, approximately 72% of the Company’s pharmaceutical and medical supply purchases were from four vendors. Most of the pharmaceutical and medical supplies that we purchase are available from multiple distributors, and we believe they are available in sufficient quantities to meet our needs and the needs of our patients. However, a change in suppliers could cause delays in service delivery and possible losses in revenue, which could adversely affect the Company’s financial condition or operating results.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The fair value measurement accounting standard, ASC Topic 820,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(“ASC 820”), provides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 for measuring fair value and defines fair value as the price that would be received to sell an asset or paid to transfer a liability. Fair value is a market-based measurement that should be determined using assumptions that market participants would use in pricing an asset or liability. The standard establishes a valuation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independent market data sources. Unobservable inputs are inputs that reflect the Company’s assumptions about the factors market participants would use in valuing the asset or liability developed based upon the best information available. The valuation hierarchy is composed of three categories. The categorization within the valuation hierarchy is based on the lowest level of input that is significant to the fair value measurement. The categories within the valuation hierarchy are described as follows:</w:t>
      </w:r>
    </w:p>
    <w:p>
      <w:pPr>
        <w:spacing w:after="0" w:line="15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fair value measurement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fair value measurement include quoted prices in active markets for similar assets or liabilities, quoted prices for identical or similar assets or liabilities in markets that are not active, and inputs other than quoted prices that are observable for the asset or liability,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fair value measurement are unobservable inputs or valuation techniques.</w:t>
      </w:r>
    </w:p>
    <w:p>
      <w:pPr>
        <w:spacing w:after="0" w:line="180"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Recently Issued Accounting Pronouncements </w:t>
      </w:r>
      <w:r>
        <w:rPr>
          <w:rFonts w:ascii="Times New Roman" w:cs="Times New Roman" w:eastAsia="Times New Roman" w:hAnsi="Times New Roman"/>
          <w:sz w:val="17"/>
          <w:szCs w:val="17"/>
          <w:color w:val="auto"/>
        </w:rPr>
        <w:t>— In December 2025, the FASB issued ASU 2025-11,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Interim Reporting (Topic 270): Narrow-Scope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Improvements</w:t>
      </w:r>
      <w:r>
        <w:rPr>
          <w:rFonts w:ascii="Times New Roman" w:cs="Times New Roman" w:eastAsia="Times New Roman" w:hAnsi="Times New Roman"/>
          <w:sz w:val="17"/>
          <w:szCs w:val="17"/>
          <w:color w:val="auto"/>
        </w:rPr>
        <w:t>. This ASU improves the navigability of the required interim disclosures, clarifies when the guidance in Topic 270 is applicable, and provides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additional guidance on what disclosures should be provided in interim reporting periods. The amendments also require entities to disclose events since the end of the last annual reporting period that have a material impact on the entity. The FASB does not intend to change the fundamental nature of interim reporting or expand or reduce current interim disclosure requirements, but rather intends to provide clarity on the current interim reporting requirements. The Company is required to adopt this ASU for interim reporting periods within annual reporting periods beginning after December 15, 2027, with early adoption permitted. The Company is currently evaluating the impact of this ASU on its results of operations, cash flows, financial position, and disclosures.</w:t>
      </w:r>
    </w:p>
    <w:p>
      <w:pPr>
        <w:spacing w:after="0" w:line="13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This ASU modernizes the accounting for software costs that are accounted for under Subtopic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350-40 and improves the operability of the guidance by removing all references to software development project stages so that the guidance is neutral to different software development methods, including methods that entities may use to develop software in the future. The FASB expects that capitalization of internal-use software costs generally will not change significantly for most types of software under the amendments in this update. The Company is required to adopt this ASU for annual reporting periods beginning after December 15, 2027, and interim reporting periods within those annual reporting periods, with early adoption permitted. This ASU was adopted as of January 1, 2026 and will be applied prospectively to the 2026 annual reporting period. The adoption will not have any material impact on the Company’s results of operations, cash flows, financial position, or disclosures.</w:t>
      </w:r>
    </w:p>
    <w:p>
      <w:pPr>
        <w:spacing w:after="0" w:line="15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This ASU improves the disclosures around a public business entity’s expenses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requests from investors for more detailed information about the types of expenses (including purchases of inventory, employee compensation, depreciation, amortization, and depletion) in commonly presented expense captions (such as cost of sales, SG&amp;A, and research and development). The amendments in this ASU do not change or remove current presentation requirements or current expense disclosure requirements. However, the amendments affect where this information appears in the notes to financial statements because entities are required to include certain current disclosures in the same tabular format disclosure as the other disaggregation requirements in the amendments. The Company is required to adopt this ASU for annual reporting periods beginning after December 15, 2026, and interim reporting periods beginning after December 15, 2027, with early adoption permitted. The Company is currently evaluating the impact of this ASU on its results of operations, cash flows, financial position, and disclosures.</w:t>
      </w:r>
    </w:p>
    <w:p>
      <w:pPr>
        <w:spacing w:after="0" w:line="14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This ASU addresses investor requests for more transparency about income tax information through improvements to income tax disclosures primarily related to the rate reconciliation and income taxes paid information. The ASU improves the transparency of income tax disclosures by requiring consistent categories and greater disaggregation of information in the rate reconciliation and income taxes paid disaggregated by jurisdiction. The ASU allows investors to better assess, in their capital allocation decisions, how an entity’s worldwide operations and related tax risks and tax planning and operational opportunities affect its income tax rate and prospects for future cash flows. This ASU also improves the effectiveness and comparability of disclosures by adding disclosures of pretax income (loss) and income tax expense (benefit) to be consistent with U.S. Securities and Exchange Commission (“SEC”) Regulation S-X and removing disclosures that no longer are considered cost beneficial or relevant. The Company is required to adopt this ASU for annual periods beginning after December 15, 2024, with early adoption permitted. This ASU was adopted during the year ended December 31, 2025 and applied prospectively. The adoption did not have any material impact on the Company’s results of operations, cash flows, financial position, or disclosures. See Note 6,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further discussion.</w:t>
      </w:r>
    </w:p>
    <w:p>
      <w:pPr>
        <w:spacing w:after="0" w:line="15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Simplification Initiative</w:t>
      </w:r>
      <w:r>
        <w:rPr>
          <w:rFonts w:ascii="Times New Roman" w:cs="Times New Roman" w:eastAsia="Times New Roman" w:hAnsi="Times New Roman"/>
          <w:sz w:val="18"/>
          <w:szCs w:val="18"/>
          <w:color w:val="auto"/>
        </w:rPr>
        <w:t>. This ASU is the result of the Board’s decision to incorporate into the Codification 14 disclosures referred by the SEC.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represents changes to clarify or improve disclosure and presentation requirements of a variety of Topics. Many of the amendments allow users to more easily compare entities subject to the SEC’s existing disclosures with those entities that were not previously subject to the SEC’s requirements. Also, the amendments align the requirements in the Codification with the SEC’s regulations. The effective date for each amendment will be the date on which the SEC’s removal of that related disclosure from Regulation S-X or Regulation S-K becomes effective, with early adoption permitted. If by June 30, 2027, the SEC has not removed the applicable requirement from Regulation S-X or Regulation S-K, the pending content of the related amendment will be removed from the Codification and will not become effective. The Company is currently evaluating the impact of this ASU on its results of operations, cash flows, financial position, and disclosures.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ACQUISITIONS</w:t>
      </w:r>
    </w:p>
    <w:p>
      <w:pPr>
        <w:spacing w:after="0" w:line="185" w:lineRule="exact"/>
        <w:rPr>
          <w:sz w:val="20"/>
          <w:szCs w:val="20"/>
          <w:color w:val="auto"/>
        </w:rPr>
      </w:pPr>
    </w:p>
    <w:p>
      <w:pPr>
        <w:ind w:right="26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Intramed Plus, Inc. </w:t>
      </w:r>
      <w:r>
        <w:rPr>
          <w:rFonts w:ascii="Times New Roman" w:cs="Times New Roman" w:eastAsia="Times New Roman" w:hAnsi="Times New Roman"/>
          <w:sz w:val="18"/>
          <w:szCs w:val="18"/>
          <w:color w:val="auto"/>
        </w:rPr>
        <w:t>— On January 24, 2025, pursuant to the securities purchase agreement dated November 27, 2024, the Company completed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100% of the equity interests in Intramed Plus, Inc. (“Intramed Plus”) for a purchase price, net of cash acquired, of $117.2 million.</w:t>
      </w:r>
    </w:p>
    <w:p>
      <w:pPr>
        <w:spacing w:after="0" w:line="13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allocation of the purchase price of Intramed Plus was accounted for as a business combination in accordance with ASC Topic 805, Business Combinations, with the total purchase price being allocated to the assets and liabilities acquired based on the estimated fair value of each asset and liability. Certain adjustments were made to preliminary valuation amounts related to accounts receivable, net during the year ended December 31, 2025. The following is a final allocation of the consideration transferred to acquired identifiable assets and assumed liabilities, net of cash acquired (in thousands), as of December 31, 2025: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 net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9,240</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Referral sources (1)</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36,800</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Trademarks/names (1)</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2,693</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(11,114)</w:t>
            </w:r>
          </w:p>
        </w:tc>
      </w:tr>
      <w:tr>
        <w:trPr>
          <w:trHeight w:val="21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 identifiable assets and liabilities</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50,750</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 (2)</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66,497</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acquired</w:t>
            </w: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r>
      <w:tr>
        <w:trPr>
          <w:trHeight w:val="207"/>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4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120,215</w:t>
            </w: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cash acquired</w:t>
            </w:r>
          </w:p>
        </w:tc>
        <w:tc>
          <w:tcPr>
            <w:tcW w:w="44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(2,968)</w:t>
            </w:r>
          </w:p>
        </w:tc>
      </w:tr>
      <w:tr>
        <w:trPr>
          <w:trHeight w:val="212"/>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net of cash acquired</w:t>
            </w: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117,247</w:t>
            </w:r>
          </w:p>
        </w:tc>
      </w:tr>
      <w:tr>
        <w:trPr>
          <w:trHeight w:val="20"/>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Referral sources and trademarks/names have been assigned a useful life of 15 years.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attributable to cost synergies from procurement and operational efficiencies and elimination of duplicative administrative costs.</w:t>
      </w:r>
    </w:p>
    <w:p>
      <w:pPr>
        <w:spacing w:after="0" w:line="194" w:lineRule="exact"/>
        <w:rPr>
          <w:sz w:val="20"/>
          <w:szCs w:val="20"/>
          <w:color w:val="auto"/>
        </w:rPr>
      </w:pPr>
    </w:p>
    <w:p>
      <w:pPr>
        <w:ind w:right="2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Amedisys, Inc. — </w:t>
      </w:r>
      <w:r>
        <w:rPr>
          <w:rFonts w:ascii="Times New Roman" w:cs="Times New Roman" w:eastAsia="Times New Roman" w:hAnsi="Times New Roman"/>
          <w:sz w:val="18"/>
          <w:szCs w:val="18"/>
          <w:color w:val="auto"/>
        </w:rPr>
        <w:t>On May 3, 2023, the Company entered into a definitive merger agreement (the “Amedisys Merger Agreement”) with Amedisys,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(“Amedisys”). Under the terms of the Amedisys Merger Agreement, the Company would issue new shares of its common stock to Amedisys stockholders, which would result in the Company’s stockholders holding approximately 64.5% of the combined company.</w:t>
      </w:r>
    </w:p>
    <w:p>
      <w:pPr>
        <w:spacing w:after="0" w:line="134"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On June 26, 2023, the Company entered into an agreement to terminate the Amedisys Merger Agreement (the “Mutual Termination Agreement”). Under the terms of the Mutual Termination Agreement, the Company received a payment of $106.0 million in cash on behalf of Amedisys (the “Termination Fee”). The Termination Fee is included in Other, net in the consolidated statements of comprehensive income and in Net cash provided by operating activities in the consolidated statements of cash flows.</w:t>
      </w:r>
    </w:p>
    <w:p>
      <w:pPr>
        <w:spacing w:after="0" w:line="13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incurred $21.1 million in merger-related expenses, which are included in Other, net in the consolidated statements of comprehensive income and in Net cash provided by operating activities in the consolidated statements of cash flows.</w:t>
      </w:r>
    </w:p>
    <w:p>
      <w:pPr>
        <w:spacing w:after="0" w:line="131"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Revitalized, LLC — </w:t>
      </w:r>
      <w:r>
        <w:rPr>
          <w:rFonts w:ascii="Times New Roman" w:cs="Times New Roman" w:eastAsia="Times New Roman" w:hAnsi="Times New Roman"/>
          <w:sz w:val="18"/>
          <w:szCs w:val="18"/>
          <w:color w:val="auto"/>
        </w:rPr>
        <w:t>In May 2023, pursuant to the equity purchase agreement dated May 1, 2023, the Company completed the acquisition of 100%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membership interests in Revitalized, LLC for a purchase price, net of cash acquired, of $12.5 million, which primarily consisted of $6.7 million of goodwill and $5.5 million of intangible assets.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net revenue earned by category of payer for the years ended December 31, 2025, 2024, and 2023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 payers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4,902,394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4,348,991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3,747,568</w:t>
            </w:r>
          </w:p>
        </w:tc>
      </w:tr>
      <w:tr>
        <w:trPr>
          <w:trHeight w:val="21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Government payers</w:t>
            </w:r>
          </w:p>
        </w:tc>
        <w:tc>
          <w:tcPr>
            <w:tcW w:w="10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681,583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500,891</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Patients</w:t>
            </w:r>
          </w:p>
        </w:tc>
        <w:tc>
          <w:tcPr>
            <w:tcW w:w="10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65,542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53,865</w:t>
            </w:r>
          </w:p>
        </w:tc>
      </w:tr>
      <w:tr>
        <w:trPr>
          <w:trHeight w:val="210"/>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0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5,649,519</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4,998,202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4,302,324</w:t>
            </w: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18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and matches 100% of employee contributions, up to 4% of employee compensation. The Company recorded expense for the defined contribution plan of $14.7 million, $13.3 million, and $13.1 million for the years ended December 31, 2025, 2024, and 2023, respectively. In the years ended December 31, 2025, 2024, and 2023, Company contributions of $14.0 million, $13.3 million, and $12.4 million, respectively, were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(benefit) consists of the following for the years ended December 31, 2025, 2024, and 2023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income tax expense (benefit):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51,994</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56,474</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18,739</w:t>
            </w:r>
          </w:p>
        </w:tc>
      </w:tr>
      <w:tr>
        <w:trPr>
          <w:trHeight w:val="209"/>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63,635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75,213</w:t>
            </w:r>
          </w:p>
        </w:tc>
      </w:tr>
      <w:tr>
        <w:trPr>
          <w:trHeight w:val="19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income tax expense (benefit):</w:t>
            </w: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20,253</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(3,814)</w:t>
            </w:r>
          </w:p>
        </w:tc>
      </w:tr>
      <w:tr>
        <w:trPr>
          <w:trHeight w:val="209"/>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6"/>
                <w:szCs w:val="16"/>
                <w:color w:val="auto"/>
              </w:rPr>
              <w:t>16,439</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 expense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75,315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91,652</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Beginning with the year ended December 31, 2025, the Company has prospectively adopted the guidance in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Income Taxes Disclosures </w:t>
      </w:r>
      <w:r>
        <w:rPr>
          <w:rFonts w:ascii="Times New Roman" w:cs="Times New Roman" w:eastAsia="Times New Roman" w:hAnsi="Times New Roman"/>
          <w:sz w:val="18"/>
          <w:szCs w:val="18"/>
          <w:color w:val="auto"/>
        </w:rPr>
        <w:t>(“ASU 2023-09”). The following table is a reconciliation of the U.S. federal statutory rate of 21%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effective rate for the year ended December 31, 2025 in accordance with the guidance in ASU 2023-09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3100" w:type="dxa"/>
            <w:vAlign w:val="bottom"/>
            <w:tcBorders>
              <w:bottom w:val="single" w:sz="8" w:color="auto"/>
            </w:tcBorders>
            <w:gridSpan w:val="4"/>
          </w:tcPr>
          <w:p>
            <w:pPr>
              <w:ind w:left="76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580" w:type="dxa"/>
            <w:vAlign w:val="bottom"/>
            <w:tcBorders>
              <w:bottom w:val="single" w:sz="8" w:color="auto"/>
            </w:tcBorders>
          </w:tcPr>
          <w:p>
            <w:pPr>
              <w:spacing w:after="0"/>
              <w:rPr>
                <w:sz w:val="18"/>
                <w:szCs w:val="18"/>
                <w:color w:val="auto"/>
              </w:rPr>
            </w:pPr>
          </w:p>
        </w:tc>
      </w:tr>
      <w:tr>
        <w:trPr>
          <w:trHeight w:val="211"/>
        </w:trPr>
        <w:tc>
          <w:tcPr>
            <w:tcW w:w="75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580" w:type="dxa"/>
            <w:vAlign w:val="bottom"/>
            <w:tcBorders>
              <w:bottom w:val="single" w:sz="8" w:color="auto"/>
            </w:tcBorders>
          </w:tcPr>
          <w:p>
            <w:pPr>
              <w:spacing w:after="0"/>
              <w:rPr>
                <w:sz w:val="18"/>
                <w:szCs w:val="18"/>
                <w:color w:val="auto"/>
              </w:rPr>
            </w:pPr>
          </w:p>
        </w:tc>
      </w:tr>
      <w:tr>
        <w:trPr>
          <w:trHeight w:val="21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income tax rate</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income tax effect (1)</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tax credits</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13"/>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impacts</w:t>
            </w:r>
          </w:p>
        </w:tc>
        <w:tc>
          <w:tcPr>
            <w:tcW w:w="1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6"/>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2"/>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180" w:type="dxa"/>
            <w:vAlign w:val="bottom"/>
            <w:tcBorders>
              <w:bottom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75,315</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26.6 %</w:t>
            </w:r>
          </w:p>
        </w:tc>
      </w:tr>
      <w:tr>
        <w:trPr>
          <w:trHeight w:val="20"/>
        </w:trPr>
        <w:tc>
          <w:tcPr>
            <w:tcW w:w="75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State tax in California, Florida, New York and Pennsylvania made up more than 50% of the tax effect in this category.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Also in accordance with ASU 2023-09, the following table reflects income taxes paid disaggregated by Federal and State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57,500</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State</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9,787</w:t>
            </w: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income taxes paid</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U.S. federal statutory rate of 21% to the Company’s effective rate for the years ended December 31, 2024 and 2023 in accordance with the guidance prior to the adoption of ASU 2023-09:</w:t>
      </w:r>
    </w:p>
    <w:p>
      <w:pPr>
        <w:spacing w:after="0" w:line="164"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 statutory tax rate</w:t>
            </w: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r>
      <w:tr>
        <w:trPr>
          <w:trHeight w:val="21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income tax effect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1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Share-based compensation impacts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1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212"/>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25.3 %</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r>
      <w:tr>
        <w:trPr>
          <w:trHeight w:val="21"/>
        </w:trPr>
        <w:tc>
          <w:tcPr>
            <w:tcW w:w="75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recorded income tax expense of $75.3 million, $71.8 million, and $91.7 million, which represents an effective tax rate of 26.6%, 25.3%, and 25.5% for the years ended December 31, 2025, 2024, and 2023, respectively. The Company released $0.4 million, $2.2 million, and $5.8 million of state valuation allowances for the years ended December 31, 2025, 2024, and 2023, respectively. The income tax expense for the year ended December 31, 2023 includes $21.8 million of tax expense related to the Termination Fee payment received on behalf of Amedisys, under the terms of the Mutual Termination Agreement, net of merger-related expenses.</w:t>
      </w:r>
    </w:p>
    <w:p>
      <w:pPr>
        <w:spacing w:after="0" w:line="156"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variance in the Company’s effective tax rate of 26.6%, 25.3%, and 25.5% for the years ended December 31, 2025, 2024, and 2023, respectively, compared to the federal statutory rate of 21%, as well as year-over-year changes, was primarily attributable to the inclusion of state taxes in multiple jurisdictions, various non-deductible expenses, and changes in state valuation allowance.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deferred income tax assets and liabilities were as follows as of December 31, 2025 and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Price concessions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8,053</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limitation carryforward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23,880</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operating losses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50,860</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12,676</w:t>
            </w:r>
          </w:p>
        </w:tc>
      </w:tr>
      <w:tr>
        <w:trPr>
          <w:trHeight w:val="207"/>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tax assets before valuation allowance</w:t>
            </w: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101,388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107,403</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allowance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tax assets, net of valuation allowance</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98,549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104,066</w:t>
            </w:r>
          </w:p>
        </w:tc>
      </w:tr>
      <w:tr>
        <w:trPr>
          <w:trHeight w:val="239"/>
        </w:trPr>
        <w:tc>
          <w:tcPr>
            <w:tcW w:w="7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Accelerated depreciation</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(12,630)</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(18,883)</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(48,412)</w:t>
            </w: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(59,303)</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(12,414)</w:t>
            </w:r>
          </w:p>
        </w:tc>
      </w:tr>
      <w:tr>
        <w:trPr>
          <w:trHeight w:val="207"/>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(154,568)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(151,642)</w:t>
            </w: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(47,576)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Deferred tax assets are generally required to be reduced by a valuation allowance if it is more likely than not that some portion or all of the deferred tax assets will not be realized. For the year ended December 31, 2025, the Company maintains a valuation allowance of $2.8 million against certain state net operating losses (“NOL”). In assessing the realizability of deferred tax assets, the Company considers whether it is more likely than not that some or all the deferred tax assets will not be realized. The ultimate realization of deferred tax assets depends on the generation of future taxable income during the periods in which those temporary differences are deductible. The Company considers the scheduled reversal of deferred tax liabilities, including the effect in available carryback and carryforward periods, projected taxable income and tax-planning strategies, in making this assessment. On a quarterly basis, the Company evaluates all positive and negative evidence in determining if the valuation allowance is fairly stated.</w:t>
      </w:r>
    </w:p>
    <w:p>
      <w:pPr>
        <w:spacing w:after="0" w:line="14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At December 31, 2025, the Company had $33.7 million of tax-effected federal NOL carryforwards all of which are currently available to offset future taxable income in the United States and reflected as a deferred tax asset of the company. Tax-effected federal NOL carryforwards of $22.7 million expire beginning in 2028 through 2036, and $11.0 million of tax-effected federal NOLs have an indefinite carryforward period. At December 31, 2025, the Company had $3.5 million tax-effected amounts of interest limitation carryforwards which have an indefinite carryforward period. At December 31, 2025, the Company also had $12.8 million tax-effected amounts of cumulative state NOL carryforwards available to offset future taxable income in various states. These state NOL carryforwards will expire beginning in 2026 through 2044, with some having an indefinite carryforward period.</w:t>
      </w:r>
    </w:p>
    <w:p>
      <w:pPr>
        <w:spacing w:after="0" w:line="160"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At December 31, 2025, 2024, and 2023, there were no unrecognized tax benefits for uncertain tax positions. Tax related interest and penalties are classified as a component of income tax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presents the valuation allowance for deferred tax assets for the years ended December 31, 2025, 2024 and 2023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5"/>
          </w:tcPr>
          <w:p>
            <w:pPr>
              <w:ind w:left="1320"/>
              <w:spacing w:after="0"/>
              <w:rPr>
                <w:sz w:val="20"/>
                <w:szCs w:val="20"/>
                <w:color w:val="auto"/>
              </w:rPr>
            </w:pPr>
            <w:r>
              <w:rPr>
                <w:rFonts w:ascii="Times New Roman" w:cs="Times New Roman" w:eastAsia="Times New Roman" w:hAnsi="Times New Roman"/>
                <w:sz w:val="16"/>
                <w:szCs w:val="16"/>
                <w:b w:val="1"/>
                <w:bCs w:val="1"/>
                <w:color w:val="auto"/>
              </w:rPr>
              <w:t>Additions</w:t>
            </w: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840" w:type="dxa"/>
            <w:vAlign w:val="bottom"/>
            <w:gridSpan w:val="3"/>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Balance at Beginning of</w:t>
            </w:r>
          </w:p>
        </w:tc>
        <w:tc>
          <w:tcPr>
            <w:tcW w:w="1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gridSpan w:val="2"/>
          </w:tcPr>
          <w:p>
            <w:pPr>
              <w:jc w:val="center"/>
              <w:ind w:right="260"/>
              <w:spacing w:after="0" w:line="161" w:lineRule="exact"/>
              <w:rPr>
                <w:sz w:val="20"/>
                <w:szCs w:val="20"/>
                <w:color w:val="auto"/>
              </w:rPr>
            </w:pPr>
            <w:r>
              <w:rPr>
                <w:rFonts w:ascii="Times New Roman" w:cs="Times New Roman" w:eastAsia="Times New Roman" w:hAnsi="Times New Roman"/>
                <w:sz w:val="16"/>
                <w:szCs w:val="16"/>
                <w:b w:val="1"/>
                <w:bCs w:val="1"/>
                <w:color w:val="auto"/>
              </w:rPr>
              <w:t>Charged (Benefit) to</w:t>
            </w:r>
          </w:p>
        </w:tc>
        <w:tc>
          <w:tcPr>
            <w:tcW w:w="12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jc w:val="center"/>
              <w:ind w:right="39"/>
              <w:spacing w:after="0" w:line="161" w:lineRule="exact"/>
              <w:rPr>
                <w:sz w:val="20"/>
                <w:szCs w:val="20"/>
                <w:color w:val="auto"/>
              </w:rPr>
            </w:pPr>
            <w:r>
              <w:rPr>
                <w:rFonts w:ascii="Times New Roman" w:cs="Times New Roman" w:eastAsia="Times New Roman" w:hAnsi="Times New Roman"/>
                <w:sz w:val="16"/>
                <w:szCs w:val="16"/>
                <w:b w:val="1"/>
                <w:bCs w:val="1"/>
                <w:color w:val="auto"/>
              </w:rPr>
              <w:t>Charged (Benefit) to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right"/>
              <w:ind w:right="179"/>
              <w:spacing w:after="0" w:line="161" w:lineRule="exact"/>
              <w:rPr>
                <w:sz w:val="20"/>
                <w:szCs w:val="20"/>
                <w:color w:val="auto"/>
              </w:rPr>
            </w:pPr>
            <w:r>
              <w:rPr>
                <w:rFonts w:ascii="Times New Roman" w:cs="Times New Roman" w:eastAsia="Times New Roman" w:hAnsi="Times New Roman"/>
                <w:sz w:val="16"/>
                <w:szCs w:val="16"/>
                <w:b w:val="1"/>
                <w:bCs w:val="1"/>
                <w:color w:val="auto"/>
              </w:rPr>
              <w:t>Balance at End of</w:t>
            </w:r>
          </w:p>
        </w:tc>
        <w:tc>
          <w:tcPr>
            <w:tcW w:w="0" w:type="dxa"/>
            <w:vAlign w:val="bottom"/>
          </w:tcPr>
          <w:p>
            <w:pPr>
              <w:spacing w:after="0"/>
              <w:rPr>
                <w:sz w:val="1"/>
                <w:szCs w:val="1"/>
                <w:color w:val="auto"/>
              </w:rPr>
            </w:pPr>
          </w:p>
        </w:tc>
      </w:tr>
      <w:tr>
        <w:trPr>
          <w:trHeight w:val="214"/>
        </w:trPr>
        <w:tc>
          <w:tcPr>
            <w:tcW w:w="39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Other Accounts</w:t>
            </w:r>
          </w:p>
        </w:tc>
        <w:tc>
          <w:tcPr>
            <w:tcW w:w="180" w:type="dxa"/>
            <w:vAlign w:val="bottom"/>
          </w:tcPr>
          <w:p>
            <w:pPr>
              <w:spacing w:after="0"/>
              <w:rPr>
                <w:sz w:val="18"/>
                <w:szCs w:val="18"/>
                <w:color w:val="auto"/>
              </w:rPr>
            </w:pPr>
          </w:p>
        </w:tc>
        <w:tc>
          <w:tcPr>
            <w:tcW w:w="158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 Valuation allowance for deferred tax assets</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0" w:type="dxa"/>
            <w:vAlign w:val="bottom"/>
          </w:tcPr>
          <w:p>
            <w:pPr>
              <w:spacing w:after="0"/>
              <w:rPr>
                <w:sz w:val="1"/>
                <w:szCs w:val="1"/>
                <w:color w:val="auto"/>
              </w:rPr>
            </w:pP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2024: Valuation allowance for deferred tax assets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219"/>
        </w:trPr>
        <w:tc>
          <w:tcPr>
            <w:tcW w:w="3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Valuation allowance for deferred tax assets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and various state and local jurisdictions. There are no ongoing Federal or state income tax audits as of December 31, 2025. The statute remains open for examination by the Internal Revenue Service beginning with year 2022 and in state jurisdictions for periods beginning in 2021.</w:t>
      </w:r>
    </w:p>
    <w:p>
      <w:pPr>
        <w:spacing w:after="0" w:line="14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has reflected the applicable provisions of the OBBBA into its consolidated financial statements for the year ended December 31, 2025, and there is no material impact on the Company’s effective tax rate.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8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presents basic and diluted earnings per share for its common stock. Basic earnings per share is calculated by dividing the net income of the Company by the weighted average number of shares of common stock outstanding during the period. Diluted earnings per share is determined by adjusting the profit or loss and the weighted average number of shares of common stock outstanding for the effects of all potentially dilutive securities.</w:t>
      </w:r>
    </w:p>
    <w:p>
      <w:pPr>
        <w:spacing w:after="0" w:line="14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earnings are used as the basis of determining whether the inclusion of common stock equivalents would be anti-dilutive. The computation of diluted shares for the years ended December 31, 2025, 2024, and 2023 includes the effect of shares that would be issued in connection with warrants, stock options, restricted stock awards and performance stock unit awards, as these common stock equivalents are dilutive to the earnings per share recorded in those periods.</w:t>
      </w:r>
    </w:p>
    <w:p>
      <w:pPr>
        <w:spacing w:after="0" w:line="13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common stock equivalents that were excluded from the calculation of earnings per share as they would be anti-dilutive:</w:t>
      </w:r>
    </w:p>
    <w:p>
      <w:pPr>
        <w:spacing w:after="0" w:line="16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4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 awards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697,024</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854,545</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1,214,560</w:t>
            </w:r>
          </w:p>
        </w:tc>
      </w:tr>
      <w:tr>
        <w:trPr>
          <w:trHeight w:val="21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awards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575,070</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376,743</w:t>
            </w:r>
          </w:p>
        </w:tc>
        <w:tc>
          <w:tcPr>
            <w:tcW w:w="1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340,331</w:t>
            </w:r>
          </w:p>
        </w:tc>
      </w:tr>
      <w:tr>
        <w:trPr>
          <w:trHeight w:val="21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stock unit awards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354,696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286,881</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basic earnings per share and shares outstanding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162,099</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171,567</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178,973</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09"/>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basic</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21"/>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32"/>
        <w:spacing w:after="0" w:line="312" w:lineRule="auto"/>
        <w:tabs>
          <w:tab w:leader="none" w:pos="57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Net income for the year ended December 31, 2023 includes $63.1 million related to the termination payment received on behalf of Amedisys, under the terms of the Mutual Termination Agreement, net of merger-related expenses and taxes. See Note 3,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for further discussion.</w:t>
      </w:r>
    </w:p>
    <w:p>
      <w:pPr>
        <w:spacing w:after="0" w:line="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Company’s diluted earnings per share and shares outstanding (in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(1)</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52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267,090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162,099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171,567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178,973</w:t>
            </w:r>
          </w:p>
        </w:tc>
      </w:tr>
      <w:tr>
        <w:trPr>
          <w:trHeight w:val="216"/>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1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w:t>
            </w:r>
          </w:p>
        </w:tc>
      </w:tr>
      <w:tr>
        <w:trPr>
          <w:trHeight w:val="212"/>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number of common shares outstanding, diluted</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163,365</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172,845</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180,375</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1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r>
      <w:tr>
        <w:trPr>
          <w:trHeight w:val="210"/>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Earnings per common share, diluted</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
        </w:trPr>
        <w:tc>
          <w:tcPr>
            <w:tcW w:w="5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332"/>
        <w:spacing w:after="0" w:line="312" w:lineRule="auto"/>
        <w:tabs>
          <w:tab w:leader="none" w:pos="57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Net income for the year ended December 31, 2023 includes $63.1 million related to the termination payment received on behalf of Amedisys, under the terms of the Mutual Termination Agreement, net of merger-related expenses and taxes. See Note 3, </w:t>
      </w:r>
      <w:r>
        <w:rPr>
          <w:rFonts w:ascii="Times New Roman" w:cs="Times New Roman" w:eastAsia="Times New Roman" w:hAnsi="Times New Roman"/>
          <w:sz w:val="17"/>
          <w:szCs w:val="17"/>
          <w:i w:val="1"/>
          <w:iCs w:val="1"/>
          <w:color w:val="auto"/>
        </w:rPr>
        <w:t>Business Acquisitions</w:t>
      </w:r>
      <w:r>
        <w:rPr>
          <w:rFonts w:ascii="Times New Roman" w:cs="Times New Roman" w:eastAsia="Times New Roman" w:hAnsi="Times New Roman"/>
          <w:sz w:val="17"/>
          <w:szCs w:val="17"/>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2025, 2024, and 2023, the Company incurred operating lease expenses of $35.1 million, $32.7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$30.6 million, respectively, including short-term lease expenses, which were included as a component of selling, general and administrative expenses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As of December 31, 2025 and 2024, the weighted-average remaining lease term was 6.5 years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discount rate was 6.97% and 6.56%,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Operating leases mature as follows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30,992</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25,828</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14,248</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11,061</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41,711</w:t>
            </w:r>
          </w:p>
        </w:tc>
      </w:tr>
      <w:tr>
        <w:trPr>
          <w:trHeight w:val="212"/>
        </w:trPr>
        <w:tc>
          <w:tcPr>
            <w:tcW w:w="9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142,882</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(30,367)</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112,515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commenced new leases, extensions and amendments, resulting in non-cash operating activities in the consolidated statements of cash flows of $27.1 million, $25.0 million, and $30.5 million, respectively, related to the increases in the operating lease ROU asset and operating lease liabilities. As of December 31, 2025, the Company did not have any significant operating or financing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was as follows as of December 31, 2025 and 2024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pumps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37,659</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 furniture and other</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28,087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24,055</w:t>
            </w:r>
          </w:p>
        </w:tc>
      </w:tr>
      <w:tr>
        <w:trPr>
          <w:trHeight w:val="21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116,675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Computer software, purchased and internally developed</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46,532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 under development</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19,207</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22,990</w:t>
            </w:r>
          </w:p>
        </w:tc>
      </w:tr>
      <w:tr>
        <w:trPr>
          <w:trHeight w:val="210"/>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269,050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247,911</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(129,814)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(120,544)</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139,236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127,367</w:t>
            </w: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Depreciation expense is recorded within cost of revenue and operating expenses within the consolidated statements of comprehensive income, depending on the nature of the underlying fixed assets. The depreciation expense included in cost of revenue relates to revenue-generating assets, such as infusion pumps. The depreciation expense included in operating expenses is related to infrastructure items, such as furniture, computer and office equipment, and leasehold improvements. The following table presents the amount of depreciation expense recorded in cost of revenue and operating expenses for the years ended December 31, 2025, 2024, and 2023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expense in cost of revenue</w:t>
            </w:r>
          </w:p>
        </w:tc>
        <w:tc>
          <w:tcPr>
            <w:tcW w:w="1140" w:type="dxa"/>
            <w:vAlign w:val="bottom"/>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2,999</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Depreciation expense in operating expenses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26,503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24,820</w:t>
            </w:r>
          </w:p>
        </w:tc>
      </w:tr>
      <w:tr>
        <w:trPr>
          <w:trHeight w:val="237"/>
        </w:trPr>
        <w:tc>
          <w:tcPr>
            <w:tcW w:w="5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depreciation expense</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27,819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8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Goodwill is not amortized, but is evaluated for impairment annually in the fourth quarter of the fiscal year, or more frequently if an event occurs or circumstances change that would more likely than not reduce the fair value of a reporting unit below its carrying value.</w:t>
      </w:r>
    </w:p>
    <w:p>
      <w:pPr>
        <w:spacing w:after="0" w:line="13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Circumstances that could trigger an interim impairment test include: a significant adverse change in the business climate or legal factors, an adverse action or assessment by a regulator, unanticipated competition, the loss of key personnel, a change in reporting units, the likelihood that a reporting unit or significant portion of a reporting unit will be sold or otherwise disposed of, and the results of testing for recoverability of a significant asset group within a reporting unit.</w:t>
      </w:r>
    </w:p>
    <w:p>
      <w:pPr>
        <w:spacing w:after="0" w:line="13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 qualitative impairment analysis was performed in the fourth quarter of 2025, 2024, and 2023, to assess whether it is more likely than not that the fair value of the Company’s reporting units are less than their carrying value. The Company assessed relevant events and circumstances including macroeconomic conditions, industry and market considerations, overall financial performance, entity-specific events, and changes in the Company’s stock price. The Company determined that there was no goodwill impairment in 2025, 2024, or 2023.</w:t>
      </w:r>
    </w:p>
    <w:p>
      <w:pPr>
        <w:spacing w:after="0" w:line="13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determination of fair value for acquisitions and the allocation of that value requires the Company to make significant estimates and assumptions. These estimates and assumptions primarily include, but are not limited to, the selection of appropriate peer group companies; control premiums appropriate for acquisitions in the industries in which the Company competes; the discount rate; terminal growth rates; and forecasts of revenue, operating income, depreciation and amortization, and capital expenditures. Actual financial results could differ from those estimates due to the inherent uncertainty involved in making such estimates. Changes in assumptions concerning future financial results or other underlying assumptions could have a significant impact on either the fair value of the reporting unit, the amount of the goodwill impairment charge, or both. The Company did not recognize any accumulated impairment losses at the beginning of the period.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consist of the following activity for the years ended December 31, 2025, 2024, and 2023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1,533,424</w:t>
            </w:r>
          </w:p>
        </w:tc>
      </w:tr>
      <w:tr>
        <w:trPr>
          <w:trHeight w:val="213"/>
        </w:trPr>
        <w:tc>
          <w:tcPr>
            <w:tcW w:w="9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6,998</w:t>
            </w:r>
          </w:p>
        </w:tc>
      </w:tr>
      <w:tr>
        <w:trPr>
          <w:trHeight w:val="21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7"/>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1,540,246</w:t>
            </w:r>
          </w:p>
        </w:tc>
      </w:tr>
      <w:tr>
        <w:trPr>
          <w:trHeight w:val="219"/>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9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1,540,246</w:t>
            </w:r>
          </w:p>
        </w:tc>
      </w:tr>
      <w:tr>
        <w:trPr>
          <w:trHeight w:val="213"/>
        </w:trPr>
        <w:tc>
          <w:tcPr>
            <w:tcW w:w="9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Acquisitions</w:t>
            </w:r>
          </w:p>
        </w:tc>
        <w:tc>
          <w:tcPr>
            <w:tcW w:w="4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65,684</w:t>
            </w:r>
          </w:p>
        </w:tc>
      </w:tr>
      <w:tr>
        <w:trPr>
          <w:trHeight w:val="216"/>
        </w:trPr>
        <w:tc>
          <w:tcPr>
            <w:tcW w:w="9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accounting adjustments</w:t>
            </w:r>
          </w:p>
        </w:tc>
        <w:tc>
          <w:tcPr>
            <w:tcW w:w="4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212"/>
        </w:trPr>
        <w:tc>
          <w:tcPr>
            <w:tcW w:w="9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1,606,743</w:t>
            </w:r>
          </w:p>
        </w:tc>
      </w:tr>
      <w:tr>
        <w:trPr>
          <w:trHeight w:val="21"/>
        </w:trPr>
        <w:tc>
          <w:tcPr>
            <w:tcW w:w="9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carrying amount and accumulated amortization of intangible assets consist of the following as of December 31, 2025 and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99"/>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intangible assets:</w:t>
            </w: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551,188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514,388</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39,136</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0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gross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598,981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554,509</w:t>
            </w:r>
          </w:p>
        </w:tc>
      </w:tr>
      <w:tr>
        <w:trPr>
          <w:trHeight w:val="239"/>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amortization:</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Referral sources</w:t>
            </w: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(263,907)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(230,371)</w:t>
            </w: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Trademarks/names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(22,599)</w:t>
            </w: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amortizable intangible assets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0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accumulated amortization</w:t>
            </w: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(253,499)</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intangible assets, 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309,178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301,010</w:t>
            </w:r>
          </w:p>
        </w:tc>
      </w:tr>
      <w:tr>
        <w:trPr>
          <w:trHeight w:val="21"/>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$36.9 million, $34.4 million, and $34.2 million for the years ended December 31, 2025, 2024, and 2023, respectively.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Expected future amortization expense for intangible assets recorded at December 31, 2025,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37,078</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36,937</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36,887</w:t>
            </w:r>
          </w:p>
        </w:tc>
      </w:tr>
      <w:tr>
        <w:trPr>
          <w:trHeight w:val="213"/>
        </w:trPr>
        <w:tc>
          <w:tcPr>
            <w:tcW w:w="9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4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36,881</w:t>
            </w:r>
          </w:p>
        </w:tc>
      </w:tr>
      <w:tr>
        <w:trPr>
          <w:trHeight w:val="21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22,745</w:t>
            </w:r>
          </w:p>
        </w:tc>
      </w:tr>
      <w:tr>
        <w:trPr>
          <w:trHeight w:val="21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138,650</w:t>
            </w:r>
          </w:p>
        </w:tc>
      </w:tr>
      <w:tr>
        <w:trPr>
          <w:trHeight w:val="23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309,178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INDEBTEDNESS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2025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19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666,816</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494,016</w:t>
            </w:r>
          </w:p>
        </w:tc>
      </w:tr>
      <w:tr>
        <w:trPr>
          <w:trHeight w:val="212"/>
        </w:trPr>
        <w:tc>
          <w:tcPr>
            <w:tcW w:w="3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1,176,305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(10,921)</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1,160,832</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r>
      <w:tr>
        <w:trPr>
          <w:trHeight w:val="210"/>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1,154,052</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consisted of the following as of December 31, 2024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34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40" w:type="dxa"/>
            <w:vAlign w:val="bottom"/>
          </w:tcPr>
          <w:p>
            <w:pPr>
              <w:spacing w:after="0"/>
              <w:rPr>
                <w:sz w:val="18"/>
                <w:szCs w:val="18"/>
                <w:color w:val="auto"/>
              </w:rPr>
            </w:pPr>
          </w:p>
        </w:tc>
        <w:tc>
          <w:tcPr>
            <w:tcW w:w="1980" w:type="dxa"/>
            <w:vAlign w:val="bottom"/>
            <w:gridSpan w:val="3"/>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Debt Issuance Costs</w:t>
            </w:r>
          </w:p>
        </w:tc>
        <w:tc>
          <w:tcPr>
            <w:tcW w:w="14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Net Balance</w:t>
            </w:r>
          </w:p>
        </w:tc>
      </w:tr>
      <w:tr>
        <w:trPr>
          <w:trHeight w:val="213"/>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Facility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618,525</w:t>
            </w: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492,628</w:t>
            </w:r>
          </w:p>
        </w:tc>
      </w:tr>
      <w:tr>
        <w:trPr>
          <w:trHeight w:val="212"/>
        </w:trPr>
        <w:tc>
          <w:tcPr>
            <w:tcW w:w="39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1,131,617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(14,927)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1,111,153</w:t>
            </w: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18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1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w:t>
            </w:r>
          </w:p>
        </w:tc>
      </w:tr>
      <w:tr>
        <w:trPr>
          <w:trHeight w:val="210"/>
        </w:trPr>
        <w:tc>
          <w:tcPr>
            <w:tcW w:w="3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long-term debt</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1,104,641</w:t>
            </w:r>
          </w:p>
        </w:tc>
      </w:tr>
      <w:tr>
        <w:trPr>
          <w:trHeight w:val="20"/>
        </w:trPr>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September 22, 2025, the Company entered into the fourth amendment (“the Fourth Amendment”) to the amended and restated First Lien Credit Agreement (the “Credit Agreement”) dated as of October 27, 2021. The Fourth Amendment, among other things, (i) refinances the existing term loans with a new class of term loans (the “First Lien Term Loan”), reduces the interest rate on the First Lien Term Loan from Term Secured Overnight Financing Rate (“SOFR”) plus 2.25% to Term SOFR plus 1.75% and extends the maturity date of the First Lien Term Loan to September 22, 2032, (ii) provides for an additional $49.6 million of incremental First Lien Term Loan indebtedness, and (iii) extends the maturity date of the revolving credit commitments under the Credit Agreement (the “Revolver Facility”) to September 22, 2030.</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principal balance of the First Lien Term Loan is repayable in quarterly installments of $1.7 million plus interest, with a final payment of all remaining outstanding principal due on September 22, 2032. Under the Fourth Amendment, interest on the First Lien Term Loan is payable monthly on either (i) SOFR plus an applicable margin of 1.75% for Term SOFR Loans (as such term is defined in the Fourth Amendment); or (ii) a base rate determined in accordance with the Fourth Amendment, plus 0.75% for Base Rate Loans (as such term is defined in the Fourth Amendment). The interest rate on the First Lien Term Loan was 5.67% and 6.82% as of December 31, 2025 and 2024, respectively. The weighted average interest rate incurred on the First Lien Term Loan was 6.34% and 7.61% for the years ended December 31, 2025 and 2024, respectively.</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As part of the above refinancing, certain lenders exited while others joined, resulting in both repayment and proceeds. The Company assessed whether the repayment of the First Lien Term Loan indebtedness resulted in an insubstantial modification or an extinguishment of the existing debt for each loan in the syndication by grouping lenders as follows: (i) Lenders participating in both the First Lien Term Loan and 4.375% Senior Notes; (ii) previous lenders that exited; and (iii) new lenders. The Company determined that proceeds from the issuance of debt totaled $229.8 million, resulting in a cash inflow from financing activities, net of $0.3 million in fees incurred, in the consolidated statements of cash flows. The Company also recognized $180.2 million of retirement of debt obligations, resulting in a cash outflow from financing activities, in the consolidated statements of cash flows.</w:t>
      </w:r>
    </w:p>
    <w:p>
      <w:pPr>
        <w:spacing w:after="0" w:line="14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refinancing of the First Lien Term Loan, the Company incurred $6.7 million in debt issuance costs and third-party fees, of which $3.5 million was capitalized, $2.8 million was expensed as a component of selling, general and administrative expenses and $0.4 million was expensed as a loss on extinguishment as a component of other expense in the consolidated statements of comprehensive income. The Company recognized a loss on extinguishment of debt of $4.7 million included in the line entitled “Other, net” in the consolidated statements of comprehensive income, of which $0.4 million related to debt issuance costs incurred with the First Lien Term Loan refinancing, as discussed above, and $4.3 million related to existing deferred financing fees that were written off upon extinguishment.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part of the above refinancing, the Company incurred $0.3 million in fees related to the Revolver Facility, all of which were capitalized and included as a cash outflow from financing activities within the consolidated statements of cash flows.</w:t>
      </w:r>
    </w:p>
    <w:p>
      <w:pPr>
        <w:spacing w:after="0" w:line="12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May 8, 2024, the Company entered into the third amendment to the amended and restated Credit Agreement dated as of October 27, 2021 (the “Third Amendment”). The Third Amendment, among other things, (i) increases borrowings by $50.0 million and (ii) reduces the interest rate on the First Lien Term Loan from Term SOFR (including a credit spread adjustment) plus 2.75% to Term SOFR plus 2.25% and removes the credit spread adjustment with respect to such First Lien Term Loan.</w:t>
      </w:r>
    </w:p>
    <w:p>
      <w:pPr>
        <w:spacing w:after="0" w:line="15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assessed whether the repayment of the First Lien Term Loan indebtedness resulted in an insubstantial modification or an extinguishment of the existing debt for each loan in the syndication by grouping lenders as follows: (i) Lenders participating in both the First Lien Term Loan and Senior Notes; (ii) previous lenders that exited; and (iii) new lenders. The Company determined that $0.4 million of the First Lien Term Loan were extinguished. The First Lien Term Loan had insubstantial modifications for lenders that participated in both debt instruments, which resulted in a cash inflow from financing activities of $50.0 million in the consolidated statements of cash flows. The Company incurred $1.6 million in fees, of which $0.1 million was capitalized, relative to the First Lien Term Loan and an immaterial amount of the total fees incurred was netted against the $50.0 million of debt proceeds as financing activities within the consolidated statements of cash flows. The Company recognized a loss on extinguishment of debt of $0.4 million included in the line entitled “Other, net” in the consolidated statements of comprehensive income.</w:t>
      </w:r>
    </w:p>
    <w:p>
      <w:pPr>
        <w:spacing w:after="0" w:line="151"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Effective June 30, 2023, the Company entered into an agreement, dated as of June 8, 2023, to amend the First Lien Term Loan to replace LIBOR and related definitions and provisions with SOFR as the new reference rate. The Company entered into the First Lien Term Loan Agreement (the “First Lien Credit Agreement Amendment”), which commenced in October 2021 (the “October 2021 Refinancing”) to provide $600.0 million of refinanced borrowings.</w:t>
      </w:r>
    </w:p>
    <w:p>
      <w:pPr>
        <w:spacing w:after="0" w:line="13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December 7, 2023, the Company entered into the second amendment to the amended and restated Credit Agreement dated as of October 27, 2021 (the “Second Amendment”). The Second Amendment, among other things, creates a Revolver Facility which provides for borrowings up to $400.0 million. As of December 31, 2025, the Company had $4.0 million of undrawn letters of credit issued and outstanding, resulting in net borrowing availability under the Revolver Facility of $396.0 million. As of December 31, 2024, the Company had $4.1 million of undrawn letters of credit issued and outstanding, resulting in net borrowing availability under the Revolver Facility of $395.9 million. The Revolver Facility matures on the date that is the earlier of (i) September 22, 2030 and (ii) the date that is 91 days prior to the stated maturity date applicable to the Senior Notes to the extent any amount of the Senior Notes remains unpaid and outstanding as of the date that is 91 days prior to the stated maturity date applicable to the Senior Notes. Borrowings under the Revolver Facility bear interest at a rate equal to, at the option of the Company, either (i) the Term SOFR applicable thereto plus the Applicable Rate or (ii) the then-applicable Base Rate plus the Applicable Rate, which Applicable Rate shall be, subject to certain caveats thereto, as follows (i) until delivery of financial statements and related Compliance Certificate for the first full fiscal quarter ending after the effective date of the Fourth Amendment, (A) for Term SOFR Loans, 1.75%, or (B) for Base Rate Loans, 0.75% and (ii) thereafter, the Applicable Rate for Term SOFR Loans and Base Rate Loans, based upon the Total Net Leverage Ratio as set forth in the most recent Compliance Certificate received by the Administrative Agent pursuant to the terms of the Credit Agreement.</w:t>
      </w:r>
    </w:p>
    <w:p>
      <w:pPr>
        <w:spacing w:after="0" w:line="16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Concurrently with the creation of the Revolver Facility, the Company terminated the asset-based lending revolving credit facility (the “ABL Facility”) with a maturity date of October 27, 2026. Prior to the transition to the Revolver Facility, the ABL Facility had been in effect from August 6, 2019 to December 7, 2023. Effective January 13, 2023, the Company entered into an agreement to amend the ABL Facility and increase the amount of borrowing availability from $175.0 million by $50.0 million to $225.0 million total borrowing availability. As a result of the amended agreement, SOFR was established as the new reference rate, replacing LIBOR. Prior to the termination of the ABL Facility in December 2023, the ABL Facility bore interest at a rate equal to, at the Company’s election, either (i) a base rate determined in accordance with the ABL Credit Agreement plus an applicable margin, which is equal to between 0.25% and 0.75% based on the historical excess availability as a percentage of the Line Cap (as such term is defined in the ABL Credit Agreement); and (ii) SOFR (with a floor of 0.00% per annum) plus an applicable margin, which is equal to between 1.25% and 1.75% based on the historical excess availability as a percentage of the Line Cap. The ABL Facility contained commitment fees payable on the unused portion ranging from 0.25% to 0.375%, depending on various factors including the Company’s leverage ratio, type of loan and rate type, and letter of credit fees of 2.50%. Borrowings under the ABL Facility were secured by a first priority security interest in the Company’s and each of its subsidiaries’ inventory, accounts receivable, cash, deposit accounts and certain assets and property related thereto (the “ABL Priority Collateral”), in each case subject to certain exceptions, and a third priority security interest in each of the Company’s subsidiaries’ capital stock (subject to certain exceptions) and substantially all of the Company’s property and assets (other than the ABL Priority Collateral).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October 2021 Refinancing, the Company also issued $500.0 million in aggregate principal of Senior Notes. The Senior Notes bear interest at a rate of 4.375% per annum payable semi-annually in arrears on October 31 and April 30 of each year, commencing on April 30, 2022. The Senior Notes mature on October 31, 2029. The interest rate on the Senior Notes was 4.375% as of both December 31, 2025 and 2024. The weighted average interest rate incurred on the Senior Notes was 4.375% for both years ended December 31, 2025 and 2024.</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Long-term debt matures as follows (in thousands):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Ended December 31,</w:t>
            </w:r>
          </w:p>
        </w:tc>
        <w:tc>
          <w:tcPr>
            <w:tcW w:w="240" w:type="dxa"/>
            <w:vAlign w:val="bottom"/>
          </w:tcPr>
          <w:p>
            <w:pPr>
              <w:spacing w:after="0"/>
              <w:rPr>
                <w:sz w:val="18"/>
                <w:szCs w:val="18"/>
                <w:color w:val="auto"/>
              </w:rPr>
            </w:pPr>
          </w:p>
        </w:tc>
        <w:tc>
          <w:tcPr>
            <w:tcW w:w="1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Minimum Payments</w:t>
            </w:r>
          </w:p>
        </w:tc>
      </w:tr>
      <w:tr>
        <w:trPr>
          <w:trHeight w:val="213"/>
        </w:trPr>
        <w:tc>
          <w:tcPr>
            <w:tcW w:w="8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r>
      <w:tr>
        <w:trPr>
          <w:trHeight w:val="213"/>
        </w:trPr>
        <w:tc>
          <w:tcPr>
            <w:tcW w:w="8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506,780</w:t>
            </w:r>
          </w:p>
        </w:tc>
      </w:tr>
      <w:tr>
        <w:trPr>
          <w:trHeight w:val="21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w:t>
            </w:r>
          </w:p>
        </w:tc>
      </w:tr>
      <w:tr>
        <w:trPr>
          <w:trHeight w:val="213"/>
        </w:trPr>
        <w:tc>
          <w:tcPr>
            <w:tcW w:w="9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642,405</w:t>
            </w:r>
          </w:p>
        </w:tc>
      </w:tr>
      <w:tr>
        <w:trPr>
          <w:trHeight w:val="237"/>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1,176,305</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engaged in hedging activities to limit its exposure to changes in interest rates.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estimated fair values of the Company’s debt obligations as of December 31, 2025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Carrying Value as of</w:t>
            </w:r>
          </w:p>
        </w:tc>
        <w:tc>
          <w:tcPr>
            <w:tcW w:w="100" w:type="dxa"/>
            <w:vAlign w:val="bottom"/>
          </w:tcPr>
          <w:p>
            <w:pPr>
              <w:spacing w:after="0"/>
              <w:rPr>
                <w:sz w:val="16"/>
                <w:szCs w:val="16"/>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20" w:type="dxa"/>
            <w:vAlign w:val="bottom"/>
          </w:tcPr>
          <w:p>
            <w:pPr>
              <w:spacing w:after="0"/>
              <w:rPr>
                <w:sz w:val="16"/>
                <w:szCs w:val="16"/>
                <w:color w:val="auto"/>
              </w:rPr>
            </w:pPr>
          </w:p>
        </w:tc>
        <w:tc>
          <w:tcPr>
            <w:tcW w:w="16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3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Instrument</w:t>
            </w:r>
          </w:p>
        </w:tc>
        <w:tc>
          <w:tcPr>
            <w:tcW w:w="14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Observable Inputs</w:t>
            </w:r>
          </w:p>
        </w:tc>
        <w:tc>
          <w:tcPr>
            <w:tcW w:w="120" w:type="dxa"/>
            <w:vAlign w:val="bottom"/>
          </w:tcPr>
          <w:p>
            <w:pPr>
              <w:spacing w:after="0"/>
              <w:rPr>
                <w:sz w:val="14"/>
                <w:szCs w:val="14"/>
                <w:color w:val="auto"/>
              </w:rPr>
            </w:pPr>
          </w:p>
        </w:tc>
        <w:tc>
          <w:tcPr>
            <w:tcW w:w="1640" w:type="dxa"/>
            <w:vAlign w:val="bottom"/>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 Inputs</w:t>
            </w:r>
          </w:p>
        </w:tc>
        <w:tc>
          <w:tcPr>
            <w:tcW w:w="0" w:type="dxa"/>
            <w:vAlign w:val="bottom"/>
          </w:tcPr>
          <w:p>
            <w:pPr>
              <w:spacing w:after="0"/>
              <w:rPr>
                <w:sz w:val="1"/>
                <w:szCs w:val="1"/>
                <w:color w:val="auto"/>
              </w:rPr>
            </w:pPr>
          </w:p>
        </w:tc>
      </w:tr>
      <w:tr>
        <w:trPr>
          <w:trHeight w:val="214"/>
        </w:trPr>
        <w:tc>
          <w:tcPr>
            <w:tcW w:w="3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Item (Level 1)</w:t>
            </w:r>
          </w:p>
        </w:tc>
        <w:tc>
          <w:tcPr>
            <w:tcW w:w="1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6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0" w:type="dxa"/>
            <w:vAlign w:val="bottom"/>
          </w:tcPr>
          <w:p>
            <w:pPr>
              <w:spacing w:after="0"/>
              <w:rPr>
                <w:sz w:val="1"/>
                <w:szCs w:val="1"/>
                <w:color w:val="auto"/>
              </w:rPr>
            </w:pPr>
          </w:p>
        </w:tc>
      </w:tr>
      <w:tr>
        <w:trPr>
          <w:trHeight w:val="211"/>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First Lien Term Loan</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666,816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679,687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Senior Notes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92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instruments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1,160,832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1,167,187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13,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INSTRUMENTS</w:t>
      </w:r>
    </w:p>
    <w:p>
      <w:pPr>
        <w:spacing w:after="0" w:line="18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utilizes derivative financial instruments for hedging and non-trading purposes to limit the Company’s exposure to its variable interest rate risk. Use of derivative financial instruments in hedging strategies subjects the Company to certain risks, such as market and credit risks. Market risk represents the possibility that the value of the derivative financial instrument will change. Credit risk related to a derivative financial instrument represents the possibility that the counterparty will not fulfill the terms of the contract. The notional, or contractual, amount of the Company’s derivative financial instruments is used to measure interest to be paid or received and does not represent the Company’s exposure due to credit risk. Credit risk is monitored through established approval procedures, including reviewing credit ratings when appropriate.</w:t>
      </w:r>
    </w:p>
    <w:p>
      <w:pPr>
        <w:spacing w:after="0" w:line="160"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In October 2021, the Company entered into an interest rate cap hedge with a notional amount of $300.0 million for a five-year term beginning November 30, 2021. The hedge partially offsets risk associated with the First Lien Term Loan’s variable interest rate. The interest rate cap instrument perfectly offsets the terms of the interest rates associated with the variable interest rate of the First Lien Term Loan.</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amount and location of the Company’s derivative instruments in the consolidated balance sheets (in thousands):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20" w:type="dxa"/>
            <w:vAlign w:val="bottom"/>
            <w:tcBorders>
              <w:bottom w:val="single" w:sz="8" w:color="auto"/>
            </w:tcBorders>
            <w:gridSpan w:val="5"/>
          </w:tcPr>
          <w:p>
            <w:pPr>
              <w:ind w:left="2220"/>
              <w:spacing w:after="0"/>
              <w:rPr>
                <w:sz w:val="20"/>
                <w:szCs w:val="20"/>
                <w:color w:val="auto"/>
              </w:rPr>
            </w:pPr>
            <w:r>
              <w:rPr>
                <w:rFonts w:ascii="Times New Roman" w:cs="Times New Roman" w:eastAsia="Times New Roman" w:hAnsi="Times New Roman"/>
                <w:sz w:val="16"/>
                <w:szCs w:val="16"/>
                <w:b w:val="1"/>
                <w:bCs w:val="1"/>
                <w:color w:val="auto"/>
              </w:rPr>
              <w:t>Fair Value - Derivatives in Asset Position</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4"/>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Sheet Caption</w:t>
            </w:r>
          </w:p>
        </w:tc>
        <w:tc>
          <w:tcPr>
            <w:tcW w:w="160" w:type="dxa"/>
            <w:vAlign w:val="bottom"/>
          </w:tcPr>
          <w:p>
            <w:pPr>
              <w:spacing w:after="0"/>
              <w:rPr>
                <w:sz w:val="18"/>
                <w:szCs w:val="18"/>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tcPr>
          <w:p>
            <w:pPr>
              <w:spacing w:after="0"/>
              <w:rPr>
                <w:sz w:val="18"/>
                <w:szCs w:val="18"/>
                <w:color w:val="auto"/>
              </w:rPr>
            </w:pPr>
          </w:p>
        </w:tc>
        <w:tc>
          <w:tcPr>
            <w:tcW w:w="15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8,034</w:t>
            </w:r>
          </w:p>
        </w:tc>
      </w:tr>
      <w:tr>
        <w:trPr>
          <w:trHeight w:val="213"/>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3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6,680</w:t>
            </w:r>
          </w:p>
        </w:tc>
      </w:tr>
      <w:tr>
        <w:trPr>
          <w:trHeight w:val="237"/>
        </w:trPr>
        <w:tc>
          <w:tcPr>
            <w:tcW w:w="394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derivative assets</w:t>
            </w:r>
          </w:p>
        </w:tc>
        <w:tc>
          <w:tcPr>
            <w:tcW w:w="35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14,714</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gain and loss associated with the changes in the fair value of the effective portion of hedging instruments are recorded into other comprehensive (loss) income. The gain and loss associated with the changes in the fair value of the hedging instrument is recognized in net income through interest expense. The following table presents the pre-tax (loss) gain from derivative instruments recognized in other comprehensive (loss) income in the Company’s consolidated statements of comprehensive income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(8,339)</w:t>
            </w:r>
          </w:p>
        </w:tc>
      </w:tr>
    </w:tbl>
    <w:p>
      <w:pPr>
        <w:spacing w:after="0" w:line="25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and location of pre-tax income (loss) recognized in the Company’s consolidated statement of comprehensive income related to the Company’s derivative instruments (in thousands):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82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Income Statement</w:t>
            </w:r>
          </w:p>
        </w:tc>
        <w:tc>
          <w:tcPr>
            <w:tcW w:w="400" w:type="dxa"/>
            <w:vAlign w:val="bottom"/>
          </w:tcPr>
          <w:p>
            <w:pPr>
              <w:spacing w:after="0"/>
              <w:rPr>
                <w:sz w:val="12"/>
                <w:szCs w:val="12"/>
                <w:color w:val="auto"/>
              </w:rPr>
            </w:pPr>
          </w:p>
        </w:tc>
        <w:tc>
          <w:tcPr>
            <w:tcW w:w="13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3940" w:type="dxa"/>
            <w:vAlign w:val="bottom"/>
            <w:gridSpan w:val="2"/>
            <w:vMerge w:val="continue"/>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Caption</w:t>
            </w: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cap designated as cash flows hedge</w:t>
            </w:r>
          </w:p>
        </w:tc>
        <w:tc>
          <w:tcPr>
            <w:tcW w:w="10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10,974</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to reclassify $2.5 million of total interest rate costs from accumulated other comprehensive income (loss) against interest expense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Fair value measurements are determined by maximizing the use of observable inputs and minimizing the use of unobservable inputs. The hierarchy places the highest priority on unadjusted quoted market prices in active markets for identical assets or liabilities (Level 1 measurements) and gives the lowest priority to unobservable inputs (Level 3 measurements). The three levels of inputs within the fair value hierarchy are defined in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Significant Accounting Policies. </w:t>
      </w:r>
      <w:r>
        <w:rPr>
          <w:rFonts w:ascii="Times New Roman" w:cs="Times New Roman" w:eastAsia="Times New Roman" w:hAnsi="Times New Roman"/>
          <w:sz w:val="18"/>
          <w:szCs w:val="18"/>
          <w:color w:val="auto"/>
        </w:rPr>
        <w:t>While the Company believes its valuation methods are appropriate and consistent with other market participants,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methodologies or assumptions to determine the fair value of certain financial instruments could result in a different fair value measurement at the reporting date.</w:t>
      </w:r>
    </w:p>
    <w:p>
      <w:pPr>
        <w:spacing w:after="0" w:line="15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The fair value of the First Lien Term Loan is derived from a broker quote on the loans in the syndication (Level 2 inputs).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11, </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for further discussion of the carrying amount and fair value of the First Lien Term Loan.</w:t>
      </w:r>
    </w:p>
    <w:p>
      <w:pPr>
        <w:spacing w:after="0" w:line="118"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The fair value of the Senior Notes is derived from a broker quote (Level 2 inputs). See Note 11,</w:t>
      </w:r>
      <w:r>
        <w:rPr>
          <w:rFonts w:ascii="Times New Roman" w:cs="Times New Roman" w:eastAsia="Times New Roman" w:hAnsi="Times New Roman"/>
          <w:sz w:val="18"/>
          <w:szCs w:val="18"/>
          <w:i w:val="1"/>
          <w:iCs w:val="1"/>
          <w:color w:val="auto"/>
        </w:rPr>
        <w:t xml:space="preserve"> Indebtedness</w:t>
      </w:r>
      <w:r>
        <w:rPr>
          <w:rFonts w:ascii="Times New Roman" w:cs="Times New Roman" w:eastAsia="Times New Roman" w:hAnsi="Times New Roman"/>
          <w:sz w:val="18"/>
          <w:szCs w:val="18"/>
          <w:color w:val="auto"/>
        </w:rPr>
        <w:t>, for further discussion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carrying amount and fair value of the Senior Notes.</w:t>
      </w:r>
    </w:p>
    <w:p>
      <w:pPr>
        <w:spacing w:after="0" w:line="118" w:lineRule="exact"/>
        <w:rPr>
          <w:sz w:val="20"/>
          <w:szCs w:val="20"/>
          <w:color w:val="auto"/>
        </w:rPr>
      </w:pPr>
    </w:p>
    <w:p>
      <w:pPr>
        <w:ind w:right="3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Rate Cap</w:t>
      </w:r>
      <w:r>
        <w:rPr>
          <w:rFonts w:ascii="Times New Roman" w:cs="Times New Roman" w:eastAsia="Times New Roman" w:hAnsi="Times New Roman"/>
          <w:sz w:val="18"/>
          <w:szCs w:val="18"/>
          <w:color w:val="auto"/>
        </w:rPr>
        <w:t>: The fair value of the interest rate cap is derived from the interest rates prevalent in the market and future expectations of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rates (Level 2 inputs). The Company determines the fair value of the investments based on quoted prices from third-party brokers. See Note 12,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further discussion of the fair value of the interest rate cap.</w:t>
      </w:r>
    </w:p>
    <w:p>
      <w:pPr>
        <w:spacing w:after="0" w:line="146"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Money Market Funds</w:t>
      </w:r>
      <w:r>
        <w:rPr>
          <w:rFonts w:ascii="Times New Roman" w:cs="Times New Roman" w:eastAsia="Times New Roman" w:hAnsi="Times New Roman"/>
          <w:sz w:val="18"/>
          <w:szCs w:val="18"/>
          <w:color w:val="auto"/>
        </w:rPr>
        <w:t>: The fair value of the money market funds is derived from the closing price reported by the fund sponsor and classified as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equivalents on the Company’s consolidated balance sheets (Level 1 inputs).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other material assets or liabilities measured at fair value at December 31, 2025 or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is involved in legal proceedings and is subject to investigations, inspections, audits, inquiries, and similar actions by governmental authorities, arising in the normal course of the Company’s business. Some of these suits may purport or may be determined to be class actions and/or involve parties seeking large and/or indeterminate amounts, including punitive or exemplary damages, and may remain unresolved for several years. From time to time, the Company may also be involved in legal proceedings as a plaintiff involving antitrust, tax, contract, intellectual property, and other matters. Material loss contingencies, if any, are accrued for when they are probable and reasonably estimable, and are disclosed when they are reasonably possible. Gain contingencies, if any, are recognized when they are realized.</w:t>
      </w:r>
    </w:p>
    <w:p>
      <w:pPr>
        <w:spacing w:after="0" w:line="147"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results of legal proceedings are often uncertain and difficult to predict, and the costs incurred in litigation can be substantial, regardless of the outcome. The Company does not believe that any of these pending matters, after consideration of applicable reserves and rights to indemnification, will have a material adverse effect on the Company’s consolidated financial statements.</w:t>
      </w:r>
    </w:p>
    <w:p>
      <w:pPr>
        <w:spacing w:after="0" w:line="13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However, substantial unanticipated verdicts, fines, and rulings may occur. As a result, the Company may from time to time incur judgments, enter into settlements, or revise expectations regarding the outcome of certain matters, and such developments could have a material adverse effect on its results of operations in the period in which the amounts are accrued and/or its cash flows in the period in which the amounts are paid.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INCENTIVE COMPENSATION</w:t>
      </w:r>
    </w:p>
    <w:p>
      <w:pPr>
        <w:spacing w:after="0" w:line="185"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Equity Incentive Plans </w:t>
      </w:r>
      <w:r>
        <w:rPr>
          <w:rFonts w:ascii="Times New Roman" w:cs="Times New Roman" w:eastAsia="Times New Roman" w:hAnsi="Times New Roman"/>
          <w:sz w:val="18"/>
          <w:szCs w:val="18"/>
          <w:color w:val="auto"/>
        </w:rPr>
        <w:t>— Under the Company’s 2018 Equity Incentive Plan (the “2018 Plan”), approved at the annual meeting by stockholders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3, 2018 and amended and restated on May 19, 2021 and May 15, 2024, the Company may issue, among other things, incentive stock options, non-qualified stock options, stock appreciation rights, restricted stock units, stock grants, and performance units to key employees and directors. The 2018 Plan is administered by the Company’s Compensation Committee, a standing committee of the Company’s Board of Directors. As of May 2021, a total of 9,101,734 shares of common stock were authorized for issuance under the 2018 Plan. In May 2024, an additional 4,000,000 shares were authorized for issuance under the 2018 Plan, resulting in a total of 13,101,734 shares of common stock authorized for issuance as of December 31, 2025 and 2024. During the years ended December 31, 2025, 2024, and 2023, the Company recognized total compensation expense related to the 2018 Plan of $40.0 million, $36.1 million, and $30.5 million, respectively.</w:t>
      </w:r>
    </w:p>
    <w:p>
      <w:pPr>
        <w:spacing w:after="0" w:line="158" w:lineRule="exact"/>
        <w:rPr>
          <w:sz w:val="20"/>
          <w:szCs w:val="20"/>
          <w:color w:val="auto"/>
        </w:rPr>
      </w:pPr>
    </w:p>
    <w:p>
      <w:pPr>
        <w:jc w:val="both"/>
        <w:ind w:right="12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 Options granted under the 2018 Plan typically vest over a three- or four-year period and, in certain instances, may fully vest upon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change in control of the Company. The options also typically have an exercise price that may not be less than 100% of its fair market value on the date of grant and are exercisable seven to ten years after the date of grant, subject to earlier termination in certain circumstances.</w:t>
      </w:r>
    </w:p>
    <w:p>
      <w:pPr>
        <w:spacing w:after="0" w:line="134" w:lineRule="exact"/>
        <w:rPr>
          <w:sz w:val="20"/>
          <w:szCs w:val="20"/>
          <w:color w:val="auto"/>
        </w:rPr>
      </w:pPr>
    </w:p>
    <w:p>
      <w:pPr>
        <w:jc w:val="both"/>
        <w:ind w:right="20" w:firstLine="324"/>
        <w:spacing w:after="0" w:line="312" w:lineRule="auto"/>
        <w:rPr>
          <w:sz w:val="20"/>
          <w:szCs w:val="20"/>
          <w:color w:val="auto"/>
        </w:rPr>
      </w:pPr>
      <w:r>
        <w:rPr>
          <w:rFonts w:ascii="Times New Roman" w:cs="Times New Roman" w:eastAsia="Times New Roman" w:hAnsi="Times New Roman"/>
          <w:sz w:val="17"/>
          <w:szCs w:val="17"/>
          <w:color w:val="auto"/>
        </w:rPr>
        <w:t>Compensation expense from stock options is recognized on a straight-line basis over the requisite service period. During the years ended December 31, 2025, 2024, and 2023, the Company recognized compensation expense related to stock options of $4.6 million, $5.9 million, and $6.5 million, respectively.</w:t>
      </w:r>
    </w:p>
    <w:p>
      <w:pPr>
        <w:spacing w:after="0" w:line="99"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years ended December 31, 2025 and 2024. The weighted average grant-date fair value of options granted during the year ended December 31, 2023 was $15.72. The fair value of stock options granted was estimated on the date of grant using a Black-Scholes pricing model. The assumptions used to compute the fair value of options for the year ended December 31, 2023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940" w:type="dxa"/>
            <w:vAlign w:val="bottom"/>
          </w:tcPr>
          <w:p>
            <w:pPr>
              <w:spacing w:after="0"/>
              <w:rPr>
                <w:sz w:val="18"/>
                <w:szCs w:val="18"/>
                <w:color w:val="auto"/>
              </w:rPr>
            </w:pPr>
          </w:p>
        </w:tc>
        <w:tc>
          <w:tcPr>
            <w:tcW w:w="2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94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volatility</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51.43 %</w:t>
            </w:r>
          </w:p>
        </w:tc>
      </w:tr>
      <w:tr>
        <w:trPr>
          <w:trHeight w:val="213"/>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4.16 %</w:t>
            </w:r>
          </w:p>
        </w:tc>
      </w:tr>
      <w:tr>
        <w:trPr>
          <w:trHeight w:val="219"/>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life of options</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years</w:t>
            </w:r>
          </w:p>
        </w:tc>
      </w:tr>
      <w:tr>
        <w:trPr>
          <w:trHeight w:val="210"/>
        </w:trPr>
        <w:tc>
          <w:tcPr>
            <w:tcW w:w="8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rate</w:t>
            </w:r>
          </w:p>
        </w:tc>
        <w:tc>
          <w:tcPr>
            <w:tcW w:w="2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r>
    </w:tbl>
    <w:p>
      <w:pPr>
        <w:spacing w:after="0" w:line="2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for the year ended December 31,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6"/>
                <w:szCs w:val="16"/>
                <w:color w:val="auto"/>
              </w:rPr>
            </w:pPr>
          </w:p>
        </w:tc>
        <w:tc>
          <w:tcPr>
            <w:tcW w:w="17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76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6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Value (thousands)</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1,483,233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(96,034)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and expired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(15,773)</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1,371,426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6.4 years</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678,166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5,805</w:t>
            </w:r>
          </w:p>
        </w:tc>
        <w:tc>
          <w:tcPr>
            <w:tcW w:w="120" w:type="dxa"/>
            <w:vAlign w:val="bottom"/>
          </w:tcPr>
          <w:p>
            <w:pPr>
              <w:spacing w:after="0"/>
              <w:rPr>
                <w:sz w:val="16"/>
                <w:szCs w:val="16"/>
                <w:color w:val="auto"/>
              </w:rPr>
            </w:pPr>
          </w:p>
        </w:tc>
        <w:tc>
          <w:tcPr>
            <w:tcW w:w="176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5.7 years</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2024, and 2023, an immaterial number of shares were surrendered to satisfy tax withholding obligations on the exercise of stock options. No cash was received from stock option exercises under share-based payment arrangements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maximum term of stock options under these plans is ten years. Options outstanding as of December 31, 2025 expire on various dates ranging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2027 through July 2033. The following table outlines the outstanding and exercisable stock options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1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Borders>
              <w:bottom w:val="single" w:sz="8" w:color="auto"/>
            </w:tcBorders>
            <w:gridSpan w:val="4"/>
          </w:tcPr>
          <w:p>
            <w:pPr>
              <w:jc w:val="right"/>
              <w:ind w:right="1019"/>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158"/>
        </w:trPr>
        <w:tc>
          <w:tcPr>
            <w:tcW w:w="2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Range of Option Exercise</w:t>
            </w: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2"/>
        </w:trPr>
        <w:tc>
          <w:tcPr>
            <w:tcW w:w="2100" w:type="dxa"/>
            <w:vAlign w:val="bottom"/>
            <w:gridSpan w:val="3"/>
            <w:vMerge w:val="continue"/>
          </w:tcPr>
          <w:p>
            <w:pPr>
              <w:spacing w:after="0"/>
              <w:rPr>
                <w:sz w:val="14"/>
                <w:szCs w:val="14"/>
                <w:color w:val="auto"/>
              </w:rPr>
            </w:pPr>
          </w:p>
        </w:tc>
        <w:tc>
          <w:tcPr>
            <w:tcW w:w="17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17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Life</w:t>
            </w: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0" w:type="dxa"/>
            <w:vAlign w:val="bottom"/>
          </w:tcPr>
          <w:p>
            <w:pPr>
              <w:spacing w:after="0"/>
              <w:rPr>
                <w:sz w:val="1"/>
                <w:szCs w:val="1"/>
                <w:color w:val="auto"/>
              </w:rPr>
            </w:pPr>
          </w:p>
        </w:tc>
      </w:tr>
      <w:tr>
        <w:trPr>
          <w:trHeight w:val="211"/>
        </w:trPr>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$0.00</w:t>
            </w:r>
          </w:p>
        </w:tc>
        <w:tc>
          <w:tcPr>
            <w:tcW w:w="1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$8.24</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1.1 years</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13"/>
        </w:trPr>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$8.24</w:t>
            </w:r>
          </w:p>
        </w:tc>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$16.52</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100" w:type="dxa"/>
            <w:vAlign w:val="bottom"/>
          </w:tcPr>
          <w:p>
            <w:pPr>
              <w:spacing w:after="0"/>
              <w:rPr>
                <w:sz w:val="18"/>
                <w:szCs w:val="18"/>
                <w:color w:val="auto"/>
              </w:rPr>
            </w:pPr>
          </w:p>
        </w:tc>
        <w:tc>
          <w:tcPr>
            <w:tcW w:w="186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3.6 years</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55,275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0" w:type="dxa"/>
            <w:vAlign w:val="bottom"/>
          </w:tcPr>
          <w:p>
            <w:pPr>
              <w:spacing w:after="0"/>
              <w:rPr>
                <w:sz w:val="1"/>
                <w:szCs w:val="1"/>
                <w:color w:val="auto"/>
              </w:rPr>
            </w:pPr>
          </w:p>
        </w:tc>
      </w:tr>
      <w:tr>
        <w:trPr>
          <w:trHeight w:val="21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$16.52 - $24.76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327,926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5.7 years</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278,540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$24.76 - $33.00</w:t>
            </w:r>
          </w:p>
        </w:tc>
        <w:tc>
          <w:tcPr>
            <w:tcW w:w="10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978,324</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gridSpan w:val="2"/>
          </w:tcPr>
          <w:p>
            <w:pPr>
              <w:ind w:left="1140"/>
              <w:spacing w:after="0"/>
              <w:rPr>
                <w:sz w:val="20"/>
                <w:szCs w:val="20"/>
                <w:color w:val="auto"/>
              </w:rPr>
            </w:pPr>
            <w:r>
              <w:rPr>
                <w:rFonts w:ascii="Times New Roman" w:cs="Times New Roman" w:eastAsia="Times New Roman" w:hAnsi="Times New Roman"/>
                <w:sz w:val="16"/>
                <w:szCs w:val="16"/>
                <w:color w:val="auto"/>
              </w:rPr>
              <w:t>6.9 years</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334,450</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0" w:type="dxa"/>
            <w:vAlign w:val="bottom"/>
          </w:tcPr>
          <w:p>
            <w:pPr>
              <w:spacing w:after="0"/>
              <w:rPr>
                <w:sz w:val="1"/>
                <w:szCs w:val="1"/>
                <w:color w:val="auto"/>
              </w:rPr>
            </w:pPr>
          </w:p>
        </w:tc>
      </w:tr>
      <w:tr>
        <w:trPr>
          <w:trHeight w:val="237"/>
        </w:trPr>
        <w:tc>
          <w:tcPr>
            <w:tcW w:w="2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options</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1,371,426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678,166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$1.2 million of unrecognized compensation expense related to unvested option grants that is expected to be recognized over a weighted-average period of 0.2 years.</w:t>
      </w:r>
    </w:p>
    <w:p>
      <w:pPr>
        <w:spacing w:after="0" w:line="131" w:lineRule="exact"/>
        <w:rPr>
          <w:sz w:val="20"/>
          <w:szCs w:val="20"/>
          <w:color w:val="auto"/>
        </w:rPr>
      </w:pPr>
    </w:p>
    <w:p>
      <w:pPr>
        <w:ind w:right="18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 Restricted stock grants subject solely to an employee’s continued service with the Company generally will become fully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one to four years from the grant date and, in certain instances, may fully vest upon a change in control of the Company. Restricted stock grants subject solely to a Director’s continued service with the Company generally will become fully vested on a pro-rata basis over three years from the date of grant.</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Compensation expense from restricted stock is recognized on a straight-line basis over the requisite service period.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the Company recognized compensation expense related to restricted stock awards of $24.4 million, $21.4 million,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 million, respectively.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grant-date fair value of restricted stock is valued as the closing price of the Company’s common stock on the date of the grant.</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restricted stock award activity for the year ended December 31, 2025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176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Restricted Stock</w:t>
            </w: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76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1,665,412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213"/>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907,633</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 and issued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(581,779)</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w:t>
            </w:r>
          </w:p>
        </w:tc>
        <w:tc>
          <w:tcPr>
            <w:tcW w:w="0" w:type="dxa"/>
            <w:vAlign w:val="bottom"/>
          </w:tcPr>
          <w:p>
            <w:pPr>
              <w:spacing w:after="0"/>
              <w:rPr>
                <w:sz w:val="1"/>
                <w:szCs w:val="1"/>
                <w:color w:val="auto"/>
              </w:rPr>
            </w:pPr>
          </w:p>
        </w:tc>
      </w:tr>
      <w:tr>
        <w:trPr>
          <w:trHeight w:val="213"/>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 and expired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(140,959)</w:t>
            </w:r>
          </w:p>
        </w:tc>
        <w:tc>
          <w:tcPr>
            <w:tcW w:w="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30.66</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1,850,307</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2024, and 2023, shares were surrendered to satisfy tax withholding obligations on the vesting of restricted stock awards with a cost basis of $6.1 million, $7.1 million, and $4.4 million, respectively.</w:t>
      </w:r>
    </w:p>
    <w:p>
      <w:pPr>
        <w:spacing w:after="0" w:line="121"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$28.8 million in unrecognized compensation expense related to unvested restricted stock awards that is expected to be recognized over a weighted average period of 0.9 years. The total fair value of restricted stock awards vested during the years ended December 31, 2025, 2024, and 2023 was $16.4 million, $19.4 million, and $9.9 million,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Performance Stock Units </w:t>
      </w:r>
      <w:r>
        <w:rPr>
          <w:rFonts w:ascii="Times New Roman" w:cs="Times New Roman" w:eastAsia="Times New Roman" w:hAnsi="Times New Roman"/>
          <w:sz w:val="18"/>
          <w:szCs w:val="18"/>
          <w:color w:val="auto"/>
        </w:rPr>
        <w:t>— Performance-based stock units (“PSU”) are generally earned based on the attainment of specified goals achieved over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performance period. During the years ended December 31, 2025, 2024, and 2023, the Company’s Compensation Committee approved PSU awards to certain senior executives of the Company with grant dates in 2025, 2024, and 2023, respectively. All PSU awards offer a three-year-cliff vesting schedule. Each PSU award reflects a target number of shares (“Target Shares”) that may be issued to the award recipient. PSU awards may be earned upon the completion of a two-year-average or three-year-average performance period.</w:t>
      </w:r>
    </w:p>
    <w:p>
      <w:pPr>
        <w:spacing w:after="0" w:line="143"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Whether PSU awards are earned at the end of the performance period will be determined based on the achievement of certain performance objectives over the performance period. The performance objectives include achieving a target growth for adjusted EBITDA and revenue combined in addition to a target growth for cash flows from operations (2023 and 2024 PSUs) or a target growth for adjusted diluted earnings per share (2025 PSUs) over the performance period. Depending on the results achieved during the performance period, the actual number of shares that a grant recipient receives at the end of the period may range from 0% to 200% of the Target Shares granted. Each period begins with 100% of the Target Shares and true-up or true-down adjustments are considered every quarter-end based on the forecasted performance period results.</w:t>
      </w:r>
    </w:p>
    <w:p>
      <w:pPr>
        <w:spacing w:after="0" w:line="16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fair value of the Target Shares and PSU awards are based on the fair value of the underlying shares as of market close on the grant date. Compensation expense for PSU awards is recognized on a straight-line basis over the requisite service period. During the years ended December 31, 2025, 2024, and 2023, the Company recognized compensation expense related to the PSU awards of $11.0 million, $8.8 million, and $7.5 million, respectively. During the years ended December 31, 2025 and 2024, shares were surrendered to satisfy tax withholding obligations on the performance-based stock units with a cost basis of $4.3 million and $4.9 million, respectively. During the year ended December 31, 2023, no shares were surrendered to satisfy tax withholding obligations on the PSU awards. As of December 31, 2025, there was $14.2 million in unrecognized compensation expense related to unvested PSU awards that are expected to be recognized over a weighted-average period of 1.2 years.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STOCKHOLDERS’ EQUITY</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HC I completed secondary offerings of 23,771,926 shares of common stock. As of December 31, 2023, HC I no longer held shares of the Company’s common stock.</w:t>
      </w:r>
    </w:p>
    <w:p>
      <w:pPr>
        <w:spacing w:after="0" w:line="131"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2017 Warrants </w:t>
      </w:r>
      <w:r>
        <w:rPr>
          <w:rFonts w:ascii="Times New Roman" w:cs="Times New Roman" w:eastAsia="Times New Roman" w:hAnsi="Times New Roman"/>
          <w:sz w:val="18"/>
          <w:szCs w:val="18"/>
          <w:color w:val="auto"/>
        </w:rPr>
        <w:t>— Prior to the Merger, BioScrip issued warrants to certain debt holders pursuant to a Warrant Purchase Agreement dated as of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 2017. In conjunction with the Merger, the 2017 Warrants were amended to entitle the purchasers of the warrants to purchase 2.1 million shares of common stock. The 2017 Warrants have a 10-year term and an exercise price of $8.00 per share and may be exercised by payment of the exercise price in cash or surrender of shares of common stock into which the 2017 Warrants are being converted in an aggregate amount sufficient to cover the exercise price. The 2017 Warrants are classified as equity instruments, and the fair value of these warrants of $14.1 million was recorded in paid-in capital as of the Merger Date. During the years ended December 31, 2025 and 2024, warrant holders did not elect to exercise any warrants to purchase shares of common stock. At December 31, 2025 and 2024, the remaining warrant holders are entitled to purchase 51,838 shares of common stock.</w:t>
      </w:r>
    </w:p>
    <w:p>
      <w:pPr>
        <w:spacing w:after="0" w:line="142" w:lineRule="exact"/>
        <w:rPr>
          <w:sz w:val="20"/>
          <w:szCs w:val="20"/>
          <w:color w:val="auto"/>
        </w:rPr>
      </w:pPr>
    </w:p>
    <w:p>
      <w:pPr>
        <w:ind w:right="180" w:firstLine="324"/>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2015 Warrants </w:t>
      </w:r>
      <w:r>
        <w:rPr>
          <w:rFonts w:ascii="Times New Roman" w:cs="Times New Roman" w:eastAsia="Times New Roman" w:hAnsi="Times New Roman"/>
          <w:sz w:val="17"/>
          <w:szCs w:val="17"/>
          <w:color w:val="auto"/>
        </w:rPr>
        <w:t>— Prior to the Merger, BioScrip issued warrants pursuant to a Common Stock Warrant Agreement dated as of March 9, 2015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entitle the holders to purchase 0.9 million shares of common stock. The 2015 Warrants have a 10-year term and have exercise prices in a range of $20.68 per share to $25.80 per share. The 2015 Warrants were assumed by the Company in conjunction with the Merger and are classified as equity instruments, and the fair value of these warrants of $4.6 million was recorded in paid in capital as of the Merger Date. During the years ended December 31, 2025 and 2024, warrant holders exercised an immaterial number of warrants to purchase shares of common stock. During the years ended December 31, 2025 and 2024, no cash proceeds were received from warrant exercises. The 2015 warrants expired on June 30, 2025. At December 31, 2025, any outstanding warrants are no longer exercisable. At December 31, 2024 the remaining warrant holders are entitled to purchase 11,765 shares of common stock.</w:t>
      </w:r>
    </w:p>
    <w:p>
      <w:pPr>
        <w:spacing w:after="0" w:line="131"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Share Repurchase Program </w:t>
      </w:r>
      <w:r>
        <w:rPr>
          <w:rFonts w:ascii="Times New Roman" w:cs="Times New Roman" w:eastAsia="Times New Roman" w:hAnsi="Times New Roman"/>
          <w:sz w:val="18"/>
          <w:szCs w:val="18"/>
          <w:color w:val="auto"/>
        </w:rPr>
        <w:t>— On February 20, 2023, the Company’s Board of Directors authorized a share repurchase program of up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$250.0 million of common stock of the Company. On December 6, 2023, the Company’s Board of Directors approved an increase to its share repurchase program authorization from $250.0 million to $500.0 million. This program was completed in December 2024. On January 10, 2025, the Company’s Board of Directors authorized a 2025 share repurchase program of up to an aggregate $500.0 million of common stock of the Company. Under the share repurchase program, repurchases may occur in any number of methods depending on timing, market conditions, regulatory requirements, and other corporate considerations. The share repurchase program has no specified expiration date.</w:t>
      </w:r>
    </w:p>
    <w:p>
      <w:pPr>
        <w:spacing w:after="0" w:line="15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2025, 2024, and 2023, the Company purchased 10,079,009, 9,255,591, and 7,946,301 shares of common stock under this program for an average share price of $30.51, $27.01, and $31.46, totaling $307.5 million, $250.0 million, and $250.0 million, respectively. All repurchased shares became treasury stock. As of December 31, 2025, the Company is authorized to repurchase up to a remaining $192.5 million of common stock of the Company. In January 2026, the Company’s Board of Directors approved an increase to its 2025 share repurchase program authorization from $500.0 million to $1.0 billion.</w:t>
      </w:r>
    </w:p>
    <w:p>
      <w:pPr>
        <w:spacing w:after="0" w:line="139" w:lineRule="exact"/>
        <w:rPr>
          <w:sz w:val="20"/>
          <w:szCs w:val="20"/>
          <w:color w:val="auto"/>
        </w:rPr>
      </w:pPr>
    </w:p>
    <w:p>
      <w:pPr>
        <w:ind w:right="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Shares Outstanding </w:t>
      </w:r>
      <w:r>
        <w:rPr>
          <w:rFonts w:ascii="Times New Roman" w:cs="Times New Roman" w:eastAsia="Times New Roman" w:hAnsi="Times New Roman"/>
          <w:sz w:val="18"/>
          <w:szCs w:val="18"/>
          <w:color w:val="auto"/>
        </w:rPr>
        <w:t>— The following table shows the Company’s changes in shares of common stock for the years ended December 31, 2025,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2023 (in thousands):</w:t>
      </w:r>
    </w:p>
    <w:p>
      <w:pPr>
        <w:sectPr>
          <w:pgSz w:w="11900" w:h="16838" w:orient="portrait"/>
          <w:cols w:equalWidth="0" w:num="1">
            <w:col w:w="11220"/>
          </w:cols>
          <w:pgMar w:left="320" w:top="118" w:right="359" w:bottom="1440" w:gutter="0" w:footer="0" w:header="0"/>
        </w:sectPr>
      </w:pPr>
    </w:p>
    <w:p>
      <w:pPr>
        <w:spacing w:after="0" w:line="3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-123190</wp:posOffset>
            </wp:positionV>
            <wp:extent cx="711517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Equity award issuances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Equity award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20320</wp:posOffset>
            </wp:positionV>
            <wp:extent cx="71151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p>
      <w:pPr>
        <w:spacing w:after="0" w:line="3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Equity award issuances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Share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-116205</wp:posOffset>
            </wp:positionV>
            <wp:extent cx="7115175"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Number of Shares</w:t>
      </w:r>
    </w:p>
    <w:p>
      <w:pPr>
        <w:spacing w:after="0" w:line="4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181,958</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564</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(7,946)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20320</wp:posOffset>
            </wp:positionV>
            <wp:extent cx="13887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174,576</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941</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(9,256)</w:t>
      </w:r>
    </w:p>
    <w:p>
      <w:pPr>
        <w:spacing w:after="0" w:line="4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166,261</w:t>
      </w:r>
    </w:p>
    <w:p>
      <w:pPr>
        <w:spacing w:after="0" w:line="32"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676</w:t>
      </w:r>
    </w:p>
    <w:p>
      <w:pPr>
        <w:spacing w:after="0" w:line="3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20320</wp:posOffset>
            </wp:positionV>
            <wp:extent cx="13887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156,858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20320</wp:posOffset>
            </wp:positionV>
            <wp:extent cx="1388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8745" cy="8890"/>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46355</wp:posOffset>
            </wp:positionV>
            <wp:extent cx="13887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38874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8780" w:space="720"/>
            <w:col w:w="1720"/>
          </w:cols>
          <w:pgMar w:left="320" w:top="118" w:right="359" w:bottom="1440" w:gutter="0" w:footer="0" w:header="0"/>
          <w:type w:val="continuous"/>
        </w:sectPr>
      </w:pP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 xml:space="preserve">Treasury Stock </w:t>
      </w:r>
      <w:r>
        <w:rPr>
          <w:rFonts w:ascii="Times New Roman" w:cs="Times New Roman" w:eastAsia="Times New Roman" w:hAnsi="Times New Roman"/>
          <w:sz w:val="17"/>
          <w:szCs w:val="17"/>
          <w:color w:val="auto"/>
        </w:rPr>
        <w:t>— As of December 31, 2025 and 2024, the Company held 27,664,622 and 17,585,613 shares of treasury stock, respectively.</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Preferred Stock </w:t>
      </w:r>
      <w:r>
        <w:rPr>
          <w:rFonts w:ascii="Times New Roman" w:cs="Times New Roman" w:eastAsia="Times New Roman" w:hAnsi="Times New Roman"/>
          <w:sz w:val="18"/>
          <w:szCs w:val="18"/>
          <w:color w:val="auto"/>
        </w:rPr>
        <w:t>— The Company had no preferred stock outstanding as of December 31, 2025 or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RELATED-PARTY TRANSACTIONS</w:t>
      </w:r>
    </w:p>
    <w:p>
      <w:pPr>
        <w:spacing w:after="0" w:line="18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Transactions with Equity-Method Investees </w:t>
      </w:r>
      <w:r>
        <w:rPr>
          <w:rFonts w:ascii="Times New Roman" w:cs="Times New Roman" w:eastAsia="Times New Roman" w:hAnsi="Times New Roman"/>
          <w:sz w:val="18"/>
          <w:szCs w:val="18"/>
          <w:color w:val="auto"/>
        </w:rPr>
        <w:t>— The Company provides management services to its joint ventures such as accounting, invoicing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collections in addition to day-to-day managerial support of the operations of the businesses. The Company recorded management fee income of $7.5 million, $6.2 million, and $5.3 million for the years ended December 31, 2025, 2024, and 2023, respectively. Management fees are recorded in net revenues in the accompanying consolidated statements of comprehensive income. During the years ended December 31, 2025, 2024, and 2023, the Company received distributions from the investees of $4.0 million, $2.4 million, and $4.0 million, respectively.</w:t>
      </w:r>
    </w:p>
    <w:p>
      <w:pPr>
        <w:spacing w:after="0" w:line="15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had amounts due to its joint ventures totaling $2.7 million and $1.4 million as of December 31, 2025 and 2024, respectively. Receivables were included in prepaid expenses and other current assets in the accompanying balance sheets, while payables were included in accrued expenses and other current liabilities in the accompanying balance sheets. These balances primarily relate to cash collections received by the Company on behalf of the joint ventures, offset by certain pharmaceutical inventories and other expenses paid for by the Company on behalf of the joint ventures.</w:t>
      </w:r>
    </w:p>
    <w:p>
      <w:pPr>
        <w:spacing w:after="0" w:line="13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Share Repurchase Agreement </w:t>
      </w:r>
      <w:r>
        <w:rPr>
          <w:rFonts w:ascii="Times New Roman" w:cs="Times New Roman" w:eastAsia="Times New Roman" w:hAnsi="Times New Roman"/>
          <w:sz w:val="18"/>
          <w:szCs w:val="18"/>
          <w:color w:val="auto"/>
        </w:rPr>
        <w:t>— On February 28, 2023, we entered into a Share Repurchase Agreement (the “Share Repurchase Agreement”)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HC Group Holdings I, LLC. (“HC I”) pursuant to which we agreed to repurchase, subject to the terms and conditions contained therein, up to $75.0 million of our common stock then held by HC I at the same purchase price per share as the underwriter in a concurrent underwritten public offering of our common stock held by HC I. On March 3, 2023, the transactions contemplated by the Share Repurchase Agreement closed, and we repurchased directly from HC I 2,475,166 shares of our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202" w:lineRule="exact"/>
        <w:rPr>
          <w:sz w:val="20"/>
          <w:szCs w:val="20"/>
          <w:color w:val="auto"/>
        </w:rPr>
      </w:pPr>
    </w:p>
    <w:p>
      <w:pPr>
        <w:jc w:val="both"/>
        <w:ind w:right="520"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as a single reportable segment, infusion services. Infusion services derives revenue through the clinical management of infusion therapy, nursing support, and care coordination in order to provide solutions to complex patient conditions in the home or other nonhospital settings. The Company’s infusion services segment activities are managed on a consolidated basis and therapies are distributed and administered in a similar manner.</w:t>
      </w:r>
    </w:p>
    <w:p>
      <w:pPr>
        <w:spacing w:after="0" w:line="13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Operating segments have been identified based on the financial information utilized by the Company’s Chief Executive Officer, the chief operating decision maker (“CODM”). The CODM uses net income as a measure of profitability to assess segment performance and deciding on how to allocate resources such as capital investments, share repurchases, and acquisitions. The CODM does not use or receive total assets by segment to make decisions regarding resources; therefore, the total asset disclosure by segment has not been included.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results of operations of the Company’s reportable segment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1"/>
        </w:trPr>
        <w:tc>
          <w:tcPr>
            <w:tcW w:w="57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Infusion services net revenue</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5,555,778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4,911,591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4,222,656</w:t>
            </w:r>
          </w:p>
        </w:tc>
      </w:tr>
      <w:tr>
        <w:trPr>
          <w:trHeight w:val="213"/>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revenue (1)</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93,741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86,611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79,668</w:t>
            </w:r>
          </w:p>
        </w:tc>
      </w:tr>
      <w:tr>
        <w:trPr>
          <w:trHeight w:val="212"/>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Option Care Health revenue</w:t>
            </w: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5,649,519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4,998,202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4,302,324</w:t>
            </w:r>
          </w:p>
        </w:tc>
      </w:tr>
      <w:tr>
        <w:trPr>
          <w:trHeight w:val="193"/>
        </w:trPr>
        <w:tc>
          <w:tcPr>
            <w:tcW w:w="5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Income:</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net revenues - drugs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(3,984,955)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(3,446,735)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(2,812,531)</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Salaries, benefits, and other employee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(848,996)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(787,922)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(760,499)</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segment items (2)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(410,124)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(380,803)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(355,498)</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(60,909)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(59,201)</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(51,248)</w:t>
            </w:r>
          </w:p>
        </w:tc>
      </w:tr>
      <w:tr>
        <w:trPr>
          <w:trHeight w:val="213"/>
        </w:trPr>
        <w:tc>
          <w:tcPr>
            <w:tcW w:w="5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in earnings of joint ventures</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5,530</w:t>
            </w:r>
          </w:p>
        </w:tc>
      </w:tr>
      <w:tr>
        <w:trPr>
          <w:trHeight w:val="219"/>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89,865</w:t>
            </w:r>
          </w:p>
        </w:tc>
      </w:tr>
      <w:tr>
        <w:trPr>
          <w:trHeight w:val="213"/>
        </w:trPr>
        <w:tc>
          <w:tcPr>
            <w:tcW w:w="5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(91,652)</w:t>
            </w: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207,585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211,823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267,090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business activities related to other miscellaneous revenue streams.</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includes expenses for medical supplies, delivery and packaging, leases, professional services, and other expenses.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of the Exchange Act were effective as of December 31, 2025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Chief Executive Officer (“CEO”) and Chief Financial Officer (“CFO”), as appropriate to allow timely decisions regarding required disclosure.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Annual Report on Internal Control Over Financial Reporting</w:t>
      </w:r>
    </w:p>
    <w:p>
      <w:pPr>
        <w:spacing w:after="0" w:line="18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for the Company, as defined in Rules 13a-15(f) and 15d-15(f) of the Exchange Act. Our internal control system is designed to provide reasonable assurance regarding the reliability of financial reporting and the preparation of the Company’s financial statements for external purposes in accordance with U.S. GAAP.</w:t>
      </w:r>
    </w:p>
    <w:p>
      <w:pPr>
        <w:spacing w:after="0" w:line="13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 xml:space="preserve">Our management, with the participation of the CEO and CFO, assessed the effectiveness of the Company’s internal control over financial reporting. Based on the criteria for effective internal control over financial reporting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management concluded that the internal control over financial reporting was effective as of December 31, 2025. The Company’s independent registered public accounting firm, KPMG LLP, has issued an audit report on the Company’s internal control over financial reporting, which appears elsewhere in this Annual Report.</w:t>
      </w:r>
    </w:p>
    <w:p>
      <w:pPr>
        <w:spacing w:after="0" w:line="15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during the three months ended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 Care Health, Inc.</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1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audited Option Care Health, Inc. and subsidiaries' (the Company) internal control over financial reporting as of December 31, 2025,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3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2025 and 2024, the related consolidated statements of comprehensive income, stockholders’ equity, and cash flows for each of the years in the three-year period ended December 31, 2025, and the related notes (collectively, the consolidated financial statements), and our report dated February 24, 2026 expressed an unqualified opinion on those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 KPMG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Modification and Termination of Rule 10b5-1 Plans and Certain Other Trading Arrangements</w:t>
      </w:r>
    </w:p>
    <w:p>
      <w:pPr>
        <w:spacing w:after="0" w:line="20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No director or officer of the Company has adopted, modified or terminated a Rule 10b5-1 plan or non-Rule 10b5-1 trading arrangement during the three months ended December 31, 2025.</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8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adopted a Code of Business Conduct that applies to all of our directors, officers and employees, including our principal executive, principal financial and principal accounting officers, or persons performing similar functions. Our Code of Business Conduct is posted on our website located at https://investors.optioncarehealth.com/corporate-governance/governance-resources. We intend to disclose future amendments to certain provisions of the Code of Business Conduct, and waivers of the Code of Business Conduct granted to executive officers and directors, on our website.</w:t>
      </w:r>
    </w:p>
    <w:p>
      <w:pPr>
        <w:spacing w:after="0" w:line="15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other information required by this item is incorporated by reference from the information contained in our definitive proxy statement to be filed with the SEC no later than 120 days after December 31, 2025 in connection with our 2026 Annual Meeting of Stockholders.</w:t>
      </w:r>
    </w:p>
    <w:p>
      <w:pPr>
        <w:spacing w:after="0" w:line="11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2025 in connection with our 2026 Annual Meeting of Stockholders.</w:t>
      </w:r>
    </w:p>
    <w:p>
      <w:pPr>
        <w:spacing w:after="0" w:line="13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2025 in connection with our 2026 Annual Meeting of Stockholders.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2025 in connection with our 2026 Annual Meeting of Stockholders.</w:t>
      </w:r>
    </w:p>
    <w:p>
      <w:pPr>
        <w:spacing w:after="0" w:line="11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information contained in our definitive proxy statement to be filed with the SEC no later than 120 days after December 31, 2025 in connection with our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620" w:type="dxa"/>
            <w:vAlign w:val="bottom"/>
            <w:gridSpan w:val="8"/>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(a)(1) Financial Statements.</w:t>
            </w: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05"/>
        </w:trPr>
        <w:tc>
          <w:tcPr>
            <w:tcW w:w="10620" w:type="dxa"/>
            <w:vAlign w:val="bottom"/>
            <w:gridSpan w:val="8"/>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062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The following financial statements appear in Part II, Item 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102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Chicago, IL, Auditor Firm ID: 185)</w:t>
            </w:r>
          </w:p>
        </w:tc>
        <w:tc>
          <w:tcPr>
            <w:tcW w:w="400" w:type="dxa"/>
            <w:vAlign w:val="bottom"/>
            <w:gridSpan w:val="2"/>
          </w:tcPr>
          <w:p>
            <w:pPr>
              <w:jc w:val="center"/>
              <w:ind w:left="130"/>
              <w:spacing w:after="0" w:line="194" w:lineRule="exact"/>
              <w:rPr>
                <w:sz w:val="20"/>
                <w:szCs w:val="20"/>
                <w:color w:val="auto"/>
              </w:rPr>
            </w:pPr>
            <w:r>
              <w:rPr>
                <w:rFonts w:ascii="Times New Roman" w:cs="Times New Roman" w:eastAsia="Times New Roman" w:hAnsi="Times New Roman"/>
                <w:sz w:val="18"/>
                <w:szCs w:val="18"/>
                <w:color w:val="0000FF"/>
                <w:w w:val="99"/>
              </w:rPr>
              <w:t>40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5600" w:type="dxa"/>
            <w:vAlign w:val="bottom"/>
            <w:gridSpan w:val="4"/>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7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2025, 2024 and 2023</w:t>
            </w:r>
          </w:p>
        </w:tc>
        <w:tc>
          <w:tcPr>
            <w:tcW w:w="2480" w:type="dxa"/>
            <w:vAlign w:val="bottom"/>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7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480" w:type="dxa"/>
            <w:vAlign w:val="bottom"/>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420" w:type="dxa"/>
            <w:vAlign w:val="bottom"/>
            <w:gridSpan w:val="4"/>
          </w:tcPr>
          <w:p>
            <w:pPr>
              <w:spacing w:after="0"/>
              <w:rPr>
                <w:sz w:val="18"/>
                <w:szCs w:val="18"/>
                <w:color w:val="auto"/>
              </w:rPr>
            </w:pPr>
          </w:p>
        </w:tc>
        <w:tc>
          <w:tcPr>
            <w:tcW w:w="2680" w:type="dxa"/>
            <w:vAlign w:val="bottom"/>
            <w:gridSpan w:val="2"/>
          </w:tcPr>
          <w:p>
            <w:pPr>
              <w:spacing w:after="0"/>
              <w:rPr>
                <w:sz w:val="18"/>
                <w:szCs w:val="18"/>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62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rPr>
              <w:t>All other schedules not listed above have been omitted since they are not applicable or are not required.</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(a)(3) Exhibits.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ectPr>
          <w:pgSz w:w="11900" w:h="16838" w:orient="portrait"/>
          <w:cols w:equalWidth="0" w:num="1">
            <w:col w:w="11220"/>
          </w:cols>
          <w:pgMar w:left="320" w:top="118" w:right="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5"/>
        </w:trPr>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Number</w:t>
            </w:r>
          </w:p>
        </w:tc>
        <w:tc>
          <w:tcPr>
            <w:tcW w:w="20" w:type="dxa"/>
            <w:vAlign w:val="bottom"/>
          </w:tcPr>
          <w:p>
            <w:pPr>
              <w:spacing w:after="0"/>
              <w:rPr>
                <w:sz w:val="18"/>
                <w:szCs w:val="18"/>
                <w:color w:val="auto"/>
              </w:rPr>
            </w:pPr>
          </w:p>
        </w:tc>
        <w:tc>
          <w:tcPr>
            <w:tcW w:w="9700" w:type="dxa"/>
            <w:vAlign w:val="bottom"/>
            <w:gridSpan w:val="35"/>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185"/>
        </w:trPr>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700" w:type="dxa"/>
            <w:vAlign w:val="bottom"/>
            <w:tcBorders>
              <w:top w:val="single" w:sz="8" w:color="auto"/>
            </w:tcBorders>
            <w:gridSpan w:val="35"/>
          </w:tcPr>
          <w:p>
            <w:pPr>
              <w:spacing w:after="0"/>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Fourth Amended and Restated Certificate of Incorporation of Option Care Health, Inc., effective as of May 15, 2025 (incorporated by reference to</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80" w:type="dxa"/>
            <w:vAlign w:val="bottom"/>
            <w:tcBorders>
              <w:top w:val="single" w:sz="8" w:color="0000FF"/>
            </w:tcBorders>
            <w:gridSpan w:val="25"/>
          </w:tcPr>
          <w:p>
            <w:pPr>
              <w:spacing w:after="0" w:line="169" w:lineRule="exact"/>
              <w:rPr>
                <w:rFonts w:ascii="Times New Roman" w:cs="Times New Roman" w:eastAsia="Times New Roman" w:hAnsi="Times New Roman"/>
                <w:sz w:val="16"/>
                <w:szCs w:val="16"/>
                <w:color w:val="0000FF"/>
              </w:rPr>
            </w:pPr>
            <w:hyperlink r:id="rId95">
              <w:r>
                <w:rPr>
                  <w:rFonts w:ascii="Times New Roman" w:cs="Times New Roman" w:eastAsia="Times New Roman" w:hAnsi="Times New Roman"/>
                  <w:sz w:val="16"/>
                  <w:szCs w:val="16"/>
                  <w:color w:val="0000FF"/>
                </w:rPr>
                <w:t>Exhibit 3.1 to the Company’s Current Report on Form 8-K filed on May 16, 2025).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Amended and Restated By-Laws of Option Care Health, Inc., effective as of May 14, 2025 (incorporated by reference to Exhibit 3.2 to the</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7"/>
          </w:tcPr>
          <w:p>
            <w:pPr>
              <w:spacing w:after="0" w:line="142" w:lineRule="exact"/>
              <w:rPr>
                <w:rFonts w:ascii="Times New Roman" w:cs="Times New Roman" w:eastAsia="Times New Roman" w:hAnsi="Times New Roman"/>
                <w:sz w:val="16"/>
                <w:szCs w:val="16"/>
                <w:color w:val="0000FF"/>
              </w:rPr>
            </w:pPr>
            <w:hyperlink r:id="rId96">
              <w:r>
                <w:rPr>
                  <w:rFonts w:ascii="Times New Roman" w:cs="Times New Roman" w:eastAsia="Times New Roman" w:hAnsi="Times New Roman"/>
                  <w:sz w:val="16"/>
                  <w:szCs w:val="16"/>
                  <w:color w:val="0000FF"/>
                </w:rPr>
                <w:t>Company’s Current Report on Form 8-K filed on May 16, 2025).</w:t>
              </w:r>
            </w:hyperlink>
          </w:p>
        </w:tc>
        <w:tc>
          <w:tcPr>
            <w:tcW w:w="4760" w:type="dxa"/>
            <w:vAlign w:val="bottom"/>
            <w:tcBorders>
              <w:top w:val="single" w:sz="8" w:color="0000FF"/>
            </w:tcBorders>
            <w:gridSpan w:val="9"/>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rPr>
              <w:t>Description of Option Care Health Inc.’s registered securities (filed herewith).</w:t>
            </w:r>
          </w:p>
        </w:tc>
        <w:tc>
          <w:tcPr>
            <w:tcW w:w="46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Amended and Restated Warrant Agreement, dated as of March 14, 2019, by and among BioScrip, Inc. and the Holders (as defined therein) signatory</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32"/>
          </w:tcPr>
          <w:p>
            <w:pPr>
              <w:spacing w:after="0" w:line="142" w:lineRule="exact"/>
              <w:rPr>
                <w:rFonts w:ascii="Times New Roman" w:cs="Times New Roman" w:eastAsia="Times New Roman" w:hAnsi="Times New Roman"/>
                <w:sz w:val="16"/>
                <w:szCs w:val="16"/>
                <w:color w:val="0000FF"/>
              </w:rPr>
            </w:pPr>
            <w:hyperlink r:id="rId97">
              <w:r>
                <w:rPr>
                  <w:rFonts w:ascii="Times New Roman" w:cs="Times New Roman" w:eastAsia="Times New Roman" w:hAnsi="Times New Roman"/>
                  <w:sz w:val="16"/>
                  <w:szCs w:val="16"/>
                  <w:color w:val="0000FF"/>
                </w:rPr>
                <w:t>thereto (incorporated by reference to Exhibit 10.2 to the Company’s Current Report on Form 8-K filed on March 15,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w:t>
            </w:r>
          </w:p>
        </w:tc>
        <w:tc>
          <w:tcPr>
            <w:tcW w:w="20" w:type="dxa"/>
            <w:vAlign w:val="bottom"/>
          </w:tcPr>
          <w:p>
            <w:pPr>
              <w:spacing w:after="0"/>
              <w:rPr>
                <w:sz w:val="17"/>
                <w:szCs w:val="17"/>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Option Care Health, Inc. Executive Severance Plan, effective as of May 11, 2020 (incorporated by reference to Exhibit 10.5 to the Company's</w:t>
              </w:r>
            </w:hyperlink>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tcBorders>
              <w:top w:val="single" w:sz="8" w:color="0000FF"/>
              <w:bottom w:val="single" w:sz="8" w:color="0000FF"/>
            </w:tcBorders>
            <w:gridSpan w:val="6"/>
          </w:tcPr>
          <w:p>
            <w:pPr>
              <w:spacing w:after="0" w:line="142" w:lineRule="exact"/>
              <w:rPr>
                <w:rFonts w:ascii="Times New Roman" w:cs="Times New Roman" w:eastAsia="Times New Roman" w:hAnsi="Times New Roman"/>
                <w:sz w:val="16"/>
                <w:szCs w:val="16"/>
                <w:color w:val="0000FF"/>
              </w:rPr>
            </w:pPr>
            <w:hyperlink r:id="rId98">
              <w:r>
                <w:rPr>
                  <w:rFonts w:ascii="Times New Roman" w:cs="Times New Roman" w:eastAsia="Times New Roman" w:hAnsi="Times New Roman"/>
                  <w:sz w:val="16"/>
                  <w:szCs w:val="16"/>
                  <w:color w:val="0000FF"/>
                </w:rPr>
                <w:t>Annual Report on Form 10-K filed on February 23, 2023).</w:t>
              </w:r>
            </w:hyperlink>
          </w:p>
        </w:tc>
        <w:tc>
          <w:tcPr>
            <w:tcW w:w="5380" w:type="dxa"/>
            <w:vAlign w:val="bottom"/>
            <w:tcBorders>
              <w:top w:val="single" w:sz="8" w:color="0000FF"/>
            </w:tcBorders>
            <w:gridSpan w:val="11"/>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10.2†</w:t>
            </w:r>
          </w:p>
        </w:tc>
        <w:tc>
          <w:tcPr>
            <w:tcW w:w="20" w:type="dxa"/>
            <w:vAlign w:val="bottom"/>
          </w:tcPr>
          <w:p>
            <w:pPr>
              <w:spacing w:after="0"/>
              <w:rPr>
                <w:sz w:val="18"/>
                <w:szCs w:val="18"/>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Option Care Health, Inc. Amended and Restated 2018 Equity Incentive Plan updated as of May 15, 2024 (incorporated by reference to Appendix B</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0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6"/>
                <w:szCs w:val="16"/>
                <w:color w:val="0000FF"/>
              </w:rPr>
            </w:pPr>
            <w:hyperlink r:id="rId99">
              <w:r>
                <w:rPr>
                  <w:rFonts w:ascii="Times New Roman" w:cs="Times New Roman" w:eastAsia="Times New Roman" w:hAnsi="Times New Roman"/>
                  <w:sz w:val="16"/>
                  <w:szCs w:val="16"/>
                  <w:color w:val="0000FF"/>
                </w:rPr>
                <w:t>to the Company’s Definitive Proxy Statement filed on April 3, 2024).</w:t>
              </w:r>
            </w:hyperlink>
          </w:p>
        </w:tc>
        <w:tc>
          <w:tcPr>
            <w:tcW w:w="5060" w:type="dxa"/>
            <w:vAlign w:val="bottom"/>
            <w:tcBorders>
              <w:top w:val="single" w:sz="8" w:color="0000FF"/>
            </w:tcBorders>
            <w:gridSpan w:val="21"/>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Indenture, dated as of October 27, 2021, by and between Option Care Health, Inc., each of the Guarantors (as defined therein) listed on the signature</w:t>
              </w:r>
            </w:hyperlink>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31"/>
          </w:tcPr>
          <w:p>
            <w:pPr>
              <w:spacing w:after="0" w:line="155"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pages thereto and Ankura Trust Company, LLC as trustee (incorporated by reference to Exhibit 4.1 to the Company’s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20" w:type="dxa"/>
            <w:vAlign w:val="bottom"/>
            <w:tcBorders>
              <w:top w:val="single" w:sz="8" w:color="0000FF"/>
            </w:tcBorders>
            <w:gridSpan w:val="27"/>
          </w:tcPr>
          <w:p>
            <w:pPr>
              <w:spacing w:after="0" w:line="169"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filed on October 29,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Form of 4.375% Senior Notes due 2029 (included in Exhibit 10.6 and incorporated by reference to Exhibit 4.2 to the Company’s Current Report on</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80" w:type="dxa"/>
            <w:vAlign w:val="bottom"/>
            <w:tcBorders>
              <w:top w:val="single" w:sz="8" w:color="0000FF"/>
            </w:tcBorders>
            <w:gridSpan w:val="30"/>
          </w:tcPr>
          <w:p>
            <w:pPr>
              <w:spacing w:after="0" w:line="169" w:lineRule="exact"/>
              <w:rPr>
                <w:rFonts w:ascii="Times New Roman" w:cs="Times New Roman" w:eastAsia="Times New Roman" w:hAnsi="Times New Roman"/>
                <w:sz w:val="16"/>
                <w:szCs w:val="16"/>
                <w:color w:val="0000FF"/>
              </w:rPr>
            </w:pPr>
            <w:hyperlink r:id="rId100">
              <w:r>
                <w:rPr>
                  <w:rFonts w:ascii="Times New Roman" w:cs="Times New Roman" w:eastAsia="Times New Roman" w:hAnsi="Times New Roman"/>
                  <w:sz w:val="16"/>
                  <w:szCs w:val="16"/>
                  <w:color w:val="0000FF"/>
                </w:rPr>
                <w:t>Form 8-K filed on October 29, 2021).</w:t>
              </w:r>
            </w:hyperlink>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Second Amendment and Amendment and Restatement Agreement to First Lien Credit Agreement, dated as of October 27, 2021 (incorporated by</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40" w:type="dxa"/>
            <w:vAlign w:val="bottom"/>
            <w:tcBorders>
              <w:top w:val="single" w:sz="8" w:color="0000FF"/>
            </w:tcBorders>
            <w:gridSpan w:val="23"/>
          </w:tcPr>
          <w:p>
            <w:pPr>
              <w:spacing w:after="0" w:line="169" w:lineRule="exact"/>
              <w:rPr>
                <w:rFonts w:ascii="Times New Roman" w:cs="Times New Roman" w:eastAsia="Times New Roman" w:hAnsi="Times New Roman"/>
                <w:sz w:val="16"/>
                <w:szCs w:val="16"/>
                <w:color w:val="0000FF"/>
              </w:rPr>
            </w:pPr>
            <w:hyperlink r:id="rId101">
              <w:r>
                <w:rPr>
                  <w:rFonts w:ascii="Times New Roman" w:cs="Times New Roman" w:eastAsia="Times New Roman" w:hAnsi="Times New Roman"/>
                  <w:sz w:val="16"/>
                  <w:szCs w:val="16"/>
                  <w:color w:val="0000FF"/>
                </w:rPr>
                <w:t>reference to Exhibit 10.1 to the Company's Current Report on Form 8-K filed on October 29, 2021).</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3220" w:type="dxa"/>
            <w:vAlign w:val="bottom"/>
            <w:gridSpan w:val="6"/>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Second Amendment to Amended and Restated First Lien Credit Agreement, dated as of December 7, 2023, among Option Care Health, Inc. (f/k/a</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BioScrip, Inc.), a Delaware corporation, each other Loan Party (as defined therein) party thereto, each Incremental Revolving Lender (incorporated</w:t>
              </w:r>
            </w:hyperlink>
          </w:p>
        </w:tc>
        <w:tc>
          <w:tcPr>
            <w:tcW w:w="40" w:type="dxa"/>
            <w:vAlign w:val="bottom"/>
            <w:tcBorders>
              <w:bottom w:val="single" w:sz="8" w:color="0000FF"/>
            </w:tcBorders>
            <w:gridSpan w:val="2"/>
          </w:tcPr>
          <w:p>
            <w:pPr>
              <w:spacing w:after="0"/>
              <w:rPr>
                <w:sz w:val="14"/>
                <w:szCs w:val="14"/>
                <w:color w:val="auto"/>
              </w:rPr>
            </w:pPr>
          </w:p>
        </w:tc>
        <w:tc>
          <w:tcPr>
            <w:tcW w:w="12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40" w:type="dxa"/>
            <w:vAlign w:val="bottom"/>
            <w:tcBorders>
              <w:bottom w:val="single" w:sz="8" w:color="0000FF"/>
            </w:tcBorders>
            <w:gridSpan w:val="12"/>
          </w:tcPr>
          <w:p>
            <w:pPr>
              <w:spacing w:after="0" w:line="183" w:lineRule="exact"/>
              <w:rPr>
                <w:rFonts w:ascii="Times New Roman" w:cs="Times New Roman" w:eastAsia="Times New Roman" w:hAnsi="Times New Roman"/>
                <w:sz w:val="16"/>
                <w:szCs w:val="16"/>
                <w:color w:val="0000FF"/>
              </w:rPr>
            </w:pPr>
            <w:hyperlink r:id="rId102">
              <w:r>
                <w:rPr>
                  <w:rFonts w:ascii="Times New Roman" w:cs="Times New Roman" w:eastAsia="Times New Roman" w:hAnsi="Times New Roman"/>
                  <w:sz w:val="16"/>
                  <w:szCs w:val="16"/>
                  <w:color w:val="0000FF"/>
                </w:rPr>
                <w:t>by reference to Exhibit 10.1 to the Company’s Current Report on Form 8-K filed on December 11, 2023).</w:t>
              </w:r>
            </w:hyperlink>
          </w:p>
        </w:tc>
        <w:tc>
          <w:tcPr>
            <w:tcW w:w="286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Third Amendment to Amended and Restated First Lien Credit Agreement, dated as of May 8, 2024, among Option Care Health, Inc. (f/k/a BioScrip,</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Inc.), a Delaware corporation, each other Loan Party (as defined in therein) party thereto, each Existing Term Lender (as defined therein) party</w:t>
              </w:r>
            </w:hyperlink>
          </w:p>
        </w:tc>
        <w:tc>
          <w:tcPr>
            <w:tcW w:w="4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00" w:type="dxa"/>
            <w:vAlign w:val="bottom"/>
            <w:gridSpan w:val="35"/>
          </w:tcPr>
          <w:p>
            <w:pPr>
              <w:spacing w:after="0" w:line="183"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thereto, the Replacement Lender (as defined therein), the 2024 Incremental Term Lender (as defined therein) and Bank of America, N.A.</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6"/>
                <w:szCs w:val="16"/>
                <w:color w:val="0000FF"/>
              </w:rPr>
            </w:pPr>
            <w:hyperlink r:id="rId103">
              <w:r>
                <w:rPr>
                  <w:rFonts w:ascii="Times New Roman" w:cs="Times New Roman" w:eastAsia="Times New Roman" w:hAnsi="Times New Roman"/>
                  <w:sz w:val="16"/>
                  <w:szCs w:val="16"/>
                  <w:color w:val="0000FF"/>
                </w:rPr>
                <w:t>(incorporated by reference to Exhibit 10.1 to the Company’s Current Report on Form 8-K filed on May 10, 2024).</w:t>
              </w:r>
            </w:hyperlink>
          </w:p>
        </w:tc>
        <w:tc>
          <w:tcPr>
            <w:tcW w:w="1480" w:type="dxa"/>
            <w:vAlign w:val="bottom"/>
            <w:tcBorders>
              <w:top w:val="single" w:sz="8" w:color="0000FF"/>
            </w:tcBorders>
            <w:gridSpan w:val="2"/>
          </w:tcPr>
          <w:p>
            <w:pPr>
              <w:spacing w:after="0"/>
              <w:rPr>
                <w:sz w:val="14"/>
                <w:szCs w:val="14"/>
                <w:color w:val="auto"/>
              </w:rPr>
            </w:pPr>
          </w:p>
        </w:tc>
        <w:tc>
          <w:tcPr>
            <w:tcW w:w="360" w:type="dxa"/>
            <w:vAlign w:val="bottom"/>
            <w:gridSpan w:val="3"/>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2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Fourth Amendment to Amended and Restated First Lien Credit Agreement, dated as of September 22, 2025, by and among Option Care Health, Inc.,</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34"/>
          </w:tcPr>
          <w:p>
            <w:pPr>
              <w:spacing w:after="0" w:line="169"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a Delaware corporation, as borrower, each other Loan Party (as defined therein) party thereto, each 2025 Refinancing Term Lender (as defined</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980" w:type="dxa"/>
            <w:vAlign w:val="bottom"/>
            <w:gridSpan w:val="1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22"/>
          </w:tcPr>
          <w:p>
            <w:pPr>
              <w:spacing w:after="0" w:line="183"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therein) party thereto, each 2025 Incremental Term Lender (as defined therein), each Extending Revolving Credit Lender (as defined therein) and</w:t>
              </w:r>
            </w:hyperlink>
          </w:p>
        </w:tc>
        <w:tc>
          <w:tcPr>
            <w:tcW w:w="280" w:type="dxa"/>
            <w:vAlign w:val="bottom"/>
            <w:gridSpan w:val="13"/>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700" w:type="dxa"/>
            <w:vAlign w:val="bottom"/>
            <w:gridSpan w:val="35"/>
          </w:tcPr>
          <w:p>
            <w:pPr>
              <w:spacing w:after="0" w:line="169"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Bank of America, N.A., as administrative agent (incorporated by reference to Exhibit 10.1 to the Company's Current Report on Form 8-K filed on</w:t>
              </w:r>
            </w:hyperlink>
          </w:p>
        </w:tc>
        <w:tc>
          <w:tcPr>
            <w:tcW w:w="0" w:type="dxa"/>
            <w:vAlign w:val="bottom"/>
          </w:tcPr>
          <w:p>
            <w:pPr>
              <w:spacing w:after="0"/>
              <w:rPr>
                <w:sz w:val="1"/>
                <w:szCs w:val="1"/>
                <w:color w:val="auto"/>
              </w:rPr>
            </w:pPr>
          </w:p>
        </w:tc>
      </w:tr>
      <w:tr>
        <w:trPr>
          <w:trHeight w:val="18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0" w:type="dxa"/>
            <w:vAlign w:val="bottom"/>
            <w:tcBorders>
              <w:top w:val="single" w:sz="8" w:color="0000FF"/>
              <w:bottom w:val="single" w:sz="8" w:color="0000FF"/>
            </w:tcBorders>
          </w:tcPr>
          <w:p>
            <w:pPr>
              <w:spacing w:after="0" w:line="183" w:lineRule="exact"/>
              <w:rPr>
                <w:rFonts w:ascii="Times New Roman" w:cs="Times New Roman" w:eastAsia="Times New Roman" w:hAnsi="Times New Roman"/>
                <w:sz w:val="16"/>
                <w:szCs w:val="16"/>
                <w:color w:val="0000FF"/>
              </w:rPr>
            </w:pPr>
            <w:hyperlink r:id="rId104">
              <w:r>
                <w:rPr>
                  <w:rFonts w:ascii="Times New Roman" w:cs="Times New Roman" w:eastAsia="Times New Roman" w:hAnsi="Times New Roman"/>
                  <w:sz w:val="16"/>
                  <w:szCs w:val="16"/>
                  <w:color w:val="0000FF"/>
                </w:rPr>
                <w:t>September 25, 2025).</w:t>
              </w:r>
            </w:hyperlink>
          </w:p>
        </w:tc>
        <w:tc>
          <w:tcPr>
            <w:tcW w:w="8060" w:type="dxa"/>
            <w:vAlign w:val="bottom"/>
            <w:tcBorders>
              <w:top w:val="single" w:sz="8" w:color="0000FF"/>
            </w:tcBorders>
            <w:gridSpan w:val="23"/>
          </w:tcPr>
          <w:p>
            <w:pPr>
              <w:spacing w:after="0"/>
              <w:rPr>
                <w:sz w:val="15"/>
                <w:szCs w:val="15"/>
                <w:color w:val="auto"/>
              </w:rPr>
            </w:pPr>
          </w:p>
        </w:tc>
        <w:tc>
          <w:tcPr>
            <w:tcW w:w="2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10.9†</w:t>
            </w:r>
          </w:p>
        </w:tc>
        <w:tc>
          <w:tcPr>
            <w:tcW w:w="20" w:type="dxa"/>
            <w:vAlign w:val="bottom"/>
          </w:tcPr>
          <w:p>
            <w:pPr>
              <w:spacing w:after="0"/>
              <w:rPr>
                <w:sz w:val="19"/>
                <w:szCs w:val="19"/>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Option Care Health, Inc. Amended and Restated Executive Severance Plan (incorporated by reference to Exhibit 10.2 to the Company’s Current</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340" w:type="dxa"/>
            <w:vAlign w:val="bottom"/>
            <w:tcBorders>
              <w:top w:val="single" w:sz="8" w:color="0000FF"/>
            </w:tcBorders>
            <w:gridSpan w:val="20"/>
          </w:tcPr>
          <w:p>
            <w:pPr>
              <w:spacing w:after="0" w:line="169" w:lineRule="exact"/>
              <w:rPr>
                <w:rFonts w:ascii="Times New Roman" w:cs="Times New Roman" w:eastAsia="Times New Roman" w:hAnsi="Times New Roman"/>
                <w:sz w:val="16"/>
                <w:szCs w:val="16"/>
                <w:color w:val="0000FF"/>
              </w:rPr>
            </w:pPr>
            <w:hyperlink r:id="rId105">
              <w:r>
                <w:rPr>
                  <w:rFonts w:ascii="Times New Roman" w:cs="Times New Roman" w:eastAsia="Times New Roman" w:hAnsi="Times New Roman"/>
                  <w:sz w:val="16"/>
                  <w:szCs w:val="16"/>
                  <w:color w:val="0000FF"/>
                </w:rPr>
                <w:t>Report on Form 8-K filed on December 11, 2023).</w:t>
              </w:r>
            </w:hyperlink>
          </w:p>
        </w:tc>
        <w:tc>
          <w:tcPr>
            <w:tcW w:w="20" w:type="dxa"/>
            <w:vAlign w:val="bottom"/>
          </w:tcPr>
          <w:p>
            <w:pPr>
              <w:spacing w:after="0"/>
              <w:rPr>
                <w:sz w:val="14"/>
                <w:szCs w:val="14"/>
                <w:color w:val="auto"/>
              </w:rPr>
            </w:pPr>
          </w:p>
        </w:tc>
        <w:tc>
          <w:tcPr>
            <w:tcW w:w="34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color w:val="auto"/>
                <w:w w:val="99"/>
              </w:rPr>
              <w:t>10.10†</w:t>
            </w:r>
          </w:p>
        </w:tc>
        <w:tc>
          <w:tcPr>
            <w:tcW w:w="20" w:type="dxa"/>
            <w:vAlign w:val="bottom"/>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100" w:type="dxa"/>
            <w:vAlign w:val="bottom"/>
            <w:gridSpan w:val="16"/>
          </w:tcPr>
          <w:p>
            <w:pPr>
              <w:spacing w:after="0" w:line="20" w:lineRule="exact"/>
              <w:rPr>
                <w:sz w:val="1"/>
                <w:szCs w:val="1"/>
                <w:color w:val="auto"/>
              </w:rPr>
            </w:pPr>
          </w:p>
        </w:tc>
        <w:tc>
          <w:tcPr>
            <w:tcW w:w="3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5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35"/>
          </w:tcPr>
          <w:p>
            <w:pPr>
              <w:spacing w:after="0"/>
              <w:rPr>
                <w:rFonts w:ascii="Times New Roman" w:cs="Times New Roman" w:eastAsia="Times New Roman" w:hAnsi="Times New Roman"/>
                <w:sz w:val="16"/>
                <w:szCs w:val="16"/>
                <w:color w:val="0000FF"/>
              </w:rPr>
            </w:pPr>
            <w:hyperlink r:id="rId106">
              <w:r>
                <w:rPr>
                  <w:rFonts w:ascii="Times New Roman" w:cs="Times New Roman" w:eastAsia="Times New Roman" w:hAnsi="Times New Roman"/>
                  <w:sz w:val="16"/>
                  <w:szCs w:val="16"/>
                  <w:color w:val="0000FF"/>
                </w:rPr>
                <w:t>Option Care Health, Inc. Deferred Compensation Plan (incorporated by reference to Exhibit 10.3 to the Company’s Current Report on Form 8-K</w:t>
              </w:r>
            </w:hyperlink>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6"/>
                <w:szCs w:val="16"/>
                <w:color w:val="0000FF"/>
                <w:w w:val="99"/>
              </w:rPr>
            </w:pPr>
            <w:hyperlink r:id="rId106">
              <w:r>
                <w:rPr>
                  <w:rFonts w:ascii="Times New Roman" w:cs="Times New Roman" w:eastAsia="Times New Roman" w:hAnsi="Times New Roman"/>
                  <w:sz w:val="16"/>
                  <w:szCs w:val="16"/>
                  <w:color w:val="0000FF"/>
                  <w:w w:val="99"/>
                </w:rPr>
                <w:t>filed on December 11, 2023).</w:t>
              </w:r>
            </w:hyperlink>
          </w:p>
        </w:tc>
        <w:tc>
          <w:tcPr>
            <w:tcW w:w="7460" w:type="dxa"/>
            <w:vAlign w:val="bottom"/>
            <w:tcBorders>
              <w:top w:val="single" w:sz="8" w:color="0000FF"/>
            </w:tcBorders>
            <w:gridSpan w:val="18"/>
          </w:tcPr>
          <w:p>
            <w:pPr>
              <w:spacing w:after="0"/>
              <w:rPr>
                <w:sz w:val="14"/>
                <w:szCs w:val="14"/>
                <w:color w:val="auto"/>
              </w:rPr>
            </w:pPr>
          </w:p>
        </w:tc>
        <w:tc>
          <w:tcPr>
            <w:tcW w:w="34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1">
            <w:col w:w="11200"/>
          </w:cols>
          <w:pgMar w:left="340" w:top="164" w:right="359" w:bottom="0" w:gutter="0" w:footer="0" w:header="0"/>
        </w:sectPr>
      </w:pPr>
    </w:p>
    <w:p>
      <w:pPr>
        <w:ind w:left="480"/>
        <w:spacing w:after="0"/>
        <w:rPr>
          <w:sz w:val="20"/>
          <w:szCs w:val="20"/>
          <w:color w:val="auto"/>
        </w:rPr>
      </w:pPr>
      <w:r>
        <w:rPr>
          <w:rFonts w:ascii="Times New Roman" w:cs="Times New Roman" w:eastAsia="Times New Roman" w:hAnsi="Times New Roman"/>
          <w:sz w:val="16"/>
          <w:szCs w:val="16"/>
          <w:color w:val="auto"/>
        </w:rPr>
        <w:t>10.11†</w:t>
      </w:r>
    </w:p>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10.12†</w:t>
      </w:r>
    </w:p>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10.13†</w:t>
      </w:r>
    </w:p>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10.14†</w:t>
      </w:r>
    </w:p>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10.15†</w:t>
      </w:r>
    </w:p>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10.16†</w:t>
      </w:r>
    </w:p>
    <w:p>
      <w:pPr>
        <w:spacing w:after="0" w:line="2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10.17†</w:t>
      </w:r>
    </w:p>
    <w:p>
      <w:pPr>
        <w:spacing w:after="0" w:line="20" w:lineRule="exact"/>
        <w:rPr>
          <w:sz w:val="20"/>
          <w:szCs w:val="20"/>
          <w:color w:val="auto"/>
        </w:rPr>
      </w:pPr>
      <w:r>
        <w:rPr>
          <w:sz w:val="20"/>
          <w:szCs w:val="20"/>
          <w:color w:val="auto"/>
        </w:rPr>
        <w:br w:type="column"/>
      </w:r>
    </w:p>
    <w:p>
      <w:pPr>
        <w:ind w:right="720"/>
        <w:spacing w:after="0" w:line="280" w:lineRule="auto"/>
        <w:rPr>
          <w:rFonts w:ascii="Times New Roman" w:cs="Times New Roman" w:eastAsia="Times New Roman" w:hAnsi="Times New Roman"/>
          <w:sz w:val="16"/>
          <w:szCs w:val="16"/>
          <w:u w:val="single" w:color="auto"/>
          <w:color w:val="0000FF"/>
        </w:rPr>
      </w:pPr>
      <w:hyperlink r:id="rId107">
        <w:r>
          <w:rPr>
            <w:rFonts w:ascii="Times New Roman" w:cs="Times New Roman" w:eastAsia="Times New Roman" w:hAnsi="Times New Roman"/>
            <w:sz w:val="16"/>
            <w:szCs w:val="16"/>
            <w:u w:val="single" w:color="auto"/>
            <w:color w:val="0000FF"/>
          </w:rPr>
          <w:t>Form of Letter Agreement with John C. Rademacher and Michael Shapiro Terminating Severance Provisions of Employment Agreements</w:t>
        </w:r>
      </w:hyperlink>
      <w:r>
        <w:rPr>
          <w:rFonts w:ascii="Times New Roman" w:cs="Times New Roman" w:eastAsia="Times New Roman" w:hAnsi="Times New Roman"/>
          <w:sz w:val="16"/>
          <w:szCs w:val="16"/>
          <w:u w:val="single" w:color="auto"/>
          <w:color w:val="0000FF"/>
        </w:rPr>
        <w:t xml:space="preserve"> </w:t>
      </w:r>
      <w:hyperlink r:id="rId107">
        <w:r>
          <w:rPr>
            <w:rFonts w:ascii="Times New Roman" w:cs="Times New Roman" w:eastAsia="Times New Roman" w:hAnsi="Times New Roman"/>
            <w:sz w:val="16"/>
            <w:szCs w:val="16"/>
            <w:u w:val="single" w:color="auto"/>
            <w:color w:val="0000FF"/>
          </w:rPr>
          <w:t>(incorporated by reference to Exhibit 10.16 to the Company's Annual Report on Form 10-K filed on February 22, 2024).</w:t>
        </w:r>
      </w:hyperlink>
    </w:p>
    <w:p>
      <w:pPr>
        <w:spacing w:after="0" w:line="16" w:lineRule="exact"/>
        <w:rPr>
          <w:sz w:val="20"/>
          <w:szCs w:val="20"/>
          <w:color w:val="auto"/>
        </w:rPr>
      </w:pPr>
    </w:p>
    <w:p>
      <w:pPr>
        <w:ind w:right="480"/>
        <w:spacing w:after="0" w:line="280" w:lineRule="auto"/>
        <w:rPr>
          <w:rFonts w:ascii="Times New Roman" w:cs="Times New Roman" w:eastAsia="Times New Roman" w:hAnsi="Times New Roman"/>
          <w:sz w:val="16"/>
          <w:szCs w:val="16"/>
          <w:u w:val="single" w:color="auto"/>
          <w:color w:val="0000FF"/>
        </w:rPr>
      </w:pPr>
      <w:hyperlink r:id="rId108">
        <w:r>
          <w:rPr>
            <w:rFonts w:ascii="Times New Roman" w:cs="Times New Roman" w:eastAsia="Times New Roman" w:hAnsi="Times New Roman"/>
            <w:sz w:val="16"/>
            <w:szCs w:val="16"/>
            <w:u w:val="single" w:color="auto"/>
            <w:color w:val="0000FF"/>
          </w:rPr>
          <w:t>Employment Offer Letter, dated as of August 19, 2025, between Option Care Health, Inc. and Meenal A. Sethna (incorporated by reference to</w:t>
        </w:r>
      </w:hyperlink>
      <w:r>
        <w:rPr>
          <w:rFonts w:ascii="Times New Roman" w:cs="Times New Roman" w:eastAsia="Times New Roman" w:hAnsi="Times New Roman"/>
          <w:sz w:val="16"/>
          <w:szCs w:val="16"/>
          <w:u w:val="single" w:color="auto"/>
          <w:color w:val="0000FF"/>
        </w:rPr>
        <w:t xml:space="preserve"> </w:t>
      </w:r>
      <w:hyperlink r:id="rId108">
        <w:r>
          <w:rPr>
            <w:rFonts w:ascii="Times New Roman" w:cs="Times New Roman" w:eastAsia="Times New Roman" w:hAnsi="Times New Roman"/>
            <w:sz w:val="16"/>
            <w:szCs w:val="16"/>
            <w:u w:val="single" w:color="auto"/>
            <w:color w:val="0000FF"/>
          </w:rPr>
          <w:t>Exhibit 10.1 to the Company’s Current Report on Form 8-K filed on August 20, 2025).</w:t>
        </w:r>
      </w:hyperlink>
    </w:p>
    <w:p>
      <w:pPr>
        <w:spacing w:after="0" w:line="16" w:lineRule="exact"/>
        <w:rPr>
          <w:sz w:val="20"/>
          <w:szCs w:val="20"/>
          <w:color w:val="auto"/>
        </w:rPr>
      </w:pPr>
    </w:p>
    <w:p>
      <w:pPr>
        <w:ind w:right="480"/>
        <w:spacing w:after="0" w:line="280" w:lineRule="auto"/>
        <w:rPr>
          <w:rFonts w:ascii="Times New Roman" w:cs="Times New Roman" w:eastAsia="Times New Roman" w:hAnsi="Times New Roman"/>
          <w:sz w:val="16"/>
          <w:szCs w:val="16"/>
          <w:u w:val="single" w:color="auto"/>
          <w:color w:val="0000FF"/>
        </w:rPr>
      </w:pPr>
      <w:hyperlink r:id="rId109">
        <w:r>
          <w:rPr>
            <w:rFonts w:ascii="Times New Roman" w:cs="Times New Roman" w:eastAsia="Times New Roman" w:hAnsi="Times New Roman"/>
            <w:sz w:val="16"/>
            <w:szCs w:val="16"/>
            <w:u w:val="single" w:color="auto"/>
            <w:color w:val="0000FF"/>
          </w:rPr>
          <w:t>Transition Agreement and Release, dated as of August 19, 2025, between Option Care Enterprises, Inc. and Michael Shapiro (incorporated by</w:t>
        </w:r>
      </w:hyperlink>
      <w:r>
        <w:rPr>
          <w:rFonts w:ascii="Times New Roman" w:cs="Times New Roman" w:eastAsia="Times New Roman" w:hAnsi="Times New Roman"/>
          <w:sz w:val="16"/>
          <w:szCs w:val="16"/>
          <w:u w:val="single" w:color="auto"/>
          <w:color w:val="0000FF"/>
        </w:rPr>
        <w:t xml:space="preserve"> </w:t>
      </w:r>
      <w:hyperlink r:id="rId109">
        <w:r>
          <w:rPr>
            <w:rFonts w:ascii="Times New Roman" w:cs="Times New Roman" w:eastAsia="Times New Roman" w:hAnsi="Times New Roman"/>
            <w:sz w:val="16"/>
            <w:szCs w:val="16"/>
            <w:u w:val="single" w:color="auto"/>
            <w:color w:val="0000FF"/>
          </w:rPr>
          <w:t>reference to Exhibit 10.2 to the Company’s Current Report on Form 8-K filed on August 20, 2025).</w:t>
        </w:r>
      </w:hyperlink>
    </w:p>
    <w:p>
      <w:pPr>
        <w:spacing w:after="0" w:line="16" w:lineRule="exact"/>
        <w:rPr>
          <w:sz w:val="20"/>
          <w:szCs w:val="20"/>
          <w:color w:val="auto"/>
        </w:rPr>
      </w:pPr>
    </w:p>
    <w:p>
      <w:pPr>
        <w:ind w:right="160"/>
        <w:spacing w:after="0" w:line="280" w:lineRule="auto"/>
        <w:rPr>
          <w:rFonts w:ascii="Times New Roman" w:cs="Times New Roman" w:eastAsia="Times New Roman" w:hAnsi="Times New Roman"/>
          <w:sz w:val="16"/>
          <w:szCs w:val="16"/>
          <w:u w:val="single" w:color="auto"/>
          <w:color w:val="0000FF"/>
        </w:rPr>
      </w:pPr>
      <w:hyperlink r:id="rId110">
        <w:r>
          <w:rPr>
            <w:rFonts w:ascii="Times New Roman" w:cs="Times New Roman" w:eastAsia="Times New Roman" w:hAnsi="Times New Roman"/>
            <w:sz w:val="16"/>
            <w:szCs w:val="16"/>
            <w:u w:val="single" w:color="auto"/>
            <w:color w:val="0000FF"/>
          </w:rPr>
          <w:t>Form of Option Care Health, Inc. Non-Qualified Stock Option Certificate (Executive) (incorporated by reference to Exhibit 10.1 to the Company’s</w:t>
        </w:r>
      </w:hyperlink>
      <w:r>
        <w:rPr>
          <w:rFonts w:ascii="Times New Roman" w:cs="Times New Roman" w:eastAsia="Times New Roman" w:hAnsi="Times New Roman"/>
          <w:sz w:val="16"/>
          <w:szCs w:val="16"/>
          <w:u w:val="single" w:color="auto"/>
          <w:color w:val="0000FF"/>
        </w:rPr>
        <w:t xml:space="preserve"> </w:t>
      </w:r>
      <w:hyperlink r:id="rId110">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ind w:right="620"/>
        <w:spacing w:after="0" w:line="280" w:lineRule="auto"/>
        <w:rPr>
          <w:rFonts w:ascii="Times New Roman" w:cs="Times New Roman" w:eastAsia="Times New Roman" w:hAnsi="Times New Roman"/>
          <w:sz w:val="16"/>
          <w:szCs w:val="16"/>
          <w:u w:val="single" w:color="auto"/>
          <w:color w:val="0000FF"/>
        </w:rPr>
      </w:pPr>
      <w:hyperlink r:id="rId111">
        <w:r>
          <w:rPr>
            <w:rFonts w:ascii="Times New Roman" w:cs="Times New Roman" w:eastAsia="Times New Roman" w:hAnsi="Times New Roman"/>
            <w:sz w:val="16"/>
            <w:szCs w:val="16"/>
            <w:u w:val="single" w:color="auto"/>
            <w:color w:val="0000FF"/>
          </w:rPr>
          <w:t>Form of Option Care Health, Inc. Restricted Stock Unit Certificate (Executive) (incorporated by reference to Exhibit 10.2 to the Company’s</w:t>
        </w:r>
      </w:hyperlink>
      <w:r>
        <w:rPr>
          <w:rFonts w:ascii="Times New Roman" w:cs="Times New Roman" w:eastAsia="Times New Roman" w:hAnsi="Times New Roman"/>
          <w:sz w:val="16"/>
          <w:szCs w:val="16"/>
          <w:u w:val="single" w:color="auto"/>
          <w:color w:val="0000FF"/>
        </w:rPr>
        <w:t xml:space="preserve"> </w:t>
      </w:r>
      <w:hyperlink r:id="rId111">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ind w:right="440"/>
        <w:spacing w:after="0" w:line="280" w:lineRule="auto"/>
        <w:rPr>
          <w:rFonts w:ascii="Times New Roman" w:cs="Times New Roman" w:eastAsia="Times New Roman" w:hAnsi="Times New Roman"/>
          <w:sz w:val="16"/>
          <w:szCs w:val="16"/>
          <w:u w:val="single" w:color="auto"/>
          <w:color w:val="0000FF"/>
        </w:rPr>
      </w:pPr>
      <w:hyperlink r:id="rId112">
        <w:r>
          <w:rPr>
            <w:rFonts w:ascii="Times New Roman" w:cs="Times New Roman" w:eastAsia="Times New Roman" w:hAnsi="Times New Roman"/>
            <w:sz w:val="16"/>
            <w:szCs w:val="16"/>
            <w:u w:val="single" w:color="auto"/>
            <w:color w:val="0000FF"/>
          </w:rPr>
          <w:t>Form of Option Care Health, Inc. Performance Stock Unit Certificate (Executive) (incorporated by reference to Exhibit 10.3 to the Company’s</w:t>
        </w:r>
      </w:hyperlink>
      <w:r>
        <w:rPr>
          <w:rFonts w:ascii="Times New Roman" w:cs="Times New Roman" w:eastAsia="Times New Roman" w:hAnsi="Times New Roman"/>
          <w:sz w:val="16"/>
          <w:szCs w:val="16"/>
          <w:u w:val="single" w:color="auto"/>
          <w:color w:val="0000FF"/>
        </w:rPr>
        <w:t xml:space="preserve"> </w:t>
      </w:r>
      <w:hyperlink r:id="rId112">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ind w:right="660"/>
        <w:spacing w:after="0" w:line="280" w:lineRule="auto"/>
        <w:rPr>
          <w:rFonts w:ascii="Times New Roman" w:cs="Times New Roman" w:eastAsia="Times New Roman" w:hAnsi="Times New Roman"/>
          <w:sz w:val="16"/>
          <w:szCs w:val="16"/>
          <w:u w:val="single" w:color="auto"/>
          <w:color w:val="0000FF"/>
        </w:rPr>
      </w:pPr>
      <w:hyperlink r:id="rId113">
        <w:r>
          <w:rPr>
            <w:rFonts w:ascii="Times New Roman" w:cs="Times New Roman" w:eastAsia="Times New Roman" w:hAnsi="Times New Roman"/>
            <w:sz w:val="16"/>
            <w:szCs w:val="16"/>
            <w:u w:val="single" w:color="auto"/>
            <w:color w:val="0000FF"/>
          </w:rPr>
          <w:t>Form of Option Care Health, Inc. Restricted Stock Unit Certificate (Directors) (incorporated by reference to Exhibit 10.4 to the Company’s</w:t>
        </w:r>
      </w:hyperlink>
      <w:r>
        <w:rPr>
          <w:rFonts w:ascii="Times New Roman" w:cs="Times New Roman" w:eastAsia="Times New Roman" w:hAnsi="Times New Roman"/>
          <w:sz w:val="16"/>
          <w:szCs w:val="16"/>
          <w:u w:val="single" w:color="auto"/>
          <w:color w:val="0000FF"/>
        </w:rPr>
        <w:t xml:space="preserve"> </w:t>
      </w:r>
      <w:hyperlink r:id="rId113">
        <w:r>
          <w:rPr>
            <w:rFonts w:ascii="Times New Roman" w:cs="Times New Roman" w:eastAsia="Times New Roman" w:hAnsi="Times New Roman"/>
            <w:sz w:val="16"/>
            <w:szCs w:val="16"/>
            <w:u w:val="single" w:color="auto"/>
            <w:color w:val="0000FF"/>
          </w:rPr>
          <w:t>Quarterly Report on Form 10-Q filed on April 23, 2024).</w:t>
        </w:r>
      </w:hyperlink>
    </w:p>
    <w:p>
      <w:pPr>
        <w:spacing w:after="0" w:line="16" w:lineRule="exact"/>
        <w:rPr>
          <w:sz w:val="20"/>
          <w:szCs w:val="20"/>
          <w:color w:val="auto"/>
        </w:rPr>
      </w:pPr>
    </w:p>
    <w:p>
      <w:pPr>
        <w:sectPr>
          <w:pgSz w:w="11900" w:h="16838" w:orient="portrait"/>
          <w:cols w:equalWidth="0" w:num="2">
            <w:col w:w="920" w:space="600"/>
            <w:col w:w="9680"/>
          </w:cols>
          <w:pgMar w:left="340" w:top="164" w:right="359" w:bottom="0" w:gutter="0" w:footer="0" w:header="0"/>
          <w:type w:val="continuous"/>
        </w:sectPr>
      </w:pPr>
    </w:p>
    <w:p>
      <w:pPr>
        <w:ind w:left="1520" w:hanging="904"/>
        <w:spacing w:after="0"/>
        <w:tabs>
          <w:tab w:leader="none" w:pos="1520" w:val="left"/>
        </w:tabs>
        <w:numPr>
          <w:ilvl w:val="0"/>
          <w:numId w:val="14"/>
        </w:numPr>
        <w:rPr>
          <w:rFonts w:ascii="Times New Roman" w:cs="Times New Roman" w:eastAsia="Times New Roman" w:hAnsi="Times New Roman"/>
          <w:sz w:val="16"/>
          <w:szCs w:val="16"/>
          <w:u w:val="single" w:color="auto"/>
          <w:color w:val="0000FF"/>
        </w:rPr>
      </w:pPr>
      <w:hyperlink r:id="rId114">
        <w:r>
          <w:rPr>
            <w:rFonts w:ascii="Times New Roman" w:cs="Times New Roman" w:eastAsia="Times New Roman" w:hAnsi="Times New Roman"/>
            <w:sz w:val="16"/>
            <w:szCs w:val="16"/>
            <w:u w:val="single" w:color="auto"/>
            <w:color w:val="0000FF"/>
          </w:rPr>
          <w:t>Insider Trading Policy (incorporated by reference to Exhibit 19 to the Company’s Annual Report on Form 10-K filed on February 26,2025).</w:t>
        </w:r>
      </w:hyperlink>
    </w:p>
    <w:p>
      <w:pPr>
        <w:spacing w:after="0" w:line="46"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21.1</w:t>
            </w:r>
          </w:p>
        </w:tc>
        <w:tc>
          <w:tcPr>
            <w:tcW w:w="4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List of subsidiaries of Option Care Health, Inc. (filed herewith).</w:t>
            </w:r>
          </w:p>
        </w:tc>
        <w:tc>
          <w:tcPr>
            <w:tcW w:w="5480" w:type="dxa"/>
            <w:vAlign w:val="bottom"/>
            <w:gridSpan w:val="6"/>
          </w:tcPr>
          <w:p>
            <w:pPr>
              <w:spacing w:after="0"/>
              <w:rPr>
                <w:sz w:val="16"/>
                <w:szCs w:val="16"/>
                <w:color w:val="auto"/>
              </w:rPr>
            </w:pPr>
          </w:p>
        </w:tc>
      </w:tr>
      <w:tr>
        <w:trPr>
          <w:trHeight w:val="223"/>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23.1</w:t>
            </w:r>
          </w:p>
        </w:tc>
        <w:tc>
          <w:tcPr>
            <w:tcW w:w="49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Consent of Independent Registered Public Accounting Firm (filed herewith).</w:t>
            </w:r>
          </w:p>
        </w:tc>
        <w:tc>
          <w:tcPr>
            <w:tcW w:w="4640" w:type="dxa"/>
            <w:vAlign w:val="bottom"/>
            <w:gridSpan w:val="5"/>
          </w:tcPr>
          <w:p>
            <w:pPr>
              <w:spacing w:after="0"/>
              <w:rPr>
                <w:sz w:val="19"/>
                <w:szCs w:val="19"/>
                <w:color w:val="auto"/>
              </w:rPr>
            </w:pPr>
          </w:p>
        </w:tc>
      </w:tr>
      <w:tr>
        <w:trPr>
          <w:trHeight w:val="223"/>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31.1</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302 of the Sarbanes-Oxley Act of 2002</w:t>
            </w:r>
          </w:p>
        </w:tc>
      </w:tr>
      <w:tr>
        <w:trPr>
          <w:trHeight w:val="169"/>
        </w:trPr>
        <w:tc>
          <w:tcPr>
            <w:tcW w:w="960" w:type="dxa"/>
            <w:vAlign w:val="bottom"/>
          </w:tcPr>
          <w:p>
            <w:pPr>
              <w:spacing w:after="0"/>
              <w:rPr>
                <w:sz w:val="14"/>
                <w:szCs w:val="14"/>
                <w:color w:val="auto"/>
              </w:rPr>
            </w:pPr>
          </w:p>
        </w:tc>
        <w:tc>
          <w:tcPr>
            <w:tcW w:w="10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9"/>
              </w:rPr>
              <w:t>(filed herewith).</w:t>
            </w:r>
          </w:p>
        </w:tc>
        <w:tc>
          <w:tcPr>
            <w:tcW w:w="852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31.2</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302 of the Sarbanes-Oxley Act of 2002</w:t>
            </w:r>
          </w:p>
        </w:tc>
      </w:tr>
      <w:tr>
        <w:trPr>
          <w:trHeight w:val="169"/>
        </w:trPr>
        <w:tc>
          <w:tcPr>
            <w:tcW w:w="960" w:type="dxa"/>
            <w:vAlign w:val="bottom"/>
          </w:tcPr>
          <w:p>
            <w:pPr>
              <w:spacing w:after="0"/>
              <w:rPr>
                <w:sz w:val="14"/>
                <w:szCs w:val="14"/>
                <w:color w:val="auto"/>
              </w:rPr>
            </w:pPr>
          </w:p>
        </w:tc>
        <w:tc>
          <w:tcPr>
            <w:tcW w:w="10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6"/>
                <w:szCs w:val="16"/>
                <w:color w:val="0000FF"/>
                <w:w w:val="99"/>
              </w:rPr>
              <w:t>(filed herewith).</w:t>
            </w:r>
          </w:p>
        </w:tc>
        <w:tc>
          <w:tcPr>
            <w:tcW w:w="8460" w:type="dxa"/>
            <w:vAlign w:val="bottom"/>
            <w:tcBorders>
              <w:top w:val="single" w:sz="8" w:color="0000FF"/>
            </w:tcBorders>
            <w:gridSpan w:val="3"/>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32.1</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Executive Officer pursuant to 18 U.S. C. Section 1350, as adopted pursuant to Section 906 of the Sarbanes-Oxley Act of 2002</w:t>
            </w:r>
          </w:p>
        </w:tc>
      </w:tr>
      <w:tr>
        <w:trPr>
          <w:trHeight w:val="142"/>
        </w:trPr>
        <w:tc>
          <w:tcPr>
            <w:tcW w:w="96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(filed herewith).</w:t>
            </w:r>
          </w:p>
        </w:tc>
        <w:tc>
          <w:tcPr>
            <w:tcW w:w="8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r>
      <w:tr>
        <w:trPr>
          <w:trHeight w:val="196"/>
        </w:trPr>
        <w:tc>
          <w:tcPr>
            <w:tcW w:w="96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w w:val="92"/>
              </w:rPr>
              <w:t>32.2</w:t>
            </w:r>
          </w:p>
        </w:tc>
        <w:tc>
          <w:tcPr>
            <w:tcW w:w="9620" w:type="dxa"/>
            <w:vAlign w:val="bottom"/>
            <w:gridSpan w:val="8"/>
          </w:tcPr>
          <w:p>
            <w:pPr>
              <w:spacing w:after="0"/>
              <w:rPr>
                <w:sz w:val="20"/>
                <w:szCs w:val="20"/>
                <w:color w:val="auto"/>
              </w:rPr>
            </w:pPr>
            <w:r>
              <w:rPr>
                <w:rFonts w:ascii="Times New Roman" w:cs="Times New Roman" w:eastAsia="Times New Roman" w:hAnsi="Times New Roman"/>
                <w:sz w:val="16"/>
                <w:szCs w:val="16"/>
                <w:color w:val="0000FF"/>
              </w:rPr>
              <w:t>Certification of Chief Financial Officer pursuant to 18 U.S. C. Section 1350, as adopted pursuant to Section 906 of the Sarbanes-Oxley Act of 2002</w:t>
            </w:r>
          </w:p>
        </w:tc>
      </w:tr>
      <w:tr>
        <w:trPr>
          <w:trHeight w:val="142"/>
        </w:trPr>
        <w:tc>
          <w:tcPr>
            <w:tcW w:w="960" w:type="dxa"/>
            <w:vAlign w:val="bottom"/>
          </w:tcPr>
          <w:p>
            <w:pPr>
              <w:spacing w:after="0"/>
              <w:rPr>
                <w:sz w:val="12"/>
                <w:szCs w:val="12"/>
                <w:color w:val="auto"/>
              </w:rPr>
            </w:pPr>
          </w:p>
        </w:tc>
        <w:tc>
          <w:tcPr>
            <w:tcW w:w="10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w w:val="99"/>
              </w:rPr>
              <w:t>(filed herewith).</w:t>
            </w:r>
          </w:p>
        </w:tc>
        <w:tc>
          <w:tcPr>
            <w:tcW w:w="8500" w:type="dxa"/>
            <w:vAlign w:val="bottom"/>
            <w:tcBorders>
              <w:top w:val="single" w:sz="8" w:color="0000FF"/>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r>
    </w:tbl>
    <w:p>
      <w:pPr>
        <w:spacing w:after="0" w:line="40" w:lineRule="exact"/>
        <w:rPr>
          <w:sz w:val="20"/>
          <w:szCs w:val="20"/>
          <w:color w:val="auto"/>
        </w:rPr>
      </w:pPr>
    </w:p>
    <w:p>
      <w:pPr>
        <w:ind w:left="1520" w:right="440" w:hanging="904"/>
        <w:spacing w:after="0" w:line="280" w:lineRule="auto"/>
        <w:tabs>
          <w:tab w:leader="none" w:pos="1520" w:val="left"/>
        </w:tabs>
        <w:numPr>
          <w:ilvl w:val="0"/>
          <w:numId w:val="15"/>
        </w:numPr>
        <w:rPr>
          <w:rFonts w:ascii="Times New Roman" w:cs="Times New Roman" w:eastAsia="Times New Roman" w:hAnsi="Times New Roman"/>
          <w:sz w:val="16"/>
          <w:szCs w:val="16"/>
          <w:u w:val="single" w:color="auto"/>
          <w:color w:val="0000FF"/>
        </w:rPr>
      </w:pPr>
      <w:hyperlink r:id="rId115">
        <w:r>
          <w:rPr>
            <w:rFonts w:ascii="Times New Roman" w:cs="Times New Roman" w:eastAsia="Times New Roman" w:hAnsi="Times New Roman"/>
            <w:sz w:val="16"/>
            <w:szCs w:val="16"/>
            <w:u w:val="single" w:color="auto"/>
            <w:color w:val="0000FF"/>
          </w:rPr>
          <w:t>Required Executive Compensation Recovery Policy, dated as of September 7, 2023 (incorporated by reference to Exhibit 97 of the Company’s</w:t>
        </w:r>
      </w:hyperlink>
      <w:r>
        <w:rPr>
          <w:rFonts w:ascii="Times New Roman" w:cs="Times New Roman" w:eastAsia="Times New Roman" w:hAnsi="Times New Roman"/>
          <w:sz w:val="16"/>
          <w:szCs w:val="16"/>
          <w:u w:val="single" w:color="auto"/>
          <w:color w:val="0000FF"/>
        </w:rPr>
        <w:t xml:space="preserve"> </w:t>
      </w:r>
      <w:hyperlink r:id="rId115">
        <w:r>
          <w:rPr>
            <w:rFonts w:ascii="Times New Roman" w:cs="Times New Roman" w:eastAsia="Times New Roman" w:hAnsi="Times New Roman"/>
            <w:sz w:val="16"/>
            <w:szCs w:val="16"/>
            <w:u w:val="single" w:color="auto"/>
            <w:color w:val="0000FF"/>
          </w:rPr>
          <w:t>Annual Report on Form 10-K filed on February 22, 2024).</w:t>
        </w:r>
      </w:hyperlink>
    </w:p>
    <w:p>
      <w:pPr>
        <w:spacing w:after="0" w:line="3" w:lineRule="exact"/>
        <w:rPr>
          <w:rFonts w:ascii="Times New Roman" w:cs="Times New Roman" w:eastAsia="Times New Roman" w:hAnsi="Times New Roman"/>
          <w:sz w:val="16"/>
          <w:szCs w:val="16"/>
          <w:color w:val="auto"/>
        </w:rPr>
      </w:pPr>
    </w:p>
    <w:p>
      <w:pPr>
        <w:ind w:left="1520" w:right="160" w:hanging="945"/>
        <w:spacing w:after="0" w:line="223" w:lineRule="auto"/>
        <w:tabs>
          <w:tab w:leader="none" w:pos="15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financial information from the Company’s Form 10-K for the fiscal year ended December 31, 2025, formatted in XBRL (Extensible Business Reporting Language): (i) Consolidated Statements of Comprehensive Income (Loss) for the fiscal years ended December 31, 2025, 2024 and 2023, (ii) Consolidated Balance Sheets as of December 31, 2025 and 2024, (iii) Consolidated Statements of Stockholders’ Equity for the fiscal years ended December 31, 2025, 2024 and 2023, (iv) Consolidated Statements of Cash Flows for the fiscal years ended December 31, 2025, 2024 and 2023, and (v) Notes to Consolidated Financial Statements.</w:t>
      </w:r>
    </w:p>
    <w:p>
      <w:pPr>
        <w:spacing w:after="0" w:line="9" w:lineRule="exact"/>
        <w:rPr>
          <w:rFonts w:ascii="Times New Roman" w:cs="Times New Roman" w:eastAsia="Times New Roman" w:hAnsi="Times New Roman"/>
          <w:sz w:val="16"/>
          <w:szCs w:val="16"/>
          <w:color w:val="auto"/>
        </w:rPr>
      </w:pPr>
    </w:p>
    <w:tbl>
      <w:tblPr>
        <w:tblLayout w:type="fixed"/>
        <w:tblInd w:w="400" w:type="dxa"/>
        <w:tblCellMar>
          <w:top w:w="0" w:type="dxa"/>
          <w:left w:w="0" w:type="dxa"/>
          <w:bottom w:w="0" w:type="dxa"/>
          <w:right w:w="0" w:type="dxa"/>
        </w:tblCellMar>
      </w:tblPr>
      <w:tr>
        <w:trPr>
          <w:trHeight w:val="210"/>
        </w:trPr>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101.INS</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Labels Linkbase Document</w:t>
            </w: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r>
        <w:trPr>
          <w:trHeight w:val="216"/>
        </w:trPr>
        <w:tc>
          <w:tcPr>
            <w:tcW w:w="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104</w:t>
            </w:r>
          </w:p>
        </w:tc>
        <w:tc>
          <w:tcPr>
            <w:tcW w:w="43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XBRL Formatted Cover Page</w:t>
            </w:r>
          </w:p>
        </w:tc>
      </w:tr>
    </w:tbl>
    <w:p>
      <w:pPr>
        <w:spacing w:after="0" w:line="127" w:lineRule="exact"/>
        <w:rPr>
          <w:rFonts w:ascii="Times New Roman" w:cs="Times New Roman" w:eastAsia="Times New Roman" w:hAnsi="Times New Roman"/>
          <w:sz w:val="16"/>
          <w:szCs w:val="16"/>
          <w:color w:val="auto"/>
        </w:rPr>
      </w:pPr>
    </w:p>
    <w:p>
      <w:pPr>
        <w:ind w:left="1520" w:hanging="864"/>
        <w:spacing w:after="0"/>
        <w:tabs>
          <w:tab w:leader="none" w:pos="1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Designates the Company’s management contracts or compensatory plan or arrangement.</w:t>
      </w:r>
    </w:p>
    <w:p>
      <w:pPr>
        <w:spacing w:after="0" w:line="32" w:lineRule="exact"/>
        <w:rPr>
          <w:rFonts w:ascii="Times New Roman" w:cs="Times New Roman" w:eastAsia="Times New Roman" w:hAnsi="Times New Roman"/>
          <w:sz w:val="16"/>
          <w:szCs w:val="16"/>
          <w:color w:val="auto"/>
        </w:rPr>
      </w:pPr>
    </w:p>
    <w:p>
      <w:pPr>
        <w:ind w:left="1520" w:right="280" w:hanging="869"/>
        <w:spacing w:after="0" w:line="245" w:lineRule="auto"/>
        <w:tabs>
          <w:tab w:leader="none" w:pos="15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schedules attached to the Agreement and Plan of Merger have been omitted pursuant to Item 601(b)(2) of Regulation S-K. The Company will furnish copies of the omitted schedules to the Securities and Exchange Commission upon request by the Commission.</w:t>
      </w:r>
    </w:p>
    <w:p>
      <w:pPr>
        <w:sectPr>
          <w:pgSz w:w="11900" w:h="16838" w:orient="portrait"/>
          <w:cols w:equalWidth="0" w:num="1">
            <w:col w:w="11200"/>
          </w:cols>
          <w:pgMar w:left="340" w:top="164" w:right="359" w:bottom="0" w:gutter="0" w:footer="0" w:header="0"/>
          <w:type w:val="continuous"/>
        </w:sectPr>
      </w:pPr>
    </w:p>
    <w:bookmarkStart w:id="77" w:name="page78"/>
    <w:bookmarkEnd w:id="77"/>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24, 2026.</w:t>
      </w:r>
    </w:p>
    <w:p>
      <w:pPr>
        <w:spacing w:after="0" w:line="1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OPTION CARE HEALTH, INC.</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 Meenal Sethna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6234430</wp:posOffset>
            </wp:positionH>
            <wp:positionV relativeFrom="paragraph">
              <wp:posOffset>-5080</wp:posOffset>
            </wp:positionV>
            <wp:extent cx="8915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Meenal Sethna</w:t>
      </w:r>
    </w:p>
    <w:p>
      <w:pPr>
        <w:spacing w:after="0" w:line="16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Chief Financial Officer and Executive Vice President</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(Principal Financial Officer and Duly Authorized Officer)</w:t>
      </w:r>
    </w:p>
    <w:p>
      <w:pPr>
        <w:spacing w:after="0" w:line="29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840" w:type="dxa"/>
            <w:vAlign w:val="bottom"/>
          </w:tcPr>
          <w:p>
            <w:pPr>
              <w:spacing w:after="0"/>
              <w:rPr>
                <w:sz w:val="17"/>
                <w:szCs w:val="17"/>
                <w:color w:val="auto"/>
              </w:rPr>
            </w:pPr>
          </w:p>
        </w:tc>
        <w:tc>
          <w:tcPr>
            <w:tcW w:w="2740" w:type="dxa"/>
            <w:vAlign w:val="bottom"/>
            <w:gridSpan w:val="2"/>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8"/>
              </w:rPr>
              <w:t>Title(s)</w:t>
            </w:r>
          </w:p>
        </w:tc>
        <w:tc>
          <w:tcPr>
            <w:tcW w:w="104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John C. Rademacher</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40" w:type="dxa"/>
            <w:vAlign w:val="bottom"/>
          </w:tcPr>
          <w:p>
            <w:pPr>
              <w:spacing w:after="0"/>
              <w:rPr>
                <w:sz w:val="19"/>
                <w:szCs w:val="19"/>
                <w:color w:val="auto"/>
              </w:rPr>
            </w:pPr>
          </w:p>
        </w:tc>
        <w:tc>
          <w:tcPr>
            <w:tcW w:w="16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John C. Rademacher</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Meenal Sethna</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Chief Financial Officer and Executive Vice President</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40" w:type="dxa"/>
            <w:vAlign w:val="bottom"/>
          </w:tcPr>
          <w:p>
            <w:pPr>
              <w:spacing w:after="0"/>
              <w:rPr>
                <w:sz w:val="19"/>
                <w:szCs w:val="19"/>
                <w:color w:val="auto"/>
              </w:rPr>
            </w:pPr>
          </w:p>
        </w:tc>
        <w:tc>
          <w:tcPr>
            <w:tcW w:w="12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Meenal Sethna</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0"/>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Nicole Maggio</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Senior Vice President, Corporate Controller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40" w:type="dxa"/>
            <w:vAlign w:val="bottom"/>
          </w:tcPr>
          <w:p>
            <w:pPr>
              <w:spacing w:after="0"/>
              <w:rPr>
                <w:sz w:val="19"/>
                <w:szCs w:val="19"/>
                <w:color w:val="auto"/>
              </w:rPr>
            </w:pPr>
          </w:p>
        </w:tc>
        <w:tc>
          <w:tcPr>
            <w:tcW w:w="12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Nicole Maggio</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4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Harry M. Jansen Kraemer, Jr.</w:t>
            </w:r>
          </w:p>
        </w:tc>
        <w:tc>
          <w:tcPr>
            <w:tcW w:w="55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9"/>
              </w:rPr>
              <w:t>Non-Executive Chairman of the Board</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2340" w:type="dxa"/>
            <w:vAlign w:val="bottom"/>
            <w:tcBorders>
              <w:top w:val="single" w:sz="8" w:color="auto"/>
            </w:tcBorders>
            <w:gridSpan w:val="15"/>
          </w:tcPr>
          <w:p>
            <w:pPr>
              <w:spacing w:after="0"/>
              <w:rPr>
                <w:sz w:val="20"/>
                <w:szCs w:val="20"/>
                <w:color w:val="auto"/>
              </w:rPr>
            </w:pPr>
            <w:r>
              <w:rPr>
                <w:rFonts w:ascii="Times New Roman" w:cs="Times New Roman" w:eastAsia="Times New Roman" w:hAnsi="Times New Roman"/>
                <w:sz w:val="18"/>
                <w:szCs w:val="18"/>
                <w:color w:val="auto"/>
              </w:rPr>
              <w:t>Harry M. Jansen Kraemer, Jr.</w:t>
            </w:r>
          </w:p>
        </w:tc>
        <w:tc>
          <w:tcPr>
            <w:tcW w:w="12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Elizabeth Q. Betten</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6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Elizabeth Q. Betten</w:t>
            </w:r>
          </w:p>
        </w:tc>
        <w:tc>
          <w:tcPr>
            <w:tcW w:w="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62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Elizabeth D. Bierbower</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920" w:type="dxa"/>
            <w:vAlign w:val="bottom"/>
            <w:tcBorders>
              <w:top w:val="single" w:sz="8" w:color="auto"/>
            </w:tcBorders>
            <w:gridSpan w:val="14"/>
          </w:tcPr>
          <w:p>
            <w:pPr>
              <w:spacing w:after="0"/>
              <w:rPr>
                <w:sz w:val="20"/>
                <w:szCs w:val="20"/>
                <w:color w:val="auto"/>
              </w:rPr>
            </w:pPr>
            <w:r>
              <w:rPr>
                <w:rFonts w:ascii="Times New Roman" w:cs="Times New Roman" w:eastAsia="Times New Roman" w:hAnsi="Times New Roman"/>
                <w:sz w:val="18"/>
                <w:szCs w:val="18"/>
                <w:color w:val="auto"/>
              </w:rPr>
              <w:t>Elizabeth D. Bierbower</w:t>
            </w:r>
          </w:p>
        </w:tc>
        <w:tc>
          <w:tcPr>
            <w:tcW w:w="1620" w:type="dxa"/>
            <w:vAlign w:val="bottom"/>
            <w:gridSpan w:val="2"/>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Barbara W. Bodem</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60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rPr>
              <w:t>Barbara W. Bodem</w:t>
            </w: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Eric K. Brandt</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2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Eric K. Brandt</w:t>
            </w:r>
          </w:p>
        </w:tc>
        <w:tc>
          <w:tcPr>
            <w:tcW w:w="28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Natasha Deckmann</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620" w:type="dxa"/>
            <w:vAlign w:val="bottom"/>
            <w:tcBorders>
              <w:top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Natasha Deckmann</w:t>
            </w:r>
          </w:p>
        </w:tc>
        <w:tc>
          <w:tcPr>
            <w:tcW w:w="40" w:type="dxa"/>
            <w:vAlign w:val="bottom"/>
            <w:gridSpan w:val="2"/>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00"/>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David W. Golding</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5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David W. Golding</w:t>
            </w:r>
          </w:p>
        </w:tc>
        <w:tc>
          <w:tcPr>
            <w:tcW w:w="20" w:type="dxa"/>
            <w:vAlign w:val="bottom"/>
          </w:tcPr>
          <w:p>
            <w:pPr>
              <w:spacing w:after="0"/>
              <w:rPr>
                <w:sz w:val="19"/>
                <w:szCs w:val="19"/>
                <w:color w:val="auto"/>
              </w:rPr>
            </w:pPr>
          </w:p>
        </w:tc>
        <w:tc>
          <w:tcPr>
            <w:tcW w:w="100" w:type="dxa"/>
            <w:vAlign w:val="bottom"/>
            <w:gridSpan w:val="4"/>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R. Carter Pate</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R. Carter Pate</w:t>
            </w:r>
          </w:p>
        </w:tc>
        <w:tc>
          <w:tcPr>
            <w:tcW w:w="340" w:type="dxa"/>
            <w:vAlign w:val="bottom"/>
            <w:gridSpan w:val="5"/>
          </w:tcPr>
          <w:p>
            <w:pPr>
              <w:spacing w:after="0"/>
              <w:rPr>
                <w:sz w:val="19"/>
                <w:szCs w:val="19"/>
                <w:color w:val="auto"/>
              </w:rPr>
            </w:pPr>
          </w:p>
        </w:tc>
        <w:tc>
          <w:tcPr>
            <w:tcW w:w="100" w:type="dxa"/>
            <w:vAlign w:val="bottom"/>
            <w:gridSpan w:val="4"/>
          </w:tcPr>
          <w:p>
            <w:pPr>
              <w:spacing w:after="0"/>
              <w:rPr>
                <w:sz w:val="19"/>
                <w:szCs w:val="19"/>
                <w:color w:val="auto"/>
              </w:rPr>
            </w:pP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Timothy P. Sullivan</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660" w:type="dxa"/>
            <w:vAlign w:val="bottom"/>
            <w:tcBorders>
              <w:top w:val="single" w:sz="8" w:color="auto"/>
            </w:tcBorders>
            <w:gridSpan w:val="12"/>
          </w:tcPr>
          <w:p>
            <w:pPr>
              <w:spacing w:after="0"/>
              <w:rPr>
                <w:sz w:val="20"/>
                <w:szCs w:val="20"/>
                <w:color w:val="auto"/>
              </w:rPr>
            </w:pPr>
            <w:r>
              <w:rPr>
                <w:rFonts w:ascii="Times New Roman" w:cs="Times New Roman" w:eastAsia="Times New Roman" w:hAnsi="Times New Roman"/>
                <w:sz w:val="18"/>
                <w:szCs w:val="18"/>
                <w:color w:val="auto"/>
              </w:rPr>
              <w:t>Timothy P. Sullivan</w:t>
            </w:r>
          </w:p>
        </w:tc>
        <w:tc>
          <w:tcPr>
            <w:tcW w:w="1880" w:type="dxa"/>
            <w:vAlign w:val="bottom"/>
            <w:gridSpan w:val="4"/>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33"/>
        </w:trPr>
        <w:tc>
          <w:tcPr>
            <w:tcW w:w="35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 Norman L. Wright</w:t>
            </w:r>
          </w:p>
        </w:tc>
        <w:tc>
          <w:tcPr>
            <w:tcW w:w="55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Director</w:t>
            </w:r>
          </w:p>
        </w:tc>
        <w:tc>
          <w:tcPr>
            <w:tcW w:w="19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228"/>
        </w:trPr>
        <w:tc>
          <w:tcPr>
            <w:tcW w:w="156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Norman L. Wright</w:t>
            </w:r>
          </w:p>
        </w:tc>
        <w:tc>
          <w:tcPr>
            <w:tcW w:w="1980" w:type="dxa"/>
            <w:vAlign w:val="bottom"/>
            <w:gridSpan w:val="8"/>
          </w:tcPr>
          <w:p>
            <w:pPr>
              <w:spacing w:after="0"/>
              <w:rPr>
                <w:sz w:val="19"/>
                <w:szCs w:val="19"/>
                <w:color w:val="auto"/>
              </w:rPr>
            </w:pPr>
          </w:p>
        </w:tc>
        <w:tc>
          <w:tcPr>
            <w:tcW w:w="2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84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76</w:t>
            </w: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220"/>
          </w:cols>
          <w:pgMar w:left="320" w:top="118" w:right="35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6"/>
          <w:szCs w:val="16"/>
          <w:b w:val="1"/>
          <w:bCs w:val="1"/>
          <w:color w:val="auto"/>
        </w:rPr>
        <w:t>EXHIBIT 4.1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following is a brief description of the capital stock of Option Care Health, Inc., a Delaware corporation (the “Company,” “we,” “us,” or “our”). The brief description is based on our Fourth Restated Certificate of Incorporation (our “charter”), amended and restated bylaws (our “bylaws”), and provisions of applicable law. The following description does not purport to be complete and is subject to, and qualified in its entirety by, the full text of our charter and our bylaws, which we have previously filed with the SEC and are incorporated by reference herein.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4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authorized capital stock consists of 250,000,000 shares of common stock, par value $0.0001 per share (“common stock”), and 12,500,000 shares of preferred stock, par value $0.0001 per share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43"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 xml:space="preserve">Each share of common stock entitles the holder thereof of one vote for each share held by such holder on all matters voted on by stockholders of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required by law, holders of common stock are not entitled to vote on any amendment to our charter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General Corporation Law of the State of Delaware (the “DGCL”).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43"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or expressly provided in the Company’s charter, each share of common stock has the same powers, rights and privileges and rank equally, share ratably and be identical in all respects as to all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4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Subject to the rights of the holders of preferred stock and to the other provisions of applicable law and the Company’s charter, holders of common stock will be entitled to receive equally, on a per share basis, such dividends and other distributions in cash, securities or other property of the Company if, as and when declared thereon by the Company’s Board of Directors (the “Board”) from time to time out of assets or funds of the Company legally available therefor.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ind w:right="280"/>
        <w:spacing w:after="0" w:line="242" w:lineRule="auto"/>
        <w:rPr>
          <w:sz w:val="20"/>
          <w:szCs w:val="20"/>
          <w:color w:val="auto"/>
        </w:rPr>
      </w:pPr>
      <w:r>
        <w:rPr>
          <w:rFonts w:ascii="Times New Roman" w:cs="Times New Roman" w:eastAsia="Times New Roman" w:hAnsi="Times New Roman"/>
          <w:sz w:val="18"/>
          <w:szCs w:val="18"/>
          <w:color w:val="auto"/>
        </w:rPr>
        <w:t>Subject to the rights of holders of preferred stock, in the event of any liquidation, dissolution or winding up of the affairs of the Company, whether voluntary or involuntary, after payment or provision for payment of the Company’s debts and any other payments required by law and amounts payable upon shares of preferred stock ranking senior to the shares of common stock upon such dissolution, liquidation or winding up, if any, the remaining net assets of the Company will be distributed to the holders of shares of common stock and the holders of shares of any other class or series ranking equally with the shares of common stock upon such dissolution, liquidation or winding up, equally on a per share basis.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Preemptive or Similar Rights</w:t>
      </w:r>
    </w:p>
    <w:p>
      <w:pPr>
        <w:spacing w:after="0" w:line="243"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Our common stock is not entitled to preemptive rights, conversion or other rights to subscribe for additional securities and there are no redemption or sinking fund provisions applicable to our common stock.</w:t>
      </w:r>
    </w:p>
    <w:p>
      <w:pPr>
        <w:sectPr>
          <w:pgSz w:w="11900" w:h="16838" w:orient="portrait"/>
          <w:cols w:equalWidth="0" w:num="1">
            <w:col w:w="11240"/>
          </w:cols>
          <w:pgMar w:left="320" w:top="89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4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Board is authorized, subject to limitations prescribed by law, to provide, by resolution or resolutions for the issuance of shares of preferred stock in one or more series, and with respect to each series, to establish the number of shares to be included in each such series, and to fix the voting powers (if any), designations, powers, preferences, and relative, participating, optional or other special rights, if any, of the shares of each such series, and any qualifications, limitations or restrictions thereof. The powers (including voting powers), preferences, and relative, participating, optional and other special rights of each series of preferred stock and the qualifications, limitations or restrictions thereof, if any, may differ from those of any and all other series at any time outstanding. Subject to the rights of the holders of any series of preferred stock, the number of authorized shares of preferred stock may be increased or decreased (but not below the number of shares thereof then outstanding) by the approval of the Board and by the affirmative vote of the holders of a majority in voting power of the outstanding shares of capital stock of the Company entitled to vote generally in an election of directors, without the separate vote of the holders of the preferred stock as a class, irrespective of the provisions of Section 242(b)(2) of the DGCL.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EFFECTS OF AUTHORIZED BUT UNISSUED STOCK</w:t>
      </w:r>
    </w:p>
    <w:p>
      <w:pPr>
        <w:spacing w:after="0" w:line="243"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We may issue additional shares of common stock or preferred stock without stockholder approval, subject to applicable rules of The Nasdaq Stock Market LLC and Delaware law, for a variety of corporate purposes, including future public or private offerings to raise capital, corporate acquisitions, and employee benefit plans and equity grants. The existence of unissued and unreserved common stock and preferred stock may enable us to issue shares to persons who are friendly to current management, which could discourage an attempt to obtain control of the Company by means of a proxy contest, tender offer, merger, or otherwise.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PROVISIONS OF OUR CHARTER AND BYLAWS</w:t>
      </w:r>
    </w:p>
    <w:p>
      <w:pPr>
        <w:spacing w:after="0" w:line="24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is a brief description of the provisions in our charter and bylaws that could have an effect of delaying, deferring, or preventing a change in control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Vacancies and Removal</w:t>
      </w:r>
    </w:p>
    <w:p>
      <w:pPr>
        <w:spacing w:after="0" w:line="22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Newly created directorships resulting from any increase in the authorized number of directors or any vacancies in the Board resulting from death, resignation, disqualification, removal from office or any other cause may be filled only by resolution of a majority of the directors then in office, although less than a quorum, or by a sole remaining director, and may not be filled in any other manner.</w:t>
      </w:r>
    </w:p>
    <w:p>
      <w:pPr>
        <w:spacing w:after="0" w:line="20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and notwithstanding any other provision of the Company’s charter, directors may be removed with or without cause upon the affirmative vote of stockholders representing at least sixty-six and two-thirds percent (66⅔%) of the voting power of the then outstanding shares of capital stock of the Company then entitled to vote generally in the election of directors (“Voting Stock”), at a meeting of the Company’s stockholders called for that purpose.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 by Written Consent</w:t>
      </w:r>
    </w:p>
    <w:p>
      <w:pPr>
        <w:spacing w:after="0" w:line="243"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 xml:space="preserve">Any action required or permitted to be taken by the Company’s stockholders may be taken only at a duly called annual or special meeting of the Company’s stockholders and the power of stockholders to consent in writing without a meeting is specifically denied;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the resolutions creating such series of preferred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Meetings of Stockholders</w:t>
      </w:r>
    </w:p>
    <w:p>
      <w:pPr>
        <w:spacing w:after="0" w:line="243"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Subject to the rights of the holders of any series of preferred stock then outstanding and to the requirements of applicable law, special meetings of stockholders of the Company held may be called only (i) by or at the direction of the Board or the Chairman of the Board pursuant to a written resolution adopted by the affirmative vote of the majority of the total number of directors that the Company would have if there were no vacancies or (ii) by the Chairman of the Board of Directors at the written request of the holders of at least 25% of the voting power of the then outstanding shares of Voting Stock as of the record date for determining the stockholders entitled to request that a special meeting be called through the date of the meeting, provided that no shares of Voting Stock shall be included in such percentage unless they have been continuously held for at least one year prior to the date such request is delivered to the Company and the request complies with the procedures for calling a special meeting as set forth in our bylaws.</w:t>
      </w:r>
    </w:p>
    <w:p>
      <w:pPr>
        <w:sectPr>
          <w:pgSz w:w="11900" w:h="16838" w:orient="portrait"/>
          <w:cols w:equalWidth="0" w:num="1">
            <w:col w:w="11220"/>
          </w:cols>
          <w:pgMar w:left="320" w:top="873"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Advance Notice for Stockholder Proposals and Nominations</w:t>
      </w:r>
    </w:p>
    <w:p>
      <w:pPr>
        <w:spacing w:after="0" w:line="243" w:lineRule="exact"/>
        <w:rPr>
          <w:sz w:val="20"/>
          <w:szCs w:val="20"/>
          <w:color w:val="auto"/>
        </w:rPr>
      </w:pPr>
    </w:p>
    <w:p>
      <w:pPr>
        <w:ind w:right="180"/>
        <w:spacing w:after="0" w:line="242" w:lineRule="auto"/>
        <w:rPr>
          <w:sz w:val="20"/>
          <w:szCs w:val="20"/>
          <w:color w:val="auto"/>
        </w:rPr>
      </w:pPr>
      <w:r>
        <w:rPr>
          <w:rFonts w:ascii="Times New Roman" w:cs="Times New Roman" w:eastAsia="Times New Roman" w:hAnsi="Times New Roman"/>
          <w:sz w:val="18"/>
          <w:szCs w:val="18"/>
          <w:color w:val="auto"/>
        </w:rPr>
        <w:t>Our bylaws contain provisions requiring advance notice be delivered to the Company of any business to be brought by a stockholder before an annual meeting and providing for procedures to be followed by stockholders in nominating persons for election to our Board of Directors, including stockholder nominees to be included in our proxy statement. A stockholder must give notice no later than the 90th day nor earlier than the 120th days before the one-year anniversary of the date on which we held our annual meeting of stockholders the previous year. The notice must contain the information required by our bylaws, and the stockholder(s) and nominee(s) must comply with the information and other requirements required by our bylaws.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Cumulative Voting</w:t>
      </w:r>
    </w:p>
    <w:p>
      <w:pPr>
        <w:spacing w:after="0" w:line="22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DGCL provides that stockholders are not entitled to the right to cumulate votes in the election of directors unless our charter provides otherwise. Our charter does not provide for cumulative voting for our directors. The absence of cumulative voting may make it more difficult for stockholders owning less than a majority of our common stock to elect any directors to our Board.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Business Combinations with Interested Stockholders</w:t>
      </w:r>
    </w:p>
    <w:p>
      <w:pPr>
        <w:spacing w:after="0" w:line="243"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8"/>
          <w:szCs w:val="18"/>
          <w:color w:val="auto"/>
        </w:rPr>
        <w:t>We do not opt out of Section 203 of the DGCL in our charter, and thus are subject to Section 203 of the DGCL. In general, Section 203 of the DGCL prohibits a publicly held Delaware corporation from engaging in a business combination with an interested stockholder for a period of three years following the date the person became an interested stockholder, unless the business combination or the transaction in which the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This may have an anti-takeover effect with respect to transactions not approved in advance by our Board, including discouraging attempts that might result in a premium over the market price for the shares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Supermajority Voting Requirements to Amend Our Charter and Bylaws</w:t>
      </w:r>
    </w:p>
    <w:p>
      <w:pPr>
        <w:spacing w:after="0" w:line="229"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then outstanding, notwithstanding any other provision of our charter or bylaws, and in addition to any affirmative vote of the holders of any particular class or series of the capital stock required by law or otherwise, no provision of Articles Five, Six, Seven, Eight or Nine of our charter may be altered, amended or repealed in any respect, nor may any provision of our charter or bylaws inconsistent therewith be adopted, unless in addition to any other vote required by our charter or otherwise required by law, such alteration, amendment, repeal or adoption is approved by the affirmative vote of holders of at least sixty-six and two-thirds percent (66⅔%) of the voting power of all outstanding shares of Voting Stock, voting together as a single class, at a meeting of the Company’s stockholders called for that purpose.</w:t>
      </w:r>
    </w:p>
    <w:p>
      <w:pPr>
        <w:spacing w:after="0" w:line="21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then outstanding, in furtherance and not in limitation of the powers conferred by law, our bylaws may be amended, altered or repealed and new bylaws made by (i) the Board or (ii) in addition to any of the holders of any class or series of capital stock of the Company required herein (including any certificate of designation relating to any series of preferred stock), the Bylaws or applicable law, the affirmative vote of the holders of at least sixty-six and two-thirds percent (66⅔%) of the voting power of the then outstanding Voting Stock, voting together as a single class.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“OPCH.”</w:t>
      </w:r>
    </w:p>
    <w:p>
      <w:pPr>
        <w:sectPr>
          <w:pgSz w:w="11900" w:h="16838" w:orient="portrait"/>
          <w:cols w:equalWidth="0" w:num="1">
            <w:col w:w="11220"/>
          </w:cols>
          <w:pgMar w:left="320" w:top="873" w:right="359" w:bottom="1440" w:gutter="0" w:footer="0" w:header="0"/>
        </w:sectPr>
      </w:pPr>
    </w:p>
    <w:bookmarkStart w:id="82" w:name="page83"/>
    <w:bookmarkEnd w:id="82"/>
    <w:p>
      <w:pPr>
        <w:ind w:left="10180"/>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OPTION CARE HEALTH, INC. AND ITS SUBSIDIARIES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580" w:type="dxa"/>
            <w:vAlign w:val="bottom"/>
            <w:tcBorders>
              <w:top w:val="single" w:sz="8" w:color="auto"/>
              <w:left w:val="single" w:sz="8" w:color="auto"/>
              <w:bottom w:val="single" w:sz="8" w:color="auto"/>
              <w:right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21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State of Incorporation</w:t>
            </w:r>
          </w:p>
        </w:tc>
        <w:tc>
          <w:tcPr>
            <w:tcW w:w="4560" w:type="dxa"/>
            <w:vAlign w:val="bottom"/>
            <w:tcBorders>
              <w:top w:val="single" w:sz="8" w:color="auto"/>
              <w:bottom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Doing Business As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BioScrip Infusion Services,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BioScrip Infusion Services,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BioScrip PBM Services,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PBM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BioScrip Pharmacy Services,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Pharmacy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 Holding Corporation</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 Holding Corporation</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Chronimed,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Minnesota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Chronimed,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CHS Holdings,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CHS Holdings,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Clinical Holdings,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Holdings,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Clinical Specialties Network Services of Illinois,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Specialties Network Services of Illinois,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Clinical Specialties,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Clinical Specialties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Crescent Healthcare,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Crescent Healthcare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Critical Care Systems of New York,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Critical Care Systems of New York,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Critical Care Systems,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Critical Homecare Solutions,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Critical Homecare Solutions,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CSI Managed Care,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CSI Managed Care,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CSI Network Services of Indiana,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CSI Network Services of Indiana,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CSI Network Services of Michigan,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CSI Network Services of Michigan,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Deaconess Enterprises,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Deaconess Enterprises,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Deaconess HomeCare,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Deaconess HomeCare,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East Goshen Pharmacy,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HC Group Holdings II,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Group Holdings II,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HC Group Holdings III,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HC Group Holdings III,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Healthy Connections Homecare Services,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Texas</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Women's Health</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Home I.V. Specialists,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Arkansas</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Home IV Specialists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HomeChoice Partners,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InfuScience South Carolina,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InfuScience,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Infusion Partners of Melbourne,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Georgia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Infusion Partners,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Ohio</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Infusion Solutions,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Hampshire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Intramed Plus,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Intramed Plus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Intramed Plus Infusion &amp; Medical Center,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Intramed Plus Infusion &amp; Medical Center</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Knoxville Home Therapies,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Tennessee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MedNow Infusion,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Naven Health,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Naven Health,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New England Home Therapies,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Enterprises,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Health, Inc. (f/k/a BioScrip,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 Inc. (f/k/a BioScrip,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Home Care,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Illinois</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Infusion Services,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Infusion Services,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Infusion Suites,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Infusion Suites,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of New York,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of New York,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OptioNet,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OptioNet, Inc.</w:t>
            </w:r>
          </w:p>
        </w:tc>
      </w:tr>
    </w:tbl>
    <w:p>
      <w:pPr>
        <w:sectPr>
          <w:pgSz w:w="11900" w:h="16838" w:orient="portrait"/>
          <w:cols w:equalWidth="0" w:num="1">
            <w:col w:w="11260"/>
          </w:cols>
          <w:pgMar w:left="320" w:top="893" w:right="319" w:bottom="1440" w:gutter="0" w:footer="0" w:header="0"/>
        </w:sectPr>
      </w:pPr>
    </w:p>
    <w:bookmarkStart w:id="83" w:name="page84"/>
    <w:bookmarkEnd w:id="8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5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Professional Home Care Services, Inc.</w:t>
            </w:r>
          </w:p>
        </w:tc>
        <w:tc>
          <w:tcPr>
            <w:tcW w:w="21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Professional Home Care Services,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River City Pharmacy,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California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Scott-Wilson,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Kentucky</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BioScrip Infusion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Specialty Pharma,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Specialty Pharma, Inc.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Springville Pharmacy Infusion Therapy,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Trinity HomeCare,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Jersey</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Rochester Home Infusion, Inc.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Minnesota</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Rochester Home Infusion</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SPNN Holdings,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SPNN Holdings,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at Legacy Health,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Oregon</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at Legacy Health</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Infusion Services,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Tennessee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Vanderbilt HC/Option Care IV Services</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Centers (Colorado),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 Infusion Center</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Centers (Texas),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 Infusion Center</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Clinic (Arizona),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 Infusion Clinic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Clinic (Illinois),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Option Care Health Infusion Clinic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OCH Infusion Centers,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OCH Infusion Centers, LLC</w:t>
            </w:r>
          </w:p>
        </w:tc>
      </w:tr>
      <w:tr>
        <w:trPr>
          <w:trHeight w:val="223"/>
        </w:trPr>
        <w:tc>
          <w:tcPr>
            <w:tcW w:w="45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Option Care Infusion Services, LLC</w:t>
            </w:r>
          </w:p>
        </w:tc>
        <w:tc>
          <w:tcPr>
            <w:tcW w:w="2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Tennessee</w:t>
            </w:r>
          </w:p>
        </w:tc>
        <w:tc>
          <w:tcPr>
            <w:tcW w:w="4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Vanderbilt HC/Option Care IV Services</w:t>
            </w:r>
          </w:p>
        </w:tc>
      </w:tr>
    </w:tbl>
    <w:p>
      <w:pPr>
        <w:sectPr>
          <w:pgSz w:w="11900" w:h="16838" w:orient="portrait"/>
          <w:cols w:equalWidth="0" w:num="1">
            <w:col w:w="11260"/>
          </w:cols>
          <w:pgMar w:left="320" w:top="1011" w:right="3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333-214039, 333-216630, and 333-216631) on Form S-3 and the registration statements (Nos. 333-228310 and 333-281145) on Form S-8 of our reports dated February 24, 2026, with respect to the consolidated financial statements of Option Care Health, Inc. and the effectiveness of internal control over financial reporting.</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ectPr>
          <w:pgSz w:w="11900" w:h="16838" w:orient="portrait"/>
          <w:cols w:equalWidth="0" w:num="1">
            <w:col w:w="11200"/>
          </w:cols>
          <w:pgMar w:left="320" w:top="887" w:right="379" w:bottom="1440" w:gutter="0" w:footer="0" w:header="0"/>
        </w:sectPr>
      </w:pPr>
    </w:p>
    <w:bookmarkStart w:id="85" w:name="page86"/>
    <w:bookmarkEnd w:id="85"/>
    <w:p>
      <w:pPr>
        <w:ind w:left="101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Rademacher, certify that:</w:t>
      </w:r>
    </w:p>
    <w:p>
      <w:pPr>
        <w:spacing w:after="0" w:line="104"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9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4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Meenal Sethna, certify that:</w:t>
      </w:r>
    </w:p>
    <w:p>
      <w:pPr>
        <w:spacing w:after="0" w:line="104"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Option Care Health, Inc.;</w:t>
      </w:r>
    </w:p>
    <w:p>
      <w:pPr>
        <w:spacing w:after="0" w:line="103" w:lineRule="exact"/>
        <w:rPr>
          <w:rFonts w:ascii="Times New Roman" w:cs="Times New Roman" w:eastAsia="Times New Roman" w:hAnsi="Times New Roman"/>
          <w:sz w:val="18"/>
          <w:szCs w:val="18"/>
          <w:color w:val="auto"/>
        </w:rPr>
      </w:pPr>
    </w:p>
    <w:p>
      <w:pPr>
        <w:ind w:left="660" w:hanging="652"/>
        <w:spacing w:after="0" w:line="266" w:lineRule="auto"/>
        <w:tabs>
          <w:tab w:leader="none" w:pos="4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4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hanging="652"/>
        <w:spacing w:after="0" w:line="266" w:lineRule="auto"/>
        <w:tabs>
          <w:tab w:leader="none" w:pos="4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4" w:lineRule="exact"/>
        <w:rPr>
          <w:rFonts w:ascii="Times New Roman" w:cs="Times New Roman" w:eastAsia="Times New Roman" w:hAnsi="Times New Roman"/>
          <w:sz w:val="18"/>
          <w:szCs w:val="18"/>
          <w:color w:val="auto"/>
        </w:rPr>
      </w:pPr>
    </w:p>
    <w:p>
      <w:pPr>
        <w:ind w:left="1300" w:hanging="644"/>
        <w:spacing w:after="0" w:line="266" w:lineRule="auto"/>
        <w:tabs>
          <w:tab w:leader="none" w:pos="110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1300" w:hanging="644"/>
        <w:spacing w:after="0" w:line="282" w:lineRule="auto"/>
        <w:tabs>
          <w:tab w:leader="none" w:pos="117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1300" w:hanging="644"/>
        <w:spacing w:after="0" w:line="266" w:lineRule="auto"/>
        <w:tabs>
          <w:tab w:leader="none" w:pos="11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hanging="652"/>
        <w:spacing w:after="0" w:line="282" w:lineRule="auto"/>
        <w:tabs>
          <w:tab w:leader="none" w:pos="4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hanging="644"/>
        <w:spacing w:after="0" w:line="282" w:lineRule="auto"/>
        <w:tabs>
          <w:tab w:leader="none" w:pos="115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Meenal Sethna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Meenal Sethna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9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Option Care Health, Inc. (the “Company”) on Form 10-K for the year ended December 31, 2025, as filed with the Securities and Exchange Commission on the date hereof (the “Report”), I, John Rademacher, Chief Executive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John Rademacher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Rademacher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Principal Executive Officer</w:t>
      </w:r>
    </w:p>
    <w:p>
      <w:pPr>
        <w:sectPr>
          <w:pgSz w:w="11900" w:h="16838" w:orient="portrait"/>
          <w:cols w:equalWidth="0" w:num="1">
            <w:col w:w="11240"/>
          </w:cols>
          <w:pgMar w:left="320" w:top="887"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08"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Option Care Health, Inc. (the “Company”) on Form 10-K for the year ended December 31, 2025, as filed with the Securities and Exchange Commission on the date hereof (the “Report”), I, Meenal Sethna, Chief Financial Officer of the Company, do hereby certify, pursuant to 18 U.S.C. Section 1350, as adopted pursuant to Section 906 of the Sarbanes-Oxley Act of 2002, that to my knowledge:</w:t>
      </w:r>
    </w:p>
    <w:p>
      <w:pPr>
        <w:spacing w:after="0" w:line="41" w:lineRule="exact"/>
        <w:rPr>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Meenal Sethna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Meenal Sethna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9"/>
    </w:lvl>
  </w:abstractNum>
  <w:abstractNum w:abstractNumId="14">
    <w:nsid w:val="3F2DBA31"/>
    <w:multiLevelType w:val="hybridMultilevel"/>
    <w:lvl w:ilvl="0">
      <w:lvlJc w:val="left"/>
      <w:lvlText w:val="%1"/>
      <w:numFmt w:val="decimal"/>
      <w:start w:val="97"/>
    </w:lvl>
  </w:abstractNum>
  <w:abstractNum w:abstractNumId="15">
    <w:nsid w:val="7C83E458"/>
    <w:multiLevelType w:val="hybridMultilevel"/>
    <w:lvl w:ilvl="0">
      <w:lvlJc w:val="left"/>
      <w:lvlText w:val="%1"/>
      <w:numFmt w:val="decimal"/>
      <w:start w:val="10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95" Type="http://schemas.openxmlformats.org/officeDocument/2006/relationships/hyperlink" Target="https://www.sec.gov/Archives/edgar/data/1014739/000101473925000028/ex31-fourthamendedandresta.htm" TargetMode="External"/><Relationship Id="rId96" Type="http://schemas.openxmlformats.org/officeDocument/2006/relationships/hyperlink" Target="https://www.sec.gov/Archives/edgar/data/1014739/000101473925000028/ex32-amendedandrestatedbyx.htm" TargetMode="External"/><Relationship Id="rId97" Type="http://schemas.openxmlformats.org/officeDocument/2006/relationships/hyperlink" Target="https://www.sec.gov/Archives/edgar/data/1014739/000114420419014367/tv516369_ex10-2.htm" TargetMode="External"/><Relationship Id="rId98" Type="http://schemas.openxmlformats.org/officeDocument/2006/relationships/hyperlink" Target="https://www.sec.gov/Archives/edgar/data/1014739/000101473923000009/opch-ex105x20221231x10xkxo.htm" TargetMode="External"/><Relationship Id="rId99" Type="http://schemas.openxmlformats.org/officeDocument/2006/relationships/hyperlink" Target="https://www.sec.gov/ix?doc=/Archives/edgar/data/1014739/000114036124017579/ny20022039x1_def14a.htm" TargetMode="External"/><Relationship Id="rId100" Type="http://schemas.openxmlformats.org/officeDocument/2006/relationships/hyperlink" Target="https://www.sec.gov/Archives/edgar/data/1014739/000110465921131786/tm2131162d1_ex4-1.htm" TargetMode="External"/><Relationship Id="rId101" Type="http://schemas.openxmlformats.org/officeDocument/2006/relationships/hyperlink" Target="https://www.sec.gov/Archives/edgar/data/1014739/000110465921131786/tm2131162d1_ex10-1.htm" TargetMode="External"/><Relationship Id="rId102" Type="http://schemas.openxmlformats.org/officeDocument/2006/relationships/hyperlink" Target="https://www.sec.gov/Archives/edgar/data/1014739/000110465923125031/tm2332364d1_ex10-1.htm" TargetMode="External"/><Relationship Id="rId103" Type="http://schemas.openxmlformats.org/officeDocument/2006/relationships/hyperlink" Target="https://www.sec.gov/Archives/edgar/data/1014739/000110465924059895/tm2413986d1_ex10-1.htm" TargetMode="External"/><Relationship Id="rId104" Type="http://schemas.openxmlformats.org/officeDocument/2006/relationships/hyperlink" Target="https://www.sec.gov/Archives/edgar/data/1014739/000110465925093337/tm2526732d1_ex10-1.htm" TargetMode="External"/><Relationship Id="rId105" Type="http://schemas.openxmlformats.org/officeDocument/2006/relationships/hyperlink" Target="https://www.sec.gov/Archives/edgar/data/1014739/000110465923125031/tm2332364d1_ex10-2.htm" TargetMode="External"/><Relationship Id="rId106" Type="http://schemas.openxmlformats.org/officeDocument/2006/relationships/hyperlink" Target="https://www.sec.gov/Archives/edgar/data/1014739/000110465923125031/tm2332364d1_ex10-3.htm" TargetMode="External"/><Relationship Id="rId107" Type="http://schemas.openxmlformats.org/officeDocument/2006/relationships/hyperlink" Target="https://www.sec.gov/Archives/edgar/data/1014739/000101473924000009/ex1016-formofletteragreeme.htm" TargetMode="External"/><Relationship Id="rId108" Type="http://schemas.openxmlformats.org/officeDocument/2006/relationships/hyperlink" Target="https://www.sec.gov/Archives/edgar/data/1014739/000110465925080912/tm2523864d1_ex10-1.htm" TargetMode="External"/><Relationship Id="rId109" Type="http://schemas.openxmlformats.org/officeDocument/2006/relationships/hyperlink" Target="https://www.sec.gov/Archives/edgar/data/1014739/000110465925080912/tm2523864d1_ex10-2.htm" TargetMode="External"/><Relationship Id="rId110" Type="http://schemas.openxmlformats.org/officeDocument/2006/relationships/hyperlink" Target="https://www.sec.gov/Archives/edgar/data/1014739/000101473924000022/ex101-optioncarexexecutive.htm" TargetMode="External"/><Relationship Id="rId111" Type="http://schemas.openxmlformats.org/officeDocument/2006/relationships/hyperlink" Target="https://www.sec.gov/Archives/edgar/data/1014739/000101473924000022/ex102-optioncarexexecutive.htm" TargetMode="External"/><Relationship Id="rId112" Type="http://schemas.openxmlformats.org/officeDocument/2006/relationships/hyperlink" Target="https://www.sec.gov/Archives/edgar/data/1014739/000101473924000022/ex103-optioncarexexecutive.htm" TargetMode="External"/><Relationship Id="rId113" Type="http://schemas.openxmlformats.org/officeDocument/2006/relationships/hyperlink" Target="https://www.sec.gov/Archives/edgar/data/1014739/000101473924000022/ex104-optioncarexdirectorx.htm" TargetMode="External"/><Relationship Id="rId114" Type="http://schemas.openxmlformats.org/officeDocument/2006/relationships/hyperlink" Target="https://www.sec.gov/Archives/edgar/data/1014739/000101473925000012/ex19-insidertradingpolicy.htm" TargetMode="External"/><Relationship Id="rId115" Type="http://schemas.openxmlformats.org/officeDocument/2006/relationships/hyperlink" Target="https://www.sec.gov/Archives/edgar/data/1014739/000101473924000009/ex97-requiredexecutiveco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2026-02-24T15:18:54Z</dcterms:created>
  <dcterms:modified xsi:type="dcterms:W3CDTF">2026-02-24T15:18:54Z</dcterms:modified>
</cp:coreProperties>
</file>