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491490</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24"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1100" w:right="222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sz w:val="24"/>
          <w:szCs w:val="24"/>
          <w:color w:val="auto"/>
        </w:rPr>
      </w:pPr>
    </w:p>
    <w:p>
      <w:pPr>
        <w:ind w:left="1100"/>
        <w:spacing w:after="0"/>
        <w:tabs>
          <w:tab w:leader="none" w:pos="33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12065</wp:posOffset>
            </wp:positionV>
            <wp:extent cx="1354455"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OPTION CARE HEALTH,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240"/>
          </w:cols>
          <w:pgMar w:left="320" w:top="913" w:right="339" w:bottom="1440" w:gutter="0" w:footer="0" w:header="0"/>
        </w:sectPr>
      </w:pPr>
    </w:p>
    <w:p>
      <w:pPr>
        <w:spacing w:after="0" w:line="122" w:lineRule="exact"/>
        <w:rPr>
          <w:sz w:val="24"/>
          <w:szCs w:val="24"/>
          <w:color w:val="auto"/>
        </w:rPr>
      </w:pPr>
    </w:p>
    <w:p>
      <w:pPr>
        <w:jc w:val="center"/>
        <w:ind w:right="84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(State of incorporation)</w:t>
      </w:r>
    </w:p>
    <w:p>
      <w:pPr>
        <w:spacing w:after="0" w:line="28"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3000 Lakeside Dr. Suite 300N, Bannockburn, IL</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05-0489664</w:t>
      </w:r>
    </w:p>
    <w:p>
      <w:pPr>
        <w:spacing w:after="0" w:line="36" w:lineRule="exact"/>
        <w:rPr>
          <w:sz w:val="24"/>
          <w:szCs w:val="24"/>
          <w:color w:val="auto"/>
        </w:rPr>
      </w:pPr>
    </w:p>
    <w:p>
      <w:pPr>
        <w:jc w:val="center"/>
        <w:ind w:right="1960"/>
        <w:spacing w:after="0"/>
        <w:rPr>
          <w:sz w:val="20"/>
          <w:szCs w:val="20"/>
          <w:color w:val="auto"/>
        </w:rPr>
      </w:pPr>
      <w:r>
        <w:rPr>
          <w:rFonts w:ascii="Arial" w:cs="Arial" w:eastAsia="Arial" w:hAnsi="Arial"/>
          <w:sz w:val="15"/>
          <w:szCs w:val="15"/>
          <w:i w:val="1"/>
          <w:iCs w:val="1"/>
          <w:color w:val="auto"/>
        </w:rPr>
        <w:t>(I.R.S. Employer Identification No.)</w:t>
      </w:r>
    </w:p>
    <w:p>
      <w:pPr>
        <w:spacing w:after="0" w:line="40"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60015</w:t>
      </w:r>
    </w:p>
    <w:p>
      <w:pPr>
        <w:spacing w:after="0" w:line="36" w:lineRule="exact"/>
        <w:rPr>
          <w:sz w:val="24"/>
          <w:szCs w:val="24"/>
          <w:color w:val="auto"/>
        </w:rPr>
      </w:pPr>
    </w:p>
    <w:p>
      <w:pPr>
        <w:sectPr>
          <w:pgSz w:w="11900" w:h="16838" w:orient="portrait"/>
          <w:cols w:equalWidth="0" w:num="2">
            <w:col w:w="6240" w:space="720"/>
            <w:col w:w="4280"/>
          </w:cols>
          <w:pgMar w:left="320" w:top="913" w:right="339" w:bottom="1440" w:gutter="0" w:footer="0" w:header="0"/>
          <w:type w:val="continuous"/>
        </w:sectPr>
      </w:pPr>
    </w:p>
    <w:p>
      <w:pPr>
        <w:ind w:left="144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(Zip Code)</w:t>
      </w:r>
    </w:p>
    <w:p>
      <w:pPr>
        <w:spacing w:after="0" w:line="121" w:lineRule="exact"/>
        <w:rPr>
          <w:sz w:val="24"/>
          <w:szCs w:val="24"/>
          <w:color w:val="auto"/>
        </w:rPr>
      </w:pPr>
    </w:p>
    <w:p>
      <w:pPr>
        <w:sectPr>
          <w:pgSz w:w="11900" w:h="16838" w:orient="portrait"/>
          <w:cols w:equalWidth="0" w:num="2">
            <w:col w:w="7040" w:space="720"/>
            <w:col w:w="3480"/>
          </w:cols>
          <w:pgMar w:left="320" w:top="913" w:right="339" w:bottom="1440" w:gutter="0" w:footer="0" w:header="0"/>
          <w:type w:val="continuous"/>
        </w:sectPr>
      </w:pPr>
    </w:p>
    <w:p>
      <w:pPr>
        <w:ind w:left="3820"/>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35" w:lineRule="exact"/>
        <w:rPr>
          <w:sz w:val="24"/>
          <w:szCs w:val="24"/>
          <w:color w:val="auto"/>
        </w:rPr>
      </w:pPr>
    </w:p>
    <w:p>
      <w:pPr>
        <w:ind w:left="5160"/>
        <w:spacing w:after="0"/>
        <w:rPr>
          <w:sz w:val="20"/>
          <w:szCs w:val="20"/>
          <w:color w:val="auto"/>
        </w:rPr>
      </w:pPr>
      <w:r>
        <w:rPr>
          <w:rFonts w:ascii="Arial" w:cs="Arial" w:eastAsia="Arial" w:hAnsi="Arial"/>
          <w:sz w:val="16"/>
          <w:szCs w:val="16"/>
          <w:b w:val="1"/>
          <w:bCs w:val="1"/>
          <w:color w:val="auto"/>
        </w:rPr>
        <w:t>312-940-2443</w:t>
      </w:r>
    </w:p>
    <w:p>
      <w:pPr>
        <w:spacing w:after="0" w:line="5"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913" w:right="339" w:bottom="1440" w:gutter="0" w:footer="0" w:header="0"/>
          <w:type w:val="continuous"/>
        </w:sectPr>
      </w:pPr>
    </w:p>
    <w:p>
      <w:pPr>
        <w:spacing w:after="0" w:line="132" w:lineRule="exact"/>
        <w:rPr>
          <w:sz w:val="24"/>
          <w:szCs w:val="24"/>
          <w:color w:val="auto"/>
        </w:rPr>
      </w:pPr>
    </w:p>
    <w:p>
      <w:pPr>
        <w:ind w:left="12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340" w:space="720"/>
            <w:col w:w="2080" w:space="720"/>
            <w:col w:w="3380"/>
          </w:cols>
          <w:pgMar w:left="320" w:top="913" w:right="33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OPCH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32" w:lineRule="exact"/>
        <w:rPr>
          <w:sz w:val="24"/>
          <w:szCs w:val="24"/>
          <w:color w:val="auto"/>
        </w:rPr>
      </w:pPr>
    </w:p>
    <w:p>
      <w:pPr>
        <w:sectPr>
          <w:pgSz w:w="11900" w:h="16838" w:orient="portrait"/>
          <w:cols w:equalWidth="0" w:num="3">
            <w:col w:w="4680" w:space="720"/>
            <w:col w:w="2280" w:space="720"/>
            <w:col w:w="2840"/>
          </w:cols>
          <w:pgMar w:left="320" w:top="913"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ectPr>
          <w:pgSz w:w="11900" w:h="16838" w:orient="portrait"/>
          <w:cols w:equalWidth="0" w:num="1">
            <w:col w:w="11240"/>
          </w:cols>
          <w:pgMar w:left="320" w:top="913" w:right="339" w:bottom="1440" w:gutter="0" w:footer="0" w:header="0"/>
          <w:type w:val="continuous"/>
        </w:sectPr>
      </w:pPr>
    </w:p>
    <w:p>
      <w:pPr>
        <w:spacing w:after="0" w:line="2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2">
            <w:col w:w="8100" w:space="220"/>
            <w:col w:w="2920"/>
          </w:cols>
          <w:pgMar w:left="320" w:top="913" w:right="3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8260" w:space="200"/>
            <w:col w:w="2780"/>
          </w:cols>
          <w:pgMar w:left="320" w:top="913" w:right="339" w:bottom="1440" w:gutter="0" w:footer="0" w:header="0"/>
          <w:type w:val="continuous"/>
        </w:sect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1240" w:val="left"/>
        </w:tabs>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6"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jc w:val="both"/>
        <w:spacing w:after="0" w:line="319"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a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p>
      <w:pPr>
        <w:ind w:left="1160"/>
        <w:spacing w:after="0" w:line="184" w:lineRule="exact"/>
        <w:tabs>
          <w:tab w:leader="none" w:pos="2980" w:val="left"/>
          <w:tab w:leader="none" w:pos="4460" w:val="left"/>
          <w:tab w:leader="none" w:pos="62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30"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73" w:lineRule="exact"/>
        <w:tabs>
          <w:tab w:leader="none" w:pos="804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4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as of June 30, 2021, the last business day of the registrant’s most recently completed second fiscal quarter, was approximately $2,451,675,967 based on the closing price of the registrant’s Common Stock on the Nasdaq Global Select Market on such date.</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18, 2022, there were 179,938,417 shares of the registrant’s Common Stock outstanding.</w:t>
      </w:r>
    </w:p>
    <w:p>
      <w:pPr>
        <w:spacing w:after="0" w:line="96"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Portions of the registrant’s definitive proxy statement for its 2022 Annual Meeting of Stockholders to be filed with the Securities and Exchange Commission (the “SEC”) within 120 days after the close of the registrant’s fiscal year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00" w:type="dxa"/>
            <w:vAlign w:val="bottom"/>
            <w:gridSpan w:val="9"/>
          </w:tcPr>
          <w:p>
            <w:pPr>
              <w:jc w:val="center"/>
              <w:ind w:right="2860"/>
              <w:spacing w:after="0"/>
              <w:rPr>
                <w:sz w:val="20"/>
                <w:szCs w:val="20"/>
                <w:color w:val="auto"/>
              </w:rPr>
            </w:pPr>
            <w:r>
              <w:rPr>
                <w:rFonts w:ascii="Arial" w:cs="Arial" w:eastAsia="Arial" w:hAnsi="Arial"/>
                <w:sz w:val="18"/>
                <w:szCs w:val="18"/>
                <w:b w:val="1"/>
                <w:bCs w:val="1"/>
                <w:color w:val="auto"/>
                <w:w w:val="98"/>
              </w:rPr>
              <w:t>TABLE OF CONTENTS</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13"/>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3"/>
          </w:tcPr>
          <w:p>
            <w:pPr>
              <w:jc w:val="center"/>
              <w:ind w:left="759"/>
              <w:spacing w:after="0"/>
              <w:rPr>
                <w:sz w:val="20"/>
                <w:szCs w:val="20"/>
                <w:color w:val="auto"/>
              </w:rPr>
            </w:pPr>
            <w:r>
              <w:rPr>
                <w:rFonts w:ascii="Arial" w:cs="Arial" w:eastAsia="Arial" w:hAnsi="Arial"/>
                <w:sz w:val="16"/>
                <w:szCs w:val="16"/>
                <w:b w:val="1"/>
                <w:bCs w:val="1"/>
                <w:color w:val="auto"/>
                <w:w w:val="83"/>
              </w:rPr>
              <w:t>Page</w:t>
            </w:r>
          </w:p>
        </w:tc>
      </w:tr>
      <w:tr>
        <w:trPr>
          <w:trHeight w:val="210"/>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gridSpan w:val="3"/>
          </w:tcPr>
          <w:p>
            <w:pPr>
              <w:jc w:val="center"/>
              <w:ind w:left="759"/>
              <w:spacing w:after="0"/>
              <w:rPr>
                <w:sz w:val="20"/>
                <w:szCs w:val="20"/>
                <w:color w:val="auto"/>
              </w:rPr>
            </w:pPr>
            <w:r>
              <w:rPr>
                <w:rFonts w:ascii="Arial" w:cs="Arial" w:eastAsia="Arial" w:hAnsi="Arial"/>
                <w:sz w:val="16"/>
                <w:szCs w:val="16"/>
                <w:b w:val="1"/>
                <w:bCs w:val="1"/>
                <w:color w:val="auto"/>
                <w:w w:val="92"/>
              </w:rPr>
              <w:t>Number</w:t>
            </w: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0" w:type="dxa"/>
            <w:vAlign w:val="bottom"/>
            <w:gridSpan w:val="8"/>
          </w:tcPr>
          <w:p>
            <w:pPr>
              <w:jc w:val="center"/>
              <w:ind w:right="3580"/>
              <w:spacing w:after="0"/>
              <w:rPr>
                <w:sz w:val="20"/>
                <w:szCs w:val="20"/>
                <w:color w:val="auto"/>
              </w:rPr>
            </w:pPr>
            <w:r>
              <w:rPr>
                <w:rFonts w:ascii="Arial" w:cs="Arial" w:eastAsia="Arial" w:hAnsi="Arial"/>
                <w:sz w:val="16"/>
                <w:szCs w:val="16"/>
                <w:b w:val="1"/>
                <w:bCs w:val="1"/>
                <w:color w:val="auto"/>
              </w:rPr>
              <w:t>PART I</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43"/>
        </w:trPr>
        <w:tc>
          <w:tcPr>
            <w:tcW w:w="1500" w:type="dxa"/>
            <w:vAlign w:val="bottom"/>
            <w:gridSpan w:val="4"/>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p>
        </w:tc>
        <w:tc>
          <w:tcPr>
            <w:tcW w:w="8080" w:type="dxa"/>
            <w:vAlign w:val="bottom"/>
            <w:gridSpan w:val="20"/>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1160" w:type="dxa"/>
            <w:vAlign w:val="bottom"/>
            <w:gridSpan w:val="2"/>
          </w:tcPr>
          <w:p>
            <w:pPr>
              <w:jc w:val="center"/>
              <w:ind w:left="99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4</w:t>
              </w:r>
            </w:hyperlink>
          </w:p>
        </w:tc>
        <w:tc>
          <w:tcPr>
            <w:tcW w:w="2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w w:val="83"/>
              </w:rPr>
            </w:pPr>
            <w:hyperlink w:anchor="page13">
              <w:r>
                <w:rPr>
                  <w:rFonts w:ascii="Arial" w:cs="Arial" w:eastAsia="Arial" w:hAnsi="Arial"/>
                  <w:sz w:val="16"/>
                  <w:szCs w:val="16"/>
                  <w:color w:val="0000FF"/>
                  <w:w w:val="83"/>
                </w:rPr>
                <w:t>Item 1A.</w:t>
              </w:r>
            </w:hyperlink>
          </w:p>
        </w:tc>
        <w:tc>
          <w:tcPr>
            <w:tcW w:w="960" w:type="dxa"/>
            <w:vAlign w:val="bottom"/>
            <w:gridSpan w:val="2"/>
          </w:tcPr>
          <w:p>
            <w:pPr>
              <w:spacing w:after="0"/>
              <w:rPr>
                <w:sz w:val="17"/>
                <w:szCs w:val="17"/>
                <w:color w:val="auto"/>
              </w:rPr>
            </w:pPr>
          </w:p>
        </w:tc>
        <w:tc>
          <w:tcPr>
            <w:tcW w:w="8080" w:type="dxa"/>
            <w:vAlign w:val="bottom"/>
            <w:gridSpan w:val="20"/>
          </w:tcPr>
          <w:p>
            <w:pPr>
              <w:spacing w:after="0"/>
              <w:rPr>
                <w:rFonts w:ascii="Arial" w:cs="Arial" w:eastAsia="Arial" w:hAnsi="Arial"/>
                <w:sz w:val="16"/>
                <w:szCs w:val="16"/>
                <w:color w:val="0000FF"/>
              </w:rPr>
            </w:pPr>
            <w:hyperlink w:anchor="page13">
              <w:r>
                <w:rPr>
                  <w:rFonts w:ascii="Arial" w:cs="Arial" w:eastAsia="Arial" w:hAnsi="Arial"/>
                  <w:sz w:val="16"/>
                  <w:szCs w:val="16"/>
                  <w:color w:val="0000FF"/>
                </w:rPr>
                <w:t>Risk Factors</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13">
              <w:r>
                <w:rPr>
                  <w:rFonts w:ascii="Arial" w:cs="Arial" w:eastAsia="Arial" w:hAnsi="Arial"/>
                  <w:sz w:val="16"/>
                  <w:szCs w:val="16"/>
                  <w:color w:val="0000FF"/>
                  <w:w w:val="89"/>
                </w:rPr>
                <w:t>13</w:t>
              </w:r>
            </w:hyperlink>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w w:val="83"/>
              </w:rPr>
            </w:pPr>
            <w:hyperlink w:anchor="page25">
              <w:r>
                <w:rPr>
                  <w:rFonts w:ascii="Arial" w:cs="Arial" w:eastAsia="Arial" w:hAnsi="Arial"/>
                  <w:sz w:val="16"/>
                  <w:szCs w:val="16"/>
                  <w:color w:val="0000FF"/>
                  <w:w w:val="83"/>
                </w:rPr>
                <w:t>Item 1B.</w:t>
              </w:r>
            </w:hyperlink>
          </w:p>
        </w:tc>
        <w:tc>
          <w:tcPr>
            <w:tcW w:w="960" w:type="dxa"/>
            <w:vAlign w:val="bottom"/>
            <w:gridSpan w:val="2"/>
          </w:tcPr>
          <w:p>
            <w:pPr>
              <w:spacing w:after="0"/>
              <w:rPr>
                <w:sz w:val="17"/>
                <w:szCs w:val="17"/>
                <w:color w:val="auto"/>
              </w:rPr>
            </w:pPr>
          </w:p>
        </w:tc>
        <w:tc>
          <w:tcPr>
            <w:tcW w:w="1840" w:type="dxa"/>
            <w:vAlign w:val="bottom"/>
            <w:gridSpan w:val="8"/>
          </w:tcPr>
          <w:p>
            <w:pPr>
              <w:spacing w:after="0"/>
              <w:rPr>
                <w:rFonts w:ascii="Arial" w:cs="Arial" w:eastAsia="Arial" w:hAnsi="Arial"/>
                <w:sz w:val="16"/>
                <w:szCs w:val="16"/>
                <w:color w:val="0000FF"/>
                <w:w w:val="90"/>
              </w:rPr>
            </w:pPr>
            <w:hyperlink w:anchor="page25">
              <w:r>
                <w:rPr>
                  <w:rFonts w:ascii="Arial" w:cs="Arial" w:eastAsia="Arial" w:hAnsi="Arial"/>
                  <w:sz w:val="16"/>
                  <w:szCs w:val="16"/>
                  <w:color w:val="0000FF"/>
                  <w:w w:val="90"/>
                </w:rPr>
                <w:t>Unresolved Staff Comments</w:t>
              </w:r>
            </w:hyperlink>
          </w:p>
        </w:tc>
        <w:tc>
          <w:tcPr>
            <w:tcW w:w="6240" w:type="dxa"/>
            <w:vAlign w:val="bottom"/>
            <w:gridSpan w:val="12"/>
          </w:tcPr>
          <w:p>
            <w:pPr>
              <w:spacing w:after="0"/>
              <w:rPr>
                <w:sz w:val="17"/>
                <w:szCs w:val="17"/>
                <w:color w:val="auto"/>
              </w:rPr>
            </w:pPr>
          </w:p>
        </w:tc>
        <w:tc>
          <w:tcPr>
            <w:tcW w:w="1160" w:type="dxa"/>
            <w:vAlign w:val="bottom"/>
            <w:gridSpan w:val="2"/>
          </w:tcPr>
          <w:p>
            <w:pPr>
              <w:jc w:val="center"/>
              <w:ind w:left="919"/>
              <w:spacing w:after="0"/>
              <w:rPr>
                <w:rFonts w:ascii="Arial" w:cs="Arial" w:eastAsia="Arial" w:hAnsi="Arial"/>
                <w:sz w:val="16"/>
                <w:szCs w:val="16"/>
                <w:color w:val="0000FF"/>
                <w:w w:val="89"/>
              </w:rPr>
            </w:pPr>
            <w:hyperlink w:anchor="page25">
              <w:r>
                <w:rPr>
                  <w:rFonts w:ascii="Arial" w:cs="Arial" w:eastAsia="Arial" w:hAnsi="Arial"/>
                  <w:sz w:val="16"/>
                  <w:szCs w:val="16"/>
                  <w:color w:val="0000FF"/>
                  <w:w w:val="89"/>
                </w:rPr>
                <w:t>25</w:t>
              </w:r>
            </w:hyperlink>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Item 2.</w:t>
              </w:r>
            </w:hyperlink>
          </w:p>
        </w:tc>
        <w:tc>
          <w:tcPr>
            <w:tcW w:w="960" w:type="dxa"/>
            <w:vAlign w:val="bottom"/>
            <w:gridSpan w:val="2"/>
          </w:tcPr>
          <w:p>
            <w:pPr>
              <w:spacing w:after="0"/>
              <w:rPr>
                <w:sz w:val="17"/>
                <w:szCs w:val="17"/>
                <w:color w:val="auto"/>
              </w:rPr>
            </w:pPr>
          </w:p>
        </w:tc>
        <w:tc>
          <w:tcPr>
            <w:tcW w:w="1840" w:type="dxa"/>
            <w:vAlign w:val="bottom"/>
            <w:gridSpan w:val="8"/>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Properties</w:t>
              </w:r>
            </w:hyperlink>
          </w:p>
        </w:tc>
        <w:tc>
          <w:tcPr>
            <w:tcW w:w="6240" w:type="dxa"/>
            <w:vAlign w:val="bottom"/>
            <w:gridSpan w:val="12"/>
          </w:tcPr>
          <w:p>
            <w:pPr>
              <w:spacing w:after="0"/>
              <w:rPr>
                <w:sz w:val="17"/>
                <w:szCs w:val="17"/>
                <w:color w:val="auto"/>
              </w:rPr>
            </w:pPr>
          </w:p>
        </w:tc>
        <w:tc>
          <w:tcPr>
            <w:tcW w:w="1160" w:type="dxa"/>
            <w:vAlign w:val="bottom"/>
            <w:gridSpan w:val="2"/>
          </w:tcPr>
          <w:p>
            <w:pPr>
              <w:jc w:val="center"/>
              <w:ind w:left="919"/>
              <w:spacing w:after="0"/>
              <w:rPr>
                <w:rFonts w:ascii="Arial" w:cs="Arial" w:eastAsia="Arial" w:hAnsi="Arial"/>
                <w:sz w:val="16"/>
                <w:szCs w:val="16"/>
                <w:color w:val="0000FF"/>
                <w:w w:val="89"/>
              </w:rPr>
            </w:pPr>
            <w:hyperlink w:anchor="page25">
              <w:r>
                <w:rPr>
                  <w:rFonts w:ascii="Arial" w:cs="Arial" w:eastAsia="Arial" w:hAnsi="Arial"/>
                  <w:sz w:val="16"/>
                  <w:szCs w:val="16"/>
                  <w:color w:val="0000FF"/>
                  <w:w w:val="89"/>
                </w:rPr>
                <w:t>26</w:t>
              </w:r>
            </w:hyperlink>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00" w:type="dxa"/>
            <w:vAlign w:val="bottom"/>
            <w:gridSpan w:val="4"/>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3.</w:t>
              </w:r>
            </w:hyperlink>
          </w:p>
        </w:tc>
        <w:tc>
          <w:tcPr>
            <w:tcW w:w="8080" w:type="dxa"/>
            <w:vAlign w:val="bottom"/>
            <w:gridSpan w:val="20"/>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Legal Proceedings</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26">
              <w:r>
                <w:rPr>
                  <w:rFonts w:ascii="Arial" w:cs="Arial" w:eastAsia="Arial" w:hAnsi="Arial"/>
                  <w:sz w:val="16"/>
                  <w:szCs w:val="16"/>
                  <w:color w:val="0000FF"/>
                  <w:w w:val="89"/>
                </w:rPr>
                <w:t>26</w:t>
              </w:r>
            </w:hyperlink>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00" w:type="dxa"/>
            <w:vAlign w:val="bottom"/>
            <w:gridSpan w:val="4"/>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4.</w:t>
              </w:r>
            </w:hyperlink>
          </w:p>
        </w:tc>
        <w:tc>
          <w:tcPr>
            <w:tcW w:w="8080" w:type="dxa"/>
            <w:vAlign w:val="bottom"/>
            <w:gridSpan w:val="20"/>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Mine Safety Disclosures</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26">
              <w:r>
                <w:rPr>
                  <w:rFonts w:ascii="Arial" w:cs="Arial" w:eastAsia="Arial" w:hAnsi="Arial"/>
                  <w:sz w:val="16"/>
                  <w:szCs w:val="16"/>
                  <w:color w:val="0000FF"/>
                  <w:w w:val="89"/>
                </w:rPr>
                <w:t>26</w:t>
              </w:r>
            </w:hyperlink>
          </w:p>
        </w:tc>
        <w:tc>
          <w:tcPr>
            <w:tcW w:w="24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0" w:type="dxa"/>
            <w:vAlign w:val="bottom"/>
            <w:gridSpan w:val="8"/>
          </w:tcPr>
          <w:p>
            <w:pPr>
              <w:jc w:val="center"/>
              <w:ind w:right="3580"/>
              <w:spacing w:after="0"/>
              <w:rPr>
                <w:sz w:val="20"/>
                <w:szCs w:val="20"/>
                <w:color w:val="auto"/>
              </w:rPr>
            </w:pPr>
            <w:r>
              <w:rPr>
                <w:rFonts w:ascii="Arial" w:cs="Arial" w:eastAsia="Arial" w:hAnsi="Arial"/>
                <w:sz w:val="16"/>
                <w:szCs w:val="16"/>
                <w:b w:val="1"/>
                <w:bCs w:val="1"/>
                <w:color w:val="auto"/>
              </w:rPr>
              <w:t>PART II</w:t>
            </w:r>
          </w:p>
        </w:tc>
        <w:tc>
          <w:tcPr>
            <w:tcW w:w="10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343"/>
        </w:trPr>
        <w:tc>
          <w:tcPr>
            <w:tcW w:w="540" w:type="dxa"/>
            <w:vAlign w:val="bottom"/>
            <w:gridSpan w:val="2"/>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5.</w:t>
              </w:r>
            </w:hyperlink>
          </w:p>
        </w:tc>
        <w:tc>
          <w:tcPr>
            <w:tcW w:w="960" w:type="dxa"/>
            <w:vAlign w:val="bottom"/>
            <w:gridSpan w:val="2"/>
          </w:tcPr>
          <w:p>
            <w:pPr>
              <w:spacing w:after="0"/>
              <w:rPr>
                <w:sz w:val="24"/>
                <w:szCs w:val="24"/>
                <w:color w:val="auto"/>
              </w:rPr>
            </w:pPr>
          </w:p>
        </w:tc>
        <w:tc>
          <w:tcPr>
            <w:tcW w:w="8080" w:type="dxa"/>
            <w:vAlign w:val="bottom"/>
            <w:gridSpan w:val="20"/>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Market for Registrant’s Common Equity, Related Stockholder Matters and Issuer Purchases of Equity Securities</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27</w:t>
              </w:r>
            </w:hyperlink>
          </w:p>
        </w:tc>
        <w:tc>
          <w:tcPr>
            <w:tcW w:w="240" w:type="dxa"/>
            <w:vAlign w:val="bottom"/>
          </w:tcPr>
          <w:p>
            <w:pPr>
              <w:spacing w:after="0"/>
              <w:rPr>
                <w:sz w:val="24"/>
                <w:szCs w:val="24"/>
                <w:color w:val="auto"/>
              </w:rPr>
            </w:pPr>
          </w:p>
        </w:tc>
      </w:tr>
      <w:tr>
        <w:trPr>
          <w:trHeight w:val="196"/>
        </w:trPr>
        <w:tc>
          <w:tcPr>
            <w:tcW w:w="540" w:type="dxa"/>
            <w:vAlign w:val="bottom"/>
            <w:tcBorders>
              <w:top w:val="single" w:sz="8" w:color="0000FF"/>
            </w:tcBorders>
            <w:gridSpan w:val="2"/>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Item 6.</w:t>
              </w:r>
            </w:hyperlink>
          </w:p>
        </w:tc>
        <w:tc>
          <w:tcPr>
            <w:tcW w:w="960" w:type="dxa"/>
            <w:vAlign w:val="bottom"/>
            <w:gridSpan w:val="2"/>
          </w:tcPr>
          <w:p>
            <w:pPr>
              <w:spacing w:after="0"/>
              <w:rPr>
                <w:sz w:val="17"/>
                <w:szCs w:val="17"/>
                <w:color w:val="auto"/>
              </w:rPr>
            </w:pPr>
          </w:p>
        </w:tc>
        <w:tc>
          <w:tcPr>
            <w:tcW w:w="7260" w:type="dxa"/>
            <w:vAlign w:val="bottom"/>
            <w:tcBorders>
              <w:top w:val="single" w:sz="8" w:color="0000FF"/>
            </w:tcBorders>
            <w:gridSpan w:val="19"/>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Reserved</w:t>
              </w:r>
            </w:hyperlink>
          </w:p>
        </w:tc>
        <w:tc>
          <w:tcPr>
            <w:tcW w:w="820" w:type="dxa"/>
            <w:vAlign w:val="bottom"/>
          </w:tcPr>
          <w:p>
            <w:pPr>
              <w:spacing w:after="0"/>
              <w:rPr>
                <w:sz w:val="17"/>
                <w:szCs w:val="17"/>
                <w:color w:val="auto"/>
              </w:rPr>
            </w:pPr>
          </w:p>
        </w:tc>
        <w:tc>
          <w:tcPr>
            <w:tcW w:w="1160" w:type="dxa"/>
            <w:vAlign w:val="bottom"/>
            <w:gridSpan w:val="2"/>
          </w:tcPr>
          <w:p>
            <w:pPr>
              <w:jc w:val="center"/>
              <w:ind w:left="919"/>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29</w:t>
              </w:r>
            </w:hyperlink>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7.</w:t>
              </w:r>
            </w:hyperlink>
          </w:p>
        </w:tc>
        <w:tc>
          <w:tcPr>
            <w:tcW w:w="960" w:type="dxa"/>
            <w:vAlign w:val="bottom"/>
            <w:gridSpan w:val="2"/>
          </w:tcPr>
          <w:p>
            <w:pPr>
              <w:spacing w:after="0"/>
              <w:rPr>
                <w:sz w:val="17"/>
                <w:szCs w:val="17"/>
                <w:color w:val="auto"/>
              </w:rPr>
            </w:pPr>
          </w:p>
        </w:tc>
        <w:tc>
          <w:tcPr>
            <w:tcW w:w="8080" w:type="dxa"/>
            <w:vAlign w:val="bottom"/>
            <w:gridSpan w:val="20"/>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Management’s Discussion and Analysis of Financial Condition and Results of Operations</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30</w:t>
              </w:r>
            </w:hyperlink>
          </w:p>
        </w:tc>
        <w:tc>
          <w:tcPr>
            <w:tcW w:w="24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w w:val="83"/>
              </w:rPr>
            </w:pPr>
            <w:hyperlink w:anchor="page42">
              <w:r>
                <w:rPr>
                  <w:rFonts w:ascii="Arial" w:cs="Arial" w:eastAsia="Arial" w:hAnsi="Arial"/>
                  <w:sz w:val="16"/>
                  <w:szCs w:val="16"/>
                  <w:color w:val="0000FF"/>
                  <w:w w:val="83"/>
                </w:rPr>
                <w:t>Item 7A.</w:t>
              </w:r>
            </w:hyperlink>
          </w:p>
        </w:tc>
        <w:tc>
          <w:tcPr>
            <w:tcW w:w="960" w:type="dxa"/>
            <w:vAlign w:val="bottom"/>
            <w:gridSpan w:val="2"/>
          </w:tcPr>
          <w:p>
            <w:pPr>
              <w:spacing w:after="0"/>
              <w:rPr>
                <w:sz w:val="17"/>
                <w:szCs w:val="17"/>
                <w:color w:val="auto"/>
              </w:rPr>
            </w:pPr>
          </w:p>
        </w:tc>
        <w:tc>
          <w:tcPr>
            <w:tcW w:w="3920" w:type="dxa"/>
            <w:vAlign w:val="bottom"/>
            <w:gridSpan w:val="13"/>
          </w:tcPr>
          <w:p>
            <w:pPr>
              <w:spacing w:after="0"/>
              <w:rPr>
                <w:rFonts w:ascii="Arial" w:cs="Arial" w:eastAsia="Arial" w:hAnsi="Arial"/>
                <w:sz w:val="16"/>
                <w:szCs w:val="16"/>
                <w:color w:val="0000FF"/>
                <w:w w:val="93"/>
              </w:rPr>
            </w:pPr>
            <w:hyperlink w:anchor="page42">
              <w:r>
                <w:rPr>
                  <w:rFonts w:ascii="Arial" w:cs="Arial" w:eastAsia="Arial" w:hAnsi="Arial"/>
                  <w:sz w:val="16"/>
                  <w:szCs w:val="16"/>
                  <w:color w:val="0000FF"/>
                  <w:w w:val="93"/>
                </w:rPr>
                <w:t>Quantitative and Qualitative Disclosures About Market Risk</w:t>
              </w:r>
            </w:hyperlink>
          </w:p>
        </w:tc>
        <w:tc>
          <w:tcPr>
            <w:tcW w:w="4160" w:type="dxa"/>
            <w:vAlign w:val="bottom"/>
            <w:gridSpan w:val="7"/>
          </w:tcPr>
          <w:p>
            <w:pPr>
              <w:spacing w:after="0"/>
              <w:rPr>
                <w:sz w:val="17"/>
                <w:szCs w:val="17"/>
                <w:color w:val="auto"/>
              </w:rPr>
            </w:pPr>
          </w:p>
        </w:tc>
        <w:tc>
          <w:tcPr>
            <w:tcW w:w="1160" w:type="dxa"/>
            <w:vAlign w:val="bottom"/>
            <w:gridSpan w:val="2"/>
          </w:tcPr>
          <w:p>
            <w:pPr>
              <w:jc w:val="center"/>
              <w:ind w:left="919"/>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42</w:t>
              </w:r>
            </w:hyperlink>
          </w:p>
        </w:tc>
        <w:tc>
          <w:tcPr>
            <w:tcW w:w="24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Item 8.</w:t>
              </w:r>
            </w:hyperlink>
          </w:p>
        </w:tc>
        <w:tc>
          <w:tcPr>
            <w:tcW w:w="960" w:type="dxa"/>
            <w:vAlign w:val="bottom"/>
            <w:gridSpan w:val="2"/>
          </w:tcPr>
          <w:p>
            <w:pPr>
              <w:spacing w:after="0"/>
              <w:rPr>
                <w:sz w:val="17"/>
                <w:szCs w:val="17"/>
                <w:color w:val="auto"/>
              </w:rPr>
            </w:pPr>
          </w:p>
        </w:tc>
        <w:tc>
          <w:tcPr>
            <w:tcW w:w="3920" w:type="dxa"/>
            <w:vAlign w:val="bottom"/>
            <w:gridSpan w:val="13"/>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Financial Statements and Supplementary Data</w:t>
              </w:r>
            </w:hyperlink>
          </w:p>
        </w:tc>
        <w:tc>
          <w:tcPr>
            <w:tcW w:w="4160" w:type="dxa"/>
            <w:vAlign w:val="bottom"/>
            <w:gridSpan w:val="7"/>
          </w:tcPr>
          <w:p>
            <w:pPr>
              <w:spacing w:after="0"/>
              <w:rPr>
                <w:sz w:val="17"/>
                <w:szCs w:val="17"/>
                <w:color w:val="auto"/>
              </w:rPr>
            </w:pPr>
          </w:p>
        </w:tc>
        <w:tc>
          <w:tcPr>
            <w:tcW w:w="1160" w:type="dxa"/>
            <w:vAlign w:val="bottom"/>
            <w:gridSpan w:val="2"/>
          </w:tcPr>
          <w:p>
            <w:pPr>
              <w:jc w:val="center"/>
              <w:ind w:left="919"/>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43</w:t>
              </w:r>
            </w:hyperlink>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Item 9.</w:t>
              </w:r>
            </w:hyperlink>
          </w:p>
        </w:tc>
        <w:tc>
          <w:tcPr>
            <w:tcW w:w="960" w:type="dxa"/>
            <w:vAlign w:val="bottom"/>
            <w:gridSpan w:val="2"/>
          </w:tcPr>
          <w:p>
            <w:pPr>
              <w:spacing w:after="0"/>
              <w:rPr>
                <w:sz w:val="17"/>
                <w:szCs w:val="17"/>
                <w:color w:val="auto"/>
              </w:rPr>
            </w:pPr>
          </w:p>
        </w:tc>
        <w:tc>
          <w:tcPr>
            <w:tcW w:w="8080" w:type="dxa"/>
            <w:vAlign w:val="bottom"/>
            <w:gridSpan w:val="20"/>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Changes in and Disagreements with Accountants on Accounting and Financial Disclosure</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77">
              <w:r>
                <w:rPr>
                  <w:rFonts w:ascii="Arial" w:cs="Arial" w:eastAsia="Arial" w:hAnsi="Arial"/>
                  <w:sz w:val="16"/>
                  <w:szCs w:val="16"/>
                  <w:color w:val="0000FF"/>
                  <w:w w:val="89"/>
                </w:rPr>
                <w:t>78</w:t>
              </w:r>
            </w:hyperlink>
          </w:p>
        </w:tc>
        <w:tc>
          <w:tcPr>
            <w:tcW w:w="24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w w:val="83"/>
              </w:rPr>
            </w:pPr>
            <w:hyperlink w:anchor="page78">
              <w:r>
                <w:rPr>
                  <w:rFonts w:ascii="Arial" w:cs="Arial" w:eastAsia="Arial" w:hAnsi="Arial"/>
                  <w:sz w:val="16"/>
                  <w:szCs w:val="16"/>
                  <w:color w:val="0000FF"/>
                  <w:w w:val="83"/>
                </w:rPr>
                <w:t>Item 9A.</w:t>
              </w:r>
            </w:hyperlink>
          </w:p>
        </w:tc>
        <w:tc>
          <w:tcPr>
            <w:tcW w:w="960" w:type="dxa"/>
            <w:vAlign w:val="bottom"/>
            <w:gridSpan w:val="2"/>
          </w:tcPr>
          <w:p>
            <w:pPr>
              <w:spacing w:after="0"/>
              <w:rPr>
                <w:sz w:val="17"/>
                <w:szCs w:val="17"/>
                <w:color w:val="auto"/>
              </w:rPr>
            </w:pPr>
          </w:p>
        </w:tc>
        <w:tc>
          <w:tcPr>
            <w:tcW w:w="8080" w:type="dxa"/>
            <w:vAlign w:val="bottom"/>
            <w:gridSpan w:val="20"/>
          </w:tcPr>
          <w:p>
            <w:pPr>
              <w:spacing w:after="0"/>
              <w:rPr>
                <w:rFonts w:ascii="Arial" w:cs="Arial" w:eastAsia="Arial" w:hAnsi="Arial"/>
                <w:sz w:val="16"/>
                <w:szCs w:val="16"/>
                <w:color w:val="0000FF"/>
              </w:rPr>
            </w:pPr>
            <w:hyperlink w:anchor="page78">
              <w:r>
                <w:rPr>
                  <w:rFonts w:ascii="Arial" w:cs="Arial" w:eastAsia="Arial" w:hAnsi="Arial"/>
                  <w:sz w:val="16"/>
                  <w:szCs w:val="16"/>
                  <w:color w:val="0000FF"/>
                </w:rPr>
                <w:t>Controls and Procedures</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78">
              <w:r>
                <w:rPr>
                  <w:rFonts w:ascii="Arial" w:cs="Arial" w:eastAsia="Arial" w:hAnsi="Arial"/>
                  <w:sz w:val="16"/>
                  <w:szCs w:val="16"/>
                  <w:color w:val="0000FF"/>
                  <w:w w:val="89"/>
                </w:rPr>
                <w:t>78</w:t>
              </w:r>
            </w:hyperlink>
          </w:p>
        </w:tc>
        <w:tc>
          <w:tcPr>
            <w:tcW w:w="24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w w:val="83"/>
              </w:rPr>
            </w:pPr>
            <w:hyperlink w:anchor="page79">
              <w:r>
                <w:rPr>
                  <w:rFonts w:ascii="Arial" w:cs="Arial" w:eastAsia="Arial" w:hAnsi="Arial"/>
                  <w:sz w:val="16"/>
                  <w:szCs w:val="16"/>
                  <w:color w:val="0000FF"/>
                  <w:w w:val="83"/>
                </w:rPr>
                <w:t>Item 9B.</w:t>
              </w:r>
            </w:hyperlink>
          </w:p>
        </w:tc>
        <w:tc>
          <w:tcPr>
            <w:tcW w:w="960" w:type="dxa"/>
            <w:vAlign w:val="bottom"/>
            <w:gridSpan w:val="2"/>
          </w:tcPr>
          <w:p>
            <w:pPr>
              <w:spacing w:after="0"/>
              <w:rPr>
                <w:sz w:val="17"/>
                <w:szCs w:val="17"/>
                <w:color w:val="auto"/>
              </w:rPr>
            </w:pPr>
          </w:p>
        </w:tc>
        <w:tc>
          <w:tcPr>
            <w:tcW w:w="1180" w:type="dxa"/>
            <w:vAlign w:val="bottom"/>
            <w:gridSpan w:val="4"/>
          </w:tcPr>
          <w:p>
            <w:pPr>
              <w:spacing w:after="0"/>
              <w:rPr>
                <w:rFonts w:ascii="Arial" w:cs="Arial" w:eastAsia="Arial" w:hAnsi="Arial"/>
                <w:sz w:val="16"/>
                <w:szCs w:val="16"/>
                <w:color w:val="0000FF"/>
                <w:w w:val="91"/>
              </w:rPr>
            </w:pPr>
            <w:hyperlink w:anchor="page79">
              <w:r>
                <w:rPr>
                  <w:rFonts w:ascii="Arial" w:cs="Arial" w:eastAsia="Arial" w:hAnsi="Arial"/>
                  <w:sz w:val="16"/>
                  <w:szCs w:val="16"/>
                  <w:color w:val="0000FF"/>
                  <w:w w:val="91"/>
                </w:rPr>
                <w:t>Other Information</w:t>
              </w:r>
            </w:hyperlink>
          </w:p>
        </w:tc>
        <w:tc>
          <w:tcPr>
            <w:tcW w:w="400" w:type="dxa"/>
            <w:vAlign w:val="bottom"/>
            <w:gridSpan w:val="2"/>
          </w:tcPr>
          <w:p>
            <w:pPr>
              <w:spacing w:after="0"/>
              <w:rPr>
                <w:sz w:val="17"/>
                <w:szCs w:val="17"/>
                <w:color w:val="auto"/>
              </w:rPr>
            </w:pPr>
          </w:p>
        </w:tc>
        <w:tc>
          <w:tcPr>
            <w:tcW w:w="6500" w:type="dxa"/>
            <w:vAlign w:val="bottom"/>
            <w:gridSpan w:val="14"/>
          </w:tcPr>
          <w:p>
            <w:pPr>
              <w:spacing w:after="0"/>
              <w:rPr>
                <w:sz w:val="17"/>
                <w:szCs w:val="17"/>
                <w:color w:val="auto"/>
              </w:rPr>
            </w:pPr>
          </w:p>
        </w:tc>
        <w:tc>
          <w:tcPr>
            <w:tcW w:w="1160" w:type="dxa"/>
            <w:vAlign w:val="bottom"/>
            <w:gridSpan w:val="2"/>
          </w:tcPr>
          <w:p>
            <w:pPr>
              <w:jc w:val="center"/>
              <w:ind w:left="919"/>
              <w:spacing w:after="0"/>
              <w:rPr>
                <w:rFonts w:ascii="Arial" w:cs="Arial" w:eastAsia="Arial" w:hAnsi="Arial"/>
                <w:sz w:val="16"/>
                <w:szCs w:val="16"/>
                <w:color w:val="0000FF"/>
                <w:w w:val="89"/>
              </w:rPr>
            </w:pPr>
            <w:hyperlink w:anchor="page79">
              <w:r>
                <w:rPr>
                  <w:rFonts w:ascii="Arial" w:cs="Arial" w:eastAsia="Arial" w:hAnsi="Arial"/>
                  <w:sz w:val="16"/>
                  <w:szCs w:val="16"/>
                  <w:color w:val="0000FF"/>
                  <w:w w:val="89"/>
                </w:rPr>
                <w:t>80</w:t>
              </w:r>
            </w:hyperlink>
          </w:p>
        </w:tc>
        <w:tc>
          <w:tcPr>
            <w:tcW w:w="24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w w:val="82"/>
              </w:rPr>
            </w:pPr>
            <w:hyperlink w:anchor="page80">
              <w:r>
                <w:rPr>
                  <w:rFonts w:ascii="Arial" w:cs="Arial" w:eastAsia="Arial" w:hAnsi="Arial"/>
                  <w:sz w:val="16"/>
                  <w:szCs w:val="16"/>
                  <w:color w:val="0000FF"/>
                  <w:w w:val="82"/>
                </w:rPr>
                <w:t>Item 9C.</w:t>
              </w:r>
            </w:hyperlink>
          </w:p>
        </w:tc>
        <w:tc>
          <w:tcPr>
            <w:tcW w:w="960" w:type="dxa"/>
            <w:vAlign w:val="bottom"/>
            <w:gridSpan w:val="2"/>
          </w:tcPr>
          <w:p>
            <w:pPr>
              <w:spacing w:after="0"/>
              <w:rPr>
                <w:sz w:val="17"/>
                <w:szCs w:val="17"/>
                <w:color w:val="auto"/>
              </w:rPr>
            </w:pPr>
          </w:p>
        </w:tc>
        <w:tc>
          <w:tcPr>
            <w:tcW w:w="8080" w:type="dxa"/>
            <w:vAlign w:val="bottom"/>
            <w:gridSpan w:val="20"/>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Disclosure Regarding Foreign Jurisdictions that Prevent Inspections</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80</w:t>
              </w:r>
            </w:hyperlink>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393"/>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0" w:type="dxa"/>
            <w:vAlign w:val="bottom"/>
            <w:gridSpan w:val="8"/>
          </w:tcPr>
          <w:p>
            <w:pPr>
              <w:jc w:val="center"/>
              <w:ind w:right="3580"/>
              <w:spacing w:after="0"/>
              <w:rPr>
                <w:sz w:val="20"/>
                <w:szCs w:val="20"/>
                <w:color w:val="auto"/>
              </w:rPr>
            </w:pPr>
            <w:r>
              <w:rPr>
                <w:rFonts w:ascii="Arial" w:cs="Arial" w:eastAsia="Arial" w:hAnsi="Arial"/>
                <w:sz w:val="16"/>
                <w:szCs w:val="16"/>
                <w:b w:val="1"/>
                <w:bCs w:val="1"/>
                <w:color w:val="auto"/>
              </w:rPr>
              <w:t>PART III</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3"/>
        </w:trPr>
        <w:tc>
          <w:tcPr>
            <w:tcW w:w="1500" w:type="dxa"/>
            <w:vAlign w:val="bottom"/>
            <w:gridSpan w:val="4"/>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Item 10.</w:t>
              </w:r>
            </w:hyperlink>
          </w:p>
        </w:tc>
        <w:tc>
          <w:tcPr>
            <w:tcW w:w="8080" w:type="dxa"/>
            <w:vAlign w:val="bottom"/>
            <w:gridSpan w:val="20"/>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Directors, Executive Officers and Corporate Governance</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80</w:t>
              </w:r>
            </w:hyperlink>
          </w:p>
        </w:tc>
        <w:tc>
          <w:tcPr>
            <w:tcW w:w="240" w:type="dxa"/>
            <w:vAlign w:val="bottom"/>
          </w:tcPr>
          <w:p>
            <w:pPr>
              <w:spacing w:after="0"/>
              <w:rPr>
                <w:sz w:val="24"/>
                <w:szCs w:val="24"/>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6"/>
                <w:szCs w:val="16"/>
                <w:color w:val="0000FF"/>
                <w:w w:val="86"/>
              </w:rPr>
            </w:pPr>
            <w:hyperlink w:anchor="page80">
              <w:r>
                <w:rPr>
                  <w:rFonts w:ascii="Arial" w:cs="Arial" w:eastAsia="Arial" w:hAnsi="Arial"/>
                  <w:sz w:val="16"/>
                  <w:szCs w:val="16"/>
                  <w:color w:val="0000FF"/>
                  <w:w w:val="86"/>
                </w:rPr>
                <w:t>Item 11.</w:t>
              </w:r>
            </w:hyperlink>
          </w:p>
        </w:tc>
        <w:tc>
          <w:tcPr>
            <w:tcW w:w="960" w:type="dxa"/>
            <w:vAlign w:val="bottom"/>
            <w:gridSpan w:val="2"/>
          </w:tcPr>
          <w:p>
            <w:pPr>
              <w:spacing w:after="0"/>
              <w:rPr>
                <w:sz w:val="17"/>
                <w:szCs w:val="17"/>
                <w:color w:val="auto"/>
              </w:rPr>
            </w:pPr>
          </w:p>
        </w:tc>
        <w:tc>
          <w:tcPr>
            <w:tcW w:w="1620" w:type="dxa"/>
            <w:vAlign w:val="bottom"/>
            <w:gridSpan w:val="7"/>
          </w:tcPr>
          <w:p>
            <w:pPr>
              <w:spacing w:after="0"/>
              <w:rPr>
                <w:rFonts w:ascii="Arial" w:cs="Arial" w:eastAsia="Arial" w:hAnsi="Arial"/>
                <w:sz w:val="16"/>
                <w:szCs w:val="16"/>
                <w:color w:val="0000FF"/>
                <w:w w:val="90"/>
              </w:rPr>
            </w:pPr>
            <w:hyperlink w:anchor="page80">
              <w:r>
                <w:rPr>
                  <w:rFonts w:ascii="Arial" w:cs="Arial" w:eastAsia="Arial" w:hAnsi="Arial"/>
                  <w:sz w:val="16"/>
                  <w:szCs w:val="16"/>
                  <w:color w:val="0000FF"/>
                  <w:w w:val="90"/>
                </w:rPr>
                <w:t>Executive Compensation</w:t>
              </w:r>
            </w:hyperlink>
          </w:p>
        </w:tc>
        <w:tc>
          <w:tcPr>
            <w:tcW w:w="2060" w:type="dxa"/>
            <w:vAlign w:val="bottom"/>
            <w:gridSpan w:val="5"/>
          </w:tcPr>
          <w:p>
            <w:pPr>
              <w:spacing w:after="0"/>
              <w:rPr>
                <w:sz w:val="17"/>
                <w:szCs w:val="17"/>
                <w:color w:val="auto"/>
              </w:rPr>
            </w:pPr>
          </w:p>
        </w:tc>
        <w:tc>
          <w:tcPr>
            <w:tcW w:w="4400" w:type="dxa"/>
            <w:vAlign w:val="bottom"/>
            <w:gridSpan w:val="8"/>
          </w:tcPr>
          <w:p>
            <w:pPr>
              <w:spacing w:after="0"/>
              <w:rPr>
                <w:sz w:val="17"/>
                <w:szCs w:val="17"/>
                <w:color w:val="auto"/>
              </w:rPr>
            </w:pPr>
          </w:p>
        </w:tc>
        <w:tc>
          <w:tcPr>
            <w:tcW w:w="1160" w:type="dxa"/>
            <w:vAlign w:val="bottom"/>
            <w:gridSpan w:val="2"/>
          </w:tcPr>
          <w:p>
            <w:pPr>
              <w:jc w:val="center"/>
              <w:ind w:left="919"/>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80</w:t>
              </w:r>
            </w:hyperlink>
          </w:p>
        </w:tc>
        <w:tc>
          <w:tcPr>
            <w:tcW w:w="24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00" w:type="dxa"/>
            <w:vAlign w:val="bottom"/>
            <w:gridSpan w:val="4"/>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Item 12.</w:t>
              </w:r>
            </w:hyperlink>
          </w:p>
        </w:tc>
        <w:tc>
          <w:tcPr>
            <w:tcW w:w="8080" w:type="dxa"/>
            <w:vAlign w:val="bottom"/>
            <w:gridSpan w:val="20"/>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Security Ownership of Certain Beneficial Owners and Management and Related Stockholder Matters</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80</w:t>
              </w:r>
            </w:hyperlink>
          </w:p>
        </w:tc>
        <w:tc>
          <w:tcPr>
            <w:tcW w:w="24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00" w:type="dxa"/>
            <w:vAlign w:val="bottom"/>
            <w:gridSpan w:val="4"/>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Item 13.</w:t>
              </w:r>
            </w:hyperlink>
          </w:p>
        </w:tc>
        <w:tc>
          <w:tcPr>
            <w:tcW w:w="8080" w:type="dxa"/>
            <w:vAlign w:val="bottom"/>
            <w:gridSpan w:val="20"/>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Certain Relationships and Related Transactions, and Director Independence</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80</w:t>
              </w:r>
            </w:hyperlink>
          </w:p>
        </w:tc>
        <w:tc>
          <w:tcPr>
            <w:tcW w:w="24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00" w:type="dxa"/>
            <w:vAlign w:val="bottom"/>
            <w:gridSpan w:val="4"/>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Item 14.</w:t>
              </w:r>
            </w:hyperlink>
          </w:p>
        </w:tc>
        <w:tc>
          <w:tcPr>
            <w:tcW w:w="8080" w:type="dxa"/>
            <w:vAlign w:val="bottom"/>
            <w:gridSpan w:val="20"/>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Principal Accounting Fees and Services</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80</w:t>
              </w:r>
            </w:hyperlink>
          </w:p>
        </w:tc>
        <w:tc>
          <w:tcPr>
            <w:tcW w:w="24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0" w:type="dxa"/>
            <w:vAlign w:val="bottom"/>
            <w:gridSpan w:val="8"/>
          </w:tcPr>
          <w:p>
            <w:pPr>
              <w:jc w:val="center"/>
              <w:ind w:right="3580"/>
              <w:spacing w:after="0"/>
              <w:rPr>
                <w:sz w:val="20"/>
                <w:szCs w:val="20"/>
                <w:color w:val="auto"/>
              </w:rPr>
            </w:pPr>
            <w:r>
              <w:rPr>
                <w:rFonts w:ascii="Arial" w:cs="Arial" w:eastAsia="Arial" w:hAnsi="Arial"/>
                <w:sz w:val="16"/>
                <w:szCs w:val="16"/>
                <w:b w:val="1"/>
                <w:bCs w:val="1"/>
                <w:color w:val="auto"/>
              </w:rPr>
              <w:t>PART IV</w:t>
            </w:r>
          </w:p>
        </w:tc>
        <w:tc>
          <w:tcPr>
            <w:tcW w:w="10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343"/>
        </w:trPr>
        <w:tc>
          <w:tcPr>
            <w:tcW w:w="1000" w:type="dxa"/>
            <w:vAlign w:val="bottom"/>
            <w:gridSpan w:val="3"/>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Item 15.</w:t>
              </w:r>
            </w:hyperlink>
          </w:p>
        </w:tc>
        <w:tc>
          <w:tcPr>
            <w:tcW w:w="500" w:type="dxa"/>
            <w:vAlign w:val="bottom"/>
          </w:tcPr>
          <w:p>
            <w:pPr>
              <w:spacing w:after="0"/>
              <w:rPr>
                <w:sz w:val="24"/>
                <w:szCs w:val="24"/>
                <w:color w:val="auto"/>
              </w:rPr>
            </w:pPr>
          </w:p>
        </w:tc>
        <w:tc>
          <w:tcPr>
            <w:tcW w:w="8080" w:type="dxa"/>
            <w:vAlign w:val="bottom"/>
            <w:gridSpan w:val="20"/>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Exhibits, Financial Statement Schedules</w:t>
              </w:r>
            </w:hyperlink>
          </w:p>
        </w:tc>
        <w:tc>
          <w:tcPr>
            <w:tcW w:w="1160" w:type="dxa"/>
            <w:vAlign w:val="bottom"/>
            <w:gridSpan w:val="2"/>
          </w:tcPr>
          <w:p>
            <w:pPr>
              <w:jc w:val="center"/>
              <w:ind w:left="919"/>
              <w:spacing w:after="0"/>
              <w:rPr>
                <w:rFonts w:ascii="Arial" w:cs="Arial" w:eastAsia="Arial" w:hAnsi="Arial"/>
                <w:sz w:val="16"/>
                <w:szCs w:val="16"/>
                <w:color w:val="0000FF"/>
                <w:w w:val="89"/>
              </w:rPr>
            </w:pPr>
            <w:hyperlink w:anchor="page81">
              <w:r>
                <w:rPr>
                  <w:rFonts w:ascii="Arial" w:cs="Arial" w:eastAsia="Arial" w:hAnsi="Arial"/>
                  <w:sz w:val="16"/>
                  <w:szCs w:val="16"/>
                  <w:color w:val="0000FF"/>
                  <w:w w:val="89"/>
                </w:rPr>
                <w:t>81</w:t>
              </w:r>
            </w:hyperlink>
          </w:p>
        </w:tc>
        <w:tc>
          <w:tcPr>
            <w:tcW w:w="240" w:type="dxa"/>
            <w:vAlign w:val="bottom"/>
          </w:tcPr>
          <w:p>
            <w:pPr>
              <w:spacing w:after="0"/>
              <w:rPr>
                <w:sz w:val="24"/>
                <w:szCs w:val="24"/>
                <w:color w:val="auto"/>
              </w:rPr>
            </w:pPr>
          </w:p>
        </w:tc>
      </w:tr>
      <w:tr>
        <w:trPr>
          <w:trHeight w:val="196"/>
        </w:trPr>
        <w:tc>
          <w:tcPr>
            <w:tcW w:w="1000" w:type="dxa"/>
            <w:vAlign w:val="bottom"/>
            <w:tcBorders>
              <w:top w:val="single" w:sz="8" w:color="0000FF"/>
            </w:tcBorders>
            <w:gridSpan w:val="3"/>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Item 16.</w:t>
              </w:r>
            </w:hyperlink>
          </w:p>
        </w:tc>
        <w:tc>
          <w:tcPr>
            <w:tcW w:w="500" w:type="dxa"/>
            <w:vAlign w:val="bottom"/>
          </w:tcPr>
          <w:p>
            <w:pPr>
              <w:spacing w:after="0"/>
              <w:rPr>
                <w:sz w:val="17"/>
                <w:szCs w:val="17"/>
                <w:color w:val="auto"/>
              </w:rPr>
            </w:pPr>
          </w:p>
        </w:tc>
        <w:tc>
          <w:tcPr>
            <w:tcW w:w="2600" w:type="dxa"/>
            <w:vAlign w:val="bottom"/>
            <w:tcBorders>
              <w:top w:val="single" w:sz="8" w:color="0000FF"/>
            </w:tcBorders>
            <w:gridSpan w:val="10"/>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Form 10-K Summary</w:t>
              </w:r>
            </w:hyperlink>
          </w:p>
        </w:tc>
        <w:tc>
          <w:tcPr>
            <w:tcW w:w="5480" w:type="dxa"/>
            <w:vAlign w:val="bottom"/>
            <w:gridSpan w:val="10"/>
          </w:tcPr>
          <w:p>
            <w:pPr>
              <w:spacing w:after="0"/>
              <w:rPr>
                <w:sz w:val="17"/>
                <w:szCs w:val="17"/>
                <w:color w:val="auto"/>
              </w:rPr>
            </w:pPr>
          </w:p>
        </w:tc>
        <w:tc>
          <w:tcPr>
            <w:tcW w:w="1160" w:type="dxa"/>
            <w:vAlign w:val="bottom"/>
            <w:gridSpan w:val="2"/>
          </w:tcPr>
          <w:p>
            <w:pPr>
              <w:jc w:val="center"/>
              <w:ind w:left="919"/>
              <w:spacing w:after="0"/>
              <w:rPr>
                <w:rFonts w:ascii="Arial" w:cs="Arial" w:eastAsia="Arial" w:hAnsi="Arial"/>
                <w:sz w:val="16"/>
                <w:szCs w:val="16"/>
                <w:color w:val="0000FF"/>
                <w:w w:val="89"/>
              </w:rPr>
            </w:pPr>
            <w:hyperlink w:anchor="page83">
              <w:r>
                <w:rPr>
                  <w:rFonts w:ascii="Arial" w:cs="Arial" w:eastAsia="Arial" w:hAnsi="Arial"/>
                  <w:sz w:val="16"/>
                  <w:szCs w:val="16"/>
                  <w:color w:val="0000FF"/>
                  <w:w w:val="89"/>
                </w:rPr>
                <w:t>83</w:t>
              </w:r>
            </w:hyperlink>
          </w:p>
        </w:tc>
        <w:tc>
          <w:tcPr>
            <w:tcW w:w="24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000" w:type="dxa"/>
            <w:vAlign w:val="bottom"/>
            <w:gridSpan w:val="3"/>
          </w:tcPr>
          <w:p>
            <w:pPr>
              <w:spacing w:after="0"/>
              <w:rPr>
                <w:rFonts w:ascii="Arial" w:cs="Arial" w:eastAsia="Arial" w:hAnsi="Arial"/>
                <w:sz w:val="16"/>
                <w:szCs w:val="16"/>
                <w:color w:val="0000FF"/>
                <w:w w:val="94"/>
              </w:rPr>
            </w:pPr>
            <w:hyperlink w:anchor="page84">
              <w:r>
                <w:rPr>
                  <w:rFonts w:ascii="Arial" w:cs="Arial" w:eastAsia="Arial" w:hAnsi="Arial"/>
                  <w:sz w:val="16"/>
                  <w:szCs w:val="16"/>
                  <w:color w:val="0000FF"/>
                  <w:w w:val="94"/>
                </w:rPr>
                <w:t>SIGNATURES</w:t>
              </w:r>
            </w:hyperlink>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gridSpan w:val="2"/>
          </w:tcPr>
          <w:p>
            <w:pPr>
              <w:jc w:val="center"/>
              <w:ind w:left="919"/>
              <w:spacing w:after="0"/>
              <w:rPr>
                <w:rFonts w:ascii="Arial" w:cs="Arial" w:eastAsia="Arial" w:hAnsi="Arial"/>
                <w:sz w:val="16"/>
                <w:szCs w:val="16"/>
                <w:color w:val="0000FF"/>
                <w:w w:val="89"/>
              </w:rPr>
            </w:pPr>
            <w:hyperlink w:anchor="page84">
              <w:r>
                <w:rPr>
                  <w:rFonts w:ascii="Arial" w:cs="Arial" w:eastAsia="Arial" w:hAnsi="Arial"/>
                  <w:sz w:val="16"/>
                  <w:szCs w:val="16"/>
                  <w:color w:val="0000FF"/>
                  <w:w w:val="89"/>
                </w:rPr>
                <w:t>84</w:t>
              </w:r>
            </w:hyperlink>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891" w:right="57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This Annual Report on Form 10-K (“Annual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and similar expressions. This Annual Report contains, among others, forward-looking statements based upon current expectations that involve numerous risks and uncertainties, including those described in Item 1A “Risk Factors”.</w:t>
      </w:r>
    </w:p>
    <w:p>
      <w:pPr>
        <w:spacing w:after="0" w:line="150"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0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Do not place undue reliance on such forward-looking statements as they speak only as of the date they are made. Except as required by law, Option Care Health, Inc. assumes no obligation to publicly update or revise any forward-looking statement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Option Care Health, Inc. (“Option Care Health”, “we”, “us”, “our”, or the “Company”) is the largest independent provider of home and alternate site infusion services through its national network of 154 locations in 45 states. Option Care Health draws on nearly 40 years of clinical care experience to offer patient-centered, cost-effective infusion therapy. Option Care Health’s infusion services include the clinical management of infusion therapy, nursing support and care coordination. Option Care Health’s multidisciplinary team of approximately 4,300 clinicians, including pharmacists, pharmacy technicians, nurses and dietitians, are able to provide infusion service coverage for nearly all patients across the United States needing treatment for complex and chronic medical conditions.</w:t>
      </w:r>
    </w:p>
    <w:p>
      <w:pPr>
        <w:spacing w:after="0" w:line="1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5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Option Care Health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operating model enables it to provide favorable outcomes to its stakeholders as follows:</w:t>
      </w:r>
    </w:p>
    <w:p>
      <w:pPr>
        <w:spacing w:after="0" w:line="194" w:lineRule="exact"/>
        <w:rPr>
          <w:sz w:val="20"/>
          <w:szCs w:val="20"/>
          <w:color w:val="auto"/>
        </w:rPr>
      </w:pPr>
    </w:p>
    <w:p>
      <w:pPr>
        <w:ind w:left="660" w:right="120" w:hanging="328"/>
        <w:spacing w:after="0" w:line="261"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Patients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improves patients’ quality of life by allowing them to receive infusion therapy at home or at one of its ambulatory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infusion suites. In addition, the Company helps manage patients’ conditions through counseling and education regarding their treatment and by providing ongoing monitoring to encourage patient compliance with the prescribed therapy. The Company also provides services to help patients receive reimbursement benefits.</w:t>
      </w:r>
    </w:p>
    <w:p>
      <w:pPr>
        <w:spacing w:after="0" w:line="98" w:lineRule="exact"/>
        <w:rPr>
          <w:rFonts w:ascii="Arial" w:cs="Arial" w:eastAsia="Arial" w:hAnsi="Arial"/>
          <w:sz w:val="18"/>
          <w:szCs w:val="18"/>
          <w:b w:val="1"/>
          <w:bCs w:val="1"/>
          <w:color w:val="auto"/>
        </w:rPr>
      </w:pPr>
    </w:p>
    <w:p>
      <w:pPr>
        <w:jc w:val="both"/>
        <w:ind w:left="660" w:right="240" w:hanging="328"/>
        <w:spacing w:after="0" w:line="261"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payers with a comprehensive approach to meeting their pharmacy service needs and providing a cost-effective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The Company’s provision of infusion pharmacy services in the patient’s home or at one of its local ambulatory infusion suites offers a lower cost alternative to providing these therapies in a hospital setting. The Company also provides payers with utilization and outcome data to evaluate therapy effectiveness.</w:t>
      </w:r>
    </w:p>
    <w:p>
      <w:pPr>
        <w:spacing w:after="0" w:line="112" w:lineRule="exact"/>
        <w:rPr>
          <w:rFonts w:ascii="Arial" w:cs="Arial" w:eastAsia="Arial" w:hAnsi="Arial"/>
          <w:sz w:val="18"/>
          <w:szCs w:val="18"/>
          <w:b w:val="1"/>
          <w:bCs w:val="1"/>
          <w:color w:val="auto"/>
        </w:rPr>
      </w:pPr>
    </w:p>
    <w:p>
      <w:pPr>
        <w:ind w:left="660" w:hanging="328"/>
        <w:spacing w:after="0" w:line="266"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Providers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providers with timely patient clinical support by providing care management related to their patients’ pharmacy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and improving compliance with therapy protocols. The Company eliminates the need for providers to carry inventories of high cost prescriptions by distributing the medications directly to patients’ homes.</w:t>
      </w:r>
    </w:p>
    <w:p>
      <w:pPr>
        <w:spacing w:after="0" w:line="108" w:lineRule="exact"/>
        <w:rPr>
          <w:rFonts w:ascii="Arial" w:cs="Arial" w:eastAsia="Arial" w:hAnsi="Arial"/>
          <w:sz w:val="18"/>
          <w:szCs w:val="18"/>
          <w:b w:val="1"/>
          <w:bCs w:val="1"/>
          <w:color w:val="auto"/>
        </w:rPr>
      </w:pPr>
    </w:p>
    <w:p>
      <w:pPr>
        <w:ind w:left="660" w:hanging="328"/>
        <w:spacing w:after="0" w:line="261"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Pharmaceutical Manufacturers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collaborates with pharmaceutical manufacturers to provide a broad distribution channel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pharmaceuticals and their new product launches. The Company implements patient monitoring programs that encourage compliance with the prescribed therapy. The Company also provides valuable clinical information in the form of outcomes and compliance data to manufacturers to aid in their evaluation of the efficacy of their products.</w:t>
      </w:r>
    </w:p>
    <w:p>
      <w:pPr>
        <w:spacing w:after="0" w:line="143" w:lineRule="exact"/>
        <w:rPr>
          <w:rFonts w:ascii="Arial" w:cs="Arial" w:eastAsia="Arial" w:hAnsi="Arial"/>
          <w:sz w:val="18"/>
          <w:szCs w:val="18"/>
          <w:b w:val="1"/>
          <w:bCs w:val="1"/>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Health Systems. </w:t>
      </w:r>
      <w:r>
        <w:rPr>
          <w:rFonts w:ascii="Arial" w:cs="Arial" w:eastAsia="Arial" w:hAnsi="Arial"/>
          <w:sz w:val="18"/>
          <w:szCs w:val="18"/>
          <w:color w:val="auto"/>
        </w:rPr>
        <w:t>The Company partners with health systems across the country to provide an effective post-acute care network to manage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the continuum of care.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18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Quality is at the core of the Company’s mission as it strives to deliver quality healthcare, leading to favorable outcomes and more cost-effective care. The Company offers comprehensive services that align with specific healthcare provider needs and has demonstrated success in improving outcomes across a broad range of therapies through improved clinical-reported patient adherence rates and decreased rates of un-planned hospital re-admissions.</w:t>
      </w:r>
    </w:p>
    <w:p>
      <w:pPr>
        <w:spacing w:after="0" w:line="122" w:lineRule="exact"/>
        <w:rPr>
          <w:sz w:val="20"/>
          <w:szCs w:val="20"/>
          <w:color w:val="auto"/>
        </w:rPr>
      </w:pPr>
    </w:p>
    <w:p>
      <w:pPr>
        <w:ind w:right="660" w:firstLine="324"/>
        <w:spacing w:after="0" w:line="286" w:lineRule="auto"/>
        <w:rPr>
          <w:sz w:val="20"/>
          <w:szCs w:val="20"/>
          <w:color w:val="auto"/>
        </w:rPr>
      </w:pPr>
      <w:r>
        <w:rPr>
          <w:rFonts w:ascii="Arial" w:cs="Arial" w:eastAsia="Arial" w:hAnsi="Arial"/>
          <w:sz w:val="17"/>
          <w:szCs w:val="17"/>
          <w:color w:val="auto"/>
        </w:rPr>
        <w:t>The Company’s commitment to continuous quality improvement to provide optimal outcomes for its patients is evidenced by its national accreditations, including accreditations from Accreditation Commission for Health Care (“ACHC”), Pharmacy Compounding Accreditation Board (“PCAB”), American Society of Health-System Pharmacists (“ASHP”) and Utilization Review Accreditation Commission (“URAC”).</w:t>
      </w:r>
    </w:p>
    <w:p>
      <w:pPr>
        <w:spacing w:after="0" w:line="1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ACHC accreditation is awarded to healthcare organizations that meet regulatory requirements and accreditation standards, and PCAB accreditation offers the most comprehensive compliance solution in the industry based on more than 40 sterile compounding standards in the U.S. Pharmacopeia Pharmaceutical Compounding - Sterile Preparations Standards (“USP 797”)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8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is the largest independent provider of home and alternate site infusion services. The Company’s services are most typically provided in the patient’s home, but may also be provided at clinics, the physician’s office or at one of its ambulatory infusion suites. The Company provides a broad therapy portfolio through its network of 97 full service pharmacies and 57 stand-alone ambulatory infusion suites. The Company’s home infusion services include medication and supplies for administration and use at home or within one of its ambulatory infusion suites, consultation and education regarding the patient’s condition and the prescribed medication nursing support, clinical monitoring and assistance in monitoring potential side effects, and assistance in obtaining reimbursement. The Company administers a wide variety of therapies and services, including the following:</w:t>
      </w:r>
    </w:p>
    <w:p>
      <w:pPr>
        <w:spacing w:after="0" w:line="137" w:lineRule="exact"/>
        <w:rPr>
          <w:sz w:val="20"/>
          <w:szCs w:val="20"/>
          <w:color w:val="auto"/>
        </w:rPr>
      </w:pPr>
    </w:p>
    <w:p>
      <w:pPr>
        <w:ind w:left="660" w:right="180" w:hanging="328"/>
        <w:spacing w:after="0" w:line="291" w:lineRule="auto"/>
        <w:tabs>
          <w:tab w:leader="none" w:pos="65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Anti-Infectives Infusion. </w:t>
      </w:r>
      <w:r>
        <w:rPr>
          <w:rFonts w:ascii="Arial" w:cs="Arial" w:eastAsia="Arial" w:hAnsi="Arial"/>
          <w:sz w:val="16"/>
          <w:szCs w:val="16"/>
          <w:color w:val="auto"/>
        </w:rPr>
        <w:t>The Company provides comprehensive home infusion services to combat serious infections in patients of all ages.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anti-infective therapy and services help avoid hospitalizations for many infections that can be safely treated at home.</w:t>
      </w:r>
    </w:p>
    <w:p>
      <w:pPr>
        <w:ind w:left="660" w:right="20" w:hanging="328"/>
        <w:spacing w:after="0" w:line="250"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Nutrition Support Infusion. </w:t>
      </w:r>
      <w:r>
        <w:rPr>
          <w:rFonts w:ascii="Arial" w:cs="Arial" w:eastAsia="Arial" w:hAnsi="Arial"/>
          <w:sz w:val="18"/>
          <w:szCs w:val="18"/>
          <w:color w:val="auto"/>
        </w:rPr>
        <w:t>The Company delivers comprehensive nutrition support across pediatric, adult, and geriatric patients.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 team provides home parenteral nutrition and enteral nutrition support for numerous acute and chronic conditions negatively affecting nutritional status, such as stroke, cancer, and gastrointestinal diseases.</w:t>
      </w:r>
    </w:p>
    <w:p>
      <w:pPr>
        <w:spacing w:after="0" w:line="1" w:lineRule="exact"/>
        <w:rPr>
          <w:rFonts w:ascii="Arial" w:cs="Arial" w:eastAsia="Arial" w:hAnsi="Arial"/>
          <w:sz w:val="18"/>
          <w:szCs w:val="18"/>
          <w:b w:val="1"/>
          <w:bCs w:val="1"/>
          <w:color w:val="auto"/>
        </w:rPr>
      </w:pPr>
    </w:p>
    <w:p>
      <w:pPr>
        <w:ind w:left="660" w:hanging="328"/>
        <w:spacing w:after="0" w:line="250"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Immunoglobulin Infusion. </w:t>
      </w:r>
      <w:r>
        <w:rPr>
          <w:rFonts w:ascii="Arial" w:cs="Arial" w:eastAsia="Arial" w:hAnsi="Arial"/>
          <w:sz w:val="18"/>
          <w:szCs w:val="18"/>
          <w:color w:val="auto"/>
        </w:rPr>
        <w:t>The Company offers industry-leading expertise, access, and support in immunoglobulin (“IG”) infusion therapy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treat immune deficiencies. Immune deficiencies are disorders that reduce the patient’s ability to identify and destroy substances that do not belong in the human body and are characterized by reduced levels of antibodies. Intravenous IG infusions are concentrated antibodies that have been purified from large numbers of human blood donors.</w:t>
      </w:r>
    </w:p>
    <w:p>
      <w:pPr>
        <w:spacing w:after="0" w:line="1" w:lineRule="exact"/>
        <w:rPr>
          <w:rFonts w:ascii="Arial" w:cs="Arial" w:eastAsia="Arial" w:hAnsi="Arial"/>
          <w:sz w:val="18"/>
          <w:szCs w:val="18"/>
          <w:b w:val="1"/>
          <w:bCs w:val="1"/>
          <w:i w:val="1"/>
          <w:iCs w:val="1"/>
          <w:color w:val="auto"/>
        </w:rPr>
      </w:pPr>
    </w:p>
    <w:p>
      <w:pPr>
        <w:ind w:left="660" w:right="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Chronic Inflammatory Disorders</w:t>
      </w:r>
      <w:r>
        <w:rPr>
          <w:rFonts w:ascii="Arial" w:cs="Arial" w:eastAsia="Arial" w:hAnsi="Arial"/>
          <w:sz w:val="18"/>
          <w:szCs w:val="18"/>
          <w:color w:val="auto"/>
        </w:rPr>
        <w:t>. The Company treats chronic inflammatory disorders, which include Crohn’s disease, plaque psoriasis, psoriatic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arthritis, rheumatoid arthritis, ulcerative colitis, and other chronic inflammatory disorders.</w:t>
      </w:r>
    </w:p>
    <w:p>
      <w:pPr>
        <w:ind w:left="660" w:right="1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Neurological Disorders. </w:t>
      </w:r>
      <w:r>
        <w:rPr>
          <w:rFonts w:ascii="Arial" w:cs="Arial" w:eastAsia="Arial" w:hAnsi="Arial"/>
          <w:sz w:val="18"/>
          <w:szCs w:val="18"/>
          <w:color w:val="auto"/>
        </w:rPr>
        <w:t>The Company provides an array of treatments to manage the progression of neurological disorders such as Amyotrophic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Lateral Sclerosis (“ALS” or “Lou Gehrig’s disease”) and Duchenne Muscular Dystrophy.</w:t>
      </w:r>
    </w:p>
    <w:p>
      <w:pPr>
        <w:ind w:left="660" w:right="160" w:hanging="328"/>
        <w:spacing w:after="0" w:line="265" w:lineRule="auto"/>
        <w:tabs>
          <w:tab w:leader="none" w:pos="65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Bleeding Disorders Infusion. </w:t>
      </w:r>
      <w:r>
        <w:rPr>
          <w:rFonts w:ascii="Arial" w:cs="Arial" w:eastAsia="Arial" w:hAnsi="Arial"/>
          <w:sz w:val="17"/>
          <w:szCs w:val="17"/>
          <w:color w:val="auto"/>
        </w:rPr>
        <w:t>As a leading provider of home infusion therapy for hemophilia and von Willebrand disease,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streamlines the administrative burdens associated with infusion therapies for bleeding disorders. The Company works with medical specialists across the country to offer access to all approved factor products, a full range of therapies, and dedicated support services. Hemophilia is one of the most costly diseases to treat. The treatment goal is to raise the level of the deficient clotting factor and maintain it to stop the bleeding. Treatments include infusion of the clotting factor products and other biologic prescription drugs. The length of treatment depends on the severity of the bleeding episode, and the need for treatment continues throughout the life of the patient.</w:t>
      </w:r>
    </w:p>
    <w:p>
      <w:pPr>
        <w:ind w:left="660" w:right="160" w:hanging="328"/>
        <w:spacing w:after="0" w:line="28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Women’s Health. </w:t>
      </w:r>
      <w:r>
        <w:rPr>
          <w:rFonts w:ascii="Arial" w:cs="Arial" w:eastAsia="Arial" w:hAnsi="Arial"/>
          <w:sz w:val="16"/>
          <w:szCs w:val="16"/>
          <w:color w:val="auto"/>
        </w:rPr>
        <w:t>The Company offers therapies that women need to survive and thrive through high-risk pregnancies. Personalized programs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prematurity, nausea and vomiting hyperemesis, diabetes in pregnancy, and hypertension help meet the needs of each mother.</w:t>
      </w:r>
    </w:p>
    <w:p>
      <w:pPr>
        <w:spacing w:after="0" w:line="1" w:lineRule="exact"/>
        <w:rPr>
          <w:rFonts w:ascii="Arial" w:cs="Arial" w:eastAsia="Arial" w:hAnsi="Arial"/>
          <w:sz w:val="16"/>
          <w:szCs w:val="16"/>
          <w:color w:val="auto"/>
        </w:rPr>
      </w:pPr>
    </w:p>
    <w:p>
      <w:pPr>
        <w:ind w:left="660" w:right="3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Heart Failure. </w:t>
      </w:r>
      <w:r>
        <w:rPr>
          <w:rFonts w:ascii="Arial" w:cs="Arial" w:eastAsia="Arial" w:hAnsi="Arial"/>
          <w:sz w:val="18"/>
          <w:szCs w:val="18"/>
          <w:color w:val="auto"/>
        </w:rPr>
        <w:t>The Company administers home infusion services to treat heart failure, either in anticipation of cardiac transplant or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palliation of heart failure symptoms.</w:t>
      </w:r>
    </w:p>
    <w:p>
      <w:pPr>
        <w:ind w:left="660" w:right="380" w:hanging="328"/>
        <w:spacing w:after="0" w:line="260"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The Company offers a range of other infusion therapies to treat a variety of conditions, including pain management, chemotherapy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respiratory medication.</w:t>
      </w:r>
    </w:p>
    <w:p>
      <w:pPr>
        <w:spacing w:after="0" w:line="14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 also provides nursing services to support the above therapies, comprised of its nursing team of approximately 2,500 employees, and through its network of sub-contracted nursing agencies.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The Company’s sales and marketing efforts focus on three primary objectives: (1) building new relationships and expanding existing contracts with managed care organizations; (2) establishing, maintaining and strengthening relationships with local and regional patient referral sources; and (3) maintaining existing and developing new relationships with pharmaceutical manufacturers to gain distribution access as they release new products.</w:t>
      </w:r>
    </w:p>
    <w:p>
      <w:pPr>
        <w:spacing w:after="0" w:line="122"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The Company’s sales structure is focused on maintaining and expanding its relationships with drug manufacturers to establish its position as a participating provider when they release new products. In addition, the Company’s sales structure allows it to leverage its national managed care relationships to provide sales and contract pull-through by the Company’s local field-based sales personnel. This cross-utility enables the Company to market its services to numerous sources of patient referrals, including physicians, hospital discharge planners, hospital personnel, Health Maintenance Organizations (“HMOs”) and Preferred Provider Organizations (“PPOs”).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competes in the large and highly fragmented home infusion market for contracts with managed care organizations and other third party payers to receive referrals from physicians, case managers and hospital discharge planners. Competition in the home infusion market is based on quality of care, clinical outcomes, pricing and cost of service, reputation, and reliability of service. Its competitors within the home infusion market include Coram CVS/specialty infusion services (a division of CVS Health), Accredo Health Group, Inc. (a unit of Cigna), Briova (a subsidiary of OptumRx, which is a unit of the United Healthcare Insurance Company) and various regional and local providers. The Company believes that its reputation for providing quality services, the strength of its national presence and its ability to effectively market its services at national, regional and local levels places it in a strong position against existing and potential competitors. The Company believes that the value created by the Merger has put the Company in a unique position to efficiently capture market share through its expanded footprint and synergies.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owns a variety of trademarks, licenses, and service marks, including but not limited to: “Option Care Health”, “Option Care”, “Critical Care Systems”, “Clinical Specialties”, “BioScrip”, “BioScrip Infusion Services”, “BioScrip Nursing Services”, “BioScrip Pharmacy Services”, “CarePoint Partners”, “HomeChoice Partners”, “InfuScience”, “InfusionCare”, “Infusion Partners”, “Infusion Solutions”, “New England Home Therapies”, “Option Health”, “Professional Home Care Services”, “Wilcox Home Infusion”, “Home Solutions”, as well as several others.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purchases pharmaceuticals and medical supplies through pharmaceutical manufacturers, distributors and group purchasing organizations. Through the coverage and clinical expertise of its 97 full service pharmacies, the Company provides pharmaceutical manufacturers with a broad distribution channel for its existing pharmaceutical products. Many of the pharmaceuticals that the Company purchases are available from multiple sources and are available in sufficient quantities to meet its needs and the needs of its patients. However, some drugs are only available through the manufacturer and may be subject to limits on distribution. In such cases, it is important the Company establishes and maintains good working relations with the manufacturer to secure sufficient supply to meet its patients’ needs. Additionally, certain drugs may become subject to supply shortages. Such shortages can result in cost increases or hamper the Company’s ability to obtain sufficient quantities to meet the needs of its patients. The Company actively manages its relationships with direct manufacturers and distributors to ensure consistent supply and cost-effective procurement. These relationships provide the Company the opportunity to become a selected partner in the launch of their new products. The Company may receive fees, which it records as revenue, from certain biotech manufacturers for providing them with clinical outcomes data. The Company’s continued growth will be dependent on maintaining its existing relationships with manufacturers and establishing new relationships with additional manufacturers as the Company launches new products.</w:t>
      </w:r>
    </w:p>
    <w:p>
      <w:pPr>
        <w:spacing w:after="0" w:line="14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the year ended December 31, 2021, approximately 74% of the Company’s pharmaceutical and medical supply purchases are from four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pacing w:after="0" w:line="146"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Through the purchasing power of its national platform, the Company is able to negotiate favorable terms and economics, including volume purchase rebates and vendor administration fees. Such fees are recorded as reductions to cost of revenue when the pharmaceuticals are delivered to the patient.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Billing &amp; Significant Payers</w:t>
      </w:r>
    </w:p>
    <w:p>
      <w:pPr>
        <w:spacing w:after="0" w:line="20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generates most of its revenue from contracts with third party payers, including managed care organizations, insurance companies, self-insured employers, Medicare, and Medicaid programs. Where permissible, the Company bills patients for any amounts not reimbursed by third party payers. The majority of the Company’s infusion pharmacy revenue consists of reimbursement for both the cost of the pharmaceuticals sold and the cost of services provided. Pharmaceuticals are typically reimbursed on a percentage discount from the published average wholesale price (“AWP”) of each drug or on a percentage premium to average sales price (“ASP”). Nursing services are typically billed separately, while other patient support services, such as pharmacy compounding service, delivery service and ancillary medical supplies are reimbursed either separately or on a per diem basis, where applicable.</w:t>
      </w:r>
    </w:p>
    <w:p>
      <w:pPr>
        <w:spacing w:after="0" w:line="12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largest payer represented approximately 16% of its revenue for the year ended December 31, 2021. No other single payer represented more than 10% of its revenue. The Company also provides services that are directly reimbursable through government healthcare programs such as Medicare and state Medicaid programs. For the year ended December 31, 2021, approximately 12% of the Company’s revenue was reimbursable through direct governmental programs, such as Medicare and Medicaid.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0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home infusion industry is subject to extensive regulation by a number of federal, state and local governmental entities. The industry is also subject to frequent regulatory change. Laws and regulations in the healthcare industry are complex and, in many instances, the industry does not benefit from significant regulatory or judicial interpretation that would clarify how these laws and regulations should be applied. Moreover, the Company’s business is also impacted by certain laws and regulations that are applicable to its managed care and other clients. If the Company fails to comply with the laws and regulations directly applicable to its business, the Company could suffer civil and/or criminal penalties, and the Company could be excluded from participating in Medicare, Medicaid and other federal and state healthcare programs, which would have an adverse impact on its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Licensure</w:t>
      </w:r>
    </w:p>
    <w:p>
      <w:pPr>
        <w:spacing w:after="0" w:line="185"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Nurses, pharmacists and certain other healthcare professionals employed by the Company are required to be individually licensed or certified under applicable state law. The Company performs criminal and other background checks on employees and takes steps to ensure that its employees possess all necessary licenses and certifications, and the Company believes that its employees comply in all material respects with applicable licensure laws.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Licensing and Registration</w:t>
      </w:r>
    </w:p>
    <w:p>
      <w:pPr>
        <w:spacing w:after="0" w:line="18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State laws require that each of its pharmacy locations be licensed as an in-state pharmacy to dispense pharmaceuticals in that state. Certain states also require that its pharmacy locations be licensed as an out-of-state pharmacy if the Company delivers prescription pharmaceuticals into those states from locations outside of the state. The Company believes that it materially complies with all applicable state licensing laws. If the Company is unable to maintain its licenses or if states place burdensome regulations on non-resident pharmacies, its ability to operate in some states would be limited, which could have an adverse impact on its business. Laws enforced by the Drug Enforcement Administration (“DEA”), as well as some similar state agencies, require its pharmacy locations to individually register in order to handle controlled substances, including prescription pharmaceuticals. A separate registration is required at each principal place of business where the Company dispenses controlled substances. Federal and state laws also require that the Company follow specific labeling, reporting and record-keeping requirements for controlled substances. The Company maintains federal and state controlled substance registrations for each of its facilities that require such registration and follows procedures intended to comply with all applicable federal and state requirements regarding controlled substances.</w:t>
      </w:r>
    </w:p>
    <w:p>
      <w:pPr>
        <w:spacing w:after="0" w:line="1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Many states in which the Company operates also require home infusion companies to be licensed as home health agencies. The Company believes it is in compliance with these laws, as applicable.</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believes that it materially complies with all applicable state licensing laws, including any applicable change of control requirements that may have triggered in connection with the Merger.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Affecting Drug Prices</w:t>
      </w:r>
    </w:p>
    <w:p>
      <w:pPr>
        <w:spacing w:after="0" w:line="19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Pricing benchmarks in the pharmacy industry are periodically published by third parties such as First DataBank, Medi-Span, RJ Health, and the Centers for Medicare &amp; Medicaid Services (“CMS”), and the benchmark reimbursement varies by payer contract. The most commonly used benchmarks are AWP and ASP. AWP is based on self-reported prices charged by wholesalers and manufacturers. Reimbursement is generally AWP minus a percentage and may include a per diem fee or a fixed dispensing fee. ASP is based on actual sales transactions reported by wholesalers, and is generally lower than AWP. Reimbursement is generally ASP plus a percentage. The Company may also receive a fixed dispensing fee or a per diem fee for each day a patient is on service. Changes to these pricing benchmarks may have a significant impact on the profitability of the Company’s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 Requirements</w:t>
      </w:r>
    </w:p>
    <w:p>
      <w:pPr>
        <w:spacing w:after="0" w:line="185" w:lineRule="exact"/>
        <w:rPr>
          <w:sz w:val="20"/>
          <w:szCs w:val="20"/>
          <w:color w:val="auto"/>
        </w:rPr>
      </w:pPr>
    </w:p>
    <w:p>
      <w:pPr>
        <w:jc w:val="both"/>
        <w:ind w:right="200" w:firstLine="324"/>
        <w:spacing w:after="0" w:line="287" w:lineRule="auto"/>
        <w:rPr>
          <w:sz w:val="20"/>
          <w:szCs w:val="20"/>
          <w:color w:val="auto"/>
        </w:rPr>
      </w:pPr>
      <w:r>
        <w:rPr>
          <w:rFonts w:ascii="Arial" w:cs="Arial" w:eastAsia="Arial" w:hAnsi="Arial"/>
          <w:sz w:val="16"/>
          <w:szCs w:val="16"/>
          <w:color w:val="auto"/>
        </w:rPr>
        <w:t>The Health Insurance Portability and Accountability Act of 1996 (“HIPAA”) as amended by the Health Information Technology for Economic and Clinical Health Act (“HITECH”), and its implementing regulations regulate the use, disclosure, confidentiality, availability and integrity of individually identifiable health information, known as “protected health information,” and provide for a number of individual rights with respect to such information.</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federal privacy regulations (the “Privacy Regulations”) are designed to protect health-related information that could be used to identify an individual’s protected health information.</w:t>
      </w:r>
    </w:p>
    <w:p>
      <w:pPr>
        <w:spacing w:after="0" w:line="15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requirements imposed by HIPAA are extensive, and the Company has taken and intends to continue to take steps to ensure its policies and procedures are in compliance with the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8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i w:val="1"/>
          <w:iCs w:val="1"/>
          <w:color w:val="auto"/>
        </w:rPr>
        <w:t xml:space="preserve">Food, Drug and Cosmetic Act. </w:t>
      </w:r>
      <w:r>
        <w:rPr>
          <w:rFonts w:ascii="Arial" w:cs="Arial" w:eastAsia="Arial" w:hAnsi="Arial"/>
          <w:sz w:val="17"/>
          <w:szCs w:val="17"/>
          <w:color w:val="auto"/>
        </w:rPr>
        <w:t>Certain provisions of the Food, Drug and Cosmetic Act (“FDCA”) govern the handling and distribution of</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products. This law exempts many pharmaceuticals and medical devices from federal labeling and packaging requirements as long as they are not adulterated or misbranded and are dispensed in accordance with and pursuant to a valid prescription. The Company believes it complies with all applicable requirements. The FDCA also governs interstate commerce for pharmaceutical products. The Company cannot predict the impact of any proposed FDCA regulations on its ability to ship drugs to different states from its pharmacies.</w:t>
      </w:r>
    </w:p>
    <w:p>
      <w:pPr>
        <w:spacing w:after="0" w:line="14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Drug Quality and Security Act (“DQSA”) amended the FDCA to grant the Food and Drug Administration (“FDA”) authority to regulate the manufacturing of compounded pharmaceutical drugs. The Company complies with the PCAB and Accreditation Standards for Sterile and Non-Sterile Pharmacy Compounding, and aggressively pursues accreditation from quality associations. The Company believes it complies in all material respects with all applicable requirements of a non-outsourcing-facility pharmacy.</w:t>
      </w:r>
    </w:p>
    <w:p>
      <w:pPr>
        <w:spacing w:after="0" w:line="1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FDA also regulates certain medical devices, such as infusion pumps the Company uses to provide its services. In recent years, the FDA has increased its oversight of infusion pumps, resulting in additional requirements around patient education and adverse event reporting. The Company believes it complies in all material respects with all applicable requirements and that its employees have the level of proficiency required to use these devices and provide training to its patients.</w:t>
      </w:r>
    </w:p>
    <w:p>
      <w:pPr>
        <w:spacing w:after="0" w:line="146"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i w:val="1"/>
          <w:iCs w:val="1"/>
          <w:color w:val="auto"/>
        </w:rPr>
        <w:t>Anti-Kickback Statute</w:t>
      </w:r>
      <w:r>
        <w:rPr>
          <w:rFonts w:ascii="Arial" w:cs="Arial" w:eastAsia="Arial" w:hAnsi="Arial"/>
          <w:sz w:val="17"/>
          <w:szCs w:val="17"/>
          <w:color w:val="auto"/>
        </w:rPr>
        <w:t>. The federal Anti-Kickback Statute prohibits individuals and entities from knowingly and willfully paying, offering, receiving,</w:t>
      </w:r>
      <w:r>
        <w:rPr>
          <w:rFonts w:ascii="Arial" w:cs="Arial" w:eastAsia="Arial" w:hAnsi="Arial"/>
          <w:sz w:val="17"/>
          <w:szCs w:val="17"/>
          <w:i w:val="1"/>
          <w:iCs w:val="1"/>
          <w:color w:val="auto"/>
        </w:rPr>
        <w:t xml:space="preserve"> </w:t>
      </w:r>
      <w:r>
        <w:rPr>
          <w:rFonts w:ascii="Arial" w:cs="Arial" w:eastAsia="Arial" w:hAnsi="Arial"/>
          <w:sz w:val="17"/>
          <w:szCs w:val="17"/>
          <w:color w:val="auto"/>
        </w:rPr>
        <w:t>or soliciting money or anything else of value in order to induce the referral of patients or to induce a person to purchase, lease, order, arrange for, or recommend services or goods covered by Medicare, Medicaid, or other government healthcare programs. The Anti-Kickback Statute is broad and potentially covers many standard business arrangements. A number of states also have statutes and regulations that prohibit the same general types of conduct as those prohibited by the Anti-Kickback Statute described above. Violations can lead to significant criminal or civil penalties, including imprisonment. The Office of the Inspector General (“OIG”) of the U.S. Department of Health and Human Services (“HHS”) has published clarifying regulations that identify a limited number of safe harbors from criminal enforcement or civil administrative actions. The Company attempts to structure its business relationships to comply with these statutes and to satisfy an applicable safe harbor where applicable. However, in situations where a business relationship does not fully satisfy the elements of a safe harbor, or where no safe harbor exists, the Company attempts to satisfy as many elements of an applicable safe harbor as possible.</w:t>
      </w:r>
    </w:p>
    <w:p>
      <w:pPr>
        <w:spacing w:after="0" w:line="15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False Claims Act</w:t>
      </w:r>
      <w:r>
        <w:rPr>
          <w:rFonts w:ascii="Arial" w:cs="Arial" w:eastAsia="Arial" w:hAnsi="Arial"/>
          <w:sz w:val="17"/>
          <w:szCs w:val="17"/>
          <w:color w:val="auto"/>
        </w:rPr>
        <w:t>. The Company is subject to state and federal laws that govern the submission of claims for reimbursement. These laws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prohibit an individual or entity from knowingly and willfully presenting a claim or causing a claim to be presented for payment from a federal healthcare program that is false or fraudulent. The standard for “knowing and willful” may include conduct that amounts to a reckless disregard for the accuracy of information presented to payers. Penalties under these statutes include substantial civil and criminal fines, exclusion from the Medicare or Medicaid programs and imprisonment. One of the most prominent of these laws is the federal False Claims Act, which may be enforced by the federal government directly or by a private plaintiff by filing a qui tam lawsuit on the government’s behalf. Under the False Claims Act, the government and private plaintiffs, if any, may recover monetary penalties in the amount of $11,803 to $23,607 per false claim, as well as an amount equal to three times the amount of damages sustained by the government as a result of the false claim. A number of states, including states in which the Company operates, have adopted their own false claims statutes as well as statutes that allow individuals to bring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The Company believes that it has procedures in place to ensure the accuracy of its claims.</w:t>
      </w:r>
    </w:p>
    <w:p>
      <w:pPr>
        <w:spacing w:after="0" w:line="145"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i w:val="1"/>
          <w:iCs w:val="1"/>
          <w:color w:val="auto"/>
        </w:rPr>
        <w:t>Medicare Home Health CY 2020 Home Health Prospective Payment Systems Rate Update</w:t>
      </w:r>
      <w:r>
        <w:rPr>
          <w:rFonts w:ascii="Arial" w:cs="Arial" w:eastAsia="Arial" w:hAnsi="Arial"/>
          <w:sz w:val="18"/>
          <w:szCs w:val="18"/>
          <w:color w:val="auto"/>
        </w:rPr>
        <w:t>. On October 31, 2019, the CMS issued a final rule that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updates to payment policies, payment rates, and quality provisions for services. The final rule set forth routine updates to the home infusion therapy services for calendar year 2021 and subsequent years, and solicits comments on options to enhance future efforts to improve policies related to coverage of eligible drugs for home infusion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in Patient Referrals Law (Stark Law)</w:t>
      </w:r>
    </w:p>
    <w:p>
      <w:pPr>
        <w:spacing w:after="0" w:line="18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Stark Law exempts certain business relationships that meet its exception requirements. However, unlike the Anti-Kickback Statute under which an activity may fall outside a safe harbor and still be lawful, a referral for certain Designated Health Services (“DHS”) that does not fall within an exception is strictly prohibited by the Stark Law. In addition to the Stark Law, many of the states in which the Company operates have comparable restrictions on the ability of physicians to refer patients for certain services to entities with which the Company has a financial relationship. Certain of these state statutes mirror the Stark Law while others may be more restrictive. The Company attempts to structure all of its business relationships with physicians to comply with the Stark Law and any applicable state self-referral laws.</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federal Stark Law generally prohibits a physician from making referrals for certain DHS, reimbursable by Medicare or Medicaid, to entities with which the physician or an immediate family member has a financial relationship, unless an exception applies. A financial relationship is generally defined as an ownership, investment or compensation relationship. DHS includes outpatient pharmaceuticals, parenteral and enteral nutrition products, home health services, durable medical equipment, physical and occupational therapy services, and inpatient and outpatient hospital services. Among other sanctions, a civil monetary penalty may be imposed for each bill or claim for a service a person knows or should know is for a service for which payment may not be made due to the Stark Law. Such persons or entities are also subject to exclusion from the Medicare and Medicaid programs. Any person or entity participating in a circumvention scheme to avoid the referral prohibitions is liable for civil monetary penalties, and additional fines may be imposed for failure to comply with reporting requirements regarding an entity’s ownership, investment and compensation arrangements for each day for which reporting is required to have been made under the Stark Law.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8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December 31, 2021, the Company employed 5,430 persons on a full-time basis and 1,808 persons on a part-time basis. The majority of its part-time employees are clinicians due to the nature and timing of the services the Company provides.</w:t>
      </w:r>
    </w:p>
    <w:p>
      <w:pPr>
        <w:spacing w:after="0" w:line="14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business relies on our ability to attract and retain nursing staff, pharmacists and other professionals who possess the skills, experience and licenses necessary to meet the requirements of their job responsibilities. Our ability to attract and retain personnel depends on several factors, including our ability to provide them with engaging assignments and competitive salaries and benefits.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Environment-Social-Corporate Governance Initiative</w:t>
      </w:r>
    </w:p>
    <w:p>
      <w:pPr>
        <w:spacing w:after="0" w:line="256"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Option Care Health is committed to making a positive impact on not only our patients, but also our employees, the communities in which we serve and the environment at large. Our ESG Initiative includes four distinct pillars around building a sustainable and responsible enterprise that is focused on providing extraordinary care that changes lives:</w:t>
      </w:r>
    </w:p>
    <w:p>
      <w:pPr>
        <w:spacing w:after="0" w:line="21" w:lineRule="exact"/>
        <w:rPr>
          <w:sz w:val="20"/>
          <w:szCs w:val="20"/>
          <w:color w:val="auto"/>
        </w:rPr>
      </w:pPr>
    </w:p>
    <w:p>
      <w:pPr>
        <w:ind w:left="660" w:right="40" w:hanging="328"/>
        <w:spacing w:after="0" w:line="270" w:lineRule="auto"/>
        <w:tabs>
          <w:tab w:leader="none" w:pos="655" w:val="left"/>
        </w:tabs>
        <w:numPr>
          <w:ilvl w:val="0"/>
          <w:numId w:val="5"/>
        </w:numPr>
        <w:rPr>
          <w:rFonts w:ascii="Arial" w:cs="Arial" w:eastAsia="Arial" w:hAnsi="Arial"/>
          <w:sz w:val="19"/>
          <w:szCs w:val="19"/>
          <w:color w:val="auto"/>
        </w:rPr>
      </w:pPr>
      <w:r>
        <w:rPr>
          <w:rFonts w:ascii="Arial" w:cs="Arial" w:eastAsia="Arial" w:hAnsi="Arial"/>
          <w:sz w:val="16"/>
          <w:szCs w:val="16"/>
          <w:color w:val="auto"/>
        </w:rPr>
        <w:t>Reducing Our Impact on the Environment – Through increased efforts in green packaging solutions, growing our network of Ambulatory Infusion Suites and the expanded use of ride share programs for our clinicians, we expect to reduce the company’s carbon footprint and waste.</w:t>
      </w:r>
    </w:p>
    <w:p>
      <w:pPr>
        <w:spacing w:after="0" w:line="19" w:lineRule="exact"/>
        <w:rPr>
          <w:rFonts w:ascii="Arial" w:cs="Arial" w:eastAsia="Arial" w:hAnsi="Arial"/>
          <w:sz w:val="19"/>
          <w:szCs w:val="19"/>
          <w:color w:val="auto"/>
        </w:rPr>
      </w:pPr>
    </w:p>
    <w:p>
      <w:pPr>
        <w:ind w:left="660" w:right="1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Caring for Our Patient Community – We intend to expand our current assistance programs to increase health access to patients and are launching new initiatives to improve the overall patient experience.</w:t>
      </w:r>
    </w:p>
    <w:p>
      <w:pPr>
        <w:spacing w:after="0" w:line="27" w:lineRule="exact"/>
        <w:rPr>
          <w:rFonts w:ascii="Arial" w:cs="Arial" w:eastAsia="Arial" w:hAnsi="Arial"/>
          <w:sz w:val="22"/>
          <w:szCs w:val="22"/>
          <w:color w:val="auto"/>
        </w:rPr>
      </w:pPr>
    </w:p>
    <w:p>
      <w:pPr>
        <w:ind w:left="660" w:right="18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Empowering Our People – We continue to improve and expand on our diversity, equity and inclusion initiatives, health and well-being programs and development and training opportunities for employees.</w:t>
      </w:r>
    </w:p>
    <w:p>
      <w:pPr>
        <w:spacing w:after="0" w:line="27" w:lineRule="exact"/>
        <w:rPr>
          <w:rFonts w:ascii="Arial" w:cs="Arial" w:eastAsia="Arial" w:hAnsi="Arial"/>
          <w:sz w:val="22"/>
          <w:szCs w:val="22"/>
          <w:color w:val="auto"/>
        </w:rPr>
      </w:pPr>
    </w:p>
    <w:p>
      <w:pPr>
        <w:ind w:left="660" w:right="60" w:hanging="328"/>
        <w:spacing w:after="0" w:line="23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Managing a Responsible and Resilient Enterprise – In addition to our comprehensive Enterprise Risk Management process, we are building a more robust privacy, data security and incident response program as well as continuing our commitment to best practices in corporate governance, compliance and business ethics.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General Counsel and Assistant General Counsel serve as executive sponsors of the ESG Initiative and coordinate our corporate response to</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developing comprehensive ESG programs. The Nominating and Corporate Governance Committee of the Board of Directors is charged with providing oversight on ESG matters.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Company’s corporate headquarters is located at 3000 Lakeside Drive, Suite 300N, Bannockburn, IL 60015. The Company maintains a website at http://www.optioncarehealth.com. The information contained on its website is not incorporated by reference into this Annual Report and should not be considered part of this report. The Company’s Annual Reports on Form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120"/>
        <w:spacing w:after="0" w:line="342" w:lineRule="auto"/>
        <w:rPr>
          <w:sz w:val="20"/>
          <w:szCs w:val="20"/>
          <w:color w:val="auto"/>
        </w:rPr>
      </w:pPr>
      <w:r>
        <w:rPr>
          <w:rFonts w:ascii="Arial" w:cs="Arial" w:eastAsia="Arial" w:hAnsi="Arial"/>
          <w:sz w:val="16"/>
          <w:szCs w:val="16"/>
          <w:color w:val="auto"/>
        </w:rPr>
        <w:t>10-K, Quarterly Reports on Form 10-Q, Current Reports on Form 8-K, and Proxy Statements are available through the website at https://investors.optioncarehealth.com/, free of charge, as soon as reasonably practicable after they are filed with or furnished to the SEC.</w:t>
      </w:r>
    </w:p>
    <w:p>
      <w:pPr>
        <w:spacing w:after="0" w:line="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Investors should carefully consider the following Company-specific and general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Company-Specific Risk Factors</w:t>
      </w:r>
    </w:p>
    <w:p>
      <w:pPr>
        <w:spacing w:after="0" w:line="18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Our revenue and profitability will decline if the pharmaceutical industry undergoes certain changes, including limiting or discontinuing research, development, production and marketing of the pharmaceuticals that are compatible with the services we provide.</w:t>
      </w:r>
    </w:p>
    <w:p>
      <w:pPr>
        <w:spacing w:after="0" w:line="1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is highly dependent on the ability of pharmaceutical manufacturers to develop, supply and market pharmaceuticals that are compatible with the services we provide. Our revenue and profitability will decline if those companies were to sell pharmaceuticals directly to the public, fail to support existing pharmaceuticals or develop new pharmaceuticals with different administration requirements than our service offerings are currently equipped to handle. Our business could also be harmed if the pharmaceutical industry experiences any supply shortages, pharmaceutical recalls, changes in the FDA approval processes, or changes to how pharmaceutical manufacturers finance, promote or sell pharmaceutical products. A reduction in the supply of and market for pharmaceuticals that are compatible with the services we provide may have a material adverse effect on our financial condition and results of operations.</w:t>
      </w:r>
    </w:p>
    <w:p>
      <w:pPr>
        <w:spacing w:after="0" w:line="1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If we lose relationships with managed care organizations (“MCOs”) and other non-governmental third party payers, we could lose access to a significant number of patients and our revenue and profitability could decline.</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highly dependent on reimbursement from MCOs, government programs such as Medicare and Medicaid and commercial insurers (collectively, “Third Party Payers”). For the year ended December 31, 2021, 88% of our revenue came from managed care organizations and other nongovernmental payers, including Medicare Advantage plans, Managed Medicaid plans, pharmacy benefit managers (“PBM’s”), and self-pay patients. Many payers seek to limit the number of providers that supply pharmaceuticals to their enrollees in order to build volume that justifies their discounted pricing. From time to time, payers with whom we have relationships require that we bid against our competitors to keep their business. As a result of this bidding process, we may not be retained, and even if we are retained, the prices at which we are able to retain the business may be reduced. The loss of a payer relationship could significantly reduce the number of patients we serve and have a material adverse effect on our revenue and net income, and a reduction in pricing could reduce our gross margins and net income.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healthcare industry is highly competitive.</w:t>
      </w:r>
    </w:p>
    <w:p>
      <w:pPr>
        <w:spacing w:after="0" w:line="18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healthcare industry is highly competitive. We compete directly with national, regional and local healthcare providers. There are many other companies and individuals currently providing healthcare services that we provide, many of which have been in business longer and/or have substantially more resources. Other companies could enter the healthcare industry in the future and divert some or all of our business. We expect to continue to encounter competition in the future that could limit our ability to grow revenue and/or maintain acceptable pricing levels.</w:t>
      </w:r>
    </w:p>
    <w:p>
      <w:pPr>
        <w:spacing w:after="0" w:line="13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Some of our competitors have vertically integrated business models with commercial payers, or are under common control with, or owned by, pharmaceutical wholesalers and distributors, managed care organizations, PBMs or retail pharmacy chains and may be better positioned with respect to the cost-effective distribution of pharmaceuticals. In addition, some of our competitors may have secured long-term supply or distribution arrangements for prescription pharmaceuticals necessary to treat certain chronic disease states on price terms substantially more favorable than the terms currently available to us. Consequently, we may be less price competitive than some of these competitors with respect to certain pharmaceutical products.</w:t>
      </w:r>
    </w:p>
    <w:p>
      <w:pPr>
        <w:spacing w:after="0" w:line="13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Accountable Care Organizations (“ACOs”) and other clinical integration models may result in lower reimbursement rates. Some of our competitors may negotiate exclusivity provisions with managed care plans or otherwise interfere with the ability of managed care companies to contract with us. Increasing consolidation in the payer and supplier industries, including vertical integration efforts among insurers, providers, and suppliers, and cost-reduction strategies by large employer groups and their affiliates may limit our ability to negotiate favorable terms and conditions in our contracts and otherwise intensify competitive pressure. In addition, our competitive position could be adversely affected by any inability to obtain access to new biotech pharmaceutical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maintain relationships with existing patient referral sources, our business and consolidated financial condition, results of operations, and cash flows could be materially adversely affected.</w:t>
      </w:r>
    </w:p>
    <w:p>
      <w:pPr>
        <w:spacing w:after="0" w:line="130"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Our success depends on referrals from physicians, hospitals, and other sources in the communities we serve and on our ability to maintain good relationships with existing referral sources. Our referral sources are not contractually obligated to refer patients to us and may refer their patients to other providers. Our growth and profitability depends, in part, on our ability to establish and maintain close working relationships with these patient referral sources, and to increase awareness and acceptance of the benefits of home infusion by our referral sources and their patients. Our loss of, or failure to maintain, existing relationships or our failure to develop new referral relationships could have a material adverse effect on our business and consolidated financial condition, results of operations, and cash flows.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industry pricing benchmarks could adversely affect our financial performance.</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contracts generally use certain published benchmarks to establish pricing for the reimbursement of prescription medications we dispense. These benchmarks include AWP, wholesale acquisition cost, ASP and average manufacturer price. Many of our contracts utilize the AWP benchmark. Publication of the AWP benchmark was expected to cease in 2011 as a result of the settlement of class-action lawsuits brought against First DataBank and Medi-Span, third-party publishers of various pricing benchmarks. However, Medi-Span continues to publish the AWP benchmark and has indicated that it will continue to do so until a new benchmark is widely accepted. Several industry participants have explored establishing a new benchmark but there is not currently a viable generally accepted alternative to the AWP benchmark. Without a suitable pricing benchmark in place, many of our contracts will have to be modified and could potentially change the economic structure of our agreements.</w:t>
      </w:r>
    </w:p>
    <w:p>
      <w:pPr>
        <w:spacing w:after="0" w:line="13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Changes in our relationships with pharmaceutical suppliers, including changes in drug availability or pricing, could adversely affect our business and financial results.</w:t>
      </w:r>
    </w:p>
    <w:p>
      <w:pPr>
        <w:spacing w:after="0" w:line="143" w:lineRule="exact"/>
        <w:rPr>
          <w:sz w:val="20"/>
          <w:szCs w:val="20"/>
          <w:color w:val="auto"/>
        </w:rPr>
      </w:pPr>
    </w:p>
    <w:p>
      <w:pPr>
        <w:ind w:right="340" w:firstLine="324"/>
        <w:spacing w:after="0" w:line="275" w:lineRule="auto"/>
        <w:rPr>
          <w:sz w:val="20"/>
          <w:szCs w:val="20"/>
          <w:color w:val="auto"/>
        </w:rPr>
      </w:pPr>
      <w:r>
        <w:rPr>
          <w:rFonts w:ascii="Arial" w:cs="Arial" w:eastAsia="Arial" w:hAnsi="Arial"/>
          <w:sz w:val="17"/>
          <w:szCs w:val="17"/>
          <w:color w:val="auto"/>
        </w:rPr>
        <w:t>We have contractual relationships with pharmaceutical manufacturers to purchase the pharmaceuticals that we dispense. In order to have access to these pharmaceuticals, and to be able to participate in the launch of new pharmaceuticals, we must maintain a good working relationship with these manufacturers. Most of the manufacturers of the pharmaceuticals we sell have the right to cancel their supply contracts with us without cause and after giving only minimal notice. Any changes to these relationships, including, but not limited to, the loss of a manufacturer relationship, drug shortages or changes in pricing, could have an adverse effect on our business and financial results.</w:t>
      </w:r>
    </w:p>
    <w:p>
      <w:pPr>
        <w:spacing w:after="0" w:line="13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Some pharmaceutical manufacturers attempt to limit the number of preferred distributors that may market certain of their pharmaceutical products. We cannot provide assurance that we will be selected and retained as a preferred distributor or can remain a preferred distributor to market these products. Although we believe we can effectively meet our suppliers’ requirements, we cannot provide assurance that we will be able to compete effectively with other providers to retain our position as a distributor of each of our core products. Adverse developments with respect to this trend could have a material adverse effect on our financial condition and results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disruption in pharmaceutical and medical supply could adversely impact our business.</w:t>
      </w:r>
    </w:p>
    <w:p>
      <w:pPr>
        <w:spacing w:after="0" w:line="19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For the year ended December 31, 2021, approximately 74% of our pharmaceutical and medical supply purchases are from four vendors. Most of the pharmaceuticals that we purchase are available from multiple sources, and we believe they are available in sufficient quantities to meet our needs and the needs of our patients. We keep safety stock to ensure continuity of service for reasonable, but limited, periods of time. Should a supply disruption result in the inability to obtain especially high margin drugs and compound components necessary for patient care, our consolidated financial statements could be negatively impacted. The COVID-19 pandemic has led to a constrained supply environment which could result in higher cost to procure, and potential unavailability of, critical personal protection equipment, pharmaceuticals and medical supplies. As of December 31, 2021 we have not experienced a significant impact in the availability of supplies from the COVID-19 pandemic.</w:t>
      </w:r>
    </w:p>
    <w:p>
      <w:pPr>
        <w:spacing w:after="0" w:line="13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A shortage of qualified registered nursing staff, pharmacists and other professionals could adversely affect our ability to attract, train and retrain qualified personnel and could increase operating costs.</w:t>
      </w:r>
    </w:p>
    <w:p>
      <w:pPr>
        <w:spacing w:after="0" w:line="13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Our business relies on our ability to attract and retain nursing staff, pharmacists and other professionals who possess the skills, experience and licenses necessary to meet the requirements of their job responsibilities. From time to time and particularly in recent years, there have been shortages of nursing staff, pharmacists and other professionals in certain local and regional markets. As a result, we are often required to compete for personnel with other healthcare systems and our competitors. Our ability to attract and retain personnel depends on several factors, including our ability to provide them with engaging assignments and competitive salaries and benefits. We may not be successful in any of these areas.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addition, where labor shortages arise in markets in which we operate, we may face higher costs to attract personnel, and we may have to provide them with more attractive benefit packages than originally anticipated or are being paid in other markets where such shortages do not exist at the time. In either case, such circumstances could cause our profitability to decline. Finally, if we expand our operations into geographic areas where healthcare providers historically have unionized or unionization occurs in our existing geographic areas, negotiating collective bargaining agreements may have a negative effect on our ability to timely and successfully recruit qualified personnel and on our financial results. If we are unable to attract and retain nursing staff, pharmacists and other professionals, the quality of our services may decline and we could lose patients and referral sources, which could have a material adverse effect on our business and consolidated financial condition, results of operations and cash flows.</w:t>
      </w:r>
    </w:p>
    <w:p>
      <w:pPr>
        <w:spacing w:after="0" w:line="137"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b w:val="1"/>
          <w:bCs w:val="1"/>
          <w:i w:val="1"/>
          <w:iCs w:val="1"/>
          <w:color w:val="auto"/>
        </w:rPr>
        <w:t>Introduction of new drugs or accelerated adoption of existing lower margin drugs could cause us to experience lower revenues and profitability when prescribers prescribe these drugs for their patients or they are mandated by Third Party Payers.</w:t>
      </w:r>
    </w:p>
    <w:p>
      <w:pPr>
        <w:spacing w:after="0" w:line="11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pharmaceutical industry pipeline of new drugs includes many drugs that over the long term may replace older, more expensive therapies. As a result of such older drugs losing patent protection and being replaced by generic substitutes, new and less expensive delivery methods (such as when an infusion or injectable drug is replaced with an oral drug) or additional products are added to a therapeutic class, thereby increasing price competition among competing manufacturer’s products in that therapeutic category. In such cases, manufacturers have the ability to increase drug acquisition costs or lower the selling price of replaced products. This could negatively impact our revenues and/or margins.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Failure to develop new services or adapt to changes and trends within the healthcare industry may adversely affect our business.</w:t>
      </w:r>
    </w:p>
    <w:p>
      <w:pPr>
        <w:spacing w:after="0" w:line="19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operate in a highly competitive environment. We develop new services from time to time to assist our clients. If we are unsuccessful in developing innovative services, our ability to attract new clients and retain existing clients may suffer.</w:t>
      </w:r>
    </w:p>
    <w:p>
      <w:pPr>
        <w:spacing w:after="0" w:line="14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Technology, including the ability to capture and report outcomes, is also an important component of our business as we continue to utilize new and better channels to communicate and interact with our clients, members and business partners. If our competitors are more successful than us in employing this technology, our ability to attract new clients, retain existing clients and operate efficiently may suffer. Any significant shifts in the structure of the healthcare products and services industry in general could alter the industry dynamics and adversely affect our ability to attract or retain clients. Our failure to anticipate or appropriately adapt to changes in the industry could negatively impact our competitive position and adversely affect our business and results of operations.</w:t>
      </w:r>
    </w:p>
    <w:p>
      <w:pPr>
        <w:spacing w:after="0" w:line="1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Changes in future business conditions could cause business investments and/or recorded goodwill to become impaired, and our financial condition and results of operations could suffer if there is an impairment of goodwill.</w:t>
      </w:r>
    </w:p>
    <w:p>
      <w:pPr>
        <w:spacing w:after="0" w:line="13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acquisitions resulted in significant goodwill reported on our financial statements. Goodwill results when the purchase price exceeds the fair value of the net identifiable tangible and intangible assets acquired. We may not realize the full value of this goodwill. As such, we evaluate on at least an annual basis whether events and circumstances indicate that all or some of the carrying value of goodwill is no longer recoverable, in which case we would recognize the unrecoverable goodwill as a charge against our earnings. When evaluating goodwill for potential impairment, we compare the fair value of our reporting units to their respective carrying amounts. We estimate the fair value of our reporting units using the income approach. If the carrying amount of a reporting unit exceeds its estimated fair value, a goodwill impairment loss is recognized in an amount equal to the excess to the extent of the goodwill balance. The income approach requires us to estimate a number of factors for our reporting units, including projected future operating results, economic projections, anticipated future cash flows, and discount rates. The fair value determined using the income approach is then compared to marketplace fair value data from within a comparable industry grouping for reasonableness. Because of the significance of our goodwill, any future impairment could result in material non-cash charges to our results of operations, which could have an adverse effect on our financial condition and results of operations.</w:t>
      </w:r>
    </w:p>
    <w:p>
      <w:pPr>
        <w:spacing w:after="0" w:line="14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A significant change in, or noncompliance with, governmental regulations and other legal requirements could have a material adverse effect on our reputation and profitability.</w:t>
      </w:r>
    </w:p>
    <w:p>
      <w:pPr>
        <w:spacing w:after="0" w:line="1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operate in complex, highly regulated environments and could be materially and adversely affected by changes to applicable legal requirements including the related interpretations and enforcement practices, new legal requirements and/or any failure to comply with applicable regulations. Our home infusion and alternate site infusion businesses are subject to numerous federal, state and local regulations including licensing and other requirements for pharmacies and reimbursement arrangements.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federal and state statutes and regulations to which we are subject include, but are not limited to, laws requiring the registration and regulation of pharmacies; laws governing the dispensing of pharmaceuticals and controlled substances; laws regulating the protection of the environment and health and safety matters, including those governing exposure to, and the management and disposal of, hazardous substances; laws regarding food and drug safety, including those of the FDA and DEA; applicable governmental payer regulations, including those applicable to Medicare and Medicaid; data privacy and security laws, including HIPAA and its associated regulations; federal and state fraud and abuse laws, including, but not limited to, the anti-kickback statute and false claims laws; trade regulations, including those of the U.S. Federal Trade Commission (“FTC”); the U.S. Foreign Corrupt Practices Act (the “FCPA”) and similar anti-corruption laws in connection with the services provided by certain of our contractors; and the consumer protection and safety laws, including those of the Consumer Product Safety Commission.</w:t>
      </w:r>
    </w:p>
    <w:p>
      <w:pPr>
        <w:spacing w:after="0" w:line="13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required to hold valid DEA and state-level licenses, meet various security and operating standards and comply with the federal and various state controlled substance acts and related regulations governing the sale, dispensing, disposal, holding and distribution of controlled substances. The DEA, FDA and state regulatory authorities have broad enforcement powers, including the ability to seize or recall products and impose significant criminal, civil and administrative sanctions for violations of these laws and regulations.</w:t>
      </w:r>
    </w:p>
    <w:p>
      <w:pPr>
        <w:spacing w:after="0" w:line="16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use, disclose and otherwise process personally identifiable information, including health information, making us subject to HIPAA and other federal and state privacy and security regulations and failure to comply with those regulations or to adequately secure the information we hold could result in significant liability or reputational harm and, in turn, have a material adverse effect on our patient base and revenue.</w:t>
      </w:r>
    </w:p>
    <w:p>
      <w:pPr>
        <w:spacing w:after="0" w:line="1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are also governed by federal and state laws of general applicability, including laws regulating matters of working conditions, health and safety and equal employment opportunity and other labor and employment matters as well as employee benefit, competition, antitrust, taxation and escheatment matters. In addition, we could have significant exposure if we are found to have infringed another party’s intellectual property rights.</w:t>
      </w:r>
    </w:p>
    <w:p>
      <w:pPr>
        <w:spacing w:after="0" w:line="125"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Changes in laws, regulations and policies and the related interpretations and enforcement practices may alter the landscape in which we do business and may significantly affect our cost of doing business. The impact of new laws, regulations and policies and the related interpretations and enforcement practices generally cannot be predicted, and changes in applicable laws, regulations and policies and the related interpretations and enforcement practices may require extensive system and operational changes, be difficult to implement, increase our operating costs and require significant capital expenditures. Untimely compliance or noncompliance with applicable laws and regulations could result in the imposition of civil and criminal penalties that could adversely affect the continued operation of our businesses, including: suspension of payments from government programs; loss of required government certifications; loss of authorizations to participate in or exclusion from government programs, including the Medicare and Medicaid programs; loss of licenses; and significant fines or monetary penalties. Any failure to comply with applicable regulatory requirements could result in significant legal and financial exposure, damage our reputation, and have a material adverse effect on our business operations, financial condition and results of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Federal actions and legislation may reduce reimbursement rates from governmental payers and adversely affect our results of operations.</w:t>
      </w:r>
    </w:p>
    <w:p>
      <w:pPr>
        <w:spacing w:after="0" w:line="208"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In recent years, Congress has passed legislation reducing payments to health care providers. The Budget Control Act of 2011, as amended, requires automatic spending reductions to reduce the federal deficit, including Medicare spending reductions of up to 2% per fiscal year that extend through 2027. The Center for Medicare &amp; Medicaid Services (“CMS”) began imposing a 2% reduction on Medicare claims on April 1, 2013. The Affordable Care Act provides for material reductions in the growth of Medicare program spending. More recently, the 21st Century Cures Act (the “Cures Act”) significantly reduced the amount paid by Medicare for drug costs, while delaying the implementation of a clinical services payment, although Congress also passed a temporary transitional service payment that took effect January 1, 2019. In addition, from time to time, CMS revises the reimbursement systems used to reimburse health care providers, which may result in reduced Medicare payments.</w:t>
      </w:r>
    </w:p>
    <w:p>
      <w:pPr>
        <w:spacing w:after="0" w:line="13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For the year ended December 31, 2021, 12% of our revenue is derived from reimbursement by direct federal and state programs such as Medicare and Medicaid. Reimbursement from these and other government programs is subject to statutory and regulatory requirements, administrative rulings, interpretations of policy, implementation of reimbursement procedures, retroactive payment adjustments, governmental funding restrictions and changes to or new legislation, all of which may materially affect the amount and timing of reimbursement payments to us. Changes to the way Medicare pays for our services, including mandatory payment reductions such as sequestration, may reduce our revenue and profitability on services provided to Medicare patients and increase our working capital requirements. In addition, we are sensitive to possible changes in state Medicaid programs.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Because most states must operate with balanced budgets and because the Medicaid program is often a state’s largest program, some states have enacted or may consider enacting legislation designed to reduce their Medicaid expenditures. Further, many states have taken steps to reduce coverage and/or enroll Medicaid recipients in managed care programs. The current economic environment has increased the budgetary pressures on many states, and these budgetary pressures have resulted, and likely will continue to result, in decreased spending, or decreased spending growth, for Medicaid programs and the Children’s Health Insurance Program in many states.</w:t>
      </w:r>
    </w:p>
    <w:p>
      <w:pPr>
        <w:spacing w:after="0" w:line="14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In some cases, Third Party Payers rely on all or portions of Medicare payment systems to determine payment rates. Changes to government healthcare programs that reduce payments under these programs may negatively impact payments from Third Party Payers. Current or future healthcare reform and deficit reduction efforts, changes in other laws or regulations affecting government healthcare programs, changes in the administration of government healthcare programs and changes by Third Party Payers could have a material, adverse effect on our financial position and results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Delays in reimbursement may adversely affect our liquidity, cash flows and operating results.</w:t>
      </w:r>
    </w:p>
    <w:p>
      <w:pPr>
        <w:spacing w:after="0" w:line="18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reimbursement process for the services we provide is complex, resulting in delays between the time we bill for a service and receipt of payment that can be significant. Reimbursement and procedural issues often require us to resubmit claims multiple times and respond to multiple administrative requests before payment is remitted. The collection of accounts receivable is challenging, and requires constant focus and involvement by management and ongoing enhancements to information systems and billing center operating procedures. While management believes that our controls and processes are satisfactory, there can be no assurance that collections of accounts receivable will continue at historical rates. The risks associated with Third Party Payers and the inability to collect outstanding accounts receivable could have a material adverse effect on our liquidity, cash flows and operating results.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pricing pressures and other risks involved with Third Party Payers.</w:t>
      </w:r>
    </w:p>
    <w:p>
      <w:pPr>
        <w:spacing w:after="0" w:line="19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Competition to provide healthcare services, efforts by traditional Third Party Payers to contain or reduce healthcare costs, and the increasing influence of managed care payers such as health maintenance organizations, has resulted in reduced rates of reimbursement for home infusion and specialty pharmacy services. Changes in reimbursement policies of governmental Third Party Payers, including policies relating to Medicare, Medicaid and other federal and state funded programs, could reduce the amounts reimbursed to our customers for our products and, in turn, the amount these customers would be willing to pay for our products and services, or could directly reduce the amounts payable to us by such payers. Pricing pressures by Third Party Payers may continue, and these trends may adversely affect our business.</w:t>
      </w:r>
    </w:p>
    <w:p>
      <w:pPr>
        <w:spacing w:after="0" w:line="13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Also, continued growth in managed care plans has pressured healthcare providers to find ways of becoming more cost competitive. MCOs have grown substantially in terms of the percentage of the population they cover and in terms of the portion of the healthcare economy they control. MCOs have continued to consolidate to enhance their ability to influence the delivery of healthcare services and to exert pressure to control healthcare costs. A rapid concentration of revenue derived from individual managed care payers could harm our business.</w:t>
      </w:r>
    </w:p>
    <w:p>
      <w:pPr>
        <w:spacing w:after="0" w:line="13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We face periodic reviews and billing audits by governmental and private payers, and these audits could have adverse findings that may negatively impact our business.</w:t>
      </w:r>
    </w:p>
    <w:p>
      <w:pPr>
        <w:spacing w:after="0" w:line="14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a result of our participation in the Medicare and Medicaid programs, we are subject to various governmental reviews and audits to verify our compliance with these programs and applicable laws and regulations. We also are subject to audits under various government programs in which third party firms engaged by CMS conduct extensive reviews of claims data and medical and other records to identify potential improper payments under the Medicare program. Third Party Payers may also conduct audits. Disputes with payers can arise from these reviews. Payers can claim that payments based on certain billing practices or billing errors were made incorrectly. If billing errors are identified in the sample of reviewed claims, the billing error can be extrapolated to all claims filed which could result in a larger overpayment than originally identified in the sample of reviewed claims. Our costs to respond to and defend claims, reviews and audits may be significant and could have a material adverse effect on our business and consolidated financial condition, results of operations and cash flows. Moreover, an adverse claim, review or audit could result in:</w:t>
      </w:r>
    </w:p>
    <w:p>
      <w:pPr>
        <w:spacing w:after="0" w:line="13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required refunding or retroactive adjustment of amounts we have been paid by governmental payers or Third Party Payers;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or federal agencies imposing fines, penalties and other sanctions on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suspension or exclusion from the Medicare program, state programs, or one or more third party payer networks;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business and reputation in various markets.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results could have a material adverse effect on our business and consolidated financial condition, results of operations and cash flows.</w:t>
      </w:r>
    </w:p>
    <w:p>
      <w:pPr>
        <w:spacing w:after="0" w:line="19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If any of our pharmacies fail to comply with the conditions of participation in the Medicare program, that pharmacy could be terminated from Medicare, which could adversely affect our consolidated financial statements.</w:t>
      </w:r>
    </w:p>
    <w:p>
      <w:pPr>
        <w:spacing w:after="0" w:line="14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pharmacies must comply with the extensive conditions of participation in the Medicare program. If a pharmacy fails to meet any of the Medicare supplier standards, that pharmacy could be terminated from the Medicare program. We respond in the ordinary course to deficiency notices issued by surveyors, and none of our pharmacies has ever been terminated from the Medicare program for failure to comply with the supplier standards. Any termination of one or more of our pharmacies from the Medicare program for failure to satisfy the Medicare supplier standards could adversely affect our consolidated financial statements.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cannot predict the impact of changing requirements on compounding pharmacies.</w:t>
      </w:r>
    </w:p>
    <w:p>
      <w:pPr>
        <w:spacing w:after="0" w:line="18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Compounding pharmacies are closely monitored by federal and state governmental agencies. We believe that our compounding is performed in safe environments and we have clinically appropriate policies and procedures in place. We only compound pursuant to a patient-specific prescription and do so in compliance with USP 797 standards. In 2013, Congress passed the DQSA, which creates a new category of compounding facilities called outsourcing facilities, which are regulated by the FDA. We do not believe that our current compounding practices qualify us as an outsourcing facility and therefore we continue to operate consistently with USP 797 standards and applicable state pharmacy laws. Should state regulators or the FDA disagree, or should our business practices change to qualify us as an outsourcing facility, there is a risk of regulatory action and/or increased resources required to comply with federal requirements imposed pursuant to the DQSA on outsourcing facilities that could significantly increase our costs or otherwise affect our results of operations. Furthermore, we cannot predict the overall impact of increased scrutiny on compounding pharmacies.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Relating to Our Indebtedness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19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2021, we had $1,100 million of outstanding borrowings, including (i) $600 million under our First Lien Term Loan (as defined herein) and (ii) $500 million under our 4.375% Senior Unsecured Notes due 2029 (the “Senior Notes”). All obligations under the First Lien Term Loan are secured by first-priority perfected security interests in substantially all of our assets and the assets of our subsidiaries, subject to permitted liens and other exceptions.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54"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Our indebtedness, the cash flow needed to satisfy our debt and the covenants contained in our credit agreement and indenture have important consequences, including but not limited to:</w:t>
      </w:r>
    </w:p>
    <w:p>
      <w:pPr>
        <w:spacing w:after="0" w:line="130" w:lineRule="exact"/>
        <w:rPr>
          <w:sz w:val="20"/>
          <w:szCs w:val="20"/>
          <w:color w:val="auto"/>
        </w:rPr>
      </w:pPr>
    </w:p>
    <w:p>
      <w:pPr>
        <w:ind w:left="580" w:hanging="248"/>
        <w:spacing w:after="0" w:line="258"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incur additional indebtedness;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capitalize on significant business opportunities;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us more vulnerable to rising interest rates; and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w:t>
      </w:r>
    </w:p>
    <w:p>
      <w:pPr>
        <w:spacing w:after="0" w:line="23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 Further, our credit agreements and indenture contain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 Our term loan facility is also subject to mandatory prepayments in certain circumstances and requires a prepayment of a certain percentage of our excess cash flow. This excess cash flow payment, and future required prepayments, will reduce our cash available for investment in our business.</w:t>
      </w:r>
    </w:p>
    <w:p>
      <w:pPr>
        <w:spacing w:after="0" w:line="138" w:lineRule="exact"/>
        <w:rPr>
          <w:sz w:val="20"/>
          <w:szCs w:val="20"/>
          <w:color w:val="auto"/>
        </w:rPr>
      </w:pPr>
    </w:p>
    <w:p>
      <w:pPr>
        <w:ind w:right="600" w:firstLine="324"/>
        <w:spacing w:after="0" w:line="311" w:lineRule="auto"/>
        <w:rPr>
          <w:sz w:val="20"/>
          <w:szCs w:val="20"/>
          <w:color w:val="auto"/>
        </w:rPr>
      </w:pPr>
      <w:r>
        <w:rPr>
          <w:rFonts w:ascii="Arial" w:cs="Arial" w:eastAsia="Arial" w:hAnsi="Arial"/>
          <w:sz w:val="16"/>
          <w:szCs w:val="16"/>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Despite our indebtedness, we may still incur significantly more debt. This could exacerbate the risks associated with our substantial leverage.</w:t>
      </w:r>
    </w:p>
    <w:p>
      <w:pPr>
        <w:spacing w:after="0" w:line="20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incur additional indebtedness, including additional secured indebtedness, in the future, in connection with future acquisitions, strategic investments and strategic relationships. Although the financing documents governing our indebtedness contain covenants and restrictions on the incurrence of additional debt, these restrictions are subject to a number of qualifications and exceptions and, under certain circumstances, debt incurred in compliance with these restrictions, including secured debt, could be substantial. Adding additional debt to current debt levels could exacerbate the leverage-related risks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a reduction of our credit rating, which would also harm our ability to incur additional indebtedness.</w:t>
      </w:r>
    </w:p>
    <w:p>
      <w:pPr>
        <w:spacing w:after="0" w:line="16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The financing documents governing our First Lien Term Loan, ABL Facility (as defined herein) and our Senior Notes restrict our ability to conduct asset sales and/or use the proceeds from asset sales. We may not be able to consummate these asset sales to raise capital or sell assets at prices and on terms that we believe are fair and any proceeds that we do receive may not be adequate to meet any debt service obligations then due.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Risks Relating to Our Common Stock</w:t>
      </w:r>
    </w:p>
    <w:p>
      <w:pPr>
        <w:spacing w:after="0" w:line="18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b w:val="1"/>
          <w:bCs w:val="1"/>
          <w:i w:val="1"/>
          <w:iCs w:val="1"/>
          <w:color w:val="auto"/>
        </w:rPr>
        <w:t>As of December 31, 2021, Walgreens Boots Alliance, Inc. (“Walgreens”) is our largest stockholder and has the ability to exercise significant influence over decisions requiring our stockholders’ approval.</w:t>
      </w:r>
    </w:p>
    <w:p>
      <w:pPr>
        <w:spacing w:after="0" w:line="143"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As of December 17, 2021, Madison Dearborn Partners transferred control of HC Group Holding I, LLC (“HC Group”) to Walgreens. As of December 31, 2021, Walgreens controls approximately 20.7% of our common stock through its control of HC Group Holding I, LLC (“HC Group”). As a result, Walgreens has the ability to exercise significant influence over decisions requiring approval of our stockholders including the election of directors, amendments to our certificate of incorporation and approval of significant corporate transactions, such as a merger, or change in control of the Company.</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stockholders to replace or remove our current management, even if beneficial to our stockholders.</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addition to Walgreens’ beneficial ownership of approximately 20.7% of our common stock, our third amended and restated certificate of incorporation contains provisions that could make it more difficult for a third party to acquire us, even if doing so might be beneficial to our stockholders. Among other things:</w:t>
      </w:r>
    </w:p>
    <w:p>
      <w:pPr>
        <w:spacing w:after="0" w:line="157" w:lineRule="exact"/>
        <w:rPr>
          <w:sz w:val="20"/>
          <w:szCs w:val="20"/>
          <w:color w:val="auto"/>
        </w:rPr>
      </w:pPr>
    </w:p>
    <w:p>
      <w:pPr>
        <w:jc w:val="both"/>
        <w:ind w:left="1300" w:right="80" w:hanging="320"/>
        <w:spacing w:after="0" w:line="255"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provisions 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2" w:lineRule="exact"/>
        <w:rPr>
          <w:rFonts w:ascii="Arial" w:cs="Arial" w:eastAsia="Arial" w:hAnsi="Arial"/>
          <w:sz w:val="18"/>
          <w:szCs w:val="18"/>
          <w:color w:val="auto"/>
        </w:rPr>
      </w:pPr>
    </w:p>
    <w:p>
      <w:pPr>
        <w:ind w:left="1300" w:right="160" w:hanging="320"/>
        <w:spacing w:after="0" w:line="250"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provisions provide that directors may be removed with or without cause only by the affirmative vote of holders of at least 66 2⁄3% in voting power of all the then-outstanding vote thereon, voting together as a single class;</w:t>
      </w: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provisions prohibit stockholder action by written consent; and</w:t>
      </w:r>
    </w:p>
    <w:p>
      <w:pPr>
        <w:spacing w:after="0" w:line="9" w:lineRule="exact"/>
        <w:rPr>
          <w:rFonts w:ascii="Arial" w:cs="Arial" w:eastAsia="Arial" w:hAnsi="Arial"/>
          <w:sz w:val="18"/>
          <w:szCs w:val="18"/>
          <w:color w:val="auto"/>
        </w:rPr>
      </w:pPr>
    </w:p>
    <w:p>
      <w:pPr>
        <w:ind w:left="1300" w:right="180" w:hanging="320"/>
        <w:spacing w:after="0" w:line="255"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provisions provide that any amendment, alteration, rescission or repeal of our bylaws or certificate of incorporation by our stockholders will require the affirmative vote of the holders of at least 66 2⁄3% in voting power of all the then-outstanding shares of our stock entitled to vote thereon, voting together as a single class.</w:t>
      </w:r>
    </w:p>
    <w:p>
      <w:pPr>
        <w:spacing w:after="0" w:line="21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These and other provisions in our certificate of incorporation,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to realize value in a corporate transaction.</w:t>
      </w:r>
    </w:p>
    <w:p>
      <w:pPr>
        <w:spacing w:after="0" w:line="14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Moreover, Section 203 of the General Corporation Law of the State of Delaware (“DGCL”) may discourage, delay, or prevent a change of control of our company. Section 203 imposes certain restrictions on mergers, business combinations, and other transactions between us and holders of 15% or more of our common stock.</w:t>
      </w:r>
    </w:p>
    <w:p>
      <w:pPr>
        <w:spacing w:after="0" w:line="143"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b w:val="1"/>
          <w:bCs w:val="1"/>
          <w:i w:val="1"/>
          <w:iCs w:val="1"/>
          <w:color w:val="auto"/>
        </w:rPr>
        <w:t>Our third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15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Pursuant to our third amended and restated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employees and stockholders to us or our stockholders, (3) any action asserting a claim against us arising pursuant to any provision of the DGCL or as to which the DGCL confers jurisdiction on the Court of Chancery of the State of Delaware, our third amended and restated certificate of incorporation or our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Exchange Act or any other claim for which the federal courts have exclusive jurisdiction. Our third amended and restated certificate of incorporation will further provide that any person or entity purchasing or otherwise acquiring any interest in shares of our capital stock is deemed to have notice of and consented to the provisions of our certificate of incorporation described above. The forum selection clause in our third amended and restated certificate of incorporation may have the effect of discouraging lawsuits against us or our directors and officers and may limit our stockholders’ ability to obtain a favorable judicial forum for disputes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3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third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discouraging bids for our common stock at a premium to the market price, and materially adversely affect the market price and the voting and other rights of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The COVID-19 pandemic and other potential pandemic events could adversely impact our business operations, results of operations, cash flows and financial position.</w:t>
      </w:r>
    </w:p>
    <w:p>
      <w:pPr>
        <w:spacing w:after="0" w:line="13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COVID-19 pandemic has continued to significantly impact the global economy. Throughout 2021, COVID-19 has persisted as a significant public health concern and impacted the general economy and consumer behaviors. The impacts of the pandemic are unpredictable and volatile, with varying impacts to business operations. We are closely monitoring the impact of the COVID-19 pandemic on all aspects of our business, including how it will impact our patients, teammates, suppliers, vendors, referral sources, and third party payers. The COVID-19 pandemic has created significant volatility, uncertainty and economic disruption, which may adversely affect our business operations and may materially and adversely affect our results of operations, cash flows and financial position.</w:t>
      </w:r>
    </w:p>
    <w:p>
      <w:pPr>
        <w:spacing w:after="0" w:line="1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situation is changing rapidly considering the impacts of new variants of the virus, public health guidance, regulatory mandates and additional consequences may arise that we are not aware of currently. The extent to which the COVID-19 pandemic impacts us will depend on numerous evolving factors and future developments that we are not able to predict, including: the severity and duration of the pandemic; the potential of new virus variants; governmental, business and other actions; the promotion of social distancing and the adoption of shelter-in-place orders affecting our referral sources; the impacts on our supply chain; the impact of the pandemic on economic activity; the health of and the effect on our workforce; any impairment in value of our tangible or intangible assets which could be recorded as a result of a weaker economic conditions; and the effect on our internal controls including those over financial reporting. In addition, if the pandemic continues to create disruptions or turmoil in the credit or financial markets, or impacts our credit ratings or stock price, it could adversely affect our ability to access capital on favorable terms and continue to meet our liquidity needs, all of which are highly uncertain and cannot be predicted.</w:t>
      </w:r>
    </w:p>
    <w:p>
      <w:pPr>
        <w:spacing w:after="0" w:line="1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Other factors including reduced employment pools, federal subsidies offered in response to the COVID-19 pandemic and other government regulations, including any potential vaccine mandate, could exacerbate staffing challenges, create increased labor shortages and/or lead to employee turnover within our organization. An overall or prolonged labor shortage, lack of skilled labor, increased turnover or continued labor inflation could have a material adverse impact on our operations, results of operations, liquidity or cash flows.</w:t>
      </w:r>
    </w:p>
    <w:p>
      <w:pPr>
        <w:spacing w:after="0" w:line="146"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In addition, we cannot predict the impact that COVID-19 will have on our patients, suppliers, vendors, and third party payers, and each of their financial conditions; however, any material effect on these parties could adversely impact us. The impact of COVID-19 may also exacerbate other risks, any of which could have a material effect on us. This situation is changing rapidly and additional impacts may arise that we are not aware of currently.</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Pending and future litigation could subject us to significant monetary damages and/or require us to change our business practices.</w:t>
      </w:r>
    </w:p>
    <w:p>
      <w:pPr>
        <w:spacing w:after="0" w:line="19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employ pharmacists, dieticians, nurses and other health care professionals. We are subject to liability for negligent acts, omissions, or injuries occurring at one of these clinics or caused by one of our employees. We are subject to risks relating to asserted claims, litigation and other proceedings in connection with our operations. We are or may face claims or become a party to a variety of legal actions that affect our business, including breach of contract actions, employment and employment discrimination-related suits, employee benefit claims, stockholder suits and other securities laws claims, and tort claims. Due to the nature of our business, we, through our employees and caregivers who provide services on our behalf, may be the subject of medical malpractice claims. A court could find these individuals should be considered our agents, and, as a result, we could be held liable for their acts or omissions.</w:t>
      </w:r>
    </w:p>
    <w:p>
      <w:pPr>
        <w:spacing w:after="0" w:line="16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may incur substantial expenses in defending such claims or litigation, regardless of merit, and such claims or litigation could result in a significant diversion of the efforts of our management personnel. Successful claims against us may result in monetary liability or a material disruption in the conduct of our business. Similarly, if we settle such legal proceedings, it may affect how we operate our business. See Item 3 for a description of material proceedings pending against us. We believe that these suits are without merit and, to the extent not already concluded, intend to contest them vigorously. However, an adverse outcome in one or more of these suits may have a material adverse effect on our consolidated results of operations, consolidated financial position, and/or consolidated cash flow from operations, or may require us to make material changes to our business practices.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liability claims for damages and other expenses that are not covered by insurance.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As a result of operating in the home infusion industry, our business entails an inherent risk of claims, losses and potential lawsuits alleging incidents involving our employees that are likely to occur in a patient’s home. We maintain professional liability insurance to provide coverage to us and our subsidiaries against these risks. A successful product or professional liability claim in excess of our insurance coverage could harm our consolidated financial statements. Various aspects of our business may subject us to litigation and liability for damages. For example, a prescription drug dispensing error could result in a patient receiving the wrong or incorrect amount of medication, leading to personal injury or death. Our business and consolidated financial statements could suffer if we pay damages or defense costs in connection with a claim that is outside the scope of any applicable contractual indemnity or insurance coverage.</w:t>
      </w:r>
    </w:p>
    <w:p>
      <w:pPr>
        <w:spacing w:after="0" w:line="154"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Our insurance coverage also includes fire, property damage and general liability with varying limits. We cannot assure that the insurance we maintain will satisfy claims made against us or that insurance coverage will continue to be available to us at commercially reasonable rates, in adequate amounts or on satisfactory terms. Any claims made against us, regardless of their merit or eventual outcome, could damage our reputation and business.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Pressures relating to downturns in the economy could adversely affect our business and consolidated financial statements.</w:t>
      </w:r>
    </w:p>
    <w:p>
      <w:pPr>
        <w:spacing w:after="0" w:line="1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Medicare and other federal and state payers account for a portion of our revenues. During economic downturns and periods of stagnant or slow economic growth, federal and state budgets are typically negatively affected, resulting in reduced reimbursements or delayed payments by the federal and state government health care coverage programs in which we participate, including Medicare, Medicaid, and other federal or state assistance plans. Government programs could also slow or temporarily suspend payments, negatively impacting our cash flow and increasing our working capital needs and interest payments. We have seen, and believe we will continue to see, Medicare and state Medicaid programs institute measures aimed at controlling spending growth, including reductions in reimbursement rates.</w:t>
      </w:r>
    </w:p>
    <w:p>
      <w:pPr>
        <w:spacing w:after="0" w:line="1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Higher unemployment rates and significant employment layoffs and downsizings may lead to lower numbers of patients enrolled in employer-provided plans. Adverse economic conditions could also cause employers to stop offering, or limit, healthcare coverage, or modify program designs, shifting more costs to the individual and exposing us to greater credit risk from patients or the discontinuance of therapy.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strategic investments and strategic relationships involve certain risks.</w:t>
      </w:r>
    </w:p>
    <w:p>
      <w:pPr>
        <w:spacing w:after="0" w:line="18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may pursue acquisitions, strategic investments in, or strategic relationships with businesses and technologies. Acquisitions may entail numerous risks, including difficulties in assessing values for acquired businesses, intangible assets and technologies, difficulties in the assimilation of acquired operations and products, diversion of management’s attention from other business concerns, assumption of unknown material liabilities of acquired companies, amortization of acquired intangible assets which could reduce future reported earnings, and potential loss of clients or key employees of acquired companies. We may not be able to successfully fully integrate the operations, personnel, services or products that we have acquired or may acquire in the future. Strategic investments may also entail some of the risks described above. If these investments are unsuccessful, we may need to incur charges against earnings. We may also pursue a number of strategic relationships. These relationships and others we may enter into in the future may be important to our business and growth prospects. We may not be able to maintain these relationships or develop new strategic alliances.</w:t>
      </w:r>
    </w:p>
    <w:p>
      <w:pPr>
        <w:spacing w:after="0" w:line="1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Cybersecurity risks could compromise our information and expose us to liability, which may harm our ability to operate effectively and may cause our business and reputation to suffer.</w:t>
      </w:r>
    </w:p>
    <w:p>
      <w:pPr>
        <w:spacing w:after="0" w:line="14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Cybersecurity refers to the combination of technologies, processes and procedures established to protect information technology systems and data from unauthorized access, attack, or damage. We rely on our information systems to provide security for processing, transmission and storage of confidential information about our patients, customers and personnel, such as names, addresses and other individually identifiable information protected by HIPAA and other privacy laws. Cyber incidents can result from deliberate attacks or unintentional events. Cyber-attacks are increasingly more common, including in the health care industry. The regulatory environment surrounding information security and privacy is increasingly demanding, with the frequent imposition of new and changing requirements. Compliance with changes in privacy and information security laws and with rapidly evolving industry standards may result in our incurring significant expense due to increased investment in technology and the development of new operational processes.</w:t>
      </w:r>
    </w:p>
    <w:p>
      <w:pPr>
        <w:spacing w:after="0" w:line="12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not experienced any known attacks on our information technology systems that compromised any confidential information. We maintain our information technology systems with safeguard protection against cyber-attacks including passive intrusion protection, firewalls and virus detection software. However, these safeguards do not ensure that a significant cyber-attack could not occur. Although we have taken steps to protect the security of our information systems and the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maintained in those systems, it is possible that our safety and security measures will not prevent the systems’ improper functioning or damage or the improper access or disclosure of personally identifiable information such as in the event of cyber-attacks.</w:t>
      </w:r>
    </w:p>
    <w:p>
      <w:pPr>
        <w:spacing w:after="0" w:line="13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Security breaches, including physical or electronic break-ins, computer viruses, attacks by hackers and similar breaches can create system disruptions or shutdowns or the unauthorized use or disclosure of confidential information. If personal information or protected health information is improperly accessed, tampered with or disclosed as a result of a security breach, we may incur significant costs to notify and mitigate potential harm to the affected individuals, and we may be subject to sanctions and civil or criminal penalties if we are found to be in violation of the privacy or security rules under HIPAA or other similar federal or state laws protecting confidential personal information. In addition, a security breach of our information systems could damage our reputation, subject us to liability claims or regulatory penalties for compromised personal information and could have a material adverse effect on our business, financial condition, and results of operations.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is dependent on the services provided by third party information technology vendors.</w:t>
      </w:r>
    </w:p>
    <w:p>
      <w:pPr>
        <w:spacing w:after="0" w:line="18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Our information technology infrastructure includes hosting services provided by third parties. While we believe these third parties are high-performing organizations with secure platforms and customary certifications, they could suffer a security breach or business interruption which in turn could impact our operations negatively. In addition, changes in pricing terms charged by our technology vendors may adversely affect our financial performance.</w:t>
      </w:r>
    </w:p>
    <w:p>
      <w:pPr>
        <w:spacing w:after="0" w:line="10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our financial reporting could have an adverse effect on our ability to report our financial results on a timely and accurate basis.</w:t>
      </w:r>
    </w:p>
    <w:p>
      <w:pPr>
        <w:spacing w:after="0" w:line="14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(the “Exchange Act”), and is required to evaluate the effectiveness of these controls and procedures on a periodic basis and publicly disclose the results of these evaluations and related matters in accordance with the requirements of Section 404 of the Sarbanes-Oxley Act of 2002. Effective internal control over financial reporting is necessary for us to provide reliable financial reports, to help mitigate the risk of fraud and to operate successfully. Any failure to implement and maintain effective internal controls could result in material weaknesses or material misstatements in our consolidated financial statements.</w:t>
      </w:r>
    </w:p>
    <w:p>
      <w:pPr>
        <w:spacing w:after="0" w:line="152"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If we fail to maintain effective internal control over financial reporting, or our independent registered public accounting firm is unable to provide us with an unqualified attestation report on our internal control, we may be required to take corrective measures or restate the affected historical financial statements. In addition, we may be subjected to investigations and/or sanctions by federal and state securities regulators, and/or civil lawsuits by security holders. Any of the foregoing could also cause investors to lose confidence in our reported financial information and in us and would likely result in a decline in the market price of our stock and in our ability to raise additional financing if needed in the future.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Acts of God such as major weather disturbances could disrupt our business.</w:t>
      </w:r>
    </w:p>
    <w:p>
      <w:pPr>
        <w:spacing w:after="0" w:line="19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operate in a network of prescribers, providers, patients and facilities that can be negatively impacted by local weather disturbances and other force majeure events. For example, in anticipation of major weather events, patients with impaired health may be moved to alternate sites. After a major weather event, availability of electricity, clean water and transportation can impact our ability to provide service in the home. Similarly, such events could impact key suppliers or vendors, disrupting the services or materials they provide us. In addition, acts of God and other force majeure events may cause a reduction in our business or increased costs, such as increased costs in our operations as we incur overtime charges or redirect services to other locations, delays in our ability to work with payers, hospitals, physicians and other strategic partners on new business initiatives, and disruption to referral patterns as patients are moved out of facilities affected by such events or are unable to return to sites of service in the home.</w:t>
      </w:r>
    </w:p>
    <w:p>
      <w:pPr>
        <w:spacing w:after="0" w:line="1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8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currently lease all of our properties from third parties under various lease terms expiring over periods extending through 2035, in addition to a number of non-material, month-to-month leases. Our corporate headquarters are located at 3000 Lakeside Drive, Suite 300N, Bannockburn, IL 60015. Our other properties mainly consist of infusion pharmacies equipped with clean room and compounding capabilities. Some infusion pharmacies are co-located with an ambulatory infusion center where patients receive infusion treatments. As of December 31, 2021, we have 97 pharmacies that support our infusion services business in 45 states.</w:t>
      </w:r>
    </w:p>
    <w:p>
      <w:pPr>
        <w:spacing w:after="0" w:line="15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ind w:firstLine="342"/>
        <w:spacing w:after="0" w:line="277" w:lineRule="auto"/>
        <w:rPr>
          <w:sz w:val="20"/>
          <w:szCs w:val="20"/>
          <w:color w:val="auto"/>
        </w:rPr>
      </w:pPr>
      <w:r>
        <w:rPr>
          <w:rFonts w:ascii="Arial" w:cs="Arial" w:eastAsia="Arial" w:hAnsi="Arial"/>
          <w:sz w:val="18"/>
          <w:szCs w:val="18"/>
          <w:color w:val="auto"/>
        </w:rPr>
        <w:t xml:space="preserve">For a summary of material legal proceedings, if any, refer to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consolidated financial statements included in Item 8 of this report.</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Common Stock, par value $0.0001 per share, is traded on the Nasdaq Global Select Market under the symbol “OPCH”.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As of </w:t>
      </w:r>
      <w:r>
        <w:rPr>
          <w:rFonts w:ascii="Arial" w:cs="Arial" w:eastAsia="Arial" w:hAnsi="Arial"/>
          <w:sz w:val="16"/>
          <w:szCs w:val="16"/>
          <w:color w:val="auto"/>
        </w:rPr>
        <w:t>February 18, 2022</w:t>
      </w:r>
      <w:r>
        <w:rPr>
          <w:rFonts w:ascii="Arial" w:cs="Arial" w:eastAsia="Arial" w:hAnsi="Arial"/>
          <w:sz w:val="18"/>
          <w:szCs w:val="18"/>
          <w:color w:val="auto"/>
        </w:rPr>
        <w:t>, there were 122 stockholders of record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never paid cash dividends on our Common Stock and do not anticipate doing so in the foreseeable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Item 12, “Security Ownership of Certain Beneficial Owners and Management and Related Stockholder Matters.”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 of Unregistered Securities and Use of Proceeds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8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graph compares the total cumulative returns of BioScrip through August 6, 2019 and Option Care Health from August 7, 2019 through December 31, 2021 with the total cumulative returns of the Nasdaq Composite Index and the Nasdaq Health Services Index for the five-year period from December 31, 2016 through December 31, 2021. The graph shows the performance of a $100 investment in our Common Stock and each index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110490</wp:posOffset>
            </wp:positionV>
            <wp:extent cx="5863590" cy="383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r>
      <w:tr>
        <w:trPr>
          <w:trHeight w:val="212"/>
        </w:trPr>
        <w:tc>
          <w:tcPr>
            <w:tcW w:w="4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Option Care Health, Inc.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683.65</w:t>
            </w:r>
          </w:p>
        </w:tc>
      </w:tr>
      <w:tr>
        <w:trPr>
          <w:trHeight w:val="213"/>
        </w:trPr>
        <w:tc>
          <w:tcPr>
            <w:tcW w:w="4920" w:type="dxa"/>
            <w:vAlign w:val="bottom"/>
            <w:gridSpan w:val="2"/>
          </w:tcPr>
          <w:p>
            <w:pPr>
              <w:jc w:val="right"/>
              <w:ind w:right="120"/>
              <w:spacing w:after="0"/>
              <w:rPr>
                <w:sz w:val="20"/>
                <w:szCs w:val="20"/>
                <w:color w:val="auto"/>
              </w:rPr>
            </w:pPr>
            <w:r>
              <w:rPr>
                <w:rFonts w:ascii="Arial" w:cs="Arial" w:eastAsia="Arial" w:hAnsi="Arial"/>
                <w:sz w:val="16"/>
                <w:szCs w:val="16"/>
                <w:color w:val="auto"/>
              </w:rPr>
              <w:t>Nasdaq Composite Index $</w:t>
            </w:r>
          </w:p>
        </w:tc>
        <w:tc>
          <w:tcPr>
            <w:tcW w:w="78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128.24</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123.26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166.68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239.42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290.63</w:t>
            </w:r>
          </w:p>
        </w:tc>
      </w:tr>
      <w:tr>
        <w:trPr>
          <w:trHeight w:val="219"/>
        </w:trPr>
        <w:tc>
          <w:tcPr>
            <w:tcW w:w="4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Nasdaq Health Services Index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183.47</w:t>
            </w:r>
          </w:p>
        </w:tc>
      </w:tr>
    </w:tbl>
    <w:p>
      <w:pPr>
        <w:spacing w:after="0" w:line="296" w:lineRule="exact"/>
        <w:rPr>
          <w:sz w:val="20"/>
          <w:szCs w:val="20"/>
          <w:color w:val="auto"/>
        </w:rPr>
      </w:pPr>
    </w:p>
    <w:p>
      <w:pPr>
        <w:ind w:left="300" w:hanging="130"/>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invested on December 31, 2016 in stock or index, including reinvestment of dividends.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02"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is designed to assist the reader in understanding our consolidated financial statements, the changes in certain key items in those financial statements from year-to-year and the primary factors that accounted for those changes as well as how certain accounting principles affect our consolidated financial statements.</w:t>
      </w:r>
    </w:p>
    <w:p>
      <w:pPr>
        <w:spacing w:after="0" w:line="125" w:lineRule="exact"/>
        <w:rPr>
          <w:sz w:val="20"/>
          <w:szCs w:val="20"/>
          <w:color w:val="auto"/>
        </w:rPr>
      </w:pPr>
    </w:p>
    <w:p>
      <w:pPr>
        <w:ind w:right="360" w:firstLine="324"/>
        <w:spacing w:after="0" w:line="275" w:lineRule="auto"/>
        <w:rPr>
          <w:sz w:val="20"/>
          <w:szCs w:val="20"/>
          <w:color w:val="auto"/>
        </w:rPr>
      </w:pPr>
      <w:r>
        <w:rPr>
          <w:rFonts w:ascii="Arial" w:cs="Arial" w:eastAsia="Arial" w:hAnsi="Arial"/>
          <w:sz w:val="17"/>
          <w:szCs w:val="17"/>
          <w:color w:val="auto"/>
        </w:rPr>
        <w:t>Except for the historical information contained herein, the following discussion contains forward-looking statements that are subject to known and unknown risks, uncertainties and other factors that may cause our actual results to differ materially from those expressed or implied by such forward-looking statements. We discuss such risks, uncertainties and other factors throughout this Annual Report and specifically under the caption “Forward-Looking Statements” in this Annual Report. In addition, the following discussion of financial condition and results of operations should be read in conjunction with the consolidated financial statements and notes thereto appearing in Item 8 in this Annual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154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5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4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and the combined company’s stock, par value $0.0001, was listed on the Nasdaq Capital Market. Effective February 3, 2020, the Company was listed on the Nasdaq Global Select Market under the ticker symbol “OPCH”. See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of the consolidated financial statements for further discussion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primary operations of the Company focus on providing infusion therapy services and based on the recent impact of the pandemic across the healthcare ecosystem, the Company began experiencing a related impact across a number of facets beginning in March 2020. The Company has been disrupted by both positive and negative referral patterns, experienced challenges in our staffing, and ability to procure personal protection equipment and key drugs. The Company anticipates that the pandemic could affect its operations for an extended period; however, at this time it cannot confidently forecast the duration nor the ultimate financial impact on its operations. See Item 1A. “Risk Factors” under the caption “The COVID-19 pandemic could adversely impact our business, results of operations, cash flows and financial position” for further discussion of risks.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results of operations include the accounts of Option Care Health and our subsidiaries for the years ended December 31, 2021 and 2020.</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represents our net revenue less cost of revenue.</w:t>
      </w:r>
    </w:p>
    <w:p>
      <w:pPr>
        <w:spacing w:after="0" w:line="18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i w:val="1"/>
          <w:iCs w:val="1"/>
          <w:color w:val="auto"/>
        </w:rPr>
        <w:t>Net Revenue</w:t>
      </w:r>
      <w:r>
        <w:rPr>
          <w:rFonts w:ascii="Arial" w:cs="Arial" w:eastAsia="Arial" w:hAnsi="Arial"/>
          <w:sz w:val="18"/>
          <w:szCs w:val="18"/>
          <w:color w:val="auto"/>
        </w:rPr>
        <w:t>. Infusion and related health care services revenue is reported at the estimated net realizable amounts from third-party payers and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5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the actual cost of pharmaceuticals and other medical supplies dispensed to patients. In addition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46"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8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0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Depreciation within this caption includes infrastructure items such as computer hardware and software, office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leasehold improvements. Depreciation of revenue-generating assets, such as infusion pumps, is included in cost of revenue.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consists principally of interest payments on the Company’s outstanding borrowings under the ABL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Term Loan, Senior Notes, as well as interest payments on the Company’s previous $400.0 million senior secured lien PIK toggle floating rate notes due 2027 that were fully prepaid in January 2021 (“the Second Lien Notes”) amortization of discount and deferred financing fees and changes in derivatives not designated as hedging instruments related to the interest rate swaps. Refer to the “Liquidity and Capital Resources” section below for further discussion of these outstanding borrowings.</w:t>
      </w:r>
    </w:p>
    <w:p>
      <w:pPr>
        <w:spacing w:after="0" w:line="14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14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current year loss on extinguishment of debt incurred in connection with 2021 debt refinancings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miscellaneous non-operating expenses.</w:t>
      </w:r>
    </w:p>
    <w:p>
      <w:pPr>
        <w:spacing w:after="0" w:line="13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Income Tax (Benefit) Expense</w:t>
      </w:r>
      <w:r>
        <w:rPr>
          <w:rFonts w:ascii="Arial" w:cs="Arial" w:eastAsia="Arial" w:hAnsi="Arial"/>
          <w:sz w:val="18"/>
          <w:szCs w:val="18"/>
          <w:color w:val="auto"/>
        </w:rPr>
        <w:t>. The Company is subject to taxation in the United States and various states. The Company’s income tax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reflective of the current federal and state tax rates.</w:t>
      </w:r>
    </w:p>
    <w:p>
      <w:pPr>
        <w:spacing w:after="0" w:line="13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i w:val="1"/>
          <w:iCs w:val="1"/>
          <w:color w:val="auto"/>
        </w:rPr>
        <w:t>Change in unrealized (losses) gains on cash flow hedges, net of income tax expense</w:t>
      </w:r>
      <w:r>
        <w:rPr>
          <w:rFonts w:ascii="Arial" w:cs="Arial" w:eastAsia="Arial" w:hAnsi="Arial"/>
          <w:sz w:val="18"/>
          <w:szCs w:val="18"/>
          <w:color w:val="auto"/>
        </w:rPr>
        <w:t>. Change in unrealized (losses) gains on cash flow hedges,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consists of the gains and losses associated with the changes in the fair value of hedging instruments related to the interest rate caps and interest rate swaps, net of income taxes.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following table presents Option Care Health’s consolidated results of operations for the years ended December 31, 2021 and 2020 (in thousands). For discussion of Option Care Health’s consolidated results of operations for the year ended December 31, 2020 compared to 2019, refer to Part II, Item 7, “Management’s Discussion and Analysis of Financial Condition and Results of Operations” in our 2020 Annual Report on 10-K filed with the Securities and Exchange Commission on March 11, 2021.</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Amount</w:t>
            </w:r>
          </w:p>
        </w:tc>
        <w:tc>
          <w:tcPr>
            <w:tcW w:w="1200" w:type="dxa"/>
            <w:vAlign w:val="bottom"/>
          </w:tcPr>
          <w:p>
            <w:pPr>
              <w:ind w:left="40"/>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Amount</w:t>
            </w:r>
          </w:p>
        </w:tc>
        <w:tc>
          <w:tcPr>
            <w:tcW w:w="1200" w:type="dxa"/>
            <w:vAlign w:val="bottom"/>
          </w:tcPr>
          <w:p>
            <w:pPr>
              <w:ind w:left="40"/>
              <w:spacing w:after="0"/>
              <w:rPr>
                <w:sz w:val="20"/>
                <w:szCs w:val="20"/>
                <w:color w:val="auto"/>
              </w:rPr>
            </w:pPr>
            <w:r>
              <w:rPr>
                <w:rFonts w:ascii="Arial" w:cs="Arial" w:eastAsia="Arial" w:hAnsi="Arial"/>
                <w:sz w:val="16"/>
                <w:szCs w:val="16"/>
                <w:b w:val="1"/>
                <w:bCs w:val="1"/>
                <w:color w:val="auto"/>
              </w:rPr>
              <w:t>% of Revenue</w:t>
            </w:r>
          </w:p>
        </w:tc>
        <w:tc>
          <w:tcPr>
            <w:tcW w:w="0" w:type="dxa"/>
            <w:vAlign w:val="bottom"/>
          </w:tcPr>
          <w:p>
            <w:pPr>
              <w:spacing w:after="0"/>
              <w:rPr>
                <w:sz w:val="1"/>
                <w:szCs w:val="1"/>
                <w:color w:val="auto"/>
              </w:rPr>
            </w:pP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3,438,640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color w:val="auto"/>
                <w:w w:val="92"/>
              </w:rPr>
              <w:t>100.0%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3,032,610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ind w:right="99"/>
              <w:spacing w:after="0"/>
              <w:rPr>
                <w:sz w:val="20"/>
                <w:szCs w:val="20"/>
                <w:color w:val="auto"/>
              </w:rPr>
            </w:pPr>
            <w:r>
              <w:rPr>
                <w:rFonts w:ascii="Arial" w:cs="Arial" w:eastAsia="Arial" w:hAnsi="Arial"/>
                <w:sz w:val="16"/>
                <w:szCs w:val="16"/>
                <w:color w:val="auto"/>
                <w:w w:val="92"/>
              </w:rPr>
              <w:t>100.0%</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2,659,034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center"/>
              <w:ind w:right="59"/>
              <w:spacing w:after="0"/>
              <w:rPr>
                <w:sz w:val="20"/>
                <w:szCs w:val="20"/>
                <w:color w:val="auto"/>
              </w:rPr>
            </w:pPr>
            <w:r>
              <w:rPr>
                <w:rFonts w:ascii="Arial" w:cs="Arial" w:eastAsia="Arial" w:hAnsi="Arial"/>
                <w:sz w:val="16"/>
                <w:szCs w:val="16"/>
                <w:color w:val="auto"/>
                <w:w w:val="92"/>
              </w:rPr>
              <w:t>77.3%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2,350,346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center"/>
              <w:ind w:right="99"/>
              <w:spacing w:after="0"/>
              <w:rPr>
                <w:sz w:val="20"/>
                <w:szCs w:val="20"/>
                <w:color w:val="auto"/>
              </w:rPr>
            </w:pPr>
            <w:r>
              <w:rPr>
                <w:rFonts w:ascii="Arial" w:cs="Arial" w:eastAsia="Arial" w:hAnsi="Arial"/>
                <w:sz w:val="16"/>
                <w:szCs w:val="16"/>
                <w:color w:val="auto"/>
                <w:w w:val="92"/>
              </w:rPr>
              <w:t>77.5%</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22.7%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682,264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22.5%</w:t>
            </w: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525,707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color w:val="auto"/>
                <w:w w:val="92"/>
              </w:rPr>
              <w:t>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500,199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color w:val="auto"/>
                <w:w w:val="92"/>
              </w:rPr>
              <w:t>16.5%</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3"/>
              </w:rPr>
              <w:t>2.4%</w:t>
            </w:r>
          </w:p>
        </w:tc>
        <w:tc>
          <w:tcPr>
            <w:tcW w:w="0" w:type="dxa"/>
            <w:vAlign w:val="bottom"/>
          </w:tcPr>
          <w:p>
            <w:pPr>
              <w:spacing w:after="0"/>
              <w:rPr>
                <w:sz w:val="1"/>
                <w:szCs w:val="1"/>
                <w:color w:val="auto"/>
              </w:rPr>
            </w:pPr>
          </w:p>
        </w:tc>
      </w:tr>
      <w:tr>
        <w:trPr>
          <w:trHeight w:val="207"/>
        </w:trPr>
        <w:tc>
          <w:tcPr>
            <w:tcW w:w="54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588,765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center"/>
              <w:ind w:right="59"/>
              <w:spacing w:after="0"/>
              <w:rPr>
                <w:sz w:val="20"/>
                <w:szCs w:val="20"/>
                <w:color w:val="auto"/>
              </w:rPr>
            </w:pPr>
            <w:r>
              <w:rPr>
                <w:rFonts w:ascii="Arial" w:cs="Arial" w:eastAsia="Arial" w:hAnsi="Arial"/>
                <w:sz w:val="16"/>
                <w:szCs w:val="16"/>
                <w:color w:val="auto"/>
                <w:w w:val="92"/>
              </w:rPr>
              <w:t>17.1%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571,509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center"/>
              <w:ind w:right="99"/>
              <w:spacing w:after="0"/>
              <w:rPr>
                <w:sz w:val="20"/>
                <w:szCs w:val="20"/>
                <w:color w:val="auto"/>
              </w:rPr>
            </w:pPr>
            <w:r>
              <w:rPr>
                <w:rFonts w:ascii="Arial" w:cs="Arial" w:eastAsia="Arial" w:hAnsi="Arial"/>
                <w:sz w:val="16"/>
                <w:szCs w:val="16"/>
                <w:color w:val="auto"/>
                <w:w w:val="92"/>
              </w:rPr>
              <w:t>18.8%</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3"/>
              </w:rPr>
              <w:t>3.7%</w:t>
            </w: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(67,003)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color w:val="auto"/>
                <w:w w:val="97"/>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3"/>
              </w:rPr>
              <w:t>0.1%</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center"/>
              <w:ind w:right="59"/>
              <w:spacing w:after="0"/>
              <w:rPr>
                <w:sz w:val="20"/>
                <w:szCs w:val="20"/>
                <w:color w:val="auto"/>
              </w:rPr>
            </w:pPr>
            <w:r>
              <w:rPr>
                <w:rFonts w:ascii="Arial" w:cs="Arial" w:eastAsia="Arial" w:hAnsi="Arial"/>
                <w:sz w:val="16"/>
                <w:szCs w:val="16"/>
                <w:color w:val="auto"/>
                <w:w w:val="97"/>
              </w:rPr>
              <w:t>(0.4)%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center"/>
              <w:ind w:right="79"/>
              <w:spacing w:after="0"/>
              <w:rPr>
                <w:sz w:val="20"/>
                <w:szCs w:val="20"/>
                <w:color w:val="auto"/>
              </w:rPr>
            </w:pPr>
            <w:r>
              <w:rPr>
                <w:rFonts w:ascii="Arial" w:cs="Arial" w:eastAsia="Arial" w:hAnsi="Arial"/>
                <w:sz w:val="16"/>
                <w:szCs w:val="16"/>
                <w:color w:val="auto"/>
                <w:w w:val="93"/>
              </w:rPr>
              <w:t>(0.4)%</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7"/>
              </w:rPr>
              <w:t>(2.2)%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3"/>
              </w:rPr>
              <w:t>(3.8)%</w:t>
            </w: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3"/>
              </w:rPr>
              <w:t>(0.2)%</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center"/>
              <w:ind w:right="59"/>
              <w:spacing w:after="0"/>
              <w:rPr>
                <w:sz w:val="20"/>
                <w:szCs w:val="20"/>
                <w:color w:val="auto"/>
              </w:rPr>
            </w:pPr>
            <w:r>
              <w:rPr>
                <w:rFonts w:ascii="Arial" w:cs="Arial" w:eastAsia="Arial" w:hAnsi="Arial"/>
                <w:sz w:val="16"/>
                <w:szCs w:val="16"/>
                <w:color w:val="auto"/>
                <w:w w:val="97"/>
              </w:rPr>
              <w:t>(0.7)%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center"/>
              <w:ind w:right="99"/>
              <w:spacing w:after="0"/>
              <w:rPr>
                <w:sz w:val="20"/>
                <w:szCs w:val="20"/>
                <w:color w:val="auto"/>
              </w:rPr>
            </w:pPr>
            <w:r>
              <w:rPr>
                <w:rFonts w:ascii="Arial" w:cs="Arial" w:eastAsia="Arial" w:hAnsi="Arial"/>
                <w:sz w:val="16"/>
                <w:szCs w:val="16"/>
                <w:color w:val="auto"/>
                <w:w w:val="93"/>
              </w:rPr>
              <w:t>0.1%</w:t>
            </w:r>
          </w:p>
        </w:tc>
        <w:tc>
          <w:tcPr>
            <w:tcW w:w="0" w:type="dxa"/>
            <w:vAlign w:val="bottom"/>
          </w:tcPr>
          <w:p>
            <w:pPr>
              <w:spacing w:after="0"/>
              <w:rPr>
                <w:sz w:val="1"/>
                <w:szCs w:val="1"/>
                <w:color w:val="auto"/>
              </w:rPr>
            </w:pPr>
          </w:p>
        </w:tc>
      </w:tr>
      <w:tr>
        <w:trPr>
          <w:trHeight w:val="238"/>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(0.3)%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140"/>
              <w:spacing w:after="0" w:line="166" w:lineRule="exact"/>
              <w:rPr>
                <w:sz w:val="20"/>
                <w:szCs w:val="20"/>
                <w:color w:val="auto"/>
              </w:rPr>
            </w:pPr>
            <w:r>
              <w:rPr>
                <w:rFonts w:ascii="Arial" w:cs="Arial" w:eastAsia="Arial" w:hAnsi="Arial"/>
                <w:sz w:val="16"/>
                <w:szCs w:val="16"/>
                <w:color w:val="auto"/>
                <w:w w:val="92"/>
              </w:rPr>
              <w:t>Change in unrealized gains (losses) on cash flow hedges, net of income taxes of</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10,721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6"/>
                <w:szCs w:val="16"/>
                <w:color w:val="auto"/>
                <w:w w:val="93"/>
              </w:rPr>
              <w:t>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center"/>
              <w:ind w:right="79"/>
              <w:spacing w:after="0"/>
              <w:rPr>
                <w:sz w:val="20"/>
                <w:szCs w:val="20"/>
                <w:color w:val="auto"/>
              </w:rPr>
            </w:pPr>
            <w:r>
              <w:rPr>
                <w:rFonts w:ascii="Arial" w:cs="Arial" w:eastAsia="Arial" w:hAnsi="Arial"/>
                <w:sz w:val="16"/>
                <w:szCs w:val="16"/>
                <w:color w:val="auto"/>
                <w:w w:val="93"/>
              </w:rPr>
              <w:t>(0.1)%</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$0 and $0, respectively</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3"/>
              </w:rPr>
              <w:t>(0.1)%</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NET COMPREHENSIVE INCOME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color w:val="auto"/>
                <w:w w:val="93"/>
              </w:rPr>
              <w:t>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93"/>
              </w:rPr>
              <w:t>(0.4)%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selected consolidated comparative results of operations for the years ended December 31, 2021 and 2020:</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6" w:lineRule="exact"/>
        <w:rPr>
          <w:sz w:val="20"/>
          <w:szCs w:val="20"/>
          <w:color w:val="auto"/>
        </w:rPr>
      </w:pPr>
    </w:p>
    <w:tbl>
      <w:tblPr>
        <w:tblLayout w:type="fixed"/>
        <w:tblInd w:w="136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center"/>
              <w:ind w:right="840"/>
              <w:spacing w:after="0"/>
              <w:rPr>
                <w:sz w:val="20"/>
                <w:szCs w:val="20"/>
                <w:color w:val="auto"/>
              </w:rPr>
            </w:pPr>
            <w:r>
              <w:rPr>
                <w:rFonts w:ascii="Arial" w:cs="Arial" w:eastAsia="Arial" w:hAnsi="Arial"/>
                <w:sz w:val="16"/>
                <w:szCs w:val="16"/>
                <w:b w:val="1"/>
                <w:bCs w:val="1"/>
                <w:color w:val="auto"/>
                <w:w w:val="91"/>
              </w:rPr>
              <w:t>Year Ended December 31,</w:t>
            </w:r>
          </w:p>
        </w:tc>
        <w:tc>
          <w:tcPr>
            <w:tcW w:w="680" w:type="dxa"/>
            <w:vAlign w:val="bottom"/>
            <w:tcBorders>
              <w:bottom w:val="single" w:sz="8" w:color="auto"/>
            </w:tcBorders>
          </w:tcPr>
          <w:p>
            <w:pPr>
              <w:spacing w:after="0"/>
              <w:rPr>
                <w:sz w:val="18"/>
                <w:szCs w:val="18"/>
                <w:color w:val="auto"/>
              </w:rPr>
            </w:pPr>
          </w:p>
        </w:tc>
      </w:tr>
      <w:tr>
        <w:trPr>
          <w:trHeight w:val="210"/>
        </w:trPr>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Variance</w:t>
            </w:r>
          </w:p>
        </w:tc>
        <w:tc>
          <w:tcPr>
            <w:tcW w:w="680" w:type="dxa"/>
            <w:vAlign w:val="bottom"/>
            <w:tcBorders>
              <w:bottom w:val="single" w:sz="8" w:color="auto"/>
            </w:tcBorders>
          </w:tcPr>
          <w:p>
            <w:pPr>
              <w:spacing w:after="0"/>
              <w:rPr>
                <w:sz w:val="18"/>
                <w:szCs w:val="18"/>
                <w:color w:val="auto"/>
              </w:rPr>
            </w:pPr>
          </w:p>
        </w:tc>
      </w:tr>
      <w:tr>
        <w:trPr>
          <w:trHeight w:val="247"/>
        </w:trPr>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60" w:type="dxa"/>
            <w:vAlign w:val="bottom"/>
            <w:gridSpan w:val="8"/>
          </w:tcPr>
          <w:p>
            <w:pPr>
              <w:jc w:val="center"/>
              <w:ind w:right="52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680" w:type="dxa"/>
            <w:vAlign w:val="bottom"/>
          </w:tcPr>
          <w:p>
            <w:pPr>
              <w:spacing w:after="0"/>
              <w:rPr>
                <w:sz w:val="21"/>
                <w:szCs w:val="21"/>
                <w:color w:val="auto"/>
              </w:rPr>
            </w:pPr>
          </w:p>
        </w:tc>
      </w:tr>
      <w:tr>
        <w:trPr>
          <w:trHeight w:val="219"/>
        </w:trPr>
        <w:tc>
          <w:tcPr>
            <w:tcW w:w="346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3,438,640</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3,032,610</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406,030</w:t>
            </w: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13.4 %</w:t>
            </w: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2,659,034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2,350,346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308,688</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779,606</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682,264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97,342</w:t>
            </w: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14.3 %</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margin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13.4% increase in net revenue was primarily driven by organic growth in the Company’s portfolio of therapies. For the year ended December 31, 2021, the revenue results reflect mid single-digits revenue growth for acute therapies, while revenue for chronic therapies grew in the mid-teens relative to the prior year. The increase in cost of revenue was primarily driven by the revenue growth. The increase in gross profit was primarily related to contribution margin from the increase in net revenue. The slight increase in gross profit margin was driven by mix shift toward higher profit therapies.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6" w:lineRule="exact"/>
        <w:rPr>
          <w:sz w:val="20"/>
          <w:szCs w:val="20"/>
          <w:color w:val="auto"/>
        </w:rPr>
      </w:pPr>
    </w:p>
    <w:tbl>
      <w:tblPr>
        <w:tblLayout w:type="fixed"/>
        <w:tblInd w:w="136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6"/>
                <w:szCs w:val="16"/>
                <w:b w:val="1"/>
                <w:bCs w:val="1"/>
                <w:color w:val="auto"/>
                <w:w w:val="91"/>
              </w:rPr>
              <w:t>Year Ended December 31,</w:t>
            </w:r>
          </w:p>
        </w:tc>
        <w:tc>
          <w:tcPr>
            <w:tcW w:w="720" w:type="dxa"/>
            <w:vAlign w:val="bottom"/>
            <w:tcBorders>
              <w:bottom w:val="single" w:sz="8" w:color="auto"/>
            </w:tcBorders>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r>
      <w:tr>
        <w:trPr>
          <w:trHeight w:val="37"/>
        </w:trPr>
        <w:tc>
          <w:tcPr>
            <w:tcW w:w="3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6"/>
        </w:trPr>
        <w:tc>
          <w:tcPr>
            <w:tcW w:w="368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0" w:type="dxa"/>
            <w:vAlign w:val="bottom"/>
            <w:gridSpan w:val="7"/>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20" w:type="dxa"/>
            <w:vAlign w:val="bottom"/>
            <w:shd w:val="clear" w:color="auto" w:fill="CCEEFF"/>
          </w:tcPr>
          <w:p>
            <w:pPr>
              <w:spacing w:after="0"/>
              <w:rPr>
                <w:sz w:val="18"/>
                <w:szCs w:val="18"/>
                <w:color w:val="auto"/>
              </w:rPr>
            </w:pPr>
          </w:p>
        </w:tc>
      </w:tr>
      <w:tr>
        <w:trPr>
          <w:trHeight w:val="213"/>
        </w:trPr>
        <w:tc>
          <w:tcPr>
            <w:tcW w:w="368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525,707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500,199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240"/>
              <w:spacing w:after="0"/>
              <w:rPr>
                <w:sz w:val="20"/>
                <w:szCs w:val="20"/>
                <w:color w:val="auto"/>
              </w:rPr>
            </w:pPr>
            <w:r>
              <w:rPr>
                <w:rFonts w:ascii="Arial" w:cs="Arial" w:eastAsia="Arial" w:hAnsi="Arial"/>
                <w:sz w:val="16"/>
                <w:szCs w:val="16"/>
                <w:color w:val="auto"/>
              </w:rPr>
              <w:t>25,508</w:t>
            </w: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216"/>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71,310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w w:val="94"/>
              </w:rPr>
              <w:t>(8,252)</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588,765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571,509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240"/>
              <w:spacing w:after="0"/>
              <w:rPr>
                <w:sz w:val="20"/>
                <w:szCs w:val="20"/>
                <w:color w:val="auto"/>
              </w:rPr>
            </w:pPr>
            <w:r>
              <w:rPr>
                <w:rFonts w:ascii="Arial" w:cs="Arial" w:eastAsia="Arial" w:hAnsi="Arial"/>
                <w:sz w:val="16"/>
                <w:szCs w:val="16"/>
                <w:color w:val="auto"/>
              </w:rPr>
              <w:t>17,256</w:t>
            </w: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
        </w:trPr>
        <w:tc>
          <w:tcPr>
            <w:tcW w:w="3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Selling, general and administrative expenses increased for the year ended December 31, 2021 primarily due to salaries and benefits, but has decreased as a percentage of revenue to 15.3% for the year ended December 31, 2021 as compared to 16.5% for the year ended December 31, 2020 primarily due to disciplined expense management, the leverage of established infrastructure, and Merger synergy realization.</w:t>
      </w:r>
    </w:p>
    <w:p>
      <w:pPr>
        <w:spacing w:after="0" w:line="138"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decrease in depreciation and amortization was attributable to a reduction in capital expenditures, due to more efficient capital expenditures given investments in prior years and the completion of Merger integration activities during the year ended December 31, 2020. There was also a decrease in amortization expense attributed to certain intangible assets whose useful life expired partway through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6" w:lineRule="exact"/>
        <w:rPr>
          <w:sz w:val="20"/>
          <w:szCs w:val="20"/>
          <w:color w:val="auto"/>
        </w:rPr>
      </w:pPr>
    </w:p>
    <w:tbl>
      <w:tblPr>
        <w:tblLayout w:type="fixed"/>
        <w:tblInd w:w="136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center"/>
              <w:ind w:right="680"/>
              <w:spacing w:after="0"/>
              <w:rPr>
                <w:sz w:val="20"/>
                <w:szCs w:val="20"/>
                <w:color w:val="auto"/>
              </w:rPr>
            </w:pPr>
            <w:r>
              <w:rPr>
                <w:rFonts w:ascii="Arial" w:cs="Arial" w:eastAsia="Arial" w:hAnsi="Arial"/>
                <w:sz w:val="16"/>
                <w:szCs w:val="16"/>
                <w:b w:val="1"/>
                <w:bCs w:val="1"/>
                <w:color w:val="auto"/>
                <w:w w:val="91"/>
              </w:rPr>
              <w:t>Year Ended December 31,</w:t>
            </w:r>
          </w:p>
        </w:tc>
        <w:tc>
          <w:tcPr>
            <w:tcW w:w="720" w:type="dxa"/>
            <w:vAlign w:val="bottom"/>
            <w:tcBorders>
              <w:bottom w:val="single" w:sz="8" w:color="auto"/>
            </w:tcBorders>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r>
      <w:tr>
        <w:trPr>
          <w:trHeight w:val="247"/>
        </w:trPr>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40" w:type="dxa"/>
            <w:vAlign w:val="bottom"/>
            <w:gridSpan w:val="7"/>
          </w:tcPr>
          <w:p>
            <w:pPr>
              <w:jc w:val="center"/>
              <w:ind w:right="38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20" w:type="dxa"/>
            <w:vAlign w:val="bottom"/>
          </w:tcPr>
          <w:p>
            <w:pPr>
              <w:spacing w:after="0"/>
              <w:rPr>
                <w:sz w:val="21"/>
                <w:szCs w:val="2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(67,003)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(107,770)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40,767</w:t>
            </w: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joint ventures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82.0 %</w:t>
            </w:r>
          </w:p>
        </w:tc>
      </w:tr>
      <w:tr>
        <w:trPr>
          <w:trHeight w:val="21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w:t>
            </w:r>
          </w:p>
        </w:tc>
        <w:tc>
          <w:tcPr>
            <w:tcW w:w="6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15.9 %</w:t>
            </w:r>
          </w:p>
        </w:tc>
      </w:tr>
      <w:tr>
        <w:trPr>
          <w:trHeight w:val="232"/>
        </w:trPr>
        <w:tc>
          <w:tcPr>
            <w:tcW w:w="3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(74,347)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(115,998)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41,651</w:t>
            </w:r>
          </w:p>
        </w:tc>
        <w:tc>
          <w:tcPr>
            <w:tcW w:w="6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 xml:space="preserve">The decrease in interest expense was attributable to the debt refinancing of the First Lien Term Loan and prepayment of the Second Lien Notes in January 2021. In addition, the decrease is attributable to the debt refinancing of the First Lien Term Loan and issuance of Senior Notes in October 2021. See Note 11, </w:t>
      </w:r>
      <w:r>
        <w:rPr>
          <w:rFonts w:ascii="Arial" w:cs="Arial" w:eastAsia="Arial" w:hAnsi="Arial"/>
          <w:sz w:val="18"/>
          <w:szCs w:val="18"/>
          <w:i w:val="1"/>
          <w:iCs w:val="1"/>
          <w:color w:val="auto"/>
        </w:rPr>
        <w:t>Indebtedness</w:t>
      </w:r>
      <w:r>
        <w:rPr>
          <w:rFonts w:ascii="Arial" w:cs="Arial" w:eastAsia="Arial" w:hAnsi="Arial"/>
          <w:sz w:val="18"/>
          <w:szCs w:val="18"/>
          <w:color w:val="auto"/>
        </w:rPr>
        <w:t>, of the consolidated financial statements.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equity of joint ventures was primarily attributable to organic growth and improved profitability in the Company’s two joint ventures.</w:t>
      </w:r>
    </w:p>
    <w:p>
      <w:pPr>
        <w:spacing w:after="0" w:line="20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 xml:space="preserve">The increase in other, net relates to the loss on extinguishment of debt of $13.4 million incurred in conjunction with the January 2021 and October 2021 debt refinancings. See Note 11, </w:t>
      </w:r>
      <w:r>
        <w:rPr>
          <w:rFonts w:ascii="Arial" w:cs="Arial" w:eastAsia="Arial" w:hAnsi="Arial"/>
          <w:sz w:val="18"/>
          <w:szCs w:val="18"/>
          <w:i w:val="1"/>
          <w:iCs w:val="1"/>
          <w:color w:val="auto"/>
        </w:rPr>
        <w:t>Indebtedness</w:t>
      </w:r>
      <w:r>
        <w:rPr>
          <w:rFonts w:ascii="Arial" w:cs="Arial" w:eastAsia="Arial" w:hAnsi="Arial"/>
          <w:sz w:val="18"/>
          <w:szCs w:val="18"/>
          <w:color w:val="auto"/>
        </w:rPr>
        <w:t>, of the consolidated financial statements for more information.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(Benefit) Expense</w:t>
      </w:r>
    </w:p>
    <w:p>
      <w:pPr>
        <w:spacing w:after="0" w:line="226" w:lineRule="exact"/>
        <w:rPr>
          <w:sz w:val="20"/>
          <w:szCs w:val="20"/>
          <w:color w:val="auto"/>
        </w:rPr>
      </w:pPr>
    </w:p>
    <w:tbl>
      <w:tblPr>
        <w:tblLayout w:type="fixed"/>
        <w:tblInd w:w="136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center"/>
              <w:ind w:right="579"/>
              <w:spacing w:after="0"/>
              <w:rPr>
                <w:sz w:val="20"/>
                <w:szCs w:val="20"/>
                <w:color w:val="auto"/>
              </w:rPr>
            </w:pPr>
            <w:r>
              <w:rPr>
                <w:rFonts w:ascii="Arial" w:cs="Arial" w:eastAsia="Arial" w:hAnsi="Arial"/>
                <w:sz w:val="16"/>
                <w:szCs w:val="16"/>
                <w:b w:val="1"/>
                <w:bCs w:val="1"/>
                <w:color w:val="auto"/>
                <w:w w:val="91"/>
              </w:rPr>
              <w:t>Year Ended December 31,</w:t>
            </w:r>
          </w:p>
        </w:tc>
        <w:tc>
          <w:tcPr>
            <w:tcW w:w="760" w:type="dxa"/>
            <w:vAlign w:val="bottom"/>
            <w:tcBorders>
              <w:bottom w:val="single" w:sz="8" w:color="auto"/>
            </w:tcBorders>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r>
      <w:tr>
        <w:trPr>
          <w:trHeight w:val="250"/>
        </w:trPr>
        <w:tc>
          <w:tcPr>
            <w:tcW w:w="3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980" w:type="dxa"/>
            <w:vAlign w:val="bottom"/>
            <w:gridSpan w:val="6"/>
          </w:tcPr>
          <w:p>
            <w:pPr>
              <w:jc w:val="center"/>
              <w:ind w:right="259"/>
              <w:spacing w:after="0"/>
              <w:rPr>
                <w:sz w:val="20"/>
                <w:szCs w:val="20"/>
                <w:color w:val="auto"/>
              </w:rPr>
            </w:pPr>
            <w:r>
              <w:rPr>
                <w:rFonts w:ascii="Arial" w:cs="Arial" w:eastAsia="Arial" w:hAnsi="Arial"/>
                <w:sz w:val="16"/>
                <w:szCs w:val="16"/>
                <w:b w:val="1"/>
                <w:bCs w:val="1"/>
                <w:color w:val="auto"/>
                <w:w w:val="88"/>
              </w:rPr>
              <w:t>(in thousands, except for percentages)</w:t>
            </w:r>
          </w:p>
        </w:tc>
        <w:tc>
          <w:tcPr>
            <w:tcW w:w="760" w:type="dxa"/>
            <w:vAlign w:val="bottom"/>
          </w:tcPr>
          <w:p>
            <w:pPr>
              <w:spacing w:after="0"/>
              <w:rPr>
                <w:sz w:val="21"/>
                <w:szCs w:val="2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(26,237)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(926.1)%</w:t>
            </w:r>
          </w:p>
        </w:tc>
      </w:tr>
    </w:tbl>
    <w:p>
      <w:pPr>
        <w:spacing w:after="0" w:line="16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Company’s tax benefit for the year ended December 31, 2021 is comprised of a change in deferred tax assets and liabilities, state tax liabilities, and the release of valuation allowance, resulting in a negative effective tax rate of 20.1%. The Company’s tax expense for year ended December 31, 2020 is comprised of a deferred tax benefit offset by a change in valuation allowance, a change in deferred tax assets and liabilities, and state tax liabilities. This resulted in an effective tax rate of negative 54.0% for the year ended December 31, 2020. These effective tax rates differ from the Company’s 21% federal statutory rate primarily due to changes in the valuation allowance, certain state and local taxes and non-deductible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Income (Loss) and Other Comprehensive Income (Loss)</w:t>
      </w:r>
    </w:p>
    <w:p>
      <w:pPr>
        <w:spacing w:after="0" w:line="226" w:lineRule="exact"/>
        <w:rPr>
          <w:sz w:val="20"/>
          <w:szCs w:val="20"/>
          <w:color w:val="auto"/>
        </w:rPr>
      </w:pPr>
    </w:p>
    <w:tbl>
      <w:tblPr>
        <w:tblLayout w:type="fixed"/>
        <w:tblInd w:w="136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92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139,898</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(8,076)</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147,974</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(1,832.3)%</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660" w:type="dxa"/>
            <w:vAlign w:val="bottom"/>
          </w:tcPr>
          <w:p>
            <w:pPr>
              <w:ind w:left="100"/>
              <w:spacing w:after="0" w:line="166" w:lineRule="exact"/>
              <w:rPr>
                <w:sz w:val="20"/>
                <w:szCs w:val="20"/>
                <w:color w:val="auto"/>
              </w:rPr>
            </w:pPr>
            <w:r>
              <w:rPr>
                <w:rFonts w:ascii="Arial" w:cs="Arial" w:eastAsia="Arial" w:hAnsi="Arial"/>
                <w:sz w:val="16"/>
                <w:szCs w:val="16"/>
                <w:color w:val="auto"/>
                <w:w w:val="99"/>
              </w:rPr>
              <w:t>Changes in unrealized gains (losses) on cash flow</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10,721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14,698</w:t>
            </w:r>
          </w:p>
        </w:tc>
        <w:tc>
          <w:tcPr>
            <w:tcW w:w="5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(369.6)%</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hedges, net of income taxes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14,698</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w:t>
            </w: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Arial" w:cs="Arial" w:eastAsia="Arial" w:hAnsi="Arial"/>
                <w:sz w:val="16"/>
                <w:szCs w:val="16"/>
                <w:color w:val="auto"/>
              </w:rPr>
              <w:t>Net comprehensive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150,619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(12,053)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162,672</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(1,349.6)%</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change in net income (loss) was primarily attributable to contribution margin from additional revenue related to the factors described in the above sections, and the release of the Company’s valuation allowance as referenced in the Income Tax (Benefit) Expense section above.</w:t>
      </w:r>
    </w:p>
    <w:p>
      <w:pPr>
        <w:spacing w:after="0" w:line="11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change in unrealized gains (losses) on cash flow hedges, net of income taxes, primarily related to the increase in fair value on the $925.0 million notional swap as the swap expired in August 2021.</w:t>
      </w:r>
    </w:p>
    <w:p>
      <w:pPr>
        <w:spacing w:after="0" w:line="13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change in net comprehensive income (loss) was the result of the change in net income (loss), described above, further increased by the impact of the fair value of the interest rate swap.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the years ended December 31, 2021 and 2020, the Company’s primary sources of liquidity were cash on hand of $119.4 million and $99.3 million, respectively, as well as borrowings under its credit facilities, described further below. During the year ended December 31, 2021 and 2020, the Company’s positive cash flows from operations have enabled investments in pharmacy and information technology infrastructure to support growth and create additional capacity in the future, as well as pursue acquisitions.</w:t>
      </w:r>
    </w:p>
    <w:p>
      <w:pPr>
        <w:spacing w:after="0" w:line="14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The Company’s primary uses of cash include supporting our ongoing business activities, investment in capital expenditures in both facilities and technology, and the pursuit of acquisitions. Ongoing operating cash outflows are associated with procuring and dispensing drugs, personnel and other costs associated with servicing patients, as well as paying cash interest on the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 In addition to these ongoing investing and financing activities, during the year ended December 31, 2021, the Company entered into debt refinancing transactions further described below under </w:t>
      </w:r>
      <w:r>
        <w:rPr>
          <w:rFonts w:ascii="Arial" w:cs="Arial" w:eastAsia="Arial" w:hAnsi="Arial"/>
          <w:sz w:val="18"/>
          <w:szCs w:val="18"/>
          <w:i w:val="1"/>
          <w:iCs w:val="1"/>
          <w:color w:val="auto"/>
        </w:rPr>
        <w:t>Credit Facilities</w:t>
      </w:r>
      <w:r>
        <w:rPr>
          <w:rFonts w:ascii="Arial" w:cs="Arial" w:eastAsia="Arial" w:hAnsi="Arial"/>
          <w:sz w:val="18"/>
          <w:szCs w:val="18"/>
          <w:color w:val="auto"/>
        </w:rPr>
        <w:t>.</w:t>
      </w:r>
    </w:p>
    <w:p>
      <w:pPr>
        <w:spacing w:after="0" w:line="15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business strategy includes the deployment of capital to pursue acquisitions that complement our operations.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18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8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January 2021, the Company entered into an amendment on the First Lien Term Loan (the “First Lien Credit Agreement Amendment”). The First Lien Credit Agreement Amendment resulted in an additional $250.0 million of incremental First Lien Term Loan indebtedness being issued and reduced the interest rate on all outstanding First Lien Term Loan indebtedness from LIBOR plus 4.25% to LIBOR plus 3.75%. The proceeds of the $250.0 million incremental First Lien Term Loan indebtedness were used to prepay the remaining $245.8 million outstanding balance of the Second Lien Notes. Following the First Lien Credit Agreement Amendment, the First Lien Term Loan was repayable in quarterly installments, beginning in March 2021, of $2.9 million plus interest, with a final payment of all remaining outstanding principal due on August 6, 2026.</w:t>
      </w:r>
    </w:p>
    <w:p>
      <w:pPr>
        <w:spacing w:after="0" w:line="151"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In October 2021, the Company refinanced its $1,157.0 million outstanding existing First Lien Term Loan due 2026. The Company amended the existing First Lien Term Loan, to provide $600 million of refinanced borrowings (the “First Lien Term Loan Facility”). The refinancing changed the interest rate from LIBOR plus 3.75% to, at the Company’s option, either (i) LIBOR (or a comparable successor rate, with a floor of 0.50% per annum) plus an applicable margin of 2.75% for Eurocurrency Rate Loans (as such term is defined in the First Lien Term Loan Agreement) and (ii) a base rate determined in accordance with the New First Lien Term Loan Agreement, plus 1.75% for Base Rate Loans (as such term is defined in the First Lien Term Loan Agreement). The First Lien Term Loan Facility is repayable in quarterly installments of $1.5 million plus interest and extended its maturity to October 27, 2028. In conjunction with the refinancing, the Company also issued $500.0 million in aggregate principal of unsecured senior notes (“Senior Notes”). The Senior Notes bear interest at a rate of 4.375% per annum payable semi-annually in arrears on October 31 and April 30 of each year, commencing April 30, 2022. The Senior Notes mature on October 31, 2029. In October 2021, the Company also entered into an agreement to amend its existing asset-based lending revolving credit facility (“ABL Facility”). The ABL Facility bears interest at a rate equal to, at the Borrowers’ election, either</w:t>
      </w:r>
    </w:p>
    <w:p>
      <w:pPr>
        <w:spacing w:after="0" w:line="5" w:lineRule="exact"/>
        <w:rPr>
          <w:sz w:val="20"/>
          <w:szCs w:val="20"/>
          <w:color w:val="auto"/>
        </w:rPr>
      </w:pPr>
    </w:p>
    <w:p>
      <w:pPr>
        <w:jc w:val="both"/>
        <w:ind w:right="140" w:firstLine="8"/>
        <w:spacing w:after="0" w:line="273" w:lineRule="auto"/>
        <w:tabs>
          <w:tab w:leader="none" w:pos="2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base rate determined in accordance with the ABL Credit Agreement plus an applicable margin, which is equal to between 0.25% and 0.75% based on the historical excess availability as a percentage of the Line Cap (as such term is defined in the ABL Credit Agreement) and (ii) LIBOR (or a comparable successor rate, with a floor of 0.00% per annum) plus an applicable margin, which is equal to between 1.25% and 1.75% based on the historical excess availability as a percentage of the Line Cap. The ABL Facility matures on October 27, 2026.</w:t>
      </w:r>
    </w:p>
    <w:p>
      <w:pPr>
        <w:spacing w:after="0" w:line="13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Interest payments over the course of long-term debt obligations total an estimated $300.9 million based on final maturity dates of the Company’s credit facilities. Interest payments are calculated based on the LIBOR rate as of December 31, 2021. Actual payments are based on changes in LIBOR and exclude the interest rate derivative agreement the Company entered into in connection with the debt refinancing in October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9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selected data from Option Care Health’s consolidated statements of cash flows for the years ended December 31, 2021 and 2020:</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center"/>
              <w:ind w:left="579"/>
              <w:spacing w:after="0"/>
              <w:rPr>
                <w:sz w:val="20"/>
                <w:szCs w:val="20"/>
                <w:color w:val="auto"/>
              </w:rPr>
            </w:pPr>
            <w:r>
              <w:rPr>
                <w:rFonts w:ascii="Arial" w:cs="Arial" w:eastAsia="Arial" w:hAnsi="Arial"/>
                <w:sz w:val="16"/>
                <w:szCs w:val="16"/>
                <w:b w:val="1"/>
                <w:bCs w:val="1"/>
                <w:color w:val="auto"/>
                <w:w w:val="91"/>
              </w:rPr>
              <w:t>Year Ended December 31,</w:t>
            </w:r>
          </w:p>
        </w:tc>
        <w:tc>
          <w:tcPr>
            <w:tcW w:w="880" w:type="dxa"/>
            <w:vAlign w:val="bottom"/>
            <w:tcBorders>
              <w:bottom w:val="single" w:sz="8" w:color="auto"/>
            </w:tcBorders>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Variance</w:t>
            </w:r>
          </w:p>
        </w:tc>
      </w:tr>
      <w:tr>
        <w:trPr>
          <w:trHeight w:val="247"/>
        </w:trPr>
        <w:tc>
          <w:tcPr>
            <w:tcW w:w="4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(in thousands)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9"/>
        </w:trPr>
        <w:tc>
          <w:tcPr>
            <w:tcW w:w="45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208,569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127,392</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81,177</w:t>
            </w: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(85,207)</w:t>
            </w:r>
          </w:p>
        </w:tc>
      </w:tr>
      <w:tr>
        <w:trPr>
          <w:trHeight w:val="21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(68,849)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(8,021)</w:t>
            </w:r>
          </w:p>
        </w:tc>
      </w:tr>
      <w:tr>
        <w:trPr>
          <w:trHeight w:val="212"/>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(12,051)</w:t>
            </w:r>
          </w:p>
        </w:tc>
      </w:tr>
      <w:tr>
        <w:trPr>
          <w:trHeight w:val="21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99,265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32,209</w:t>
            </w:r>
          </w:p>
        </w:tc>
      </w:tr>
      <w:tr>
        <w:trPr>
          <w:trHeight w:val="23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increase in cash provided by operating activities for the year ended December 31, 2021 was primarily due to higher net income, and decrease in interest expense due to the January and October 2021 debt refinancings as compared to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increase in cash flows used in investing activities is primarily due to acquisitions made in the year ended December 31, 2021, which are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of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increase in cash flows used in financing activities is related to the January and October refinancing activities in the current year. The prior year cash used in financing activities consisted of the $174.0 million prepayment of the Second Lien Notes, which was partially offset by $118.9 million of proceeds from the issuance of common stock, as well as principal payments on the First Lien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prepares its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 following discussion is not intended to be a comprehensive list of all the accounting policies, estimates or judgments made in the preparation of our financial statements. A discussion of our significant accounting policies, including further discussion of the accounting policies described below, can be found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within the notes to the consolidated financial statements included in Item 8 of this Annual Report.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and Accounts Receivable</w:t>
      </w:r>
    </w:p>
    <w:p>
      <w:pPr>
        <w:spacing w:after="0" w:line="19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Net revenue is reported at the net realizable value amount that reflects the consideration the Company expects to receive in exchange for providing services. Revenues are from commercial payers, government payers, and patients for goods and services provided and are based on a gross price based on payer contracts, fee schedules, or other arrangements less any implicit price concessions.</w:t>
      </w:r>
    </w:p>
    <w:p>
      <w:pPr>
        <w:spacing w:after="0" w:line="14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43"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6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provides a variety of infusion-related therapies to patients, which frequently include multiple deliverables of pharmaceutical drugs and related nursing services. After applying the criteria from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4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Company’s accounts receivable is reported at the net realizable value amount that reflects the consideration the Company expects to receive in exchange for providing services, which is inclusive of adjustments for price concessions. The majority of accounts receivable are due from private insurance carriers and governmental health care programs, such as Medicare and Medicaid.</w:t>
      </w:r>
    </w:p>
    <w:p>
      <w:pPr>
        <w:spacing w:after="0" w:line="143"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w:t>
      </w:r>
    </w:p>
    <w:p>
      <w:pPr>
        <w:spacing w:after="0" w:line="9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Included in accounts receivable are earned but unbilled gross receivables. Delays ranging from one day up to several weeks between the date of service and billing can occur due to delays in obtaining certain required payer-specific documentation from internal and external sources.</w:t>
      </w:r>
    </w:p>
    <w:p>
      <w:pPr>
        <w:spacing w:after="0" w:line="106"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After applying the criteria from ASC 606, an allowance for doubtful accounts is established only as a result of an adverse change in the payers’ ability to pay outstanding billings. The Company did not have an allowance for doubtful accounts as of December 31, 2021 or 2020. The Company recorded an allowance for implicit price concessions based on its historical experience of additional revenue being recorded or revenue being written off when amounts received are greater than or less than the originally estimated net realizable value. The detailed assessments included, among other factors, (i) current over/under payments which had not yet been applied to an account, (ii) historical contractual adjustments, and (iii) an estimate for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contractual adjustments expected to be realized in the future. Contractual allowance estimates are adjusted to actual amounts as cash is received and claims are settled.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Goodwill represents the excess of the purchase price over the fair value of assets acquired and liabilities assumed. The Company tests goodwill for impairment annually, or more frequently whenever events or circumstances indicate impairment may exist. Goodwill is stated at cost less accumulated impairment losses. The Company completes its goodwill impairment test annually in the fourth quarter.</w:t>
      </w:r>
    </w:p>
    <w:p>
      <w:pPr>
        <w:spacing w:after="0" w:line="14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Circumstances that could trigger an interim impairment test include: a significant adverse change in the business climate or legal factors; an adverse action or assessment by a regulator; unanticipated competition; the loss of key personnel; a change in reporting units; the likelihood that a reporting unit or significant portion of a reporting unit will be sold or otherwise disposed of; and the results of testing for recoverability of a significant asset group within a reporting unit.</w:t>
      </w:r>
    </w:p>
    <w:p>
      <w:pPr>
        <w:spacing w:after="0" w:line="14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 qualitative impairment analysis was performed in the fourth quarter of 2021, 2020 and 2019 to assess whether it is more likely than not that the fair value of the Company’s reporting unit is less than its carrying value. The Company assessed relevant events and circumstances including macroeconomic conditions, industry and market considerations, overall financial performance, entity-specific events, and changes in the Company’s stock price. The Company determined that there was no goodwill impairment in 2021, 2020, or 2019.</w:t>
      </w:r>
    </w:p>
    <w:p>
      <w:pPr>
        <w:spacing w:after="0" w:line="14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determination of fair value and the allocation of that value to individual assets and liabilities within the reporting unit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and capital expenditures. Actual financial results could differ from those estimates due to inherent uncertainty involved in making such estimates. Changes in assumptions concerning future financial results or other underlying assumptions could have a significant impact on either the fair value of the reporting unit, the amount of the goodwill impairment charge, or both.</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8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 xml:space="preserve">The Company accounts for business acquisitions in accordance with ASC Topic 805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with assets and liabilities being recorded at their acquisition date fair values and goodwill being calculated as the purchase price in excess of the net identifiable assets. The application of ASC 805 requires management to make estimates and assumptions when determining the acquisition date fair values of acquired assets and assumed liabilities. Management’s estimates and assumptions include, but are not limited to, the future cash flows an asset is expected to generate and the weighted-average cost of capital. See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for further discussion of business acquisitions.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Deferred tax assets and liabilities are reported for book-tax basis differences and are measured based on currently enacted tax laws using rates expected to apply to taxable income in the years in which the differences are expected to reverse. The effect of a change in tax rate on deferred taxes is recognized in income tax expense in the period that includes the enactment date of the change.</w:t>
      </w:r>
    </w:p>
    <w:p>
      <w:pPr>
        <w:spacing w:after="0" w:line="200"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Valuation allowances are established when necessary to reduce deferred tax assets to the amounts more likely than not to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Changes in projected future earnings could affect the recorded valuation allowance in the future. The Company also considers known or expected limitations on its ability to utilize its deferred tax assets in the future, such as limitations provided for under Section 382 of the Internal Revenue Code of 1986, as amended (the “Code”). On a quarterly basis, the Company evaluates all positive and negative evidence in determining if the valuation allowance is fairly stated.</w:t>
      </w:r>
    </w:p>
    <w:p>
      <w:pPr>
        <w:spacing w:after="0" w:line="20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recognizes income tax positions that are more likely than not to be sustained on their technical merits. The Company measures recognized income tax positions at the maximum benefit that is more likely than not, based on cumulative probability, realizable upon final settlement of the position. Interest and penalties related to unrecognized tax benefits are reported in income tax expense.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right="120" w:firstLine="324"/>
        <w:spacing w:after="0" w:line="220" w:lineRule="exact"/>
        <w:rPr>
          <w:sz w:val="20"/>
          <w:szCs w:val="20"/>
          <w:color w:val="auto"/>
        </w:rPr>
      </w:pPr>
      <w:r>
        <w:rPr>
          <w:rFonts w:ascii="Arial" w:cs="Arial" w:eastAsia="Arial" w:hAnsi="Arial"/>
          <w:sz w:val="18"/>
          <w:szCs w:val="18"/>
          <w:color w:val="auto"/>
        </w:rPr>
        <w:t>The Company’s primary market risk exposure is changing LIBOR</w:t>
      </w:r>
      <w:r>
        <w:rPr>
          <w:rFonts w:ascii="MS PGothic" w:cs="MS PGothic" w:eastAsia="MS PGothic" w:hAnsi="MS PGothic"/>
          <w:sz w:val="18"/>
          <w:szCs w:val="18"/>
          <w:color w:val="auto"/>
        </w:rPr>
        <w:t>‑</w:t>
      </w:r>
      <w:r>
        <w:rPr>
          <w:rFonts w:ascii="Arial" w:cs="Arial" w:eastAsia="Arial" w:hAnsi="Arial"/>
          <w:sz w:val="18"/>
          <w:szCs w:val="18"/>
          <w:color w:val="auto"/>
        </w:rPr>
        <w:t xml:space="preserve">based interest rates. Interest rate risk is highly sensitive due to many factors, including U.S. monetary and tax policies, U.S. and international economic factors and other factors beyond our control. At December 31, 2021, we had outstanding debt of $600.0 million under our First Lien Term Loan with a variable interest rate component. See Note 11, </w:t>
      </w:r>
      <w:r>
        <w:rPr>
          <w:rFonts w:ascii="Arial" w:cs="Arial" w:eastAsia="Arial" w:hAnsi="Arial"/>
          <w:sz w:val="18"/>
          <w:szCs w:val="18"/>
          <w:i w:val="1"/>
          <w:iCs w:val="1"/>
          <w:color w:val="auto"/>
        </w:rPr>
        <w:t>Indebtedness</w:t>
      </w:r>
      <w:r>
        <w:rPr>
          <w:rFonts w:ascii="Arial" w:cs="Arial" w:eastAsia="Arial" w:hAnsi="Arial"/>
          <w:sz w:val="18"/>
          <w:szCs w:val="18"/>
          <w:color w:val="auto"/>
        </w:rPr>
        <w:t>, of the consolidated financial statements for more information.</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reduce interest rate risk, the Company has utilized interest rate derivative contracts to hedge against fluctuations in LIBOR rates on the First Lien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Term Loan. In conjunction with the October 2021 debt refinancing, the Company entered into an interest rate cap hedge with a notional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$300.0 million for a 5-year term effective on November 30, 2021. See Note 12, </w:t>
      </w:r>
      <w:r>
        <w:rPr>
          <w:rFonts w:ascii="Arial" w:cs="Arial" w:eastAsia="Arial" w:hAnsi="Arial"/>
          <w:sz w:val="16"/>
          <w:szCs w:val="16"/>
          <w:i w:val="1"/>
          <w:iCs w:val="1"/>
          <w:color w:val="auto"/>
        </w:rPr>
        <w:t>Derivative Instruments</w:t>
      </w:r>
      <w:r>
        <w:rPr>
          <w:rFonts w:ascii="Arial" w:cs="Arial" w:eastAsia="Arial" w:hAnsi="Arial"/>
          <w:sz w:val="16"/>
          <w:szCs w:val="16"/>
          <w:color w:val="auto"/>
        </w:rPr>
        <w:t>, of the consolidated financial statements for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hypothetical 100-basis point increase or decrease in market interest rates associated with the unhedged variable-rate debt over a twelve-month period would result in a change to interest expense of approximately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8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 Care Health,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Option Care Health, Inc. and subsidiaries (the Company) as of December 31, 2021 and 2020, the related consolidated statements of comprehensive income (loss),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23, 2022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transaction price adjustments</w:t>
      </w:r>
    </w:p>
    <w:p>
      <w:pPr>
        <w:spacing w:after="0" w:line="11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As discussed in Notes 2 and 4 to the consolidated financial statements, net revenue is reported at the net realizable value amount that reflects the consideration the Company expects to receive in exchange for providing services. Revenues are from government payers, commercial payers, and patients for infusion therapy and other ancillary health care services. The Company estimates the transaction price adjustments based on the verification of the patient’s insurance coverage and historical price concessions, historical payments, and management’s manual price concession adjustments.</w:t>
      </w:r>
    </w:p>
    <w:p>
      <w:pPr>
        <w:spacing w:after="0" w:line="49" w:lineRule="exact"/>
        <w:rPr>
          <w:sz w:val="20"/>
          <w:szCs w:val="20"/>
          <w:color w:val="auto"/>
        </w:rPr>
      </w:pPr>
    </w:p>
    <w:p>
      <w:pPr>
        <w:jc w:val="both"/>
        <w:ind w:right="420" w:firstLine="324"/>
        <w:spacing w:after="0" w:line="286" w:lineRule="auto"/>
        <w:rPr>
          <w:sz w:val="20"/>
          <w:szCs w:val="20"/>
          <w:color w:val="auto"/>
        </w:rPr>
      </w:pPr>
      <w:r>
        <w:rPr>
          <w:rFonts w:ascii="Arial" w:cs="Arial" w:eastAsia="Arial" w:hAnsi="Arial"/>
          <w:sz w:val="17"/>
          <w:szCs w:val="17"/>
          <w:color w:val="auto"/>
        </w:rPr>
        <w:t>We identified the evaluation of the transaction price adjustments related to recognizing revenue as a critical audit matter. Subjective and complex auditor judgment was required to evaluate the transaction price adjustments. Specifically, auditor judgment was required to evaluate the relevance and reliability of historical price concessions, historical payments, and management’s manual price concession adjustments.</w:t>
      </w:r>
    </w:p>
    <w:p>
      <w:pPr>
        <w:spacing w:after="0" w:line="5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transaction price adjustment process, including controls related to the historical price concessions, historical payments, and management’s manual price concession adjustments. We tested the relevance and reliability of the underlying data that served as the basis for the transaction price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adjustments which included the historical price concessions and historical payments within the classes of payors by selecting certain historical price concessions and historical payments and agreeing to underlying support. We evaluated management’s manual price concession adjustments by comparing management’s prior-year recorded balance to actual write-offs during the current year.</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the realizability of deferred tax assets</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discussed in Note 6 to the consolidated financial statements, the Company recorded a reduction in its valuation allowance on its deferred tax assets during the year ended December 31, 2021. In assessing the realizability of deferred tax assets, management considered the application of tax regulations, including those that limit the use of net operating losses following previous ownership changes. The Company had gross deferred tax assets of $174.9 million as of December 31, 2021.</w:t>
      </w:r>
    </w:p>
    <w:p>
      <w:pPr>
        <w:spacing w:after="0" w:line="21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identified the evaluation of the realizability of deferred tax assets as a critical audit matter. Specifically, auditor judgment was required to evaluate the Company’s application of tax regulations, including those that limit the use of net operating losses following previous ownership changes. This matter required involvement of tax professionals with specialized skills and knowledge.</w:t>
      </w:r>
    </w:p>
    <w:p>
      <w:pPr>
        <w:spacing w:after="0" w:line="21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evaluation of the realizability of deferred tax assets, including controls related to the application of tax regulations that limit the use of net operating losses following previous ownership changes. We involved tax professionals with specialized skills and knowledge, who assisted by evaluating the Company’s analysis of tax regulations that limit the use of net operating losses following previous ownership changes.</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119,423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338,242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328,340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183,095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158,601</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69,496</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70,806</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710,256</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657,012</w:t>
            </w:r>
          </w:p>
        </w:tc>
        <w:tc>
          <w:tcPr>
            <w:tcW w:w="0" w:type="dxa"/>
            <w:vAlign w:val="bottom"/>
          </w:tcPr>
          <w:p>
            <w:pPr>
              <w:spacing w:after="0"/>
              <w:rPr>
                <w:sz w:val="1"/>
                <w:szCs w:val="1"/>
                <w:color w:val="auto"/>
              </w:rPr>
            </w:pPr>
          </w:p>
        </w:tc>
      </w:tr>
      <w:tr>
        <w:trPr>
          <w:trHeight w:val="91"/>
        </w:trPr>
        <w:tc>
          <w:tcPr>
            <w:tcW w:w="7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111,535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121,149</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68,795</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21,433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23,429</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344,587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327,623</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1,477,564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1,428,610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23,733</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20,821</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2,080,662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1,990,427</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2,790,918</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2,647,439</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4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279,246</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282,913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employee benefits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58,899</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71,857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64,075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liability</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18,886</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459,695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434,023</w:t>
            </w:r>
          </w:p>
        </w:tc>
        <w:tc>
          <w:tcPr>
            <w:tcW w:w="0" w:type="dxa"/>
            <w:vAlign w:val="bottom"/>
          </w:tcPr>
          <w:p>
            <w:pPr>
              <w:spacing w:after="0"/>
              <w:rPr>
                <w:sz w:val="1"/>
                <w:szCs w:val="1"/>
                <w:color w:val="auto"/>
              </w:rPr>
            </w:pPr>
          </w:p>
        </w:tc>
      </w:tr>
      <w:tr>
        <w:trPr>
          <w:trHeight w:val="91"/>
        </w:trPr>
        <w:tc>
          <w:tcPr>
            <w:tcW w:w="7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1,059,900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1,115,103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liability, net of current portion</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70,776</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42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3,339</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w:t>
            </w:r>
          </w:p>
        </w:tc>
        <w:tc>
          <w:tcPr>
            <w:tcW w:w="0" w:type="dxa"/>
            <w:vAlign w:val="bottom"/>
          </w:tcPr>
          <w:p>
            <w:pPr>
              <w:spacing w:after="0"/>
              <w:rPr>
                <w:sz w:val="1"/>
                <w:szCs w:val="1"/>
                <w:color w:val="auto"/>
              </w:rPr>
            </w:pPr>
          </w:p>
        </w:tc>
      </w:tr>
      <w:tr>
        <w:trPr>
          <w:trHeight w:val="207"/>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liabilities</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1,155,337</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1,197,692</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1,615,032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1,631,715</w:t>
            </w:r>
          </w:p>
        </w:tc>
        <w:tc>
          <w:tcPr>
            <w:tcW w:w="0" w:type="dxa"/>
            <w:vAlign w:val="bottom"/>
          </w:tcPr>
          <w:p>
            <w:pPr>
              <w:spacing w:after="0"/>
              <w:rPr>
                <w:sz w:val="1"/>
                <w:szCs w:val="1"/>
                <w:color w:val="auto"/>
              </w:rPr>
            </w:pPr>
          </w:p>
        </w:tc>
      </w:tr>
      <w:tr>
        <w:trPr>
          <w:trHeight w:val="91"/>
        </w:trPr>
        <w:tc>
          <w:tcPr>
            <w:tcW w:w="7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00" w:type="dxa"/>
            <w:vAlign w:val="bottom"/>
          </w:tcPr>
          <w:p>
            <w:pPr>
              <w:ind w:left="140"/>
              <w:spacing w:after="0" w:line="166" w:lineRule="exact"/>
              <w:rPr>
                <w:sz w:val="20"/>
                <w:szCs w:val="20"/>
                <w:color w:val="auto"/>
              </w:rPr>
            </w:pPr>
            <w:r>
              <w:rPr>
                <w:rFonts w:ascii="Arial" w:cs="Arial" w:eastAsia="Arial" w:hAnsi="Arial"/>
                <w:sz w:val="16"/>
                <w:szCs w:val="16"/>
                <w:color w:val="auto"/>
                <w:w w:val="93"/>
              </w:rPr>
              <w:t>Preferred stock; $0.0001 par value; 12,500,000 shares authorized, no shares outstanding as of December 31,</w:t>
            </w:r>
          </w:p>
        </w:tc>
        <w:tc>
          <w:tcPr>
            <w:tcW w:w="420" w:type="dxa"/>
            <w:vAlign w:val="bottom"/>
          </w:tcPr>
          <w:p>
            <w:pPr>
              <w:spacing w:after="0"/>
              <w:rPr>
                <w:sz w:val="14"/>
                <w:szCs w:val="14"/>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5"/>
        </w:trPr>
        <w:tc>
          <w:tcPr>
            <w:tcW w:w="7400" w:type="dxa"/>
            <w:vAlign w:val="bottom"/>
            <w:vMerge w:val="restart"/>
          </w:tcPr>
          <w:p>
            <w:pPr>
              <w:ind w:left="140"/>
              <w:spacing w:after="0"/>
              <w:rPr>
                <w:sz w:val="20"/>
                <w:szCs w:val="20"/>
                <w:color w:val="auto"/>
              </w:rPr>
            </w:pPr>
            <w:r>
              <w:rPr>
                <w:rFonts w:ascii="Arial" w:cs="Arial" w:eastAsia="Arial" w:hAnsi="Arial"/>
                <w:sz w:val="16"/>
                <w:szCs w:val="16"/>
                <w:color w:val="auto"/>
              </w:rPr>
              <w:t>2021 and 2020, respectively.</w:t>
            </w:r>
          </w:p>
        </w:tc>
        <w:tc>
          <w:tcPr>
            <w:tcW w:w="4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4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Common stock; $0.0001 par value: 250,000,000 shares authorized, 180,309,637 shares issued and 179,925,915</w:t>
            </w: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89"/>
              </w:rPr>
              <w:t>shares outstanding as of December 31, 2021; 180,178,308 shares issued and 179,794,586 shares outstanding as</w:t>
            </w:r>
          </w:p>
        </w:tc>
        <w:tc>
          <w:tcPr>
            <w:tcW w:w="4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December 31, 2020.</w:t>
            </w:r>
          </w:p>
        </w:tc>
        <w:tc>
          <w:tcPr>
            <w:tcW w:w="4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w w:val="99"/>
              </w:rPr>
              <w:t>Treasury stock; 383,722 shares outstanding, at cost, as of December 31, 2021 and 2020, respectively.</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Paid-in capital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1,138,855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1,129,312</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Retained earnings (Accumulated deficit)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39,867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(100,031)</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1,175,886</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23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2,790,918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2,647,439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3,438,640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3,032,610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2,310,417</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2,659,034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2,350,346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1,797,418</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682,264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512,999</w:t>
            </w:r>
          </w:p>
        </w:tc>
        <w:tc>
          <w:tcPr>
            <w:tcW w:w="0" w:type="dxa"/>
            <w:vAlign w:val="bottom"/>
          </w:tcPr>
          <w:p>
            <w:pPr>
              <w:spacing w:after="0"/>
              <w:rPr>
                <w:sz w:val="1"/>
                <w:szCs w:val="1"/>
                <w:color w:val="auto"/>
              </w:rPr>
            </w:pPr>
          </w:p>
        </w:tc>
      </w:tr>
      <w:tr>
        <w:trPr>
          <w:trHeight w:val="256"/>
        </w:trPr>
        <w:tc>
          <w:tcPr>
            <w:tcW w:w="7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525,707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500,199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459,628</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53,690</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588,765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571,509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513,318</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110,755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(107,770)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(73,724)</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(6,991)</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(74,347)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(115,998)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(77,875)</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(78,194)</w:t>
            </w:r>
          </w:p>
        </w:tc>
        <w:tc>
          <w:tcPr>
            <w:tcW w:w="0" w:type="dxa"/>
            <w:vAlign w:val="bottom"/>
          </w:tcPr>
          <w:p>
            <w:pPr>
              <w:spacing w:after="0"/>
              <w:rPr>
                <w:sz w:val="1"/>
                <w:szCs w:val="1"/>
                <w:color w:val="auto"/>
              </w:rPr>
            </w:pPr>
          </w:p>
        </w:tc>
      </w:tr>
      <w:tr>
        <w:trPr>
          <w:trHeight w:val="213"/>
        </w:trPr>
        <w:tc>
          <w:tcPr>
            <w:tcW w:w="716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(23,404)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r>
        <w:trPr>
          <w:trHeight w:val="259"/>
        </w:trPr>
        <w:tc>
          <w:tcPr>
            <w:tcW w:w="7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139,898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(75,920)</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6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1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Change in unrealized gains (losses) on cash flow hedges, net of income taxes of $0, $0 and $259,</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1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(8,039)</w:t>
            </w:r>
          </w:p>
        </w:tc>
        <w:tc>
          <w:tcPr>
            <w:tcW w:w="0" w:type="dxa"/>
            <w:vAlign w:val="bottom"/>
          </w:tcPr>
          <w:p>
            <w:pPr>
              <w:spacing w:after="0"/>
              <w:rPr>
                <w:sz w:val="1"/>
                <w:szCs w:val="1"/>
                <w:color w:val="auto"/>
              </w:rPr>
            </w:pP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(83,959)</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COMMON SHARE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Arial" w:cs="Arial" w:eastAsia="Arial" w:hAnsi="Arial"/>
                <w:sz w:val="16"/>
                <w:szCs w:val="16"/>
                <w:color w:val="auto"/>
              </w:rPr>
              <w:t>Earnings (loss) per share, basic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Earnings (loss) per share,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156,280</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diluted</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181,205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180,971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156,280</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716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r>
      <w:tr>
        <w:trPr>
          <w:trHeight w:val="207"/>
        </w:trPr>
        <w:tc>
          <w:tcPr>
            <w:tcW w:w="7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199"/>
        </w:trPr>
        <w:tc>
          <w:tcPr>
            <w:tcW w:w="776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(75,920)</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Adjustments to reconcile net income (loss) to net cash provided by operations: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57,869</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Non-cash operating lease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19,719</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Loss on sale of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3,269</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5,469</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4,544</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interest rate swaps upon discontinuing hedge accounting</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Paid-in-kind interest capitalized as principal</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12,256</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joint ventures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4,170</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distribution from equity method investments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Change in contingent consideration liability</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adjustments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82,285</w:t>
            </w:r>
          </w:p>
        </w:tc>
      </w:tr>
      <w:tr>
        <w:trPr>
          <w:trHeight w:val="213"/>
        </w:trPr>
        <w:tc>
          <w:tcPr>
            <w:tcW w:w="776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(12,853)</w:t>
            </w: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w:t>
            </w:r>
          </w:p>
        </w:tc>
      </w:tr>
      <w:tr>
        <w:trPr>
          <w:trHeight w:val="213"/>
        </w:trPr>
        <w:tc>
          <w:tcPr>
            <w:tcW w:w="776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(30,856)</w:t>
            </w: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 and employee benefits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r>
      <w:tr>
        <w:trPr>
          <w:trHeight w:val="213"/>
        </w:trPr>
        <w:tc>
          <w:tcPr>
            <w:tcW w:w="776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19"/>
        </w:trPr>
        <w:tc>
          <w:tcPr>
            <w:tcW w:w="7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(17,253)</w:t>
            </w:r>
          </w:p>
        </w:tc>
      </w:tr>
      <w:tr>
        <w:trPr>
          <w:trHeight w:val="213"/>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(4,711)</w:t>
            </w:r>
          </w:p>
        </w:tc>
      </w:tr>
      <w:tr>
        <w:trPr>
          <w:trHeight w:val="213"/>
        </w:trPr>
        <w:tc>
          <w:tcPr>
            <w:tcW w:w="7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208,569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39,467</w:t>
            </w:r>
          </w:p>
        </w:tc>
      </w:tr>
      <w:tr>
        <w:trPr>
          <w:trHeight w:val="34"/>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Acquisition of property and equipment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(26,875)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(28,292)</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assets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Insurance proceeds from business casualty loss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acquisitions, net of cash acquired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(700,170)</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Other investing cash flows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(111,541)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(727,826)</w:t>
            </w:r>
          </w:p>
        </w:tc>
      </w:tr>
      <w:tr>
        <w:trPr>
          <w:trHeight w:val="34"/>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Redemptions to related parties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 of management notes receivable</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(2,501)</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proceeds from issuance of common stock</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Proceeds from debt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855,136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981,050</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debt principal</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Retirement of debt obligations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(910,345)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(226,738)</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financing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(30,022)</w:t>
            </w:r>
          </w:p>
        </w:tc>
      </w:tr>
      <w:tr>
        <w:trPr>
          <w:trHeight w:val="213"/>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Debt prepayment fees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(76,870)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719,024</w:t>
            </w:r>
          </w:p>
        </w:tc>
      </w:tr>
      <w:tr>
        <w:trPr>
          <w:trHeight w:val="206"/>
        </w:trPr>
        <w:tc>
          <w:tcPr>
            <w:tcW w:w="77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32,209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30,665</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the period</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36,391</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119,423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99,265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67,056</w:t>
            </w:r>
          </w:p>
        </w:tc>
      </w:tr>
      <w:tr>
        <w:trPr>
          <w:trHeight w:val="46"/>
        </w:trPr>
        <w:tc>
          <w:tcPr>
            <w:tcW w:w="77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13"/>
        </w:trPr>
        <w:tc>
          <w:tcPr>
            <w:tcW w:w="77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50,808</w:t>
            </w:r>
          </w:p>
        </w:tc>
      </w:tr>
      <w:tr>
        <w:trPr>
          <w:trHeight w:val="213"/>
        </w:trPr>
        <w:tc>
          <w:tcPr>
            <w:tcW w:w="776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5,706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2,884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2,405</w:t>
            </w:r>
          </w:p>
        </w:tc>
      </w:tr>
      <w:tr>
        <w:trPr>
          <w:trHeight w:val="219"/>
        </w:trPr>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operating leases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18,992</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p>
      <w:pPr>
        <w:sectPr>
          <w:pgSz w:w="11900" w:h="16838" w:orient="portrait"/>
          <w:cols w:equalWidth="0" w:num="1">
            <w:col w:w="11200"/>
          </w:cols>
          <w:pgMar w:left="320" w:top="122" w:right="379" w:bottom="1440" w:gutter="0" w:footer="0" w:header="0"/>
        </w:sect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6"/>
                <w:szCs w:val="16"/>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6"/>
                <w:szCs w:val="1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80" w:type="dxa"/>
            <w:vAlign w:val="bottom"/>
          </w:tcPr>
          <w:p>
            <w:pPr>
              <w:spacing w:after="0"/>
              <w:rPr>
                <w:sz w:val="16"/>
                <w:szCs w:val="16"/>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6"/>
                <w:szCs w:val="1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Management</w:t>
            </w: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Retained Earnings</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Accumulated Other</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Capital</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Notes Receivable</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Income (Loss)</w:t>
            </w: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68"/>
        </w:trPr>
        <w:tc>
          <w:tcPr>
            <w:tcW w:w="15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Balance - December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619,621</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(16,035)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602,825</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31, 2018</w:t>
            </w:r>
          </w:p>
        </w:tc>
        <w:tc>
          <w:tcPr>
            <w:tcW w:w="12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Purchase of</w:t>
            </w: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387,040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387,044</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BioScrip, Inc.</w:t>
            </w: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Interest on</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management notes</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receivable</w:t>
            </w: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Repayment of</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management notes</w:t>
            </w: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receivable</w:t>
            </w: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Stockholders'</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redemptions</w:t>
            </w: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Stock-based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incentive</w:t>
            </w: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4,170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4,170</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Exercise of stock</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options, vesting of</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6"/>
              </w:rPr>
              <w:t>restricted stock, and</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related tax</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(75,920)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(75,920)</w:t>
            </w: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comprehensive loss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20"/>
              <w:spacing w:after="0" w:line="146" w:lineRule="exact"/>
              <w:rPr>
                <w:sz w:val="20"/>
                <w:szCs w:val="20"/>
                <w:color w:val="auto"/>
              </w:rPr>
            </w:pPr>
            <w:r>
              <w:rPr>
                <w:rFonts w:ascii="Arial" w:cs="Arial" w:eastAsia="Arial" w:hAnsi="Arial"/>
                <w:sz w:val="16"/>
                <w:szCs w:val="16"/>
                <w:color w:val="auto"/>
              </w:rPr>
              <w:t>Balance - December</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280"/>
              <w:spacing w:after="0"/>
              <w:rPr>
                <w:sz w:val="20"/>
                <w:szCs w:val="20"/>
                <w:color w:val="auto"/>
              </w:rPr>
            </w:pPr>
            <w:r>
              <w:rPr>
                <w:rFonts w:ascii="Arial" w:cs="Arial" w:eastAsia="Arial" w:hAnsi="Arial"/>
                <w:sz w:val="16"/>
                <w:szCs w:val="16"/>
                <w:color w:val="auto"/>
                <w:w w:val="90"/>
              </w:rPr>
              <w:t>(2,403)</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1,008,362</w:t>
            </w:r>
          </w:p>
        </w:tc>
        <w:tc>
          <w:tcPr>
            <w:tcW w:w="10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(91,955)</w:t>
            </w:r>
          </w:p>
        </w:tc>
        <w:tc>
          <w:tcPr>
            <w:tcW w:w="10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(7,195)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Arial" w:cs="Arial" w:eastAsia="Arial" w:hAnsi="Arial"/>
                <w:sz w:val="16"/>
                <w:szCs w:val="16"/>
                <w:color w:val="auto"/>
              </w:rPr>
              <w:t>31, 2019</w:t>
            </w:r>
          </w:p>
        </w:tc>
        <w:tc>
          <w:tcPr>
            <w:tcW w:w="1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Stock-based</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incentive</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Exercise of stock</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options, vesting of</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w w:val="96"/>
              </w:rPr>
              <w:t>restricted stock, 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related tax</w:t>
            </w: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withholdings</w:t>
            </w: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Net proceeds from</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the issuance of</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118,933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118,934</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Cancellation of</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w w:val="96"/>
              </w:rPr>
              <w:t>common stock - see</w:t>
            </w: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Note 16</w:t>
            </w: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Other</w:t>
            </w:r>
          </w:p>
        </w:tc>
        <w:tc>
          <w:tcPr>
            <w:tcW w:w="120" w:type="dxa"/>
            <w:vAlign w:val="bottom"/>
          </w:tcPr>
          <w:p>
            <w:pPr>
              <w:spacing w:after="0"/>
              <w:rPr>
                <w:sz w:val="14"/>
                <w:szCs w:val="14"/>
                <w:color w:val="auto"/>
              </w:rPr>
            </w:pP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w w:val="97"/>
              </w:rPr>
              <w:t>comprehensive loss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 December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1,129,312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(100,031)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31, 2020</w:t>
            </w:r>
          </w:p>
        </w:tc>
        <w:tc>
          <w:tcPr>
            <w:tcW w:w="12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120"/>
              <w:spacing w:after="0" w:line="166" w:lineRule="exact"/>
              <w:rPr>
                <w:sz w:val="20"/>
                <w:szCs w:val="20"/>
                <w:color w:val="auto"/>
              </w:rPr>
            </w:pPr>
            <w:r>
              <w:rPr>
                <w:rFonts w:ascii="Arial" w:cs="Arial" w:eastAsia="Arial" w:hAnsi="Arial"/>
                <w:sz w:val="16"/>
                <w:szCs w:val="16"/>
                <w:color w:val="auto"/>
              </w:rPr>
              <w:t>Stock-based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20"/>
              <w:spacing w:after="0" w:line="162" w:lineRule="exact"/>
              <w:rPr>
                <w:sz w:val="20"/>
                <w:szCs w:val="20"/>
                <w:color w:val="auto"/>
              </w:rPr>
            </w:pPr>
            <w:r>
              <w:rPr>
                <w:rFonts w:ascii="Arial" w:cs="Arial" w:eastAsia="Arial" w:hAnsi="Arial"/>
                <w:sz w:val="16"/>
                <w:szCs w:val="16"/>
                <w:color w:val="auto"/>
              </w:rPr>
              <w:t>incentive</w:t>
            </w:r>
          </w:p>
        </w:tc>
        <w:tc>
          <w:tcPr>
            <w:tcW w:w="12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9,575</w:t>
            </w:r>
          </w:p>
        </w:tc>
        <w:tc>
          <w:tcPr>
            <w:tcW w:w="0" w:type="dxa"/>
            <w:vAlign w:val="bottom"/>
          </w:tcPr>
          <w:p>
            <w:pPr>
              <w:spacing w:after="0"/>
              <w:rPr>
                <w:sz w:val="1"/>
                <w:szCs w:val="1"/>
                <w:color w:val="auto"/>
              </w:rPr>
            </w:pPr>
          </w:p>
        </w:tc>
      </w:tr>
      <w:tr>
        <w:trPr>
          <w:trHeight w:val="209"/>
        </w:trPr>
        <w:tc>
          <w:tcPr>
            <w:tcW w:w="15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stock</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options, vesting of</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4"/>
              </w:rPr>
              <w:t>restricted stock, and</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related tax</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139,898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139,898</w:t>
            </w:r>
          </w:p>
        </w:tc>
        <w:tc>
          <w:tcPr>
            <w:tcW w:w="0" w:type="dxa"/>
            <w:vAlign w:val="bottom"/>
          </w:tcPr>
          <w:p>
            <w:pPr>
              <w:spacing w:after="0"/>
              <w:rPr>
                <w:sz w:val="1"/>
                <w:szCs w:val="1"/>
                <w:color w:val="auto"/>
              </w:rPr>
            </w:pPr>
          </w:p>
        </w:tc>
      </w:tr>
      <w:tr>
        <w:trPr>
          <w:trHeight w:val="169"/>
        </w:trPr>
        <w:tc>
          <w:tcPr>
            <w:tcW w:w="15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comprehensive</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520" w:type="dxa"/>
            <w:vAlign w:val="bottom"/>
          </w:tcPr>
          <w:p>
            <w:pPr>
              <w:ind w:left="120"/>
              <w:spacing w:after="0" w:line="146" w:lineRule="exact"/>
              <w:rPr>
                <w:sz w:val="20"/>
                <w:szCs w:val="20"/>
                <w:color w:val="auto"/>
              </w:rPr>
            </w:pPr>
            <w:r>
              <w:rPr>
                <w:rFonts w:ascii="Arial" w:cs="Arial" w:eastAsia="Arial" w:hAnsi="Arial"/>
                <w:sz w:val="16"/>
                <w:szCs w:val="16"/>
                <w:color w:val="auto"/>
                <w:w w:val="94"/>
              </w:rPr>
              <w:t>Balance - December</w:t>
            </w:r>
          </w:p>
        </w:tc>
        <w:tc>
          <w:tcPr>
            <w:tcW w:w="120" w:type="dxa"/>
            <w:vAlign w:val="bottom"/>
          </w:tcPr>
          <w:p>
            <w:pPr>
              <w:spacing w:after="0"/>
              <w:rPr>
                <w:sz w:val="12"/>
                <w:szCs w:val="12"/>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6"/>
                <w:szCs w:val="16"/>
                <w:color w:val="auto"/>
                <w:w w:val="90"/>
              </w:rPr>
              <w:t>(2,403)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1,138,855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39,867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1,175,886</w:t>
            </w:r>
          </w:p>
        </w:tc>
        <w:tc>
          <w:tcPr>
            <w:tcW w:w="0" w:type="dxa"/>
            <w:vAlign w:val="bottom"/>
          </w:tcPr>
          <w:p>
            <w:pPr>
              <w:spacing w:after="0"/>
              <w:rPr>
                <w:sz w:val="1"/>
                <w:szCs w:val="1"/>
                <w:color w:val="auto"/>
              </w:rPr>
            </w:pPr>
          </w:p>
        </w:tc>
      </w:tr>
      <w:tr>
        <w:trPr>
          <w:trHeight w:val="185"/>
        </w:trPr>
        <w:tc>
          <w:tcPr>
            <w:tcW w:w="1520" w:type="dxa"/>
            <w:vAlign w:val="bottom"/>
          </w:tcPr>
          <w:p>
            <w:pPr>
              <w:ind w:left="120"/>
              <w:spacing w:after="0"/>
              <w:rPr>
                <w:sz w:val="20"/>
                <w:szCs w:val="20"/>
                <w:color w:val="auto"/>
              </w:rPr>
            </w:pPr>
            <w:r>
              <w:rPr>
                <w:rFonts w:ascii="Arial" w:cs="Arial" w:eastAsia="Arial" w:hAnsi="Arial"/>
                <w:sz w:val="16"/>
                <w:szCs w:val="16"/>
                <w:color w:val="auto"/>
              </w:rPr>
              <w:t>31, 2021</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98" w:lineRule="exact"/>
        <w:rPr>
          <w:sz w:val="20"/>
          <w:szCs w:val="20"/>
          <w:color w:val="auto"/>
        </w:rPr>
      </w:pPr>
    </w:p>
    <w:p>
      <w:pPr>
        <w:ind w:firstLine="324"/>
        <w:spacing w:after="0" w:line="289"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7, 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w:t>
      </w:r>
    </w:p>
    <w:p>
      <w:pPr>
        <w:spacing w:after="0" w:line="14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Under the terms of the Merger Agreement, shares of HC II common stock issued and outstanding immediately prior to the Merger Date were converted into 135,565,392 shares of BioScrip common stock, par value $0.0001 (the “BioScrip common stock”). BioScrip also issued an additional 7,048,357 shares to HC I in respect of certain outstanding unvested contingent restricted stock units of BioScrip, which were set aside to prevent dilution related to potential additional vesting on certain share-based instruments. See Note 16,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additional discussion of these shares set aside. In conjunction with the Merger, holders of BioScrip preferred shares and certain warrants received 864,603 additional shares of BioScrip common stock and preferred shares were repurchased for $125.8 million of cash. In addition, all legacy BioScrip debt was settled for $575.0 million. As a result of the Merger, BioScrip’s stockholders held approximately 19.2% of the combined company, and HC I held approximately 80.8% of the combined company. Following the close of the transaction, BioScrip was rebranded as Option Care Health, Inc. (“Option Care Health”, or the “Company”). The combined company’s stock was listed on the Nasdaq Global Select Market as of December 31, 2021.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for further discussion of the Merger.</w:t>
      </w:r>
    </w:p>
    <w:p>
      <w:pPr>
        <w:spacing w:after="0" w:line="139"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Option Care Health, and its wholly-owned subsidiaries, provides infusion therapy and other ancillary health care services through a national network of 97 full service pharmacies and 57 stand-alone ambulatory infusion sites.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27" w:lineRule="exact"/>
        <w:rPr>
          <w:sz w:val="20"/>
          <w:szCs w:val="20"/>
          <w:color w:val="auto"/>
        </w:rPr>
      </w:pPr>
    </w:p>
    <w:p>
      <w:pPr>
        <w:ind w:right="160" w:firstLine="324"/>
        <w:spacing w:after="0" w:line="289"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consolidated financial statements have been prepared in conformity with generally accepted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principles (“GAAP”) in the United States. These principals require management to make certain estimates and assumptions in determining assets, liabilities, revenue, expenses, and related disclosures. Actual amounts could differ materially from those estimates.</w:t>
      </w:r>
    </w:p>
    <w:p>
      <w:pPr>
        <w:spacing w:after="0" w:line="117" w:lineRule="exact"/>
        <w:rPr>
          <w:sz w:val="20"/>
          <w:szCs w:val="20"/>
          <w:color w:val="auto"/>
        </w:rPr>
      </w:pPr>
    </w:p>
    <w:p>
      <w:pPr>
        <w:ind w:right="580" w:firstLine="324"/>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Company’s consolidated financial statements include the accounts of Option Care Health, Inc.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The BioScrip results have been included in the consolidated financial results since the Merger Date. All intercompany transactions and balances are eliminated in consolidation.</w:t>
      </w:r>
    </w:p>
    <w:p>
      <w:pPr>
        <w:spacing w:after="0" w:line="15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consolidated statements of comprehensive income (loss). See “Equity-Method Investments” within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right="480"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21" w:lineRule="exact"/>
        <w:rPr>
          <w:sz w:val="20"/>
          <w:szCs w:val="20"/>
          <w:color w:val="auto"/>
        </w:rPr>
      </w:pPr>
    </w:p>
    <w:p>
      <w:pPr>
        <w:jc w:val="both"/>
        <w:ind w:right="700" w:firstLine="324"/>
        <w:spacing w:after="0" w:line="314"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 The Company’s accounts receivable is reported at the net realizable value amount that reflects the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expects to receive in exchange for providing services, which is inclusive of adjustments for price concessions. The majority of accounts receivable are due from private insurance carriers and governmental health care programs, such as Medicare and Medicaid.</w:t>
      </w:r>
    </w:p>
    <w:p>
      <w:pPr>
        <w:spacing w:after="0" w:line="10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7"/>
          <w:szCs w:val="17"/>
          <w:color w:val="auto"/>
        </w:rPr>
        <w:t xml:space="preserve">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 In accordance with Financial Accounting Standards Board (“FASB”) Accounting Standards Codification (“ASC”)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(“ASC 606”), an allowance for doubtful accounts is established only as a result of an adverse change in the Company’s payers’ ability to pay</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billings. The allowance for doubtful accounts balance is $0 as of December 31, 2021 and 2020, respectively.</w:t>
      </w:r>
    </w:p>
    <w:p>
      <w:pPr>
        <w:spacing w:after="0" w:line="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Included in accounts receivable are earned but unbilled gross receivables of $80.1 million and $79.0 million as of December 31, 2021 and 2020, respectively. Delays ranging from one day up to several weeks between the date of service and billing can occur due to delays in obtaining certain required payer-specific documentation from internal and external sources.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 further discussion of the Company’s revenue recognition policy.</w:t>
      </w:r>
    </w:p>
    <w:p>
      <w:pPr>
        <w:spacing w:after="0" w:line="181" w:lineRule="exact"/>
        <w:rPr>
          <w:sz w:val="20"/>
          <w:szCs w:val="20"/>
          <w:color w:val="auto"/>
        </w:rPr>
      </w:pPr>
    </w:p>
    <w:p>
      <w:pPr>
        <w:ind w:right="20" w:firstLine="324"/>
        <w:spacing w:after="0" w:line="226" w:lineRule="exact"/>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 Inventory, which consists primarily of pharmaceuticals, is stated at the lower of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cost or net realizable value basis,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believes is reflective of the physical flow of inventories.</w:t>
      </w:r>
    </w:p>
    <w:p>
      <w:pPr>
        <w:spacing w:after="0" w:line="171"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b w:val="1"/>
          <w:bCs w:val="1"/>
          <w:color w:val="auto"/>
        </w:rPr>
        <w:t xml:space="preserve">Prepaid expenses and other current assets </w:t>
      </w:r>
      <w:r>
        <w:rPr>
          <w:rFonts w:ascii="Arial" w:cs="Arial" w:eastAsia="Arial" w:hAnsi="Arial"/>
          <w:sz w:val="18"/>
          <w:szCs w:val="18"/>
          <w:color w:val="auto"/>
        </w:rPr>
        <w:t>— Included in prepaid expenses and other current assets are rebates receivable from pharmaceutical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supply manufacturers of $43.0 million and $35.2 million for the years ended December 31, 2021 and 2020, respectively. There were no other items included in prepaid expenses and other current assets that comprised 5% or more of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The Company has lease agreements for facilities, warehouses, office space and property and equipment. At the inception of a contract,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determines if the contract is a lease or contains an embedded lease arrangement. Operating leases are included in the operating lease right-of-use asset (“ROU asset”) and operating lease liabilities in the consolidated financial statements.</w:t>
      </w:r>
    </w:p>
    <w:p>
      <w:pPr>
        <w:spacing w:after="0" w:line="13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ROU assets, which represent the Company’s right to use the leased assets, and operating lease liabilities, which represent the present value of unpaid lease payments, are both recognized by the Company at the lease commencement date. The Company utilizes its estimated incremental borrowing rate at the lease commencement date to determine the present value of unpaid lease obligations. The rates are estimated primarily using a methodology dependent on the Company’s financial condition, creditworthiness, and availability of certain observable data. In particular, the Company considers its actual cost of borrowing for collateralized loans and its credit rating, along with the corporate bond yield curve in estimating its incremental borrowing rates. ROU assets are recorded as the amount of operating lease liability, adjusted for prepayments, accrued lease payments, initial direct costs, lease incentives, and impairment of the ROU asset. Tenant improvement allowances used to fund leasehold improvements are recognized when earned and reduce the related ROU asset. Tenant improvement allowances are recognized through the ROU asset as a reduction of expense over the term of the lease.</w:t>
      </w:r>
    </w:p>
    <w:p>
      <w:pPr>
        <w:spacing w:after="0" w:line="13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Leases may contain rent escalations, however the Company recognizes the lease expense on a straight-line basis over the expected lease term. The Company reviews the terms of any lease renewal options to determine if it is reasonably certain that the renewal options will be exercised. The Company has determined that the expected lease term is typically the minimum non-cancelable period of the lease.</w:t>
      </w:r>
    </w:p>
    <w:p>
      <w:pPr>
        <w:spacing w:after="0" w:line="14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The Company has lease agreements that contain both lease and non-lease components which the Company has elected to account for as a single lease component for all asset classes. Leases with an initial term of 12 months or less are not recorded on the consolidated balance sheet and are expensed on a straight-line basis over the term of the lease. The Company’s lease agreements do not contain any material residual value guarantees or material restrictive covenants. See Note 8, </w:t>
      </w:r>
      <w:r>
        <w:rPr>
          <w:rFonts w:ascii="Arial" w:cs="Arial" w:eastAsia="Arial" w:hAnsi="Arial"/>
          <w:sz w:val="18"/>
          <w:szCs w:val="18"/>
          <w:i w:val="1"/>
          <w:iCs w:val="1"/>
          <w:color w:val="auto"/>
        </w:rPr>
        <w:t>Leases</w:t>
      </w:r>
      <w:r>
        <w:rPr>
          <w:rFonts w:ascii="Arial" w:cs="Arial" w:eastAsia="Arial" w:hAnsi="Arial"/>
          <w:sz w:val="18"/>
          <w:szCs w:val="18"/>
          <w:color w:val="auto"/>
        </w:rPr>
        <w:t>, for further discussion of leases.</w:t>
      </w:r>
    </w:p>
    <w:p>
      <w:pPr>
        <w:spacing w:after="0" w:line="142"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b w:val="1"/>
          <w:bCs w:val="1"/>
          <w:color w:val="auto"/>
        </w:rPr>
        <w:t xml:space="preserve">Goodwill, Intangible Assets, and Property and Equipment </w:t>
      </w:r>
      <w:r>
        <w:rPr>
          <w:rFonts w:ascii="Arial" w:cs="Arial" w:eastAsia="Arial" w:hAnsi="Arial"/>
          <w:sz w:val="18"/>
          <w:szCs w:val="18"/>
          <w:color w:val="auto"/>
        </w:rPr>
        <w:t>— Goodwill represents the excess of the purchase price over the fair value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acquired and liabilities assumed. The Company accounts for goodwill under ASC Topic 350, </w:t>
      </w:r>
      <w:r>
        <w:rPr>
          <w:rFonts w:ascii="Arial" w:cs="Arial" w:eastAsia="Arial" w:hAnsi="Arial"/>
          <w:sz w:val="18"/>
          <w:szCs w:val="18"/>
          <w:i w:val="1"/>
          <w:iCs w:val="1"/>
          <w:color w:val="auto"/>
        </w:rPr>
        <w:t>Intangibles</w:t>
      </w:r>
      <w:r>
        <w:rPr>
          <w:rFonts w:ascii="Arial" w:cs="Arial" w:eastAsia="Arial" w:hAnsi="Arial"/>
          <w:sz w:val="18"/>
          <w:szCs w:val="18"/>
          <w:color w:val="auto"/>
        </w:rPr>
        <w:t>-</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The Company tests goodwill for impairment annually, or more frequently whenever events or circumstances indicate impairment may exist. Goodwill is stated at cost less accumulated impairment losses. The Company completes its goodwill impairment test annually in the fourth quarter. See Note 10,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for further discussion of the Company’s goodwill and other intangible assets.</w:t>
      </w:r>
    </w:p>
    <w:p>
      <w:pPr>
        <w:spacing w:after="0" w:line="160" w:lineRule="exact"/>
        <w:rPr>
          <w:sz w:val="20"/>
          <w:szCs w:val="20"/>
          <w:color w:val="auto"/>
        </w:rPr>
      </w:pPr>
    </w:p>
    <w:p>
      <w:pPr>
        <w:ind w:right="160" w:firstLine="405"/>
        <w:spacing w:after="0" w:line="221" w:lineRule="exact"/>
        <w:rPr>
          <w:sz w:val="20"/>
          <w:szCs w:val="20"/>
          <w:color w:val="auto"/>
        </w:rPr>
      </w:pPr>
      <w:r>
        <w:rPr>
          <w:rFonts w:ascii="Arial" w:cs="Arial" w:eastAsia="Arial" w:hAnsi="Arial"/>
          <w:sz w:val="16"/>
          <w:szCs w:val="16"/>
          <w:color w:val="auto"/>
        </w:rPr>
        <w:t>Intangible assets arising from the Company’s acquisitions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estimated useful life of each asset. Referral sources have a useful life of fifteen to twenty years. Trademarks/names have a useful life ranging from two to fifteen years. The useful lives for other amortizable intangible assets range from approximately two to nine years. The Company does not have any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 assets.</w:t>
      </w:r>
    </w:p>
    <w:p>
      <w:pPr>
        <w:spacing w:after="0" w:line="163" w:lineRule="exact"/>
        <w:rPr>
          <w:sz w:val="20"/>
          <w:szCs w:val="20"/>
          <w:color w:val="auto"/>
        </w:rPr>
      </w:pPr>
    </w:p>
    <w:p>
      <w:pPr>
        <w:ind w:firstLine="405"/>
        <w:spacing w:after="0" w:line="218" w:lineRule="exact"/>
        <w:rPr>
          <w:sz w:val="20"/>
          <w:szCs w:val="20"/>
          <w:color w:val="auto"/>
        </w:rPr>
      </w:pPr>
      <w:r>
        <w:rPr>
          <w:rFonts w:ascii="Arial" w:cs="Arial" w:eastAsia="Arial" w:hAnsi="Arial"/>
          <w:sz w:val="16"/>
          <w:szCs w:val="16"/>
          <w:color w:val="auto"/>
        </w:rPr>
        <w:t>Property and equipment is recorded at cost, net of accumulated depreciation. Depreciation on owned property and equipment is provided for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estimated useful lives of owned assets. Leasehold improvements are amortized over the estimated useful life of the property or over the term of the lease, whichever is shorter. Estimated useful lives are seven years for infusion pumps and three years to thirteen years for equipment. Major repairs, which extend the useful life of an asset, are capitalized in the property and equipment accounts. Routine maintenance and repairs are expensed as incurred. Computer software is included in property and equipment and consists of purchased software and internally-developed software. The Company capitalizes application-stage development costs for significant internally-developed software projects. Once the software is ready for its intended use, these costs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software’s estimated useful life, generally five years. Costs recognized in the preliminary project phase and the post-implementation phase, as well as maintenance and training costs, are expensed as incurred.</w:t>
      </w:r>
    </w:p>
    <w:p>
      <w:pPr>
        <w:spacing w:after="0" w:line="162" w:lineRule="exact"/>
        <w:rPr>
          <w:sz w:val="20"/>
          <w:szCs w:val="20"/>
          <w:color w:val="auto"/>
        </w:rPr>
      </w:pPr>
    </w:p>
    <w:p>
      <w:pPr>
        <w:ind w:right="40" w:firstLine="405"/>
        <w:spacing w:after="0" w:line="220" w:lineRule="exact"/>
        <w:rPr>
          <w:sz w:val="20"/>
          <w:szCs w:val="20"/>
          <w:color w:val="auto"/>
        </w:rPr>
      </w:pPr>
      <w:r>
        <w:rPr>
          <w:rFonts w:ascii="Arial" w:cs="Arial" w:eastAsia="Arial" w:hAnsi="Arial"/>
          <w:sz w:val="18"/>
          <w:szCs w:val="18"/>
          <w:color w:val="auto"/>
        </w:rPr>
        <w:t>The Company tests long</w:t>
      </w:r>
      <w:r>
        <w:rPr>
          <w:rFonts w:ascii="MS PGothic" w:cs="MS PGothic" w:eastAsia="MS PGothic" w:hAnsi="MS PGothic"/>
          <w:sz w:val="18"/>
          <w:szCs w:val="18"/>
          <w:color w:val="auto"/>
        </w:rPr>
        <w:t>‑</w:t>
      </w:r>
      <w:r>
        <w:rPr>
          <w:rFonts w:ascii="Arial" w:cs="Arial" w:eastAsia="Arial" w:hAnsi="Arial"/>
          <w:sz w:val="18"/>
          <w:szCs w:val="18"/>
          <w:color w:val="auto"/>
        </w:rPr>
        <w:t>lived assets for impairment whenever events or circumstances indicate that a certain asset or asset group may be impaired. Once identified, the amount of the impairment is computed by comparing the carrying value of the respective asset or asset group to its fair value, which is based on the discounted estimated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b w:val="1"/>
          <w:bCs w:val="1"/>
          <w:color w:val="auto"/>
        </w:rPr>
        <w:t xml:space="preserve">Equity-Method Investments </w:t>
      </w:r>
      <w:r>
        <w:rPr>
          <w:rFonts w:ascii="Arial" w:cs="Arial" w:eastAsia="Arial" w:hAnsi="Arial"/>
          <w:sz w:val="16"/>
          <w:szCs w:val="16"/>
          <w:color w:val="auto"/>
        </w:rPr>
        <w:t>— The Company’s investments in certain unconsolidated entities are accounted for under the equity method.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balance of these investments is included in other noncurrent assets in the accompanying consolidated balance sheets. As of December 31, 2021 and 2020, the balance of the investments was $20.1 million and $17.0 million, respectively. The investments are increased to reflect the Company’s capital contributions and equity in earnings of the investees. The investments are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consolidated statements of comprehensive income (loss). The Company’s proportionate share of earnings was $6.0 million, $3.3 million and $2.8 million for the years ended December 31, 2021, 2020 and 2019, respectively. Distributions from the investees are treated as cash inflows from operating activities in the consolidated statements of cash flows. During the years ended December 31, 2021, 2020 and 2019, the Company received distributions from the investees of $2.9 million, $3.3 million and $0.5 million, respectively. See Footnote 17, </w:t>
      </w:r>
      <w:r>
        <w:rPr>
          <w:rFonts w:ascii="Arial" w:cs="Arial" w:eastAsia="Arial" w:hAnsi="Arial"/>
          <w:sz w:val="16"/>
          <w:szCs w:val="16"/>
          <w:i w:val="1"/>
          <w:iCs w:val="1"/>
          <w:color w:val="auto"/>
        </w:rPr>
        <w:t>Related-Party Transactions</w:t>
      </w:r>
      <w:r>
        <w:rPr>
          <w:rFonts w:ascii="Arial" w:cs="Arial" w:eastAsia="Arial" w:hAnsi="Arial"/>
          <w:sz w:val="16"/>
          <w:szCs w:val="16"/>
          <w:color w:val="auto"/>
        </w:rPr>
        <w:t>, for discussion of related-party transactions with these investees.</w:t>
      </w:r>
    </w:p>
    <w:p>
      <w:pPr>
        <w:spacing w:after="0" w:line="120" w:lineRule="exact"/>
        <w:rPr>
          <w:sz w:val="20"/>
          <w:szCs w:val="20"/>
          <w:color w:val="auto"/>
        </w:rPr>
      </w:pPr>
    </w:p>
    <w:p>
      <w:pPr>
        <w:ind w:right="60" w:firstLine="405"/>
        <w:spacing w:after="0" w:line="266" w:lineRule="auto"/>
        <w:rPr>
          <w:sz w:val="20"/>
          <w:szCs w:val="20"/>
          <w:color w:val="auto"/>
        </w:rPr>
      </w:pPr>
      <w:r>
        <w:rPr>
          <w:rFonts w:ascii="Arial" w:cs="Arial" w:eastAsia="Arial" w:hAnsi="Arial"/>
          <w:sz w:val="18"/>
          <w:szCs w:val="18"/>
          <w:b w:val="1"/>
          <w:bCs w:val="1"/>
          <w:color w:val="auto"/>
        </w:rPr>
        <w:t xml:space="preserve">Hedging Instruments </w:t>
      </w:r>
      <w:r>
        <w:rPr>
          <w:rFonts w:ascii="Arial" w:cs="Arial" w:eastAsia="Arial" w:hAnsi="Arial"/>
          <w:sz w:val="18"/>
          <w:szCs w:val="18"/>
          <w:color w:val="auto"/>
        </w:rPr>
        <w:t>— The Company uses derivative financial instruments to limit its exposure to increases in the interest rate of its variable 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debt instruments. The derivative financial instruments are recognized on the consolidated balance sheets at fair value.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additional information.</w:t>
      </w:r>
    </w:p>
    <w:p>
      <w:pPr>
        <w:spacing w:after="0" w:line="153"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At inception of the hedge, the Company designated the derivative instruments as a hedge of the cash flows related to the interest on the variable rate debt. For all instruments designated as hedges, the Company documents the hedging relationships and its risk management objective of the hedging relationship. For all hedging instruments, the terms of the hedge perfectly offset the hedged expected cash flows.</w:t>
      </w:r>
    </w:p>
    <w:p>
      <w:pPr>
        <w:spacing w:after="0" w:line="121" w:lineRule="exact"/>
        <w:rPr>
          <w:sz w:val="20"/>
          <w:szCs w:val="20"/>
          <w:color w:val="auto"/>
        </w:rPr>
      </w:pPr>
    </w:p>
    <w:p>
      <w:pPr>
        <w:jc w:val="both"/>
        <w:ind w:right="60" w:firstLine="405"/>
        <w:spacing w:after="0" w:line="289"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Net revenue is reported at the net realizable value amount that reflects the consideration the Company expects to receive in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for providing services. Revenues are from government payers, commercial payers, and patients for goods and services provided and are based on a gross price based on payer contracts, fee schedules, or other arrangements less any implicit price concessions.</w:t>
      </w:r>
    </w:p>
    <w:p>
      <w:pPr>
        <w:spacing w:after="0" w:line="121"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57"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4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provides a variety of infusion-related therapies to patients, which frequently include multiple deliverables of pharmaceutical drugs and related nursing services. After applying the criteria from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4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 xml:space="preserve">The Company's outstanding performance obligations relate to contracts with a duration of less than one year. Therefore, the Company has elected to apply the practical expedient provided by ASC 606 and is not required to disclose the aggregate amount of the transaction price allocated to performance obligations that are unsatisfied or partially unsatisfied at the end of the reporting period. Any unsatisfied or partially unsatisfied performance obligations at the end of a reporting period are generally completed prior to the patient being discharged. See Note 4,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for a further discussion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40" w:firstLine="405"/>
        <w:spacing w:after="0" w:line="314" w:lineRule="auto"/>
        <w:rPr>
          <w:sz w:val="20"/>
          <w:szCs w:val="20"/>
          <w:color w:val="auto"/>
        </w:rPr>
      </w:pPr>
      <w:r>
        <w:rPr>
          <w:rFonts w:ascii="Arial" w:cs="Arial" w:eastAsia="Arial" w:hAnsi="Arial"/>
          <w:sz w:val="16"/>
          <w:szCs w:val="16"/>
          <w:b w:val="1"/>
          <w:bCs w:val="1"/>
          <w:color w:val="auto"/>
        </w:rPr>
        <w:t xml:space="preserve">Cost of Revenue </w:t>
      </w:r>
      <w:r>
        <w:rPr>
          <w:rFonts w:ascii="Arial" w:cs="Arial" w:eastAsia="Arial" w:hAnsi="Arial"/>
          <w:sz w:val="16"/>
          <w:szCs w:val="16"/>
          <w:color w:val="auto"/>
        </w:rPr>
        <w:t>— Cost of revenue consists of the actual cost of pharmaceuticals and other medical supplies dispensed to patients, as well as all</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costs directly related to the production of revenue. These costs include warehousing costs, purchasing costs, freight costs, cash discounts, wages and related costs for pharmacists and nurses, along with depreciation expense relating to revenue-generating assets, such as infusion pumps.</w:t>
      </w:r>
    </w:p>
    <w:p>
      <w:pPr>
        <w:spacing w:after="0" w:line="105"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The Company receives prompt payment discounts from some of its pharmaceutical and medical supplies vendors. These prompt payment discounts are recorded as a reduction of inventory and are accounted for as a reduction of cost of goods sold when the related inventory is sold.</w:t>
      </w:r>
    </w:p>
    <w:p>
      <w:pPr>
        <w:spacing w:after="0" w:line="119"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Company also receives rebates from pharmaceutical and medical supply manufacturers. Rebates are generally volume-based incentives and are recorded as a reduction of inventory and are accounted for as a reduction of cost of goods sold when the related inventory is sold.</w:t>
      </w:r>
    </w:p>
    <w:p>
      <w:pPr>
        <w:spacing w:after="0" w:line="102" w:lineRule="exact"/>
        <w:rPr>
          <w:sz w:val="20"/>
          <w:szCs w:val="20"/>
          <w:color w:val="auto"/>
        </w:rPr>
      </w:pPr>
    </w:p>
    <w:p>
      <w:pPr>
        <w:ind w:right="640" w:firstLine="405"/>
        <w:spacing w:after="0" w:line="347"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 Selling, general and administrative expenses mainly consist of salaries for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that directly and indirectly support the operations, occupancy costs, marketing expenditures, insurance, and professional fees.</w:t>
      </w:r>
    </w:p>
    <w:p>
      <w:pPr>
        <w:spacing w:after="0" w:line="7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b w:val="1"/>
          <w:bCs w:val="1"/>
          <w:color w:val="auto"/>
        </w:rPr>
        <w:t xml:space="preserve">Stock Based Incentive Compensation </w:t>
      </w:r>
      <w:r>
        <w:rPr>
          <w:rFonts w:ascii="Arial" w:cs="Arial" w:eastAsia="Arial" w:hAnsi="Arial"/>
          <w:sz w:val="17"/>
          <w:szCs w:val="17"/>
          <w:color w:val="auto"/>
        </w:rPr>
        <w:t>- The Company accounts for stock-based incentive compensation expense in accordance with ASC Topic 718,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Compensation-Stock Compensation </w:t>
      </w:r>
      <w:r>
        <w:rPr>
          <w:rFonts w:ascii="Arial" w:cs="Arial" w:eastAsia="Arial" w:hAnsi="Arial"/>
          <w:sz w:val="17"/>
          <w:szCs w:val="17"/>
          <w:color w:val="auto"/>
        </w:rPr>
        <w:t>(“ASC 718”). Stock-based incentive compensation expense is based on the grant date fair value.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the fair value of stock option awards using a Black-Scholes option pricing model and the fair value of restricted stock unit awards using the closing price of the Company’s common stock on the grant date. For awards with a service-based vesting condition, the Company recognizes expense on a straight-line basis over the service period of the award. For awards with performance-based vesting conditions, the Company will recognize expense when it is probable that the performance-based conditions will be met. When the Company determines that it is probable that the performance-based conditions will be met, a cumulative catch-up of expense will be recorded as if the award had been vesting on a straight-line basis from the award date. The award will continue to be expensed on a straight-line basis through the remainder of the vesting period and will be updated if the Company determines that there has been a change in the probability of achieving the performance-based conditions. The Company records the impact of forfeited awards in the period in which the forfeiture occurs.</w:t>
      </w:r>
    </w:p>
    <w:p>
      <w:pPr>
        <w:spacing w:after="0" w:line="15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Prior to the Merger, HCI issued incentive units to certain employees of Option Care, who remained employees of the Company following the Merger. In accordance with ASC 718, the Company recognizes compensation expense on a straight-line basis over the shorter of the vesting period of the award or the employee’s expected eligibility date. HC I also issued equity incentive units to certain members of the Option Care Board of Directors, who remained members of the Board of Directors following the Merger. See Note 15, </w:t>
      </w:r>
      <w:r>
        <w:rPr>
          <w:rFonts w:ascii="Arial" w:cs="Arial" w:eastAsia="Arial" w:hAnsi="Arial"/>
          <w:sz w:val="18"/>
          <w:szCs w:val="18"/>
          <w:i w:val="1"/>
          <w:iCs w:val="1"/>
          <w:color w:val="auto"/>
        </w:rPr>
        <w:t>Stock-Based Incentive Compensation</w:t>
      </w:r>
      <w:r>
        <w:rPr>
          <w:rFonts w:ascii="Arial" w:cs="Arial" w:eastAsia="Arial" w:hAnsi="Arial"/>
          <w:sz w:val="18"/>
          <w:szCs w:val="18"/>
          <w:color w:val="auto"/>
        </w:rPr>
        <w:t>, for a further discussion of equity incentive plans.</w:t>
      </w:r>
    </w:p>
    <w:p>
      <w:pPr>
        <w:spacing w:after="0" w:line="143" w:lineRule="exact"/>
        <w:rPr>
          <w:sz w:val="20"/>
          <w:szCs w:val="20"/>
          <w:color w:val="auto"/>
        </w:rPr>
      </w:pPr>
    </w:p>
    <w:p>
      <w:pPr>
        <w:ind w:right="120" w:firstLine="405"/>
        <w:spacing w:after="0" w:line="289" w:lineRule="auto"/>
        <w:rPr>
          <w:sz w:val="20"/>
          <w:szCs w:val="20"/>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color w:val="auto"/>
        </w:rPr>
        <w:t>- The Company accounts for business acquisitions in accordance with ASC Topic 805,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color w:val="auto"/>
        </w:rPr>
        <w:t>, with assets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liabilities being recorded at their acquisition date fair value and goodwill being calculated as the purchase price in excess of the net identifiable assets. See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for further discussion of the Company’s business acquisitions.</w:t>
      </w:r>
    </w:p>
    <w:p>
      <w:pPr>
        <w:spacing w:after="0" w:line="117"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The Company accounts for income taxes using the asset and liability method. Deferred tax assets and liabilities are reported for</w:t>
      </w:r>
      <w:r>
        <w:rPr>
          <w:rFonts w:ascii="Arial" w:cs="Arial" w:eastAsia="Arial" w:hAnsi="Arial"/>
          <w:sz w:val="18"/>
          <w:szCs w:val="18"/>
          <w:b w:val="1"/>
          <w:bCs w:val="1"/>
          <w:color w:val="auto"/>
        </w:rPr>
        <w:t xml:space="preserve"> </w:t>
      </w:r>
      <w:r>
        <w:rPr>
          <w:rFonts w:ascii="Arial" w:cs="Arial" w:eastAsia="Arial" w:hAnsi="Arial"/>
          <w:sz w:val="18"/>
          <w:szCs w:val="18"/>
          <w:color w:val="auto"/>
        </w:rPr>
        <w:t>book-tax basis differences and are measured based on currently enacted tax laws using rates expected to apply to taxable income in the years in which the differences are expected to reverse. The effect of a change in tax rate on deferred taxes is recognized in income tax expense in the period that includes the enactment date of the change.</w:t>
      </w:r>
    </w:p>
    <w:p>
      <w:pPr>
        <w:spacing w:after="0" w:line="15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Valuation allowances are established when necessary to reduce deferred tax assets to the amounts more likely than not to be realized.</w:t>
      </w:r>
    </w:p>
    <w:p>
      <w:pPr>
        <w:spacing w:after="0" w:line="14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Company recognizes income tax positions that are more likely than not to be sustained on their technical merits. The Company measures recognized income tax positions at the maximum benefit that is more likely than not, based on cumulative probability, realizable upon final settlement of the position. Interest and penalties related to unrecognized tax benefits are reported in income tax expense.</w:t>
      </w:r>
    </w:p>
    <w:p>
      <w:pPr>
        <w:spacing w:after="0" w:line="126" w:lineRule="exact"/>
        <w:rPr>
          <w:sz w:val="20"/>
          <w:szCs w:val="20"/>
          <w:color w:val="auto"/>
        </w:rPr>
      </w:pPr>
    </w:p>
    <w:p>
      <w:pPr>
        <w:ind w:right="20" w:firstLine="324"/>
        <w:spacing w:after="0" w:line="243" w:lineRule="auto"/>
        <w:rPr>
          <w:sz w:val="20"/>
          <w:szCs w:val="20"/>
          <w:color w:val="auto"/>
        </w:rPr>
      </w:pPr>
      <w:r>
        <w:rPr>
          <w:rFonts w:ascii="Arial" w:cs="Arial" w:eastAsia="Arial" w:hAnsi="Arial"/>
          <w:sz w:val="17"/>
          <w:szCs w:val="17"/>
          <w:b w:val="1"/>
          <w:bCs w:val="1"/>
          <w:color w:val="auto"/>
        </w:rPr>
        <w:t xml:space="preserve">Immaterial Error Correction </w:t>
      </w:r>
      <w:r>
        <w:rPr>
          <w:rFonts w:ascii="Arial" w:cs="Arial" w:eastAsia="Arial" w:hAnsi="Arial"/>
          <w:sz w:val="17"/>
          <w:szCs w:val="17"/>
          <w:color w:val="auto"/>
        </w:rPr>
        <w:t>— During the three months ended June 30, 2021, the Company identified prior period misstatements related to the net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earned by category of payer for the periods ended September 30, 2020, December 31, 2020, March 31, 2021, and June 30, 2021. Certain individual payers were improperly classified as direct government and instead should have been classified as commercial payers. This error over-stated the Company’s government revenues and under-stated the Company’s commercial revenues in those periods. The Company assessed the materiality of these misstatements both quantitatively and qualitatively and determined the correction of these errors to be immaterial to the prior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 taken as a whole. As a result, the Company has corrected the misstatements as disclosed in the following tables: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91"/>
              </w:rPr>
              <w:t>Three Months ended September</w:t>
            </w:r>
          </w:p>
        </w:tc>
        <w:tc>
          <w:tcPr>
            <w:tcW w:w="51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3"/>
              </w:rPr>
              <w:t>Nine Months ended September 30, Three Months ended December 31,</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0"/>
              </w:rPr>
              <w:t>Twelve Months ended December</w:t>
            </w:r>
          </w:p>
        </w:tc>
      </w:tr>
      <w:tr>
        <w:trPr>
          <w:trHeight w:val="213"/>
        </w:trPr>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30, 2020</w:t>
            </w:r>
          </w:p>
        </w:tc>
        <w:tc>
          <w:tcPr>
            <w:tcW w:w="2680" w:type="dxa"/>
            <w:vAlign w:val="bottom"/>
            <w:tcBorders>
              <w:bottom w:val="single" w:sz="8" w:color="auto"/>
            </w:tcBorders>
            <w:gridSpan w:val="2"/>
          </w:tcPr>
          <w:p>
            <w:pPr>
              <w:jc w:val="right"/>
              <w:ind w:right="1199"/>
              <w:spacing w:after="0"/>
              <w:rPr>
                <w:sz w:val="20"/>
                <w:szCs w:val="20"/>
                <w:color w:val="auto"/>
              </w:rPr>
            </w:pPr>
            <w:r>
              <w:rPr>
                <w:rFonts w:ascii="Arial" w:cs="Arial" w:eastAsia="Arial" w:hAnsi="Arial"/>
                <w:sz w:val="16"/>
                <w:szCs w:val="16"/>
                <w:b w:val="1"/>
                <w:bCs w:val="1"/>
                <w:color w:val="auto"/>
              </w:rPr>
              <w:t>2020</w:t>
            </w:r>
          </w:p>
        </w:tc>
        <w:tc>
          <w:tcPr>
            <w:tcW w:w="2440" w:type="dxa"/>
            <w:vAlign w:val="bottom"/>
            <w:tcBorders>
              <w:bottom w:val="single" w:sz="8" w:color="auto"/>
            </w:tcBorders>
            <w:gridSpan w:val="2"/>
          </w:tcPr>
          <w:p>
            <w:pPr>
              <w:jc w:val="right"/>
              <w:ind w:right="1139"/>
              <w:spacing w:after="0"/>
              <w:rPr>
                <w:sz w:val="20"/>
                <w:szCs w:val="20"/>
                <w:color w:val="auto"/>
              </w:rPr>
            </w:pPr>
            <w:r>
              <w:rPr>
                <w:rFonts w:ascii="Arial" w:cs="Arial" w:eastAsia="Arial" w:hAnsi="Arial"/>
                <w:sz w:val="16"/>
                <w:szCs w:val="16"/>
                <w:b w:val="1"/>
                <w:bCs w:val="1"/>
                <w:color w:val="auto"/>
              </w:rPr>
              <w:t>2020</w:t>
            </w:r>
          </w:p>
        </w:tc>
        <w:tc>
          <w:tcPr>
            <w:tcW w:w="240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31, 2020</w:t>
            </w:r>
          </w:p>
        </w:tc>
      </w:tr>
      <w:tr>
        <w:trPr>
          <w:trHeight w:val="212"/>
        </w:trPr>
        <w:tc>
          <w:tcPr>
            <w:tcW w:w="1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9"/>
              </w:rPr>
              <w:t>% of Revenue</w:t>
            </w:r>
          </w:p>
        </w:tc>
        <w:tc>
          <w:tcPr>
            <w:tcW w:w="12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14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99"/>
              </w:rPr>
              <w:t>% of Revenue</w:t>
            </w:r>
          </w:p>
        </w:tc>
        <w:tc>
          <w:tcPr>
            <w:tcW w:w="10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13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 of Revenue</w:t>
            </w:r>
          </w:p>
        </w:tc>
        <w:tc>
          <w:tcPr>
            <w:tcW w:w="11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99"/>
              </w:rPr>
              <w:t>% of Revenue</w:t>
            </w:r>
          </w:p>
        </w:tc>
      </w:tr>
      <w:tr>
        <w:trPr>
          <w:trHeight w:val="193"/>
        </w:trPr>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Commercial:</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68"/>
        </w:trPr>
        <w:tc>
          <w:tcPr>
            <w:tcW w:w="12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As Previously</w:t>
            </w:r>
          </w:p>
        </w:tc>
        <w:tc>
          <w:tcPr>
            <w:tcW w:w="12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9"/>
              <w:spacing w:after="0" w:line="168" w:lineRule="exact"/>
              <w:rPr>
                <w:sz w:val="20"/>
                <w:szCs w:val="20"/>
                <w:color w:val="auto"/>
              </w:rPr>
            </w:pPr>
            <w:r>
              <w:rPr>
                <w:rFonts w:ascii="Arial" w:cs="Arial" w:eastAsia="Arial" w:hAnsi="Arial"/>
                <w:sz w:val="16"/>
                <w:szCs w:val="16"/>
                <w:color w:val="auto"/>
              </w:rPr>
              <w:t>644,385</w:t>
            </w:r>
          </w:p>
        </w:tc>
        <w:tc>
          <w:tcPr>
            <w:tcW w:w="12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82.4 %</w:t>
            </w:r>
          </w:p>
        </w:tc>
        <w:tc>
          <w:tcPr>
            <w:tcW w:w="1240" w:type="dxa"/>
            <w:vAlign w:val="bottom"/>
            <w:shd w:val="clear" w:color="auto" w:fill="CCEEFF"/>
          </w:tcPr>
          <w:p>
            <w:pPr>
              <w:jc w:val="right"/>
              <w:ind w:right="59"/>
              <w:spacing w:after="0" w:line="168" w:lineRule="exact"/>
              <w:rPr>
                <w:sz w:val="20"/>
                <w:szCs w:val="20"/>
                <w:color w:val="auto"/>
              </w:rPr>
            </w:pPr>
            <w:r>
              <w:rPr>
                <w:rFonts w:ascii="Arial" w:cs="Arial" w:eastAsia="Arial" w:hAnsi="Arial"/>
                <w:sz w:val="16"/>
                <w:szCs w:val="16"/>
                <w:color w:val="auto"/>
              </w:rPr>
              <w:t>1,893,105</w:t>
            </w:r>
          </w:p>
        </w:tc>
        <w:tc>
          <w:tcPr>
            <w:tcW w:w="1440" w:type="dxa"/>
            <w:vAlign w:val="bottom"/>
            <w:shd w:val="clear" w:color="auto" w:fill="CCEEFF"/>
          </w:tcPr>
          <w:p>
            <w:pPr>
              <w:jc w:val="right"/>
              <w:ind w:right="19"/>
              <w:spacing w:after="0" w:line="168" w:lineRule="exact"/>
              <w:rPr>
                <w:sz w:val="20"/>
                <w:szCs w:val="20"/>
                <w:color w:val="auto"/>
              </w:rPr>
            </w:pPr>
            <w:r>
              <w:rPr>
                <w:rFonts w:ascii="Arial" w:cs="Arial" w:eastAsia="Arial" w:hAnsi="Arial"/>
                <w:sz w:val="16"/>
                <w:szCs w:val="16"/>
                <w:color w:val="auto"/>
              </w:rPr>
              <w:t>85.0 % $</w:t>
            </w:r>
          </w:p>
        </w:tc>
        <w:tc>
          <w:tcPr>
            <w:tcW w:w="1060" w:type="dxa"/>
            <w:vAlign w:val="bottom"/>
            <w:shd w:val="clear" w:color="auto" w:fill="CCEEFF"/>
          </w:tcPr>
          <w:p>
            <w:pPr>
              <w:jc w:val="right"/>
              <w:ind w:right="59"/>
              <w:spacing w:after="0" w:line="168" w:lineRule="exact"/>
              <w:rPr>
                <w:sz w:val="20"/>
                <w:szCs w:val="20"/>
                <w:color w:val="auto"/>
              </w:rPr>
            </w:pPr>
            <w:r>
              <w:rPr>
                <w:rFonts w:ascii="Arial" w:cs="Arial" w:eastAsia="Arial" w:hAnsi="Arial"/>
                <w:sz w:val="16"/>
                <w:szCs w:val="16"/>
                <w:color w:val="auto"/>
              </w:rPr>
              <w:t>649,880</w:t>
            </w:r>
          </w:p>
        </w:tc>
        <w:tc>
          <w:tcPr>
            <w:tcW w:w="13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80.8 % $</w:t>
            </w:r>
          </w:p>
        </w:tc>
        <w:tc>
          <w:tcPr>
            <w:tcW w:w="1160" w:type="dxa"/>
            <w:vAlign w:val="bottom"/>
            <w:shd w:val="clear" w:color="auto" w:fill="CCEEFF"/>
          </w:tcPr>
          <w:p>
            <w:pPr>
              <w:jc w:val="right"/>
              <w:ind w:right="79"/>
              <w:spacing w:after="0" w:line="168" w:lineRule="exact"/>
              <w:rPr>
                <w:sz w:val="20"/>
                <w:szCs w:val="20"/>
                <w:color w:val="auto"/>
              </w:rPr>
            </w:pPr>
            <w:r>
              <w:rPr>
                <w:rFonts w:ascii="Arial" w:cs="Arial" w:eastAsia="Arial" w:hAnsi="Arial"/>
                <w:sz w:val="16"/>
                <w:szCs w:val="16"/>
                <w:color w:val="auto"/>
              </w:rPr>
              <w:t>2,542,985</w:t>
            </w:r>
          </w:p>
        </w:tc>
        <w:tc>
          <w:tcPr>
            <w:tcW w:w="12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83.9 %</w:t>
            </w:r>
          </w:p>
        </w:tc>
      </w:tr>
      <w:tr>
        <w:trPr>
          <w:trHeight w:val="212"/>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6"/>
                <w:szCs w:val="16"/>
                <w:color w:val="auto"/>
              </w:rPr>
              <w:t>Adjustment</w:t>
            </w:r>
          </w:p>
        </w:tc>
        <w:tc>
          <w:tcPr>
            <w:tcW w:w="12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34,321</w:t>
            </w:r>
          </w:p>
        </w:tc>
        <w:tc>
          <w:tcPr>
            <w:tcW w:w="1260" w:type="dxa"/>
            <w:vAlign w:val="bottom"/>
          </w:tcPr>
          <w:p>
            <w:pPr>
              <w:jc w:val="right"/>
              <w:spacing w:after="0"/>
              <w:rPr>
                <w:sz w:val="20"/>
                <w:szCs w:val="20"/>
                <w:color w:val="auto"/>
              </w:rPr>
            </w:pPr>
            <w:r>
              <w:rPr>
                <w:rFonts w:ascii="Arial" w:cs="Arial" w:eastAsia="Arial" w:hAnsi="Arial"/>
                <w:sz w:val="16"/>
                <w:szCs w:val="16"/>
                <w:color w:val="auto"/>
              </w:rPr>
              <w:t>4.4 %</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34,321</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1.5 %</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40,806</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5.1 %</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75,127</w:t>
            </w:r>
          </w:p>
        </w:tc>
        <w:tc>
          <w:tcPr>
            <w:tcW w:w="124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Revised</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678,706</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86.8 %</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1,927,426</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86.5 %</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690,686</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85.9 %</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2,618,112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86.4 %</w:t>
            </w:r>
          </w:p>
        </w:tc>
      </w:tr>
      <w:tr>
        <w:trPr>
          <w:trHeight w:val="270"/>
        </w:trPr>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Government: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66"/>
        </w:trPr>
        <w:tc>
          <w:tcPr>
            <w:tcW w:w="1200" w:type="dxa"/>
            <w:vAlign w:val="bottom"/>
          </w:tcPr>
          <w:p>
            <w:pPr>
              <w:ind w:left="20"/>
              <w:spacing w:after="0" w:line="166" w:lineRule="exact"/>
              <w:rPr>
                <w:sz w:val="20"/>
                <w:szCs w:val="20"/>
                <w:color w:val="auto"/>
              </w:rPr>
            </w:pPr>
            <w:r>
              <w:rPr>
                <w:rFonts w:ascii="Arial" w:cs="Arial" w:eastAsia="Arial" w:hAnsi="Arial"/>
                <w:sz w:val="16"/>
                <w:szCs w:val="16"/>
                <w:color w:val="auto"/>
              </w:rPr>
              <w:t>As Previously</w:t>
            </w:r>
          </w:p>
        </w:tc>
        <w:tc>
          <w:tcPr>
            <w:tcW w:w="120" w:type="dxa"/>
            <w:vAlign w:val="bottom"/>
          </w:tcPr>
          <w:p>
            <w:pPr>
              <w:spacing w:after="0"/>
              <w:rPr>
                <w:sz w:val="14"/>
                <w:szCs w:val="14"/>
                <w:color w:val="auto"/>
              </w:rPr>
            </w:pPr>
          </w:p>
        </w:tc>
        <w:tc>
          <w:tcPr>
            <w:tcW w:w="1140" w:type="dxa"/>
            <w:vAlign w:val="bottom"/>
          </w:tcPr>
          <w:p>
            <w:pPr>
              <w:jc w:val="right"/>
              <w:ind w:right="59"/>
              <w:spacing w:after="0" w:line="166" w:lineRule="exact"/>
              <w:rPr>
                <w:sz w:val="20"/>
                <w:szCs w:val="20"/>
                <w:color w:val="auto"/>
              </w:rPr>
            </w:pPr>
            <w:r>
              <w:rPr>
                <w:rFonts w:ascii="Arial" w:cs="Arial" w:eastAsia="Arial" w:hAnsi="Arial"/>
                <w:sz w:val="16"/>
                <w:szCs w:val="16"/>
                <w:color w:val="auto"/>
              </w:rPr>
              <w:t>127,435</w:t>
            </w:r>
          </w:p>
        </w:tc>
        <w:tc>
          <w:tcPr>
            <w:tcW w:w="1260" w:type="dxa"/>
            <w:vAlign w:val="bottom"/>
          </w:tcPr>
          <w:p>
            <w:pPr>
              <w:jc w:val="right"/>
              <w:spacing w:after="0" w:line="166" w:lineRule="exact"/>
              <w:rPr>
                <w:sz w:val="20"/>
                <w:szCs w:val="20"/>
                <w:color w:val="auto"/>
              </w:rPr>
            </w:pPr>
            <w:r>
              <w:rPr>
                <w:rFonts w:ascii="Arial" w:cs="Arial" w:eastAsia="Arial" w:hAnsi="Arial"/>
                <w:sz w:val="16"/>
                <w:szCs w:val="16"/>
                <w:color w:val="auto"/>
              </w:rPr>
              <w:t>16.3 %</w:t>
            </w:r>
          </w:p>
        </w:tc>
        <w:tc>
          <w:tcPr>
            <w:tcW w:w="1240" w:type="dxa"/>
            <w:vAlign w:val="bottom"/>
          </w:tcPr>
          <w:p>
            <w:pPr>
              <w:jc w:val="right"/>
              <w:ind w:right="59"/>
              <w:spacing w:after="0" w:line="166" w:lineRule="exact"/>
              <w:rPr>
                <w:sz w:val="20"/>
                <w:szCs w:val="20"/>
                <w:color w:val="auto"/>
              </w:rPr>
            </w:pPr>
            <w:r>
              <w:rPr>
                <w:rFonts w:ascii="Arial" w:cs="Arial" w:eastAsia="Arial" w:hAnsi="Arial"/>
                <w:sz w:val="16"/>
                <w:szCs w:val="16"/>
                <w:color w:val="auto"/>
              </w:rPr>
              <w:t>308,830</w:t>
            </w:r>
          </w:p>
        </w:tc>
        <w:tc>
          <w:tcPr>
            <w:tcW w:w="1440" w:type="dxa"/>
            <w:vAlign w:val="bottom"/>
          </w:tcPr>
          <w:p>
            <w:pPr>
              <w:jc w:val="right"/>
              <w:ind w:right="139"/>
              <w:spacing w:after="0" w:line="166" w:lineRule="exact"/>
              <w:rPr>
                <w:sz w:val="20"/>
                <w:szCs w:val="20"/>
                <w:color w:val="auto"/>
              </w:rPr>
            </w:pPr>
            <w:r>
              <w:rPr>
                <w:rFonts w:ascii="Arial" w:cs="Arial" w:eastAsia="Arial" w:hAnsi="Arial"/>
                <w:sz w:val="16"/>
                <w:szCs w:val="16"/>
                <w:color w:val="auto"/>
              </w:rPr>
              <w:t>13.9 %</w:t>
            </w:r>
          </w:p>
        </w:tc>
        <w:tc>
          <w:tcPr>
            <w:tcW w:w="1060" w:type="dxa"/>
            <w:vAlign w:val="bottom"/>
          </w:tcPr>
          <w:p>
            <w:pPr>
              <w:jc w:val="right"/>
              <w:ind w:right="59"/>
              <w:spacing w:after="0" w:line="166" w:lineRule="exact"/>
              <w:rPr>
                <w:sz w:val="20"/>
                <w:szCs w:val="20"/>
                <w:color w:val="auto"/>
              </w:rPr>
            </w:pPr>
            <w:r>
              <w:rPr>
                <w:rFonts w:ascii="Arial" w:cs="Arial" w:eastAsia="Arial" w:hAnsi="Arial"/>
                <w:sz w:val="16"/>
                <w:szCs w:val="16"/>
                <w:color w:val="auto"/>
              </w:rPr>
              <w:t>141,237</w:t>
            </w:r>
          </w:p>
        </w:tc>
        <w:tc>
          <w:tcPr>
            <w:tcW w:w="1380" w:type="dxa"/>
            <w:vAlign w:val="bottom"/>
          </w:tcPr>
          <w:p>
            <w:pPr>
              <w:jc w:val="right"/>
              <w:ind w:right="59"/>
              <w:spacing w:after="0" w:line="166" w:lineRule="exact"/>
              <w:rPr>
                <w:sz w:val="20"/>
                <w:szCs w:val="20"/>
                <w:color w:val="auto"/>
              </w:rPr>
            </w:pPr>
            <w:r>
              <w:rPr>
                <w:rFonts w:ascii="Arial" w:cs="Arial" w:eastAsia="Arial" w:hAnsi="Arial"/>
                <w:sz w:val="16"/>
                <w:szCs w:val="16"/>
                <w:color w:val="auto"/>
              </w:rPr>
              <w:t>17.6 %</w:t>
            </w:r>
          </w:p>
        </w:tc>
        <w:tc>
          <w:tcPr>
            <w:tcW w:w="1160" w:type="dxa"/>
            <w:vAlign w:val="bottom"/>
          </w:tcPr>
          <w:p>
            <w:pPr>
              <w:jc w:val="right"/>
              <w:ind w:right="79"/>
              <w:spacing w:after="0" w:line="166" w:lineRule="exact"/>
              <w:rPr>
                <w:sz w:val="20"/>
                <w:szCs w:val="20"/>
                <w:color w:val="auto"/>
              </w:rPr>
            </w:pPr>
            <w:r>
              <w:rPr>
                <w:rFonts w:ascii="Arial" w:cs="Arial" w:eastAsia="Arial" w:hAnsi="Arial"/>
                <w:sz w:val="16"/>
                <w:szCs w:val="16"/>
                <w:color w:val="auto"/>
              </w:rPr>
              <w:t>450,067</w:t>
            </w:r>
          </w:p>
        </w:tc>
        <w:tc>
          <w:tcPr>
            <w:tcW w:w="1240" w:type="dxa"/>
            <w:vAlign w:val="bottom"/>
          </w:tcPr>
          <w:p>
            <w:pPr>
              <w:jc w:val="right"/>
              <w:spacing w:after="0" w:line="166" w:lineRule="exact"/>
              <w:rPr>
                <w:sz w:val="20"/>
                <w:szCs w:val="20"/>
                <w:color w:val="auto"/>
              </w:rPr>
            </w:pPr>
            <w:r>
              <w:rPr>
                <w:rFonts w:ascii="Arial" w:cs="Arial" w:eastAsia="Arial" w:hAnsi="Arial"/>
                <w:sz w:val="16"/>
                <w:szCs w:val="16"/>
                <w:color w:val="auto"/>
              </w:rPr>
              <w:t>14.8 %</w:t>
            </w:r>
          </w:p>
        </w:tc>
      </w:tr>
      <w:tr>
        <w:trPr>
          <w:trHeight w:val="209"/>
        </w:trPr>
        <w:tc>
          <w:tcPr>
            <w:tcW w:w="1200" w:type="dxa"/>
            <w:vAlign w:val="bottom"/>
          </w:tcPr>
          <w:p>
            <w:pPr>
              <w:ind w:left="20"/>
              <w:spacing w:after="0"/>
              <w:rPr>
                <w:sz w:val="20"/>
                <w:szCs w:val="20"/>
                <w:color w:val="auto"/>
              </w:rPr>
            </w:pPr>
            <w:r>
              <w:rPr>
                <w:rFonts w:ascii="Arial" w:cs="Arial" w:eastAsia="Arial" w:hAnsi="Arial"/>
                <w:sz w:val="16"/>
                <w:szCs w:val="16"/>
                <w:color w:val="auto"/>
              </w:rPr>
              <w:t>Reported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(34,321)</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(34,321)</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(40,806)</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(75,127)</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1200" w:type="dxa"/>
            <w:vAlign w:val="bottom"/>
          </w:tcPr>
          <w:p>
            <w:pPr>
              <w:ind w:left="20"/>
              <w:spacing w:after="0"/>
              <w:rPr>
                <w:sz w:val="20"/>
                <w:szCs w:val="20"/>
                <w:color w:val="auto"/>
              </w:rPr>
            </w:pPr>
            <w:r>
              <w:rPr>
                <w:rFonts w:ascii="Arial" w:cs="Arial" w:eastAsia="Arial" w:hAnsi="Arial"/>
                <w:sz w:val="16"/>
                <w:szCs w:val="16"/>
                <w:color w:val="auto"/>
              </w:rPr>
              <w:t>As Revised</w:t>
            </w:r>
          </w:p>
        </w:tc>
        <w:tc>
          <w:tcPr>
            <w:tcW w:w="12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93,114</w:t>
            </w:r>
          </w:p>
        </w:tc>
        <w:tc>
          <w:tcPr>
            <w:tcW w:w="1260" w:type="dxa"/>
            <w:vAlign w:val="bottom"/>
          </w:tcPr>
          <w:p>
            <w:pPr>
              <w:jc w:val="right"/>
              <w:spacing w:after="0"/>
              <w:rPr>
                <w:sz w:val="20"/>
                <w:szCs w:val="20"/>
                <w:color w:val="auto"/>
              </w:rPr>
            </w:pPr>
            <w:r>
              <w:rPr>
                <w:rFonts w:ascii="Arial" w:cs="Arial" w:eastAsia="Arial" w:hAnsi="Arial"/>
                <w:sz w:val="16"/>
                <w:szCs w:val="16"/>
                <w:color w:val="auto"/>
              </w:rPr>
              <w:t>11.9 %</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274,509</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12.4 %</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100,431</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12.5 %</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374,940</w:t>
            </w:r>
          </w:p>
        </w:tc>
        <w:tc>
          <w:tcPr>
            <w:tcW w:w="1240" w:type="dxa"/>
            <w:vAlign w:val="bottom"/>
          </w:tcPr>
          <w:p>
            <w:pPr>
              <w:jc w:val="right"/>
              <w:spacing w:after="0"/>
              <w:rPr>
                <w:sz w:val="20"/>
                <w:szCs w:val="20"/>
                <w:color w:val="auto"/>
              </w:rPr>
            </w:pPr>
            <w:r>
              <w:rPr>
                <w:rFonts w:ascii="Arial" w:cs="Arial" w:eastAsia="Arial" w:hAnsi="Arial"/>
                <w:sz w:val="16"/>
                <w:szCs w:val="16"/>
                <w:color w:val="auto"/>
              </w:rPr>
              <w:t>12.3 %</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20" w:type="dxa"/>
            <w:vAlign w:val="bottom"/>
            <w:tcBorders>
              <w:bottom w:val="single" w:sz="8" w:color="CCEEFF"/>
            </w:tcBorders>
          </w:tcPr>
          <w:p>
            <w:pPr>
              <w:spacing w:after="0"/>
              <w:rPr>
                <w:sz w:val="18"/>
                <w:szCs w:val="18"/>
                <w:color w:val="auto"/>
              </w:rPr>
            </w:pPr>
          </w:p>
        </w:tc>
        <w:tc>
          <w:tcPr>
            <w:tcW w:w="34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Three Months ended March 31, 2021</w:t>
            </w:r>
          </w:p>
        </w:tc>
        <w:tc>
          <w:tcPr>
            <w:tcW w:w="310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w w:val="95"/>
              </w:rPr>
              <w:t>Three Months ended June 30, 2021</w:t>
            </w:r>
          </w:p>
        </w:tc>
        <w:tc>
          <w:tcPr>
            <w:tcW w:w="26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w w:val="93"/>
              </w:rPr>
              <w:t>Six Months ended June 30, 2021</w:t>
            </w:r>
          </w:p>
        </w:tc>
      </w:tr>
      <w:tr>
        <w:trPr>
          <w:trHeight w:val="213"/>
        </w:trPr>
        <w:tc>
          <w:tcPr>
            <w:tcW w:w="19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7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 of Revenue</w:t>
            </w:r>
          </w:p>
        </w:tc>
        <w:tc>
          <w:tcPr>
            <w:tcW w:w="15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Amount</w:t>
            </w:r>
          </w:p>
        </w:tc>
        <w:tc>
          <w:tcPr>
            <w:tcW w:w="15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 of Revenue</w:t>
            </w:r>
          </w:p>
        </w:tc>
        <w:tc>
          <w:tcPr>
            <w:tcW w:w="13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Amount</w:t>
            </w: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 of Revenue</w:t>
            </w:r>
          </w:p>
        </w:tc>
      </w:tr>
      <w:tr>
        <w:trPr>
          <w:trHeight w:val="193"/>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rPr>
              <w:t>Commercial:</w:t>
            </w: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9"/>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Previously Reported</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611,434</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80.5 % $</w:t>
            </w:r>
          </w:p>
        </w:tc>
        <w:tc>
          <w:tcPr>
            <w:tcW w:w="1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703,429</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81.8 % $</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1,314,862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81.2 %</w:t>
            </w:r>
          </w:p>
        </w:tc>
      </w:tr>
      <w:tr>
        <w:trPr>
          <w:trHeight w:val="213"/>
        </w:trPr>
        <w:tc>
          <w:tcPr>
            <w:tcW w:w="1920" w:type="dxa"/>
            <w:vAlign w:val="bottom"/>
          </w:tcPr>
          <w:p>
            <w:pPr>
              <w:ind w:left="20"/>
              <w:spacing w:after="0"/>
              <w:rPr>
                <w:sz w:val="20"/>
                <w:szCs w:val="20"/>
                <w:color w:val="auto"/>
              </w:rPr>
            </w:pPr>
            <w:r>
              <w:rPr>
                <w:rFonts w:ascii="Arial" w:cs="Arial" w:eastAsia="Arial" w:hAnsi="Arial"/>
                <w:sz w:val="16"/>
                <w:szCs w:val="16"/>
                <w:color w:val="auto"/>
              </w:rPr>
              <w:t>Adjustment</w:t>
            </w:r>
          </w:p>
        </w:tc>
        <w:tc>
          <w:tcPr>
            <w:tcW w:w="122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37,073</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4.9 %</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43,218</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5.0 %</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80,292</w:t>
            </w:r>
          </w:p>
        </w:tc>
        <w:tc>
          <w:tcPr>
            <w:tcW w:w="130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219"/>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Revised</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648,507</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85.4 %</w:t>
            </w:r>
          </w:p>
        </w:tc>
        <w:tc>
          <w:tcPr>
            <w:tcW w:w="1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746,647</w:t>
            </w: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86.8 %</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1,395,154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86.1 %</w:t>
            </w:r>
          </w:p>
        </w:tc>
      </w:tr>
      <w:tr>
        <w:trPr>
          <w:trHeight w:val="270"/>
        </w:trPr>
        <w:tc>
          <w:tcPr>
            <w:tcW w:w="1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Government:</w:t>
            </w: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1920" w:type="dxa"/>
            <w:vAlign w:val="bottom"/>
          </w:tcPr>
          <w:p>
            <w:pPr>
              <w:ind w:left="20"/>
              <w:spacing w:after="0"/>
              <w:rPr>
                <w:sz w:val="20"/>
                <w:szCs w:val="20"/>
                <w:color w:val="auto"/>
              </w:rPr>
            </w:pPr>
            <w:r>
              <w:rPr>
                <w:rFonts w:ascii="Arial" w:cs="Arial" w:eastAsia="Arial" w:hAnsi="Arial"/>
                <w:sz w:val="16"/>
                <w:szCs w:val="16"/>
                <w:color w:val="auto"/>
              </w:rPr>
              <w:t>As Previously Reported</w:t>
            </w:r>
          </w:p>
        </w:tc>
        <w:tc>
          <w:tcPr>
            <w:tcW w:w="122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w w:val="89"/>
              </w:rPr>
              <w:t>134,914</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17.8 %</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145,799</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16.9 %</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280,714</w:t>
            </w:r>
          </w:p>
        </w:tc>
        <w:tc>
          <w:tcPr>
            <w:tcW w:w="1300" w:type="dxa"/>
            <w:vAlign w:val="bottom"/>
          </w:tcPr>
          <w:p>
            <w:pPr>
              <w:jc w:val="right"/>
              <w:spacing w:after="0"/>
              <w:rPr>
                <w:sz w:val="20"/>
                <w:szCs w:val="20"/>
                <w:color w:val="auto"/>
              </w:rPr>
            </w:pPr>
            <w:r>
              <w:rPr>
                <w:rFonts w:ascii="Arial" w:cs="Arial" w:eastAsia="Arial" w:hAnsi="Arial"/>
                <w:sz w:val="16"/>
                <w:szCs w:val="16"/>
                <w:color w:val="auto"/>
              </w:rPr>
              <w:t>17.3 %</w:t>
            </w:r>
          </w:p>
        </w:tc>
      </w:tr>
      <w:tr>
        <w:trPr>
          <w:trHeight w:val="219"/>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3"/>
              </w:rPr>
              <w:t>(37,073)</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(43,218)</w:t>
            </w: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(80,292)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0"/>
        </w:trPr>
        <w:tc>
          <w:tcPr>
            <w:tcW w:w="1920" w:type="dxa"/>
            <w:vAlign w:val="bottom"/>
          </w:tcPr>
          <w:p>
            <w:pPr>
              <w:ind w:left="20"/>
              <w:spacing w:after="0"/>
              <w:rPr>
                <w:sz w:val="20"/>
                <w:szCs w:val="20"/>
                <w:color w:val="auto"/>
              </w:rPr>
            </w:pPr>
            <w:r>
              <w:rPr>
                <w:rFonts w:ascii="Arial" w:cs="Arial" w:eastAsia="Arial" w:hAnsi="Arial"/>
                <w:sz w:val="16"/>
                <w:szCs w:val="16"/>
                <w:color w:val="auto"/>
              </w:rPr>
              <w:t>As Revised</w:t>
            </w:r>
          </w:p>
        </w:tc>
        <w:tc>
          <w:tcPr>
            <w:tcW w:w="122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97,841</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12.9 %</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102,581</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11.9 %</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200,422</w:t>
            </w:r>
          </w:p>
        </w:tc>
        <w:tc>
          <w:tcPr>
            <w:tcW w:w="1300" w:type="dxa"/>
            <w:vAlign w:val="bottom"/>
          </w:tcPr>
          <w:p>
            <w:pPr>
              <w:jc w:val="right"/>
              <w:spacing w:after="0"/>
              <w:rPr>
                <w:sz w:val="20"/>
                <w:szCs w:val="20"/>
                <w:color w:val="auto"/>
              </w:rPr>
            </w:pPr>
            <w:r>
              <w:rPr>
                <w:rFonts w:ascii="Arial" w:cs="Arial" w:eastAsia="Arial" w:hAnsi="Arial"/>
                <w:sz w:val="16"/>
                <w:szCs w:val="16"/>
                <w:color w:val="auto"/>
              </w:rPr>
              <w:t>12.4 %</w:t>
            </w:r>
          </w:p>
        </w:tc>
      </w:tr>
    </w:tbl>
    <w:p>
      <w:pPr>
        <w:spacing w:after="0" w:line="154" w:lineRule="exact"/>
        <w:rPr>
          <w:sz w:val="20"/>
          <w:szCs w:val="20"/>
          <w:color w:val="auto"/>
        </w:rPr>
      </w:pPr>
    </w:p>
    <w:p>
      <w:pPr>
        <w:ind w:right="480" w:firstLine="324"/>
        <w:spacing w:after="0" w:line="246" w:lineRule="auto"/>
        <w:rPr>
          <w:sz w:val="20"/>
          <w:szCs w:val="20"/>
          <w:color w:val="auto"/>
        </w:rPr>
      </w:pPr>
      <w:r>
        <w:rPr>
          <w:rFonts w:ascii="Arial" w:cs="Arial" w:eastAsia="Arial" w:hAnsi="Arial"/>
          <w:sz w:val="18"/>
          <w:szCs w:val="18"/>
          <w:color w:val="auto"/>
        </w:rPr>
        <w:t>There was no impact to the Company’s consolidated balance sheets, consolidated statements of comprehensive income (loss) or the consolidated statements of cash flows for any of these periods.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Concentrations of Business Risk </w:t>
      </w:r>
      <w:r>
        <w:rPr>
          <w:rFonts w:ascii="Arial" w:cs="Arial" w:eastAsia="Arial" w:hAnsi="Arial"/>
          <w:sz w:val="18"/>
          <w:szCs w:val="18"/>
          <w:color w:val="auto"/>
        </w:rPr>
        <w:t>— The Company generates revenue from managed care contracts and other agreements with commercial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payers. Revenue related to the Company’s largest payer was approximately 16%, 15% and 16% for the years ended December 31, 2021, 2020 and 2019, respectively. The Company renewed its contract with this payer effective February 2022. There were no other managed care contracts that represent greater than 10% of revenue for the years presented.</w:t>
      </w:r>
    </w:p>
    <w:p>
      <w:pPr>
        <w:spacing w:after="0" w:line="143"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For the years ended December 31, 2021, 2020 and 2019, approximately 12%, 12% and 12%, respectively, of the Company’s revenue was reimbursable through direct government healthcare programs such as Medicare and Medicaid. As of December 31, 2021 and 2020, approximately 11% and 13%,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4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 does not require its patients nor other payers to carry collateral for any amounts owed for goods or services provided. Other than as discussed above, concentrations of credit risk relating to trade accounts receivable is limited due to the Company’s diversity of patients and payers. Further, the Company generally does not provide charity care.</w:t>
      </w:r>
    </w:p>
    <w:p>
      <w:pPr>
        <w:spacing w:after="0" w:line="14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For the year ended December 31, 2021, approximately 74% of the Company’s pharmaceutical and medical supply purchases were from four vendors. For the years ended December 31, 2020 and 2019, approximately 70%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is uncertainty regarding the COVID-19 pandemic, as of December 31, 2021 the Company has been able to maintain adequate levels of supplies and pharmaceuticals to support its operations.</w:t>
      </w:r>
    </w:p>
    <w:p>
      <w:pPr>
        <w:spacing w:after="0" w:line="13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 The fair value measurement accounting standard, ASC Topic 820,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b w:val="1"/>
          <w:bCs w:val="1"/>
          <w:color w:val="auto"/>
        </w:rPr>
        <w:t xml:space="preserve"> </w:t>
      </w:r>
      <w:r>
        <w:rPr>
          <w:rFonts w:ascii="Arial" w:cs="Arial" w:eastAsia="Arial" w:hAnsi="Arial"/>
          <w:sz w:val="17"/>
          <w:szCs w:val="17"/>
          <w:color w:val="auto"/>
        </w:rPr>
        <w:t>(“ASC 820”), provides a</w:t>
      </w:r>
      <w:r>
        <w:rPr>
          <w:rFonts w:ascii="Arial" w:cs="Arial" w:eastAsia="Arial" w:hAnsi="Arial"/>
          <w:sz w:val="17"/>
          <w:szCs w:val="17"/>
          <w:b w:val="1"/>
          <w:bCs w:val="1"/>
          <w:color w:val="auto"/>
        </w:rPr>
        <w:t xml:space="preserve"> </w:t>
      </w:r>
      <w:r>
        <w:rPr>
          <w:rFonts w:ascii="Arial" w:cs="Arial" w:eastAsia="Arial" w:hAnsi="Arial"/>
          <w:sz w:val="17"/>
          <w:szCs w:val="17"/>
          <w:color w:val="auto"/>
        </w:rPr>
        <w:t>framework for measuring fair value and defines fair value as the price that would be received to sell an asset or paid to transfer a liability. Fair value is a market-based measurement that should be determined using assumptions that market participants would use in pricing an asset or liability. The standard establishes a valuation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independent market data sources. Unobservable inputs are inputs that reflect the Company’s assumptions about the factors market participants would use in valuing the asset or liability developed based upon the best information available. The valuation hierarchy is composed of three categories. The categorization within the valuation hierarchy is based on the lowest level of input that is significant to the fair value measurement. The categories within the valuation hierarchy are described as follows:</w:t>
      </w:r>
    </w:p>
    <w:p>
      <w:pPr>
        <w:spacing w:after="0" w:line="150"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23" w:lineRule="exact"/>
        <w:rPr>
          <w:rFonts w:ascii="Arial" w:cs="Arial" w:eastAsia="Arial" w:hAnsi="Arial"/>
          <w:sz w:val="18"/>
          <w:szCs w:val="18"/>
          <w:color w:val="auto"/>
        </w:rPr>
      </w:pPr>
    </w:p>
    <w:p>
      <w:pPr>
        <w:ind w:left="1060" w:right="180" w:hanging="323"/>
        <w:spacing w:after="0" w:line="250" w:lineRule="auto"/>
        <w:tabs>
          <w:tab w:leader="none" w:pos="10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17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9"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b w:val="1"/>
          <w:bCs w:val="1"/>
          <w:color w:val="auto"/>
        </w:rPr>
        <w:t xml:space="preserve">Recently Issued Accounting Pronouncements </w:t>
      </w:r>
      <w:r>
        <w:rPr>
          <w:rFonts w:ascii="Arial" w:cs="Arial" w:eastAsia="Arial" w:hAnsi="Arial"/>
          <w:sz w:val="16"/>
          <w:szCs w:val="16"/>
          <w:color w:val="auto"/>
        </w:rPr>
        <w:t>— In March 2020, the FASB issued ASU 2020-04, Reference Rate Reform (Topic 848): Facilitation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Effects of Reference Rate Reform on Financial Reporting. This ASU provides optional expedient and exceptions for applying generally accepted accounting principles to contracts, hedging relationships, and other transactions affected by reference rate reform if certain criteria are met. The FASB further issued ASU 2021-01 to clarify the scope of Topic 848. The ASU can be adopted no later than December 1, 2022 with early adoption permitted. The Company does not expect adoption will have any material impact on the Company’s results of operations, cash flows or financial position.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b w:val="1"/>
          <w:bCs w:val="1"/>
          <w:color w:val="auto"/>
        </w:rPr>
        <w:t xml:space="preserve">Merger with BioScrip, Inc. </w:t>
      </w:r>
      <w:r>
        <w:rPr>
          <w:rFonts w:ascii="Arial" w:cs="Arial" w:eastAsia="Arial" w:hAnsi="Arial"/>
          <w:sz w:val="18"/>
          <w:szCs w:val="18"/>
          <w:color w:val="auto"/>
        </w:rPr>
        <w:t>— As discussed in Note 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Operations and Presentation of Financial Statements</w:t>
      </w:r>
      <w:r>
        <w:rPr>
          <w:rFonts w:ascii="Arial" w:cs="Arial" w:eastAsia="Arial" w:hAnsi="Arial"/>
          <w:sz w:val="21"/>
          <w:szCs w:val="2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Option Care merged with</w:t>
      </w:r>
      <w:r>
        <w:rPr>
          <w:rFonts w:ascii="Arial" w:cs="Arial" w:eastAsia="Arial" w:hAnsi="Arial"/>
          <w:sz w:val="18"/>
          <w:szCs w:val="18"/>
          <w:b w:val="1"/>
          <w:bCs w:val="1"/>
          <w:color w:val="auto"/>
        </w:rPr>
        <w:t xml:space="preserve"> </w:t>
      </w:r>
      <w:r>
        <w:rPr>
          <w:rFonts w:ascii="Arial" w:cs="Arial" w:eastAsia="Arial" w:hAnsi="Arial"/>
          <w:sz w:val="18"/>
          <w:szCs w:val="18"/>
          <w:color w:val="auto"/>
        </w:rPr>
        <w:t>BioScrip on August 6, 2019. BioScrip was a national provider of infusion and home care management solutions. The Merger of Option Care and BioScrip into Option Care Health created an expanded national platform and the opportunity to drive economies of scale through procurement savings, facility rationalization and other operating cost savings.</w:t>
      </w:r>
    </w:p>
    <w:p>
      <w:pPr>
        <w:spacing w:after="0" w:line="201"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The fair value of purchase consideration transferred of $1,087,214, includes the value of the number of shares of the combined company owned by BioScrip shareholders at closing of the Merger, the value of common shares issued to certain warrant and preferred shareholders in conjunction with the Merger, the fair value of stock-based instruments that were vested or earned as of the Merger, and cash payments made in conjunction with the Merger.</w:t>
      </w:r>
    </w:p>
    <w:p>
      <w:pPr>
        <w:spacing w:after="0" w:line="175" w:lineRule="exact"/>
        <w:rPr>
          <w:sz w:val="20"/>
          <w:szCs w:val="20"/>
          <w:color w:val="auto"/>
        </w:rPr>
      </w:pPr>
    </w:p>
    <w:p>
      <w:pPr>
        <w:ind w:right="580" w:firstLine="648"/>
        <w:spacing w:after="0" w:line="246" w:lineRule="auto"/>
        <w:rPr>
          <w:sz w:val="20"/>
          <w:szCs w:val="20"/>
          <w:color w:val="auto"/>
        </w:rPr>
      </w:pPr>
      <w:r>
        <w:rPr>
          <w:rFonts w:ascii="Arial" w:cs="Arial" w:eastAsia="Arial" w:hAnsi="Arial"/>
          <w:sz w:val="18"/>
          <w:szCs w:val="18"/>
          <w:color w:val="auto"/>
        </w:rPr>
        <w:t>The Company’s allocation of consideration exchanged to the net tangible and intangible assets acquired and liabilities assumed, net of cash acquired, in the Merger is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Amount</w:t>
            </w:r>
          </w:p>
        </w:tc>
      </w:tr>
      <w:tr>
        <w:trPr>
          <w:trHeight w:val="188"/>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96,532</w:t>
            </w:r>
          </w:p>
        </w:tc>
      </w:tr>
      <w:tr>
        <w:trPr>
          <w:trHeight w:val="186"/>
        </w:trPr>
        <w:tc>
          <w:tcPr>
            <w:tcW w:w="598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19,683</w:t>
            </w:r>
          </w:p>
        </w:tc>
      </w:tr>
      <w:tr>
        <w:trPr>
          <w:trHeight w:val="19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4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48,732</w:t>
            </w:r>
          </w:p>
        </w:tc>
      </w:tr>
      <w:tr>
        <w:trPr>
          <w:trHeight w:val="186"/>
        </w:trPr>
        <w:tc>
          <w:tcPr>
            <w:tcW w:w="59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193,245</w:t>
            </w:r>
          </w:p>
        </w:tc>
      </w:tr>
      <w:tr>
        <w:trPr>
          <w:trHeight w:val="19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 of deferred tax liabilities</w:t>
            </w:r>
          </w:p>
        </w:tc>
        <w:tc>
          <w:tcPr>
            <w:tcW w:w="4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26,731</w:t>
            </w:r>
          </w:p>
        </w:tc>
      </w:tr>
      <w:tr>
        <w:trPr>
          <w:trHeight w:val="186"/>
        </w:trPr>
        <w:tc>
          <w:tcPr>
            <w:tcW w:w="5980" w:type="dxa"/>
            <w:vAlign w:val="bottom"/>
          </w:tcPr>
          <w:p>
            <w:pPr>
              <w:ind w:left="20"/>
              <w:spacing w:after="0"/>
              <w:rPr>
                <w:sz w:val="20"/>
                <w:szCs w:val="20"/>
                <w:color w:val="auto"/>
              </w:rPr>
            </w:pPr>
            <w:r>
              <w:rPr>
                <w:rFonts w:ascii="Arial" w:cs="Arial" w:eastAsia="Arial" w:hAnsi="Arial"/>
                <w:sz w:val="14"/>
                <w:szCs w:val="14"/>
                <w:color w:val="auto"/>
              </w:rPr>
              <w:t>Operating lease right-of-use asset</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22,378</w:t>
            </w:r>
          </w:p>
        </w:tc>
      </w:tr>
      <w:tr>
        <w:trPr>
          <w:trHeight w:val="19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w:t>
            </w:r>
          </w:p>
        </w:tc>
        <w:tc>
          <w:tcPr>
            <w:tcW w:w="4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(28,897)</w:t>
            </w:r>
          </w:p>
        </w:tc>
      </w:tr>
      <w:tr>
        <w:trPr>
          <w:trHeight w:val="186"/>
        </w:trPr>
        <w:tc>
          <w:tcPr>
            <w:tcW w:w="598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(66,668)</w:t>
            </w:r>
          </w:p>
        </w:tc>
      </w:tr>
      <w:tr>
        <w:trPr>
          <w:trHeight w:val="19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assumed liabilities, net of other acquired assets</w:t>
            </w:r>
          </w:p>
        </w:tc>
        <w:tc>
          <w:tcPr>
            <w:tcW w:w="4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(20,663)</w:t>
            </w:r>
          </w:p>
        </w:tc>
      </w:tr>
      <w:tr>
        <w:trPr>
          <w:trHeight w:val="179"/>
        </w:trPr>
        <w:tc>
          <w:tcPr>
            <w:tcW w:w="5980" w:type="dxa"/>
            <w:vAlign w:val="bottom"/>
          </w:tcPr>
          <w:p>
            <w:pPr>
              <w:ind w:left="220"/>
              <w:spacing w:after="0"/>
              <w:rPr>
                <w:sz w:val="20"/>
                <w:szCs w:val="20"/>
                <w:color w:val="auto"/>
              </w:rPr>
            </w:pPr>
            <w:r>
              <w:rPr>
                <w:rFonts w:ascii="Arial" w:cs="Arial" w:eastAsia="Arial" w:hAnsi="Arial"/>
                <w:sz w:val="14"/>
                <w:szCs w:val="14"/>
                <w:color w:val="auto"/>
              </w:rPr>
              <w:t>Total acquired identifiable assets and liabilities</w:t>
            </w:r>
          </w:p>
        </w:tc>
        <w:tc>
          <w:tcPr>
            <w:tcW w:w="4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291,073</w:t>
            </w:r>
          </w:p>
        </w:tc>
      </w:tr>
      <w:tr>
        <w:trPr>
          <w:trHeight w:val="18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4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796,141</w:t>
            </w:r>
          </w:p>
        </w:tc>
      </w:tr>
      <w:tr>
        <w:trPr>
          <w:trHeight w:val="186"/>
        </w:trPr>
        <w:tc>
          <w:tcPr>
            <w:tcW w:w="5980" w:type="dxa"/>
            <w:vAlign w:val="bottom"/>
          </w:tcPr>
          <w:p>
            <w:pPr>
              <w:ind w:left="220"/>
              <w:spacing w:after="0"/>
              <w:rPr>
                <w:sz w:val="20"/>
                <w:szCs w:val="20"/>
                <w:color w:val="auto"/>
              </w:rPr>
            </w:pPr>
            <w:r>
              <w:rPr>
                <w:rFonts w:ascii="Arial" w:cs="Arial" w:eastAsia="Arial" w:hAnsi="Arial"/>
                <w:sz w:val="14"/>
                <w:szCs w:val="14"/>
                <w:color w:val="auto"/>
              </w:rPr>
              <w:t>Total consideration transferred</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1,087,214</w:t>
            </w:r>
          </w:p>
        </w:tc>
      </w:tr>
      <w:tr>
        <w:trPr>
          <w:trHeight w:val="21"/>
        </w:trPr>
        <w:tc>
          <w:tcPr>
            <w:tcW w:w="5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Assuming BioScrip had been acquired as of January 1, 2019, and the results of BioScrip had been included in operations beginning on January 1, 2019, the following tables provide estimated unaudited pro forma results of operations for the year ended December 31, 2019 (in thousands). The estimated pro forma net income adjusts for the effect of fair value adjustments related to the Merger, transaction costs and other non-recurring costs directly attributable to the Merger and the impact of the additional debt to finance the Merger.</w:t>
      </w:r>
    </w:p>
    <w:p>
      <w:pPr>
        <w:spacing w:after="0" w:line="358" w:lineRule="exact"/>
        <w:rPr>
          <w:sz w:val="20"/>
          <w:szCs w:val="20"/>
          <w:color w:val="auto"/>
        </w:rPr>
      </w:pPr>
    </w:p>
    <w:tbl>
      <w:tblPr>
        <w:tblLayout w:type="fixed"/>
        <w:tblInd w:w="2960" w:type="dxa"/>
        <w:tblCellMar>
          <w:top w:w="0" w:type="dxa"/>
          <w:left w:w="0" w:type="dxa"/>
          <w:bottom w:w="0" w:type="dxa"/>
          <w:right w:w="0" w:type="dxa"/>
        </w:tblCellMar>
      </w:tblPr>
      <w:tr>
        <w:trPr>
          <w:trHeight w:val="200"/>
        </w:trPr>
        <w:tc>
          <w:tcPr>
            <w:tcW w:w="344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Net revenue</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2,755,361</w:t>
            </w:r>
          </w:p>
        </w:tc>
      </w:tr>
      <w:tr>
        <w:trPr>
          <w:trHeight w:val="192"/>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(49,566)</w:t>
            </w:r>
          </w:p>
        </w:tc>
      </w:tr>
    </w:tbl>
    <w:p>
      <w:pPr>
        <w:spacing w:after="0" w:line="16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Estimated unaudited pro forma information is not necessarily indicative of the results that actually would have occurred had the Merger been completed on the date indicated or the future operating results.</w:t>
      </w:r>
    </w:p>
    <w:p>
      <w:pPr>
        <w:spacing w:after="0" w:line="13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the periods subsequent to the Merger Date that are included in the results of operations for the year ended December 31, 2019, BioScrip had net revenue of $308.9 million and a net loss of $30.1 million.</w:t>
      </w:r>
    </w:p>
    <w:p>
      <w:pPr>
        <w:spacing w:after="0" w:line="14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Acquisition-related costs were expensed as incurred, with the exception of BioScrip success-based fees that are included in consideration transferred. The Company recorded transaction costs that are expensed in selling, general and administrative expenses during the year ended December 31, 2019 of approximately $25.8 million. Transaction expenses consisted of professional fees for advisory, consulting and underwriting services as well as other incremental costs directly related to the acquisition.</w:t>
      </w:r>
    </w:p>
    <w:p>
      <w:pPr>
        <w:spacing w:after="0" w:line="142"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BioCure Asset Acquisition </w:t>
      </w:r>
      <w:r>
        <w:rPr>
          <w:rFonts w:ascii="Arial" w:cs="Arial" w:eastAsia="Arial" w:hAnsi="Arial"/>
          <w:sz w:val="18"/>
          <w:szCs w:val="18"/>
          <w:color w:val="auto"/>
        </w:rPr>
        <w:t>— In April 2021, pursuant to the asset purchase agreement dated April 7, 2021, the Company completed the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assets of BioCure, LLC (“BioCure”) for a purchase price of $18.9 million.</w:t>
      </w:r>
    </w:p>
    <w:p>
      <w:pPr>
        <w:spacing w:after="0" w:line="1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allocation of the purchase price of BioCure was accounted for as an asset acquisition in accordance with ASC Topic 805, Business Combinations, with the total purchase price being allocated to the assets acquired based on the relative fair value of each asset. The purchase price was allocated to the assets acquired as follows: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890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824"/>
        </w:trPr>
        <w:tc>
          <w:tcPr>
            <w:tcW w:w="1020" w:type="dxa"/>
            <w:vAlign w:val="bottom"/>
            <w:tcBorders>
              <w:top w:val="single" w:sz="8" w:color="0000FF"/>
              <w:bottom w:val="single" w:sz="8" w:color="CCEEFF"/>
            </w:tcBorders>
          </w:tcPr>
          <w:p>
            <w:pPr>
              <w:spacing w:after="0"/>
              <w:rPr>
                <w:sz w:val="24"/>
                <w:szCs w:val="24"/>
                <w:color w:val="auto"/>
              </w:rPr>
            </w:pPr>
          </w:p>
        </w:tc>
        <w:tc>
          <w:tcPr>
            <w:tcW w:w="788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Amount</w:t>
            </w:r>
          </w:p>
        </w:tc>
      </w:tr>
      <w:tr>
        <w:trPr>
          <w:trHeight w:val="189"/>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r>
      <w:tr>
        <w:trPr>
          <w:trHeight w:val="186"/>
        </w:trPr>
        <w:tc>
          <w:tcPr>
            <w:tcW w:w="8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Intangible assets, net</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18,251</w:t>
            </w:r>
          </w:p>
        </w:tc>
      </w:tr>
      <w:tr>
        <w:trPr>
          <w:trHeight w:val="211"/>
        </w:trPr>
        <w:tc>
          <w:tcPr>
            <w:tcW w:w="8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consideration transferred</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18,852</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Intangibles assets, net consists of referral sources which were assigned a useful life of 15 years, amortized on a straight-line basis.</w:t>
      </w:r>
    </w:p>
    <w:p>
      <w:pPr>
        <w:spacing w:after="0" w:line="181" w:lineRule="exact"/>
        <w:rPr>
          <w:sz w:val="20"/>
          <w:szCs w:val="20"/>
          <w:color w:val="auto"/>
        </w:rPr>
      </w:pPr>
    </w:p>
    <w:p>
      <w:pPr>
        <w:ind w:right="80" w:firstLine="324"/>
        <w:spacing w:after="0" w:line="232" w:lineRule="auto"/>
        <w:rPr>
          <w:sz w:val="20"/>
          <w:szCs w:val="20"/>
          <w:color w:val="auto"/>
        </w:rPr>
      </w:pPr>
      <w:r>
        <w:rPr>
          <w:rFonts w:ascii="Arial" w:cs="Arial" w:eastAsia="Arial" w:hAnsi="Arial"/>
          <w:sz w:val="18"/>
          <w:szCs w:val="18"/>
          <w:b w:val="1"/>
          <w:bCs w:val="1"/>
          <w:color w:val="auto"/>
        </w:rPr>
        <w:t xml:space="preserve">Infinity Infusion Nursing LLC </w:t>
      </w:r>
      <w:r>
        <w:rPr>
          <w:rFonts w:ascii="Arial" w:cs="Arial" w:eastAsia="Arial" w:hAnsi="Arial"/>
          <w:sz w:val="18"/>
          <w:szCs w:val="18"/>
          <w:color w:val="auto"/>
        </w:rPr>
        <w:t>— In October 2021, pursuant to the equity purchase agreement dated October 1, 2021, the Company completed the</w:t>
      </w:r>
      <w:r>
        <w:rPr>
          <w:rFonts w:ascii="Arial" w:cs="Arial" w:eastAsia="Arial" w:hAnsi="Arial"/>
          <w:sz w:val="18"/>
          <w:szCs w:val="18"/>
          <w:b w:val="1"/>
          <w:bCs w:val="1"/>
          <w:color w:val="auto"/>
        </w:rPr>
        <w:t xml:space="preserve"> </w:t>
      </w:r>
      <w:r>
        <w:rPr>
          <w:rFonts w:ascii="Arial" w:cs="Arial" w:eastAsia="Arial" w:hAnsi="Arial"/>
          <w:sz w:val="18"/>
          <w:szCs w:val="18"/>
          <w:color w:val="auto"/>
        </w:rPr>
        <w:t>100% acquisition of the equity interest in Infinity Infusion LLC (“Infinity”) for a purchase price, net of cash acquired of $59.6 million, which is comprised of a $50.0 million cash payment, two contingent $5.0 million payments (included as a non-cash change in other noncurrent assets and liabilities within the consolidated statements of cash flows), and $(.4) million of other purchase price adjustments.</w:t>
      </w:r>
    </w:p>
    <w:p>
      <w:pPr>
        <w:spacing w:after="0" w:line="203" w:lineRule="exact"/>
        <w:rPr>
          <w:sz w:val="20"/>
          <w:szCs w:val="20"/>
          <w:color w:val="auto"/>
        </w:rPr>
      </w:pPr>
    </w:p>
    <w:p>
      <w:pPr>
        <w:ind w:right="200" w:firstLine="324"/>
        <w:spacing w:after="0" w:line="246" w:lineRule="auto"/>
        <w:rPr>
          <w:sz w:val="20"/>
          <w:szCs w:val="20"/>
          <w:color w:val="auto"/>
        </w:rPr>
      </w:pPr>
      <w:r>
        <w:rPr>
          <w:rFonts w:ascii="Arial" w:cs="Arial" w:eastAsia="Arial" w:hAnsi="Arial"/>
          <w:sz w:val="17"/>
          <w:szCs w:val="17"/>
          <w:color w:val="auto"/>
        </w:rPr>
        <w:t xml:space="preserve">The allocation of the purchase price of Infinity was accounted for as a business combination in accordance with ASC Topic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with the total purchase price being allocated to the assets and liabilities acquired based on the relative fair value of each asset and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The following is a preliminary estimate of the allocation of the consideration transferred, open for accounts receivable and accounts payable, to acquired identifiable assets and assumed liabilities, net of cash acquired, as of December 31, 2021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Amount</w:t>
            </w:r>
          </w:p>
        </w:tc>
      </w:tr>
      <w:tr>
        <w:trPr>
          <w:trHeight w:val="188"/>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2,219</w:t>
            </w:r>
          </w:p>
        </w:tc>
      </w:tr>
      <w:tr>
        <w:trPr>
          <w:trHeight w:val="186"/>
        </w:trPr>
        <w:tc>
          <w:tcPr>
            <w:tcW w:w="906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4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25,400</w:t>
            </w:r>
          </w:p>
        </w:tc>
      </w:tr>
      <w:tr>
        <w:trPr>
          <w:trHeight w:val="192"/>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other assumed liabilities</w:t>
            </w:r>
          </w:p>
        </w:tc>
        <w:tc>
          <w:tcPr>
            <w:tcW w:w="46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w:t>
            </w:r>
          </w:p>
        </w:tc>
      </w:tr>
      <w:tr>
        <w:trPr>
          <w:trHeight w:val="179"/>
        </w:trPr>
        <w:tc>
          <w:tcPr>
            <w:tcW w:w="9060" w:type="dxa"/>
            <w:vAlign w:val="bottom"/>
          </w:tcPr>
          <w:p>
            <w:pPr>
              <w:ind w:left="20"/>
              <w:spacing w:after="0"/>
              <w:rPr>
                <w:sz w:val="20"/>
                <w:szCs w:val="20"/>
                <w:color w:val="auto"/>
              </w:rPr>
            </w:pPr>
            <w:r>
              <w:rPr>
                <w:rFonts w:ascii="Arial" w:cs="Arial" w:eastAsia="Arial" w:hAnsi="Arial"/>
                <w:sz w:val="14"/>
                <w:szCs w:val="14"/>
                <w:color w:val="auto"/>
              </w:rPr>
              <w:t>Fair value identifiable assets and liabilities</w:t>
            </w:r>
          </w:p>
        </w:tc>
        <w:tc>
          <w:tcPr>
            <w:tcW w:w="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27,080</w:t>
            </w:r>
          </w:p>
        </w:tc>
      </w:tr>
      <w:tr>
        <w:trPr>
          <w:trHeight w:val="192"/>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(1)</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32,524</w:t>
            </w:r>
          </w:p>
        </w:tc>
      </w:tr>
      <w:tr>
        <w:trPr>
          <w:trHeight w:val="186"/>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acquired</w:t>
            </w: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1,426</w:t>
            </w:r>
          </w:p>
        </w:tc>
      </w:tr>
      <w:tr>
        <w:trPr>
          <w:trHeight w:val="186"/>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Price</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61,030</w:t>
            </w:r>
          </w:p>
        </w:tc>
      </w:tr>
      <w:tr>
        <w:trPr>
          <w:trHeight w:val="186"/>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cash acquired</w:t>
            </w: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(1,426)</w:t>
            </w:r>
          </w:p>
        </w:tc>
      </w:tr>
      <w:tr>
        <w:trPr>
          <w:trHeight w:val="211"/>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price, net of cash acquired</w:t>
            </w:r>
          </w:p>
        </w:tc>
        <w:tc>
          <w:tcPr>
            <w:tcW w:w="46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59,604</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0" w:firstLine="332"/>
        <w:spacing w:after="0" w:line="277" w:lineRule="auto"/>
        <w:tabs>
          <w:tab w:leader="none" w:pos="5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Goodwill is attributable to cost synergies from operational efficiencies and establishing a more comprehensive clinical platform through the Company’s national infrastructure and Infinity’s nursing network.</w:t>
      </w:r>
    </w:p>
    <w:p>
      <w:pPr>
        <w:spacing w:after="0" w:line="12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Wasatch Infusion LLC Acquisition </w:t>
      </w:r>
      <w:r>
        <w:rPr>
          <w:rFonts w:ascii="Arial" w:cs="Arial" w:eastAsia="Arial" w:hAnsi="Arial"/>
          <w:sz w:val="18"/>
          <w:szCs w:val="18"/>
          <w:color w:val="auto"/>
        </w:rPr>
        <w:t>— In December 2021, pursuant to the executed asset purchase agreement on December 29, 2021,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the acquisition of Wasatch Infusion LLC (“Wasatch”) for a purchase price of $19.5 million, which is comprised of a $17.8 million cash payment, a contingent $2.0 million payment (included as a non-cash change in other noncurrent assets and liabilities within the consolidated statements of cash flows), and $(.3) million of other purchase price adjustments.</w:t>
      </w:r>
    </w:p>
    <w:p>
      <w:pPr>
        <w:spacing w:after="0" w:line="14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 xml:space="preserve">The allocation of the purchase price of Wasatch was accounted for as a business combination in accordance with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with the total purchase price being allocated to the assets and liabilities acquired based on the relative fair value of each asset and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is a preliminary estimate of the allocation of the consideration transferred, open for accounts receivable and accounts payable, to acquired identifiable assets and assumed liabilities, as of December 31, 2021 (in thousands):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906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4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919"/>
        </w:trPr>
        <w:tc>
          <w:tcPr>
            <w:tcW w:w="1020" w:type="dxa"/>
            <w:vAlign w:val="bottom"/>
            <w:tcBorders>
              <w:top w:val="single" w:sz="8" w:color="0000FF"/>
              <w:bottom w:val="single" w:sz="8" w:color="CCEEFF"/>
            </w:tcBorders>
          </w:tcPr>
          <w:p>
            <w:pPr>
              <w:spacing w:after="0"/>
              <w:rPr>
                <w:sz w:val="24"/>
                <w:szCs w:val="24"/>
                <w:color w:val="auto"/>
              </w:rPr>
            </w:pPr>
          </w:p>
        </w:tc>
        <w:tc>
          <w:tcPr>
            <w:tcW w:w="80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Amount</w:t>
            </w:r>
          </w:p>
        </w:tc>
      </w:tr>
      <w:tr>
        <w:trPr>
          <w:trHeight w:val="189"/>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3,410</w:t>
            </w:r>
          </w:p>
        </w:tc>
      </w:tr>
      <w:tr>
        <w:trPr>
          <w:trHeight w:val="186"/>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Inventories</w:t>
            </w:r>
          </w:p>
        </w:tc>
        <w:tc>
          <w:tcPr>
            <w:tcW w:w="4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2,038</w:t>
            </w:r>
          </w:p>
        </w:tc>
      </w:tr>
      <w:tr>
        <w:trPr>
          <w:trHeight w:val="192"/>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4,245</w:t>
            </w:r>
          </w:p>
        </w:tc>
      </w:tr>
      <w:tr>
        <w:trPr>
          <w:trHeight w:val="186"/>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4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958</w:t>
            </w:r>
          </w:p>
        </w:tc>
      </w:tr>
      <w:tr>
        <w:trPr>
          <w:trHeight w:val="192"/>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(6,686)</w:t>
            </w:r>
          </w:p>
        </w:tc>
      </w:tr>
      <w:tr>
        <w:trPr>
          <w:trHeight w:val="186"/>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assumed liabilities</w:t>
            </w: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r>
      <w:tr>
        <w:trPr>
          <w:trHeight w:val="186"/>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Fair value Identifiable assets and liabilities</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3,025</w:t>
            </w:r>
          </w:p>
        </w:tc>
      </w:tr>
      <w:tr>
        <w:trPr>
          <w:trHeight w:val="186"/>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Goodwill (1)</w:t>
            </w: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16,430</w:t>
            </w:r>
          </w:p>
        </w:tc>
      </w:tr>
      <w:tr>
        <w:trPr>
          <w:trHeight w:val="211"/>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Purchase Price</w:t>
            </w:r>
          </w:p>
        </w:tc>
        <w:tc>
          <w:tcPr>
            <w:tcW w:w="46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19,455</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80" w:hanging="248"/>
        <w:spacing w:after="0"/>
        <w:tabs>
          <w:tab w:leader="none" w:pos="5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Goodwill is attributable to cost synergies from procurement and operational efficiencies and elimination of duplicative administrative costs.</w:t>
      </w:r>
    </w:p>
    <w:p>
      <w:pPr>
        <w:spacing w:after="0" w:line="192" w:lineRule="exact"/>
        <w:rPr>
          <w:rFonts w:ascii="Arial" w:cs="Arial" w:eastAsia="Arial" w:hAnsi="Arial"/>
          <w:sz w:val="17"/>
          <w:szCs w:val="17"/>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net revenue earned by category of payer for the years ended December 31, 2021, 2020 and 2019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w w:val="93"/>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55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2,971,900</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2,618,112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2,001,105</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417,088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374,940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285,128</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49,652</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39,558</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24,184</w:t>
            </w:r>
          </w:p>
        </w:tc>
      </w:tr>
      <w:tr>
        <w:trPr>
          <w:trHeight w:val="212"/>
        </w:trPr>
        <w:tc>
          <w:tcPr>
            <w:tcW w:w="550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3,438,640</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3,032,610</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2,310,417</w:t>
            </w:r>
          </w:p>
        </w:tc>
      </w:tr>
      <w:tr>
        <w:trPr>
          <w:trHeight w:val="21"/>
        </w:trPr>
        <w:tc>
          <w:tcPr>
            <w:tcW w:w="5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maintains a 401(k) plan and matches 100% of employee contributions, up to 4% of employee compensation. The Company recorded expense for the defined contribution plan of $11.6 million, $9.7 million and $6.4 million for the years ended December 31, 2021, 2020 and 2019, respectively. In the years ended December 31, 2021, 2020 and 2019, Company contributions of $10.9 million, $8.9 million and $6.6 million, respectively, were paid.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expense (benefit) consists of the following for the years ended December 31, 2021, 2020 and 2019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 income tax (benefit)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Current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(30,411)</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(3,072)</w:t>
            </w:r>
          </w:p>
        </w:tc>
      </w:tr>
      <w:tr>
        <w:trPr>
          <w:trHeight w:val="209"/>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(30,411)</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(3,072)</w:t>
            </w: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income tax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Current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2,074</w:t>
            </w: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r>
      <w:tr>
        <w:trPr>
          <w:trHeight w:val="209"/>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7,007</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tax (benefit)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(23,404)</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difference between the statutory federal income tax rate and the effective tax rate is as follows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12"/>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 statutory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State and local income taxes net of federal tax benefit</w:t>
            </w:r>
          </w:p>
        </w:tc>
        <w:tc>
          <w:tcPr>
            <w:tcW w:w="1400" w:type="dxa"/>
            <w:vAlign w:val="bottom"/>
          </w:tcPr>
          <w:p>
            <w:pPr>
              <w:jc w:val="right"/>
              <w:spacing w:after="0"/>
              <w:rPr>
                <w:sz w:val="20"/>
                <w:szCs w:val="20"/>
                <w:color w:val="auto"/>
              </w:rPr>
            </w:pPr>
            <w:r>
              <w:rPr>
                <w:rFonts w:ascii="Arial" w:cs="Arial" w:eastAsia="Arial" w:hAnsi="Arial"/>
                <w:sz w:val="16"/>
                <w:szCs w:val="16"/>
                <w:color w:val="auto"/>
              </w:rPr>
              <w:t>4.9 %</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(29.5)%</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6.7 %</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0.0 %</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compensation</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Non-deductible expenses</w:t>
            </w:r>
          </w:p>
        </w:tc>
        <w:tc>
          <w:tcPr>
            <w:tcW w:w="1400" w:type="dxa"/>
            <w:vAlign w:val="bottom"/>
          </w:tcPr>
          <w:p>
            <w:pPr>
              <w:jc w:val="right"/>
              <w:spacing w:after="0"/>
              <w:rPr>
                <w:sz w:val="20"/>
                <w:szCs w:val="20"/>
                <w:color w:val="auto"/>
              </w:rPr>
            </w:pPr>
            <w:r>
              <w:rPr>
                <w:rFonts w:ascii="Arial" w:cs="Arial" w:eastAsia="Arial" w:hAnsi="Arial"/>
                <w:sz w:val="16"/>
                <w:szCs w:val="16"/>
                <w:color w:val="auto"/>
              </w:rPr>
              <w:t>0.3 %</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4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496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4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r>
      <w:tr>
        <w:trPr>
          <w:trHeight w:val="21"/>
        </w:trPr>
        <w:tc>
          <w:tcPr>
            <w:tcW w:w="4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components of deferred income tax assets and liabilities using the 21% U.S. Federal statutory tax rate were as follows as of December 31, 2021 and 2020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9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Price concessions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6,373</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6,907</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Compensation and 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w:t>
            </w: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Interest limitation carryforward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39,094</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22,644</w:t>
            </w: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Net operating losses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97,880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155,922</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8,501</w:t>
            </w:r>
          </w:p>
        </w:tc>
      </w:tr>
      <w:tr>
        <w:trPr>
          <w:trHeight w:val="207"/>
        </w:trPr>
        <w:tc>
          <w:tcPr>
            <w:tcW w:w="5760" w:type="dxa"/>
            <w:vAlign w:val="bottom"/>
          </w:tcPr>
          <w:p>
            <w:pPr>
              <w:ind w:left="480"/>
              <w:spacing w:after="0"/>
              <w:rPr>
                <w:sz w:val="20"/>
                <w:szCs w:val="20"/>
                <w:color w:val="auto"/>
              </w:rPr>
            </w:pPr>
            <w:r>
              <w:rPr>
                <w:rFonts w:ascii="Arial" w:cs="Arial" w:eastAsia="Arial" w:hAnsi="Arial"/>
                <w:sz w:val="16"/>
                <w:szCs w:val="16"/>
                <w:color w:val="auto"/>
              </w:rPr>
              <w:t>Deferred tax assets before valuation allowance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174,903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237,126</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(112,085)</w:t>
            </w:r>
          </w:p>
        </w:tc>
      </w:tr>
      <w:tr>
        <w:trPr>
          <w:trHeight w:val="20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assets net of valuation allowance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161,752</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125,041</w:t>
            </w:r>
          </w:p>
        </w:tc>
      </w:tr>
      <w:tr>
        <w:trPr>
          <w:trHeight w:val="253"/>
        </w:trPr>
        <w:tc>
          <w:tcPr>
            <w:tcW w:w="5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Accelerated depreciation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(12,593)</w:t>
            </w: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Operating lease right-of-use asset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(18,437)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(17,186)</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(61,629)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(67,127)</w:t>
            </w:r>
          </w:p>
        </w:tc>
      </w:tr>
      <w:tr>
        <w:trPr>
          <w:trHeight w:val="213"/>
        </w:trPr>
        <w:tc>
          <w:tcPr>
            <w:tcW w:w="57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(36,702)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(28,976)</w:t>
            </w: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r>
      <w:tr>
        <w:trPr>
          <w:trHeight w:val="206"/>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(134,719)</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(128,380)</w:t>
            </w:r>
          </w:p>
        </w:tc>
      </w:tr>
      <w:tr>
        <w:trPr>
          <w:trHeight w:val="23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27,033</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firstLine="324"/>
        <w:spacing w:after="0" w:line="258" w:lineRule="auto"/>
        <w:rPr>
          <w:sz w:val="20"/>
          <w:szCs w:val="20"/>
          <w:color w:val="auto"/>
        </w:rPr>
      </w:pPr>
      <w:r>
        <w:rPr>
          <w:rFonts w:ascii="Arial" w:cs="Arial" w:eastAsia="Arial" w:hAnsi="Arial"/>
          <w:sz w:val="16"/>
          <w:szCs w:val="16"/>
          <w:color w:val="auto"/>
        </w:rPr>
        <w:t>As a result of the Merger, the Company had recorded a full valuation allowance against all of its net U.S. federal and state deferred tax assets except for certain state net operating losses (“NOL”). The initial recognition of this valuation allowance by the Company was reflected in the opening balance sheet of BioScrip and, to that extent, did not impact the Company’s tax expense (benefit) for the years ended December 31, 2020 and 2019. The company adjusted its valuation allowance to offset tax benefits that would have otherwise been recognized for the years ended December 31, 2020 and 2019. In the current year ended December 31, 2021, the company has assessed that it more likely than not will realize its deferred tax assets, with the exception of certain state NOL’s valued at $13.2 million, resulting in a reversal of the company’s valuation allowance in the current period.</w:t>
      </w:r>
    </w:p>
    <w:p>
      <w:pPr>
        <w:spacing w:after="0" w:line="190" w:lineRule="exact"/>
        <w:rPr>
          <w:sz w:val="20"/>
          <w:szCs w:val="20"/>
          <w:color w:val="auto"/>
        </w:rPr>
      </w:pPr>
    </w:p>
    <w:p>
      <w:pPr>
        <w:ind w:firstLine="324"/>
        <w:spacing w:after="0" w:line="235" w:lineRule="auto"/>
        <w:rPr>
          <w:sz w:val="20"/>
          <w:szCs w:val="20"/>
          <w:color w:val="auto"/>
        </w:rPr>
      </w:pPr>
      <w:r>
        <w:rPr>
          <w:rFonts w:ascii="Arial" w:cs="Arial" w:eastAsia="Arial" w:hAnsi="Arial"/>
          <w:sz w:val="17"/>
          <w:szCs w:val="17"/>
          <w:color w:val="auto"/>
        </w:rPr>
        <w:t>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the positive and negative evidence in determining if the valuation allowance is fairly stated. In the current period, the company determined the positive evidence to outweigh any negative evidence, such that the realization of the deferred tax assets is more likely than not and the reversal of the Company’s valuation allowance is warranted. Compelling objective positive evidence is the Company now realizing a multi-year cumulative income position combined with actual utilization of its deferred tax assets in the current period due to the Company generating positive pre-tax book income. Other objective positive factors include the Company’s January 2021 and October 2021 debt refinancing transactions, which result in reduced interest expense for the company compared to historical trends as well as the Company’s 2021 business acquisitions, which provide for a new and objective source of future income compared to prior year earnings. With the exception of the federal NOL carryovers noted below that are expected to expire unutilized due to limitations under Internal Revenue Code (“Code”) Section 382, the Company expects to fully utilize all of its deferred tax assets prior to any expiration based on current period income trends of the company.</w:t>
      </w:r>
    </w:p>
    <w:p>
      <w:pPr>
        <w:spacing w:after="0" w:line="212" w:lineRule="exact"/>
        <w:rPr>
          <w:sz w:val="20"/>
          <w:szCs w:val="20"/>
          <w:color w:val="auto"/>
        </w:rPr>
      </w:pPr>
    </w:p>
    <w:p>
      <w:pPr>
        <w:ind w:firstLine="324"/>
        <w:spacing w:after="0" w:line="225" w:lineRule="auto"/>
        <w:rPr>
          <w:sz w:val="20"/>
          <w:szCs w:val="20"/>
          <w:color w:val="auto"/>
        </w:rPr>
      </w:pPr>
      <w:r>
        <w:rPr>
          <w:rFonts w:ascii="Arial" w:cs="Arial" w:eastAsia="Arial" w:hAnsi="Arial"/>
          <w:sz w:val="18"/>
          <w:szCs w:val="18"/>
          <w:color w:val="auto"/>
        </w:rPr>
        <w:t>The Company is subject to taxation in the United States and various states. At December 31, 2021, the Company had $358.4 million of gross federal NOL carryforwards all of which are currently available to offset future taxable income in the United States and reflected as a deferred tax asset of the company. Gross federal NOL carryforwards of $223.7 million expire beginning in 2025 through 2037 and $134.7 million have an indefinite carryforward period. Excluded from this figure and not reflected as a deferred tax asset is $139.8 million of federal NOL carryovers that are expected to expire unutilized due to limitations under Code Section 382 and were written off in the current year. At December 31, 2020, the Company had $577.9 million of gross federal NOL’s, which included $139.8 million of fully reserved federal NOL carryovers that are expected to expire unutilized due to limitations under Code Section 382. At December 31, 2021 and 2020, the Company had $140.2 million and $154.8 million of interest limitation carryforwards which have an indefinite carryforward period. At December 31, 2021</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and 2020, the Company also had $405.1 million and $600.1 million of cumulative gross state NOL carryforwards available to offset future taxable income in various states. These state NOL carryforwards will begin to expire beginning in 2022 through 2041, with some having an indefinite carryforward period.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2021 and 2020, the unrecognized tax benefits for uncertain tax positions was $0.</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valuation allowance for deferred tax assets for the years ended December 31, 2021, 2020 and 2019 (in thousands):</w:t>
      </w: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1079"/>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880" w:type="dxa"/>
            <w:vAlign w:val="bottom"/>
            <w:vMerge w:val="restart"/>
          </w:tcPr>
          <w:p>
            <w:pPr>
              <w:spacing w:after="0"/>
              <w:rPr>
                <w:sz w:val="20"/>
                <w:szCs w:val="20"/>
                <w:color w:val="auto"/>
              </w:rPr>
            </w:pPr>
            <w:r>
              <w:rPr>
                <w:rFonts w:ascii="Arial" w:cs="Arial" w:eastAsia="Arial" w:hAnsi="Arial"/>
                <w:sz w:val="16"/>
                <w:szCs w:val="16"/>
                <w:color w:val="auto"/>
              </w:rPr>
              <w:t>Description</w:t>
            </w:r>
          </w:p>
        </w:tc>
        <w:tc>
          <w:tcPr>
            <w:tcW w:w="2240" w:type="dxa"/>
            <w:vAlign w:val="bottom"/>
            <w:gridSpan w:val="2"/>
          </w:tcPr>
          <w:p>
            <w:pPr>
              <w:ind w:left="700"/>
              <w:spacing w:after="0" w:line="159" w:lineRule="exact"/>
              <w:rPr>
                <w:sz w:val="20"/>
                <w:szCs w:val="20"/>
                <w:color w:val="auto"/>
              </w:rPr>
            </w:pPr>
            <w:r>
              <w:rPr>
                <w:rFonts w:ascii="Arial" w:cs="Arial" w:eastAsia="Arial" w:hAnsi="Arial"/>
                <w:sz w:val="16"/>
                <w:szCs w:val="16"/>
                <w:color w:val="auto"/>
              </w:rPr>
              <w:t>Balance at Beginning</w:t>
            </w:r>
          </w:p>
        </w:tc>
        <w:tc>
          <w:tcPr>
            <w:tcW w:w="1480" w:type="dxa"/>
            <w:vAlign w:val="bottom"/>
            <w:gridSpan w:val="2"/>
          </w:tcPr>
          <w:p>
            <w:pPr>
              <w:jc w:val="right"/>
              <w:ind w:right="17"/>
              <w:spacing w:after="0" w:line="159" w:lineRule="exact"/>
              <w:rPr>
                <w:sz w:val="20"/>
                <w:szCs w:val="20"/>
                <w:color w:val="auto"/>
              </w:rPr>
            </w:pPr>
            <w:r>
              <w:rPr>
                <w:rFonts w:ascii="Arial" w:cs="Arial" w:eastAsia="Arial" w:hAnsi="Arial"/>
                <w:sz w:val="16"/>
                <w:szCs w:val="16"/>
                <w:color w:val="auto"/>
                <w:w w:val="94"/>
              </w:rPr>
              <w:t>Charged (Benefit) to</w:t>
            </w:r>
          </w:p>
        </w:tc>
        <w:tc>
          <w:tcPr>
            <w:tcW w:w="1520" w:type="dxa"/>
            <w:vAlign w:val="bottom"/>
            <w:gridSpan w:val="2"/>
          </w:tcPr>
          <w:p>
            <w:pPr>
              <w:jc w:val="right"/>
              <w:spacing w:after="0" w:line="159" w:lineRule="exact"/>
              <w:rPr>
                <w:sz w:val="20"/>
                <w:szCs w:val="20"/>
                <w:color w:val="auto"/>
              </w:rPr>
            </w:pPr>
            <w:r>
              <w:rPr>
                <w:rFonts w:ascii="Arial" w:cs="Arial" w:eastAsia="Arial" w:hAnsi="Arial"/>
                <w:sz w:val="16"/>
                <w:szCs w:val="16"/>
                <w:color w:val="auto"/>
                <w:w w:val="99"/>
              </w:rPr>
              <w:t>Charged (Benefit) to</w:t>
            </w:r>
          </w:p>
        </w:tc>
        <w:tc>
          <w:tcPr>
            <w:tcW w:w="260" w:type="dxa"/>
            <w:vAlign w:val="bottom"/>
          </w:tcPr>
          <w:p>
            <w:pPr>
              <w:spacing w:after="0"/>
              <w:rPr>
                <w:sz w:val="13"/>
                <w:szCs w:val="13"/>
                <w:color w:val="auto"/>
              </w:rPr>
            </w:pPr>
          </w:p>
        </w:tc>
        <w:tc>
          <w:tcPr>
            <w:tcW w:w="1280" w:type="dxa"/>
            <w:vAlign w:val="bottom"/>
          </w:tcPr>
          <w:p>
            <w:pPr>
              <w:jc w:val="right"/>
              <w:ind w:right="139"/>
              <w:spacing w:after="0" w:line="159" w:lineRule="exact"/>
              <w:rPr>
                <w:sz w:val="20"/>
                <w:szCs w:val="20"/>
                <w:color w:val="auto"/>
              </w:rPr>
            </w:pPr>
            <w:r>
              <w:rPr>
                <w:rFonts w:ascii="Arial" w:cs="Arial" w:eastAsia="Arial" w:hAnsi="Arial"/>
                <w:sz w:val="16"/>
                <w:szCs w:val="16"/>
                <w:color w:val="auto"/>
                <w:w w:val="95"/>
              </w:rPr>
              <w:t>Balance at End</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of Period</w:t>
            </w:r>
          </w:p>
        </w:tc>
        <w:tc>
          <w:tcPr>
            <w:tcW w:w="14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6"/>
                <w:szCs w:val="16"/>
                <w:color w:val="auto"/>
                <w:w w:val="91"/>
              </w:rPr>
              <w:t>Costs and Expenses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Other Accounts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Period</w:t>
            </w:r>
          </w:p>
        </w:tc>
        <w:tc>
          <w:tcPr>
            <w:tcW w:w="0" w:type="dxa"/>
            <w:vAlign w:val="bottom"/>
          </w:tcPr>
          <w:p>
            <w:pPr>
              <w:spacing w:after="0"/>
              <w:rPr>
                <w:sz w:val="1"/>
                <w:szCs w:val="1"/>
                <w:color w:val="auto"/>
              </w:rPr>
            </w:pPr>
          </w:p>
        </w:tc>
      </w:tr>
      <w:tr>
        <w:trPr>
          <w:trHeight w:val="77"/>
        </w:trPr>
        <w:tc>
          <w:tcPr>
            <w:tcW w:w="38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2019: Valuation allowance for deferred tax assets</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1,373</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15,395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92,763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109,531</w:t>
            </w:r>
          </w:p>
        </w:tc>
        <w:tc>
          <w:tcPr>
            <w:tcW w:w="0" w:type="dxa"/>
            <w:vAlign w:val="bottom"/>
          </w:tcPr>
          <w:p>
            <w:pPr>
              <w:spacing w:after="0"/>
              <w:rPr>
                <w:sz w:val="1"/>
                <w:szCs w:val="1"/>
                <w:color w:val="auto"/>
              </w:rPr>
            </w:pPr>
          </w:p>
        </w:tc>
      </w:tr>
      <w:tr>
        <w:trPr>
          <w:trHeight w:val="95"/>
        </w:trPr>
        <w:tc>
          <w:tcPr>
            <w:tcW w:w="3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2020: Valuation allowance for deferred tax assets</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109,531</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1,549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112,085</w:t>
            </w:r>
          </w:p>
        </w:tc>
        <w:tc>
          <w:tcPr>
            <w:tcW w:w="0" w:type="dxa"/>
            <w:vAlign w:val="bottom"/>
          </w:tcPr>
          <w:p>
            <w:pPr>
              <w:spacing w:after="0"/>
              <w:rPr>
                <w:sz w:val="1"/>
                <w:szCs w:val="1"/>
                <w:color w:val="auto"/>
              </w:rPr>
            </w:pPr>
          </w:p>
        </w:tc>
      </w:tr>
      <w:tr>
        <w:trPr>
          <w:trHeight w:val="94"/>
        </w:trPr>
        <w:tc>
          <w:tcPr>
            <w:tcW w:w="3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2021: Valuation allowance for deferred tax assets</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112,085</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(96,136)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Currently, the Company is not subject to any U.S. Federal income tax audits. The Company is subject to various state tax audits, and believes that the outcome of these audits will not have a material impact on the Company.</w:t>
      </w:r>
    </w:p>
    <w:p>
      <w:pPr>
        <w:spacing w:after="0" w:line="130"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Company recorded no income tax expense or benefit for the years ended December 31, 2021 and 2020 associated with the tax provisions of the Coronavirus Aid, Relief and Economic Security Act (“CARES Act”). However, certain adjustments were made to the Company’s components of deferred tax assets and liabilities to reflect the tax provisions of the CARES Act. These adjustments were the result of the CARES Act’s tax provisions associated with interest expense limitations and bonus depreciation on leasehold improvements. These adjustments to the Company’s components of deferred tax assets and liabilities were offset by one another or the Company’s previously recognized valuation allowance.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1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presents basic and diluted earnings (loss) per share for its common stock. Basic earnings (loss) per share is calculated by dividing the net income (loss) of the Company by the weighted average number of shares of common stock outstanding during the period. Diluted earnings (loss) per share is determined by adjusting the profit or loss and the weighted average number of shares of common stock outstanding for the effects of all potentially dilutive securities.</w:t>
      </w:r>
    </w:p>
    <w:p>
      <w:pPr>
        <w:spacing w:after="0" w:line="18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 earnings (loss) is used as the basis of determining whether the inclusion of common stock equivalents would be anti-dilutive. The computation of diluted shares for the year ended December 31, 2021 includes the effect of shares that would be issued in connection with warrants, stock options and restricted stock awards, as these common stock equivalents are dilutive to the earnings per share. The computation of diluted shares for the years ended December 31, 2020 and 2019 excludes the effect of shares that would be issued in connection with warrants, stock options and restricted stock awards, as their inclusion would be anti-dilutive to the loss per share. As of December 31, 2021 there were 457,753 warrants, 490,968 stock options and 316,454 restricted stock awards outstanding that were excluded from the calculation as they would be anti-dilutive. As of December 31, 2020 there were 2,285,784 warrants, 412,831 stock options and 549,650 restricted stock awards outstanding that were excluded from the calculation as they were anti-dilutive. As of December 31, 2019, there were 2,328,120 warrants, 644,975 stock options and 231,562 restricted stock awards outstanding that were excluded from the calculation as they were anti-dilutive.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Company’s basic earnings (loss) per share and shares outstanding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 (loss) (1)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139,898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(75,920)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 average number of common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180,971</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156,280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Earnings (loss) per common share, 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332"/>
        <w:spacing w:after="0" w:line="277" w:lineRule="auto"/>
        <w:tabs>
          <w:tab w:leader="none" w:pos="5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Net income (loss) for the year ended December 31, 2021 includes the impact of the Company’s release of its valuation allowance. See Note 6,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Company’s diluted earnings (loss) per share and shares outstanding (in thousands,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 (loss) (1)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139,898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(75,920)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number of common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180,971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156,280</w:t>
            </w:r>
          </w:p>
        </w:tc>
        <w:tc>
          <w:tcPr>
            <w:tcW w:w="0" w:type="dxa"/>
            <w:vAlign w:val="bottom"/>
          </w:tcPr>
          <w:p>
            <w:pPr>
              <w:spacing w:after="0"/>
              <w:rPr>
                <w:sz w:val="1"/>
                <w:szCs w:val="1"/>
                <w:color w:val="auto"/>
              </w:rPr>
            </w:pPr>
          </w:p>
        </w:tc>
      </w:tr>
      <w:tr>
        <w:trPr>
          <w:trHeight w:val="213"/>
        </w:trPr>
        <w:tc>
          <w:tcPr>
            <w:tcW w:w="5480" w:type="dxa"/>
            <w:vAlign w:val="bottom"/>
          </w:tcPr>
          <w:p>
            <w:pPr>
              <w:ind w:left="140"/>
              <w:spacing w:after="0"/>
              <w:rPr>
                <w:sz w:val="20"/>
                <w:szCs w:val="20"/>
                <w:color w:val="auto"/>
              </w:rPr>
            </w:pPr>
            <w:r>
              <w:rPr>
                <w:rFonts w:ascii="Arial" w:cs="Arial" w:eastAsia="Arial" w:hAnsi="Arial"/>
                <w:sz w:val="16"/>
                <w:szCs w:val="16"/>
                <w:color w:val="auto"/>
              </w:rPr>
              <w:t>Effect of dilutive securities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 average number of common shares outstanding, diluted</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181,205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180,971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156,280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Earnings (loss) per common share, 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332"/>
        <w:spacing w:after="0" w:line="277" w:lineRule="auto"/>
        <w:tabs>
          <w:tab w:leader="none" w:pos="5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Net income (loss) for the year ended December 31, 2021 includes the impact of the Company’s release of its valuation allowance. See Note 6,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years ended December 31, 2021 and 2020, the Company incurred operating lease expenses of $29.8 million and $30.8 million including short-term lease expenses, which were included as a component of selling, general and administrative expenses in the consolidated statements of comprehensive income (loss). As of December 31, 2021, the weighted-average remaining lease term was 6.6 years and the weighted-average discount rate was 5.10%.</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leases mature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gridSpan w:val="2"/>
          </w:tcPr>
          <w:p>
            <w:pPr>
              <w:ind w:left="1180"/>
              <w:spacing w:after="0"/>
              <w:rPr>
                <w:sz w:val="20"/>
                <w:szCs w:val="20"/>
                <w:color w:val="auto"/>
              </w:rPr>
            </w:pPr>
            <w:r>
              <w:rPr>
                <w:rFonts w:ascii="Arial" w:cs="Arial" w:eastAsia="Arial" w:hAnsi="Arial"/>
                <w:sz w:val="16"/>
                <w:szCs w:val="16"/>
                <w:b w:val="1"/>
                <w:bCs w:val="1"/>
                <w:color w:val="auto"/>
              </w:rPr>
              <w:t>Year Ending December 31</w:t>
            </w:r>
          </w:p>
        </w:tc>
        <w:tc>
          <w:tcPr>
            <w:tcW w:w="260" w:type="dxa"/>
            <w:vAlign w:val="bottom"/>
          </w:tcPr>
          <w:p>
            <w:pPr>
              <w:spacing w:after="0"/>
              <w:rPr>
                <w:sz w:val="18"/>
                <w:szCs w:val="18"/>
                <w:color w:val="auto"/>
              </w:rPr>
            </w:pPr>
          </w:p>
        </w:tc>
        <w:tc>
          <w:tcPr>
            <w:tcW w:w="1960" w:type="dxa"/>
            <w:vAlign w:val="bottom"/>
          </w:tcPr>
          <w:p>
            <w:pPr>
              <w:jc w:val="right"/>
              <w:ind w:right="319"/>
              <w:spacing w:after="0"/>
              <w:rPr>
                <w:sz w:val="20"/>
                <w:szCs w:val="20"/>
                <w:color w:val="auto"/>
              </w:rPr>
            </w:pPr>
            <w:r>
              <w:rPr>
                <w:rFonts w:ascii="Arial" w:cs="Arial" w:eastAsia="Arial" w:hAnsi="Arial"/>
                <w:sz w:val="16"/>
                <w:szCs w:val="16"/>
                <w:b w:val="1"/>
                <w:bCs w:val="1"/>
                <w:color w:val="auto"/>
              </w:rPr>
              <w:t>Minimum Payments</w:t>
            </w:r>
          </w:p>
        </w:tc>
      </w:tr>
      <w:tr>
        <w:trPr>
          <w:trHeight w:val="209"/>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23,558</w:t>
            </w: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20,508</w:t>
            </w: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14,930</w:t>
            </w: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12,218</w:t>
            </w: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9,315</w:t>
            </w:r>
          </w:p>
        </w:tc>
      </w:tr>
      <w:tr>
        <w:trPr>
          <w:trHeight w:val="21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2027 and beyond</w:t>
            </w:r>
          </w:p>
        </w:tc>
        <w:tc>
          <w:tcPr>
            <w:tcW w:w="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28,052</w:t>
            </w:r>
          </w:p>
        </w:tc>
      </w:tr>
      <w:tr>
        <w:trPr>
          <w:trHeight w:val="206"/>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108,581</w:t>
            </w:r>
          </w:p>
        </w:tc>
      </w:tr>
      <w:tr>
        <w:trPr>
          <w:trHeight w:val="21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13"/>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93,581</w:t>
            </w: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the year ended December 31, 2021, the Company commenced new leases, extensions and amendments, resulting in non-cash investing and financing activities in the consolidated statements of cash flows of $20.7 million related to the increases in the operating lease right-of-use asset and operating lease liabilities, respectively. As of December 31, 2021,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as follows as of December 31, 2021 and 2020 (in thousands):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Pr>
          <w:p>
            <w:pPr>
              <w:spacing w:after="0"/>
              <w:rPr>
                <w:sz w:val="18"/>
                <w:szCs w:val="18"/>
                <w:color w:val="auto"/>
              </w:rPr>
            </w:pPr>
          </w:p>
        </w:tc>
        <w:tc>
          <w:tcPr>
            <w:tcW w:w="18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31,678</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52,913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47,886</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87,483</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30,744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27,799</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10,793</w:t>
            </w:r>
          </w:p>
        </w:tc>
      </w:tr>
      <w:tr>
        <w:trPr>
          <w:trHeight w:val="209"/>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230,357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205,639</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118,822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84,490</w:t>
            </w:r>
          </w:p>
        </w:tc>
      </w:tr>
      <w:tr>
        <w:trPr>
          <w:trHeight w:val="212"/>
        </w:trPr>
        <w:tc>
          <w:tcPr>
            <w:tcW w:w="4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111,535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121,149</w:t>
            </w:r>
          </w:p>
        </w:tc>
      </w:tr>
      <w:tr>
        <w:trPr>
          <w:trHeight w:val="21"/>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Depreciation expense is recorded within cost of revenue and operating expenses within the consolidated statements of comprehensive income (loss),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years ended December 31, 2021, 2020 and 2019 (in thousands):</w:t>
      </w:r>
    </w:p>
    <w:p>
      <w:pPr>
        <w:spacing w:after="0" w:line="190" w:lineRule="exact"/>
        <w:rPr>
          <w:sz w:val="20"/>
          <w:szCs w:val="20"/>
          <w:color w:val="auto"/>
        </w:rPr>
      </w:pPr>
    </w:p>
    <w:tbl>
      <w:tblPr>
        <w:tblLayout w:type="fixed"/>
        <w:tblInd w:w="86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46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212"/>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5,746</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r>
      <w:tr>
        <w:trPr>
          <w:trHeight w:val="21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29,865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27,629</w:t>
            </w:r>
          </w:p>
        </w:tc>
      </w:tr>
      <w:tr>
        <w:trPr>
          <w:trHeight w:val="233"/>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35,611</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Goodwill is not amortized, but is evaluated for impairment annually in the fourth quarter of the fiscal year, or more frequently if an event occurs or circumstances change that would more likely than not reduce the fair value of a reporting unit below its carrying value.</w:t>
      </w:r>
    </w:p>
    <w:p>
      <w:pPr>
        <w:spacing w:after="0" w:line="1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Circumstances that could trigger an interim impairment test include: a significant adverse change in the business climate or legal factors; an adverse action or assessment by a regulator; unanticipated competition; the loss of key personnel; a change in reporting units; the likelihood that a reporting unit or significant portion of a reporting unit will be sold or otherwise disposed of; and the results of testing for recoverability of a significant asset group within a reporting unit.</w:t>
      </w:r>
    </w:p>
    <w:p>
      <w:pPr>
        <w:spacing w:after="0" w:line="14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 qualitative impairment analysis was performed in the fourth quarter of 2021, 2020, and 2019, to assess whether it is more likely than not that the fair value of the Company’s reporting unit is less than its carrying value. The Company assessed relevant events and circumstances including macroeconomic conditions, industry and market considerations, overall financial performance, entity-specific events, and changes in the Company’s stock price. The Company determined that there was no goodwill impairment in 2021, 2020, or 2019.</w:t>
      </w:r>
    </w:p>
    <w:p>
      <w:pPr>
        <w:spacing w:after="0" w:line="16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determination of fair value and the allocation of that value to individual assets and liabilities within the reporting unit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and capital expenditures. Actual financial results could differ from those estimates due to the inherent uncertainty involved in making such estimates. Changes in assumptions concerning future financial results or other underlying assumptions could have a significant impact on either the fair value of the reporting unit, the amount of the goodwill impairment charge, or both.</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amount of goodwill consist of the following activity for the years ended December 31, 2021, 2020 and 2019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632,469</w:t>
            </w:r>
          </w:p>
        </w:tc>
      </w:tr>
      <w:tr>
        <w:trPr>
          <w:trHeight w:val="219"/>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w:t>
            </w: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793,073</w:t>
            </w:r>
          </w:p>
        </w:tc>
      </w:tr>
      <w:tr>
        <w:trPr>
          <w:trHeight w:val="206"/>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1,425,542</w:t>
            </w:r>
          </w:p>
        </w:tc>
      </w:tr>
      <w:tr>
        <w:trPr>
          <w:trHeight w:val="219"/>
        </w:trPr>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accounting adjustments</w:t>
            </w: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w:t>
            </w:r>
          </w:p>
        </w:tc>
      </w:tr>
      <w:tr>
        <w:trPr>
          <w:trHeight w:val="206"/>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1,428,610</w:t>
            </w:r>
          </w:p>
        </w:tc>
      </w:tr>
      <w:tr>
        <w:trPr>
          <w:trHeight w:val="216"/>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w:t>
            </w:r>
          </w:p>
        </w:tc>
        <w:tc>
          <w:tcPr>
            <w:tcW w:w="6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48,954</w:t>
            </w: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1,477,564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amount and accumulated amortization of intangible assets consists of the following as of December 31, 2021 and 2020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2021</w:t>
            </w:r>
          </w:p>
        </w:tc>
        <w:tc>
          <w:tcPr>
            <w:tcW w:w="220" w:type="dxa"/>
            <w:vAlign w:val="bottom"/>
          </w:tcPr>
          <w:p>
            <w:pPr>
              <w:spacing w:after="0"/>
              <w:rPr>
                <w:sz w:val="18"/>
                <w:szCs w:val="18"/>
                <w:color w:val="auto"/>
              </w:rPr>
            </w:pPr>
          </w:p>
        </w:tc>
        <w:tc>
          <w:tcPr>
            <w:tcW w:w="18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December 31, 2020</w:t>
            </w:r>
          </w:p>
        </w:tc>
      </w:tr>
      <w:tr>
        <w:trPr>
          <w:trHeight w:val="199"/>
        </w:trPr>
        <w:tc>
          <w:tcPr>
            <w:tcW w:w="4020" w:type="dxa"/>
            <w:vAlign w:val="bottom"/>
          </w:tcPr>
          <w:p>
            <w:pPr>
              <w:ind w:left="20"/>
              <w:spacing w:after="0"/>
              <w:rPr>
                <w:sz w:val="20"/>
                <w:szCs w:val="20"/>
                <w:color w:val="auto"/>
              </w:rPr>
            </w:pPr>
            <w:r>
              <w:rPr>
                <w:rFonts w:ascii="Arial" w:cs="Arial" w:eastAsia="Arial" w:hAnsi="Arial"/>
                <w:sz w:val="16"/>
                <w:szCs w:val="16"/>
                <w:color w:val="auto"/>
              </w:rPr>
              <w:t>Gross intangible assets:</w:t>
            </w:r>
          </w:p>
        </w:tc>
        <w:tc>
          <w:tcPr>
            <w:tcW w:w="2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438,121</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Trademarks/names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47,718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44,536</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amortizable intangible assets</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07"/>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gross intangible assets</w:t>
            </w: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530,955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483,059</w:t>
            </w:r>
          </w:p>
        </w:tc>
      </w:tr>
      <w:tr>
        <w:trPr>
          <w:trHeight w:val="253"/>
        </w:trPr>
        <w:tc>
          <w:tcPr>
            <w:tcW w:w="4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(110,498)</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Trademarks/names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(26,936)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(21,146)</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amortizable intangible assets</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07"/>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accumulated amortization</w:t>
            </w: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(164,935)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(132,007)</w:t>
            </w:r>
          </w:p>
        </w:tc>
      </w:tr>
      <w:tr>
        <w:trPr>
          <w:trHeight w:val="23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366,020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351,052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Amortization expense for intangible assets was $32.9 million, $35.1 million and $26.1 million for the years ended December 31, 2021, 2020 and 2019,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Expected future amortization expense for intangible assets recorded at December 31, 2021, is as follows (in thousands):</w:t>
      </w:r>
    </w:p>
    <w:p>
      <w:pPr>
        <w:spacing w:after="0" w:line="239" w:lineRule="exact"/>
        <w:rPr>
          <w:sz w:val="20"/>
          <w:szCs w:val="20"/>
          <w:color w:val="auto"/>
        </w:rPr>
      </w:pPr>
    </w:p>
    <w:tbl>
      <w:tblPr>
        <w:tblLayout w:type="fixed"/>
        <w:tblInd w:w="2320" w:type="dxa"/>
        <w:tblCellMar>
          <w:top w:w="0" w:type="dxa"/>
          <w:left w:w="0" w:type="dxa"/>
          <w:bottom w:w="0" w:type="dxa"/>
          <w:right w:w="0" w:type="dxa"/>
        </w:tblCellMar>
      </w:tblP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31,628</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31,628</w:t>
            </w: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31,628</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31,628</w:t>
            </w: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31,628</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beyond</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207,880</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366,020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INDEBTEDNESS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2021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Principal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8"/>
              </w:rPr>
              <w:t>Debt Issuance Costs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 Balance</w:t>
            </w:r>
          </w:p>
        </w:tc>
      </w:tr>
      <w:tr>
        <w:trPr>
          <w:trHeight w:val="21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(13,331)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577,064</w:t>
            </w: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488,836</w:t>
            </w:r>
          </w:p>
        </w:tc>
      </w:tr>
      <w:tr>
        <w:trPr>
          <w:trHeight w:val="213"/>
        </w:trPr>
        <w:tc>
          <w:tcPr>
            <w:tcW w:w="39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1,100,000</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(24,495)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1,065,900</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0"/>
        </w:trPr>
        <w:tc>
          <w:tcPr>
            <w:tcW w:w="394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(6,000)</w:t>
            </w: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1,059,900</w:t>
            </w:r>
          </w:p>
        </w:tc>
      </w:tr>
      <w:tr>
        <w:trPr>
          <w:trHeight w:val="20"/>
        </w:trPr>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2020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Principal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8"/>
              </w:rPr>
              <w:t>Debt Issuance Costs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 Balance</w:t>
            </w:r>
          </w:p>
        </w:tc>
      </w:tr>
      <w:tr>
        <w:trPr>
          <w:trHeight w:val="21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915,750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(19,710)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888,787</w:t>
            </w: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245,781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235,566</w:t>
            </w:r>
          </w:p>
        </w:tc>
      </w:tr>
      <w:tr>
        <w:trPr>
          <w:trHeight w:val="213"/>
        </w:trPr>
        <w:tc>
          <w:tcPr>
            <w:tcW w:w="39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1,161,531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1,124,353</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0"/>
        </w:trPr>
        <w:tc>
          <w:tcPr>
            <w:tcW w:w="394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(9,250)</w:t>
            </w: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1,115,103</w:t>
            </w:r>
          </w:p>
        </w:tc>
      </w:tr>
      <w:tr>
        <w:trPr>
          <w:trHeight w:val="20"/>
        </w:trPr>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324"/>
        <w:spacing w:after="0" w:line="236" w:lineRule="auto"/>
        <w:rPr>
          <w:sz w:val="20"/>
          <w:szCs w:val="20"/>
          <w:color w:val="auto"/>
        </w:rPr>
      </w:pPr>
      <w:r>
        <w:rPr>
          <w:rFonts w:ascii="Arial" w:cs="Arial" w:eastAsia="Arial" w:hAnsi="Arial"/>
          <w:sz w:val="17"/>
          <w:szCs w:val="17"/>
          <w:color w:val="auto"/>
        </w:rPr>
        <w:t>On August 6, 2019, the Company repaid the outstanding balance of an $80.0 million revolving credit facility, a $415.0 million first lien term loan (“Previous First Lien Term Loan”) and a $150.0 million second lien term loan (“Previous Second Lien”) and retired the outstanding Previous Credit Facilities by entering into two new credit arrangements and a notes indenture. The two new credit agreements and the indenture initially provided for up to $1,475.0 million in senior secured credit facilities through a $150.0 million asset-based-lending revolving credit facility (the “ABL Facility”), a</w:t>
      </w:r>
    </w:p>
    <w:p>
      <w:pPr>
        <w:spacing w:after="0" w:line="3"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$925.0 million first lien term loan (the “First Lien Term Loan”, and together with the ABL Facility, the “Loan Facilities”), and a $400.0 million issuance of Second Lien Notes.</w:t>
      </w:r>
    </w:p>
    <w:p>
      <w:pPr>
        <w:spacing w:after="0" w:line="21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ABL Facility initially provided for borrowings up to $150.0 million, which matures on August 6, 2024. During the year ended December 31, 2020, the Company increased the borrowing capacity of its ABL Facility from $150.0 million to $175.0 million. The ABL Facility bore interest at a per annum rate initially provided that is determined by the Company’s periodic selection of rate type, either the Base Rate or the Eurocurrency Rate. Interest on the ABL Facility was charged on Base Rate loans at the greater of Base Rate, as defined, or 0.25% plus 1.25% to 1.75%, depending on the historical excess availability as a percentage of the Line Cap, as defined in the ABL Facility credit agreement. Interest on the ABL Facility was charged on Eurocurrency Rate Loans at the Eurocurrency Rate, as defined, plus 2.25% to 2.75%, depending on the historical excess availability as a percentage of the Line Cap, as defined in the ABL Facility credit agreement. The ABL Facility contains commitment fees payable on the unused portion ranging from 0.25% to 0.375%, depending on various factors including the Company’s leverage ratio, type of loan and rate type, and letter of credit fees of 2.50%. Borrowings under the ABL Facility are secured by a first priority security interest in the Company’s and each of its subsidiaries’ inventory, accounts receivable, cash, deposit accounts and certain assets and property related thereto (the “ABL Priority Collateral”), in each case subject to certain exceptions, and a third priority security interest in the Term Loan Priority Collateral, as defined below. The Company had no outstanding borrowings under the ABL Facility at December 31, 2020. The Company had $9.6 million of undrawn letters of credit issued and outstanding, resulting in net borrowing availability under the ABL of $165.4 million as of December 31, 2020.</w:t>
      </w:r>
    </w:p>
    <w:p>
      <w:pPr>
        <w:spacing w:after="0" w:line="21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The principal balance of the First Lien Term Loan was repayable in quarterly installments which commenced in March 2020 of $2.3 million plus interest, with a final payment of all remaining outstanding principal due on August 6, 2026. Interest on the First Lien Term Loan is payable monthly on Base Rate loans at Base Rate, as defined, plus 3.25% to 3.50%, depending on the Company’s leverage ratio. Interest is charged on Eurocurrency Rate loans at the Eurocurrency Rate, as defined, plus 4.25% to 4.50%, depending on the Company’s leverage ratio. The interest rate on the First Lien Term Loan was</w:t>
      </w:r>
    </w:p>
    <w:p>
      <w:pPr>
        <w:spacing w:after="0" w:line="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4.40% as of December 31, 2020. The weighted average interest rate incurred was 5.09% for the year ended December 31, 2020. Amounts borrowed under the First Lien Term Loan are secured by a first priority security interest in each of the Company’s subsidiaries’ capital stock (subject to certain exceptions) and substantially all of the Company’s property and assets (other than the ABL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Priority Collateral), (the “Term Loan Priority Collateral”), in each case subject to certain exceptions, and a second priority security interest in the ABL Priority Collateral.</w:t>
      </w:r>
    </w:p>
    <w:p>
      <w:pPr>
        <w:spacing w:after="0" w:line="19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Second Lien Notes were set to mature on August 6, 2027. Interest on the Second Lien Notes was payable quarterly and is at London Interbank Offered Rate (“LIBOR”), plus 8.75%. The Company elected to pay-in-kind (“PIK”) the first quarterly interest payment, due in November 2019, which resulted in the Company capitalizing $12.3 million in interest to the principal balance on the interest payment date. The Company also elected to PIK the quarterly interest payment due in August 2020, which resulted in the Company capitalizing $7.5 million in interest expense to the principal balance of the Second Lien Notes on the interest payment date. In connection with the PIK elections, the Company was charged an additional 1.00% in interest expense on those quarterly interest payments. The interest rate on the Second Lien Notes was 8.98% as of December 31, 2020. The weighted average interest incurred was 9.39% for the year ended December 31, 2020.</w:t>
      </w:r>
    </w:p>
    <w:p>
      <w:pPr>
        <w:spacing w:after="0" w:line="191"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color w:val="auto"/>
        </w:rPr>
        <w:t xml:space="preserve">During the year ended December 31, 2020, the Company completed a public offering of stock for proceeds of $118.9 million. Those proceeds, along with additional cash on hand, were used to prepay $174.0 million of the Second Lien Notes, which is reflected as a cash outflow from financing activities in the Company’s consolidated statements of cash flows. The Company recognized a loss on extinguishment of debt of $11.5 million, of which $3.5 million related to the prepayment penalty and $8.0 million related to deferred financing fees which were written off upon extinguishment. The $3.5 million prepayment penalty was reflected as a cash outflow from financing activities in the Company’s consolidated statements of cash flows. The loss on extinguishment was recorded as a component of other, net in the Company’s consolidated statements of comprehensive income (loss). See Note 16, </w:t>
      </w:r>
      <w:r>
        <w:rPr>
          <w:rFonts w:ascii="Arial" w:cs="Arial" w:eastAsia="Arial" w:hAnsi="Arial"/>
          <w:sz w:val="18"/>
          <w:szCs w:val="18"/>
          <w:i w:val="1"/>
          <w:iCs w:val="1"/>
          <w:color w:val="auto"/>
        </w:rPr>
        <w:t>Stockholders’ Equity</w:t>
      </w:r>
      <w:r>
        <w:rPr>
          <w:rFonts w:ascii="Arial" w:cs="Arial" w:eastAsia="Arial" w:hAnsi="Arial"/>
          <w:sz w:val="18"/>
          <w:szCs w:val="18"/>
          <w:color w:val="auto"/>
        </w:rPr>
        <w:t>, for further discussion of the public offering.</w:t>
      </w:r>
    </w:p>
    <w:p>
      <w:pPr>
        <w:ind w:right="380" w:firstLine="324"/>
        <w:spacing w:after="0" w:line="281" w:lineRule="auto"/>
        <w:rPr>
          <w:sz w:val="20"/>
          <w:szCs w:val="20"/>
          <w:color w:val="auto"/>
        </w:rPr>
      </w:pPr>
      <w:r>
        <w:rPr>
          <w:rFonts w:ascii="Arial" w:cs="Arial" w:eastAsia="Arial" w:hAnsi="Arial"/>
          <w:sz w:val="16"/>
          <w:szCs w:val="16"/>
          <w:b w:val="1"/>
          <w:bCs w:val="1"/>
          <w:color w:val="auto"/>
        </w:rPr>
        <w:t xml:space="preserve">January 2021 Refinancing - </w:t>
      </w:r>
      <w:r>
        <w:rPr>
          <w:rFonts w:ascii="Arial" w:cs="Arial" w:eastAsia="Arial" w:hAnsi="Arial"/>
          <w:sz w:val="16"/>
          <w:szCs w:val="16"/>
          <w:color w:val="auto"/>
        </w:rPr>
        <w:t>In January 2021, the Company entered into an amendment on the First Lien Term Loan (the “First Lien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Amendment”). The First Lien Credit Agreement Amendment resulted in an additional $250.0 million of incremental First Lien Term Loan indebtedness being issued and reduced the interest rate on all outstanding First Lien Term Loan indebtedness from LIBOR plus 4.25% to LIBOR plus</w:t>
      </w:r>
    </w:p>
    <w:p>
      <w:pPr>
        <w:ind w:right="20"/>
        <w:spacing w:after="0" w:line="255" w:lineRule="auto"/>
        <w:rPr>
          <w:sz w:val="20"/>
          <w:szCs w:val="20"/>
          <w:color w:val="auto"/>
        </w:rPr>
      </w:pPr>
      <w:r>
        <w:rPr>
          <w:rFonts w:ascii="Arial" w:cs="Arial" w:eastAsia="Arial" w:hAnsi="Arial"/>
          <w:sz w:val="18"/>
          <w:szCs w:val="18"/>
          <w:color w:val="auto"/>
        </w:rPr>
        <w:t>3.75%. The proceeds of the $250.0 million incremental First Lien Term Loan indebtedness were used to prepay the remaining $245.8 million outstanding balance of the Second Lien Notes. Following the First Lien Credit Agreement Amendment, the First Lien Term Loan is repayable in quarterly installments, of $2.9 million plus interest, with a final payment of all remaining outstanding principal due on August 6, 2026.</w:t>
      </w:r>
    </w:p>
    <w:p>
      <w:pPr>
        <w:spacing w:after="0" w:line="21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Company assessed whether the repayment of the Second Lien Notes by issuing incremental First Lien Term Loan indebtedness resulted in an insubstantial modification or an extinguishment of the existing debt for each loan in the syndication by grouping lenders as follows: (i) Lenders participating in both the First Lien Term Loan and Second Lien Notes; (ii) previous lenders that exited; and (iii) new lenders. The Company determined that $161.2 million of the First Lien Term Loan was extinguished and $122.9 million of the Second Lien Term Loan was extinguished, which is disclosed as an outflow from financing activities in the consolidated statements of cash flows. The First Lien Term Loan and Second Lien Notes had insubstantial modifications for lenders that participated in both debt instruments, which resulted in a cash outflow from financing activities of $352.0 million in the consolidated statements of cash flows. The Company determined that $356.2 million of new debt was issued related to the First Lien Term Loan, which is disclosed as an inflow from financing activities in the consolidated statements of cash flows. In connection with the prepayment of the Second Lien Notes and incremental First Lien Term Loan indebtedness, the Company incurred $7.2 million in debt issuance costs and third-party fees, of which $3.7 million was capitalized, $0.9 million was expensed as a component of other expense and $2.6 million was expensed as a loss on extinguishment as a component of other expense in the consolidated statements of comprehensive income (loss). Further, $1.0 million of the total fees incurred of $7.2 million was netted against the $356.2 million of proceeds from debt as a component of the cash flows from financing activities, $2.9 million was presented as deferred financing costs as a component of cash flows from financing activities, $2.4 million was presented as debt prepayment fees as a component of cash flows from financing activities, and the remaining $0.9 million was included in cash flows from operating activities in the consolidated statements of cash flows.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recognized a loss on extinguishment of debt of $12.4 million included in the line entitled “Other, net” in the consolidated statements of comprehensive income (loss), of which $2.6 million related to debt issuance costs incurred with the incremental First Lien Term Loan indebtedness and prepayment of the Second Lien Notes, as discussed above, and $9.8 million related to existing deferred financing fees that were written off upon extinguishment.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October 2021 Refinancing - </w:t>
      </w:r>
      <w:r>
        <w:rPr>
          <w:rFonts w:ascii="Arial" w:cs="Arial" w:eastAsia="Arial" w:hAnsi="Arial"/>
          <w:sz w:val="16"/>
          <w:szCs w:val="16"/>
          <w:color w:val="auto"/>
        </w:rPr>
        <w:t>In October 2021, the Company refinanced its $1,157.0 million outstanding existing First Lien Term Loan due 2026.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Company amended the existing First Lien Term Loan, to provide $600.0 million of refinanced borrowings (the “First Lien Term Loan Facility”). The</w:t>
      </w:r>
    </w:p>
    <w:p>
      <w:pPr>
        <w:spacing w:after="0"/>
        <w:rPr>
          <w:sz w:val="20"/>
          <w:szCs w:val="20"/>
          <w:color w:val="auto"/>
        </w:rPr>
      </w:pPr>
      <w:r>
        <w:rPr>
          <w:rFonts w:ascii="Arial" w:cs="Arial" w:eastAsia="Arial" w:hAnsi="Arial"/>
          <w:sz w:val="16"/>
          <w:szCs w:val="16"/>
          <w:color w:val="auto"/>
        </w:rPr>
        <w:t>refinancing changed the interest rate from LIBOR plus 3.75% to, at the Parent Borrower’s option, either (i) LIBOR (or a comparable successor rate, with a</w:t>
      </w:r>
    </w:p>
    <w:p>
      <w:pPr>
        <w:spacing w:after="0" w:line="238" w:lineRule="auto"/>
        <w:rPr>
          <w:sz w:val="20"/>
          <w:szCs w:val="20"/>
          <w:color w:val="auto"/>
        </w:rPr>
      </w:pPr>
      <w:r>
        <w:rPr>
          <w:rFonts w:ascii="Arial" w:cs="Arial" w:eastAsia="Arial" w:hAnsi="Arial"/>
          <w:sz w:val="17"/>
          <w:szCs w:val="17"/>
          <w:color w:val="auto"/>
        </w:rPr>
        <w:t>floor of 0.50% per annum) plus an applicable margin of 2.75% for Eurocurrency Rate Loans (as such term is defined in the First Lien Term Loan</w:t>
      </w:r>
    </w:p>
    <w:p>
      <w:pPr>
        <w:spacing w:after="0"/>
        <w:rPr>
          <w:sz w:val="20"/>
          <w:szCs w:val="20"/>
          <w:color w:val="auto"/>
        </w:rPr>
      </w:pPr>
      <w:r>
        <w:rPr>
          <w:rFonts w:ascii="Arial" w:cs="Arial" w:eastAsia="Arial" w:hAnsi="Arial"/>
          <w:sz w:val="16"/>
          <w:szCs w:val="16"/>
          <w:color w:val="auto"/>
        </w:rPr>
        <w:t>Agreement) and (ii) a base rate determined in accordance with in the First Lien Term Loan Agreement, plus 1.75% for Base Rate Loans (as such term is</w:t>
      </w:r>
    </w:p>
    <w:p>
      <w:pPr>
        <w:spacing w:after="0" w:line="238" w:lineRule="auto"/>
        <w:rPr>
          <w:sz w:val="20"/>
          <w:szCs w:val="20"/>
          <w:color w:val="auto"/>
        </w:rPr>
      </w:pPr>
      <w:r>
        <w:rPr>
          <w:rFonts w:ascii="Arial" w:cs="Arial" w:eastAsia="Arial" w:hAnsi="Arial"/>
          <w:sz w:val="17"/>
          <w:szCs w:val="17"/>
          <w:color w:val="auto"/>
        </w:rPr>
        <w:t>defined in the First Lien Term Loan Agreement). The First Lien Term Loan Facility is repayable in quarterly installments, beginning in March 2022, of</w:t>
      </w:r>
    </w:p>
    <w:p>
      <w:pPr>
        <w:spacing w:after="0"/>
        <w:rPr>
          <w:sz w:val="20"/>
          <w:szCs w:val="20"/>
          <w:color w:val="auto"/>
        </w:rPr>
      </w:pPr>
      <w:r>
        <w:rPr>
          <w:rFonts w:ascii="Arial" w:cs="Arial" w:eastAsia="Arial" w:hAnsi="Arial"/>
          <w:sz w:val="16"/>
          <w:szCs w:val="16"/>
          <w:color w:val="auto"/>
        </w:rPr>
        <w:t>$1.5 million plus interest and extended its maturity to October 27, 2028. The interest rate on the First Lien Term Loan was 3.25% as of December 31, 2021.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interest rate incurred was 3.79% for the year ended December 31, 2021. In conjunction with the refinancing, the Company also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issued $500.0 million in aggregate principal of unsecured senior notes (“Senior Notes”). The Senior Notes bear interest at a rate of 4.375% per annum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payable semi-annually in arrears on October 31 and April 30 of each year, commencing April 30, 2022. The Senior Notes mature on October 31, 2029.</w:t>
      </w:r>
    </w:p>
    <w:p>
      <w:pPr>
        <w:spacing w:after="0" w:line="24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Company assessed whether the refinancing of the First Lien Term Loan Facility and issuance of the Senior Notes resulted in an insubstantial modification or an extinguishment of the existing debt for each loan in the syndication by grouping lenders as follows: (i) Lenders continuing to participate in either the First Lien Term Loan Facility and Senior Notes (ii) previous lenders that exited; and (iii) new lenders. The Company determined that</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$35.7 million of the First Lien Term Loan was extinguished, which is disclosed as an outflow from financing activities in the condensed consolidated statements of cash flows. The First Lien Term Loan had insubstantial modifications for lenders that continued to participate in either debt instrument, which resulted in a cash outflow from financing activities of $558.3 million in the consolidated statements of cash flows. The Company determined that</w:t>
      </w:r>
    </w:p>
    <w:p>
      <w:pPr>
        <w:spacing w:after="0" w:line="2"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$501.4 million of new debt was issued related to the First Lien Term Loan, which is disclosed as an inflow from financing activities in the consolidated statements of cash flows. In connection with the refinancing of the First Lien Term Loan and issuance of the Senior Notes, the Company incurred</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$10.7 million in debt issuance costs and third-party fees, of which $8.8 million was capitalized, $1.7 million was expensed as a component of other expense and $0.2 million was expensed as a loss on extinguishment as a component of other expense in the consolidated statements of comprehensive income (loss). Further, $1.5 million of the total fees incurred of $10.7 million was netted against the $501.4 million of proceeds from debt as a component of the cash flows from financing activities, $7.4 million was presented as deferred financing costs as a component of cash flows from financing activities, and the remaining $1.8 million was included in cash flows from operating activities in the consolidated statements of cash flows.</w:t>
      </w:r>
    </w:p>
    <w:p>
      <w:pPr>
        <w:spacing w:after="0" w:line="135"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The Company recognized a loss on extinguishment of debt of $1.0 million included in the line entitled “Other, net” in the consolidated statements of comprehensive income (loss), of which $0.2 million related to debt issuance costs incurred with the First Lien Term Loan refinancing and issuance of the Senior Notes, as discussed above, and $0.8 million related to existing deferred financing fees that were written off upon extinguishment.</w:t>
      </w:r>
    </w:p>
    <w:p>
      <w:pPr>
        <w:spacing w:after="0" w:line="108"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Company also entered into an agreement to amend its existing ABL Facility. The ABL Facility bears interest at a rate equal to, at the Borrowers’ election, either (i) a base rate determined in accordance with the ABL Credit Agreement plus an applicable margin, which is equal to between 0.25% and</w:t>
      </w:r>
    </w:p>
    <w:p>
      <w:pPr>
        <w:spacing w:after="0" w:line="253" w:lineRule="auto"/>
        <w:rPr>
          <w:sz w:val="20"/>
          <w:szCs w:val="20"/>
          <w:color w:val="auto"/>
        </w:rPr>
      </w:pPr>
      <w:r>
        <w:rPr>
          <w:rFonts w:ascii="Arial" w:cs="Arial" w:eastAsia="Arial" w:hAnsi="Arial"/>
          <w:sz w:val="18"/>
          <w:szCs w:val="18"/>
          <w:color w:val="auto"/>
        </w:rPr>
        <w:t>0.75% based on the historical excess availability as a percentage of the Line Cap (as such term is defined in the ABL Credit Agreement) and (ii) LIBOR (or a comparable successor rate, with a floor of 0.00% per annum) plus an applicable margin, which is equal to between 1.25% and 1.75% based on the historical excess availability as a percentage of the Line Cap. The Company had no outstanding borrowings under the ABL Facility at December 31, 2021. The Company had $7.1 million of undrawn letters of credit issued and outstanding, resulting in net borrowing availability under the ABL Facility of $167.9 million as of December 31, 2021. The ABL Facility matures on October 27, 2026.</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matures as follows (in thousands):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3"/>
              </w:rPr>
              <w:t>Minimum Payments</w:t>
            </w:r>
          </w:p>
        </w:tc>
        <w:tc>
          <w:tcPr>
            <w:tcW w:w="720" w:type="dxa"/>
            <w:vAlign w:val="bottom"/>
            <w:tcBorders>
              <w:bottom w:val="single" w:sz="8" w:color="auto"/>
            </w:tcBorders>
          </w:tcPr>
          <w:p>
            <w:pPr>
              <w:spacing w:after="0"/>
              <w:rPr>
                <w:sz w:val="18"/>
                <w:szCs w:val="18"/>
                <w:color w:val="auto"/>
              </w:rPr>
            </w:pPr>
          </w:p>
        </w:tc>
      </w:tr>
      <w:tr>
        <w:trPr>
          <w:trHeight w:val="213"/>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2023</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2025</w:t>
            </w:r>
          </w:p>
        </w:tc>
        <w:tc>
          <w:tcPr>
            <w:tcW w:w="1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beyond</w:t>
            </w:r>
          </w:p>
        </w:tc>
        <w:tc>
          <w:tcPr>
            <w:tcW w:w="1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1,070,000</w:t>
            </w:r>
          </w:p>
        </w:tc>
      </w:tr>
      <w:tr>
        <w:trPr>
          <w:trHeight w:val="23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1,100,000</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 xml:space="preserve">During the year ended December 31, 2021, the Company engaged in hedging activities to limit its exposure to changes in interest rates.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estimated fair values of the Company’s debt obligations as of December 31, 2021 (in thousands):</w:t>
      </w:r>
    </w:p>
    <w:p>
      <w:pPr>
        <w:spacing w:after="0" w:line="204"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Carrying Value as of</w:t>
            </w:r>
          </w:p>
        </w:tc>
        <w:tc>
          <w:tcPr>
            <w:tcW w:w="1220" w:type="dxa"/>
            <w:vAlign w:val="bottom"/>
          </w:tcPr>
          <w:p>
            <w:pPr>
              <w:jc w:val="center"/>
              <w:ind w:left="139"/>
              <w:spacing w:after="0"/>
              <w:rPr>
                <w:sz w:val="20"/>
                <w:szCs w:val="20"/>
                <w:color w:val="auto"/>
              </w:rPr>
            </w:pPr>
            <w:r>
              <w:rPr>
                <w:rFonts w:ascii="Arial" w:cs="Arial" w:eastAsia="Arial" w:hAnsi="Arial"/>
                <w:sz w:val="16"/>
                <w:szCs w:val="16"/>
                <w:b w:val="1"/>
                <w:bCs w:val="1"/>
                <w:color w:val="auto"/>
                <w:w w:val="97"/>
              </w:rPr>
              <w:t>Markets for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Significant Other</w:t>
            </w:r>
          </w:p>
        </w:tc>
        <w:tc>
          <w:tcPr>
            <w:tcW w:w="240" w:type="dxa"/>
            <w:vAlign w:val="bottom"/>
          </w:tcPr>
          <w:p>
            <w:pPr>
              <w:spacing w:after="0"/>
              <w:rPr>
                <w:sz w:val="16"/>
                <w:szCs w:val="16"/>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264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Financial Instrument</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20" w:type="dxa"/>
            <w:vAlign w:val="bottom"/>
          </w:tcPr>
          <w:p>
            <w:pPr>
              <w:jc w:val="center"/>
              <w:ind w:left="159"/>
              <w:spacing w:after="0" w:line="162" w:lineRule="exact"/>
              <w:rPr>
                <w:sz w:val="20"/>
                <w:szCs w:val="20"/>
                <w:color w:val="auto"/>
              </w:rPr>
            </w:pPr>
            <w:r>
              <w:rPr>
                <w:rFonts w:ascii="Arial" w:cs="Arial" w:eastAsia="Arial" w:hAnsi="Arial"/>
                <w:sz w:val="16"/>
                <w:szCs w:val="16"/>
                <w:b w:val="1"/>
                <w:bCs w:val="1"/>
                <w:color w:val="auto"/>
                <w:w w:val="95"/>
              </w:rPr>
              <w:t>Identical Item</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Observable Inputs</w:t>
            </w:r>
          </w:p>
        </w:tc>
        <w:tc>
          <w:tcPr>
            <w:tcW w:w="15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2"/>
              </w:rPr>
              <w:t>Unobservable Inputs</w:t>
            </w:r>
          </w:p>
        </w:tc>
        <w:tc>
          <w:tcPr>
            <w:tcW w:w="0" w:type="dxa"/>
            <w:vAlign w:val="bottom"/>
          </w:tcPr>
          <w:p>
            <w:pPr>
              <w:spacing w:after="0"/>
              <w:rPr>
                <w:sz w:val="1"/>
                <w:szCs w:val="1"/>
                <w:color w:val="auto"/>
              </w:rPr>
            </w:pPr>
          </w:p>
        </w:tc>
      </w:tr>
      <w:tr>
        <w:trPr>
          <w:trHeight w:val="213"/>
        </w:trPr>
        <w:tc>
          <w:tcPr>
            <w:tcW w:w="2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4"/>
              </w:rPr>
              <w:t>December 31, 2021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(Level 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2"/>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 Note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577,064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Senior Notes</w:t>
            </w: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488,836</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501,250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 instruments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1,065,900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1,099,750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sets forth the changes in Level 3 measurements for the year ended December 31, 2021 (in thousands). As the Second Lien Notes were prepaid in Q1, there was no change in the fair value thereafter: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7"/>
              </w:rPr>
              <w:t>Level 3 Measurements</w:t>
            </w:r>
          </w:p>
        </w:tc>
      </w:tr>
      <w:tr>
        <w:trPr>
          <w:trHeight w:val="21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January 1,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266,438</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Principal prepayment</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(245,781)</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20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(20,657)</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Second Lien Notes fair value as of December 31, 2021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18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 utilizes derivative financial instruments for hedging and non-trading purposes to limit the Company’s exposure to its variable interest rate risk. Use of derivative financial instruments in hedging strategies subjects the Company to certain risks, such as market and credit risks. Market risk represents the possibility that the value of the derivative financial instrument will change.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3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In August 2019, the Company entered into interest rate swap agreements that reduce the variability in the interest rates on the newly-issued debt obligations following the Merger with BioScrip. The first interest rate swap for $925.0 million notional was effective in August 2019 with $911.1 million designated as a cash flow hedge against the underlying interest rate on the First Lien Term Loan interest payments indexed to one-month LIBOR through August 2021. In accordance with ASU 2017-12, </w:t>
      </w:r>
      <w:r>
        <w:rPr>
          <w:rFonts w:ascii="Arial" w:cs="Arial" w:eastAsia="Arial" w:hAnsi="Arial"/>
          <w:sz w:val="18"/>
          <w:szCs w:val="18"/>
          <w:i w:val="1"/>
          <w:iCs w:val="1"/>
          <w:color w:val="auto"/>
        </w:rPr>
        <w:t>Targeted Improvements to Accounting for Hedges</w:t>
      </w:r>
      <w:r>
        <w:rPr>
          <w:rFonts w:ascii="Arial" w:cs="Arial" w:eastAsia="Arial" w:hAnsi="Arial"/>
          <w:sz w:val="18"/>
          <w:szCs w:val="18"/>
          <w:color w:val="auto"/>
        </w:rPr>
        <w:t>, the Company had determined that the $911.1 million designated cash flow hedge is perfectly effective. The remaining $13.9 million notional amount of the first interest rate swap is not designated as a hedging instrument. The first interest rate swap expired in August 2021. The second interest rate swap of $400.0 million notional was effective in November 2019 and was designated as a cash flow hedge against the underlying interest rate on the Second Lien Notes interest payments indexed to three-month LIBOR through November 2020.</w:t>
      </w:r>
    </w:p>
    <w:p>
      <w:pPr>
        <w:spacing w:after="0" w:line="16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May 2020, the Company elected to PIK the Second Lien Notes’ quarterly interest payment due in August 2020. Upon making the PIK election, the Company determined that the hedged interest payment would no longer occur, resulting in an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ineffective hedge, so the Company discontinued hedge accounting on its $400.0 million notional interest rate swap. As a result, the Company reclassified accumulated comprehensive loss of $3.7 million to interest expense, net in the consolidated statements of comprehensive income (loss). The gains and losses associated with the $400.0 million notional swap were recognized in net income (loss) through interest expense until the swap expired in November 2020.</w:t>
      </w:r>
    </w:p>
    <w:p>
      <w:pPr>
        <w:spacing w:after="0" w:line="146"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 October 2021, the Company entered into an interest rate cap hedge with a notional amount of $300 million for a 5-year term beginning November 30, 2021. The hedge partially offsets risk associated with the First Lien Term Loan Facility’s variable interest rate. The interest rate cap instrument perfectly offsets the terms of the interest rates associated with the variable interest rate of the First Lien Term Loan.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amount and location of the Company’s derivative instruments in the consolidated balance sheets (in thousands):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6"/>
          </w:tcPr>
          <w:p>
            <w:pPr>
              <w:jc w:val="right"/>
              <w:ind w:right="1479"/>
              <w:spacing w:after="0"/>
              <w:rPr>
                <w:sz w:val="20"/>
                <w:szCs w:val="20"/>
                <w:color w:val="auto"/>
              </w:rPr>
            </w:pPr>
            <w:r>
              <w:rPr>
                <w:rFonts w:ascii="Arial" w:cs="Arial" w:eastAsia="Arial" w:hAnsi="Arial"/>
                <w:sz w:val="16"/>
                <w:szCs w:val="16"/>
                <w:b w:val="1"/>
                <w:bCs w:val="1"/>
                <w:color w:val="auto"/>
                <w:w w:val="93"/>
              </w:rPr>
              <w:t>Fair value - Derivatives in liability position</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88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b w:val="1"/>
                <w:bCs w:val="1"/>
                <w:color w:val="auto"/>
              </w:rPr>
              <w:t>Balance Sheet Caption</w:t>
            </w: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8"/>
              </w:rPr>
              <w:t>December 31, 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8"/>
              </w:rPr>
              <w:t>December 31, 2020</w:t>
            </w:r>
          </w:p>
        </w:tc>
        <w:tc>
          <w:tcPr>
            <w:tcW w:w="0" w:type="dxa"/>
            <w:vAlign w:val="bottom"/>
          </w:tcPr>
          <w:p>
            <w:pPr>
              <w:spacing w:after="0"/>
              <w:rPr>
                <w:sz w:val="1"/>
                <w:szCs w:val="1"/>
                <w:color w:val="auto"/>
              </w:rPr>
            </w:pPr>
          </w:p>
        </w:tc>
      </w:tr>
      <w:tr>
        <w:trPr>
          <w:trHeight w:val="148"/>
        </w:trPr>
        <w:tc>
          <w:tcPr>
            <w:tcW w:w="51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caps designated as cash flow hedges</w:t>
            </w:r>
          </w:p>
        </w:tc>
        <w:tc>
          <w:tcPr>
            <w:tcW w:w="15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0"/>
              </w:rPr>
              <w:t>Accrued expenses and</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10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other current liabilities</w:t>
            </w:r>
          </w:p>
        </w:tc>
        <w:tc>
          <w:tcPr>
            <w:tcW w:w="600" w:type="dxa"/>
            <w:vAlign w:val="bottom"/>
            <w:gridSpan w:val="2"/>
            <w:vMerge w:val="continue"/>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100" w:type="dxa"/>
            <w:vAlign w:val="bottom"/>
            <w:vMerge w:val="restart"/>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1520" w:type="dxa"/>
            <w:vAlign w:val="bottom"/>
          </w:tcPr>
          <w:p>
            <w:pPr>
              <w:ind w:left="20"/>
              <w:spacing w:after="0" w:line="166" w:lineRule="exact"/>
              <w:rPr>
                <w:sz w:val="20"/>
                <w:szCs w:val="20"/>
                <w:color w:val="auto"/>
              </w:rPr>
            </w:pPr>
            <w:r>
              <w:rPr>
                <w:rFonts w:ascii="Arial" w:cs="Arial" w:eastAsia="Arial" w:hAnsi="Arial"/>
                <w:sz w:val="16"/>
                <w:szCs w:val="16"/>
                <w:color w:val="auto"/>
                <w:w w:val="90"/>
              </w:rPr>
              <w:t>Accrued expenses and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11,172</w:t>
            </w:r>
          </w:p>
        </w:tc>
        <w:tc>
          <w:tcPr>
            <w:tcW w:w="0" w:type="dxa"/>
            <w:vAlign w:val="bottom"/>
          </w:tcPr>
          <w:p>
            <w:pPr>
              <w:spacing w:after="0"/>
              <w:rPr>
                <w:sz w:val="1"/>
                <w:szCs w:val="1"/>
                <w:color w:val="auto"/>
              </w:rPr>
            </w:pPr>
          </w:p>
        </w:tc>
      </w:tr>
      <w:tr>
        <w:trPr>
          <w:trHeight w:val="209"/>
        </w:trPr>
        <w:tc>
          <w:tcPr>
            <w:tcW w:w="5100" w:type="dxa"/>
            <w:vAlign w:val="bottom"/>
            <w:vMerge w:val="continue"/>
          </w:tcPr>
          <w:p>
            <w:pPr>
              <w:spacing w:after="0"/>
              <w:rPr>
                <w:sz w:val="18"/>
                <w:szCs w:val="18"/>
                <w:color w:val="auto"/>
              </w:rPr>
            </w:pPr>
          </w:p>
        </w:tc>
        <w:tc>
          <w:tcPr>
            <w:tcW w:w="1520" w:type="dxa"/>
            <w:vAlign w:val="bottom"/>
          </w:tcPr>
          <w:p>
            <w:pPr>
              <w:ind w:left="20"/>
              <w:spacing w:after="0"/>
              <w:rPr>
                <w:sz w:val="20"/>
                <w:szCs w:val="20"/>
                <w:color w:val="auto"/>
              </w:rPr>
            </w:pPr>
            <w:r>
              <w:rPr>
                <w:rFonts w:ascii="Arial" w:cs="Arial" w:eastAsia="Arial" w:hAnsi="Arial"/>
                <w:sz w:val="16"/>
                <w:szCs w:val="16"/>
                <w:color w:val="auto"/>
                <w:w w:val="95"/>
              </w:rPr>
              <w:t>other current liabilities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1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swaps not designated as hedges</w:t>
            </w:r>
          </w:p>
        </w:tc>
        <w:tc>
          <w:tcPr>
            <w:tcW w:w="15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0"/>
              </w:rPr>
              <w:t>Accrued expenses and</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9"/>
        </w:trPr>
        <w:tc>
          <w:tcPr>
            <w:tcW w:w="510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other current liabilities</w:t>
            </w:r>
          </w:p>
        </w:tc>
        <w:tc>
          <w:tcPr>
            <w:tcW w:w="3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Total derivatives</w:t>
            </w:r>
          </w:p>
        </w:tc>
        <w:tc>
          <w:tcPr>
            <w:tcW w:w="15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11,342</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gain and loss associated with the changes in the fair value of the effective portion of hedging instruments are recorded into other comprehensive (loss) income. The gain and loss associated with the changes in the fair value of the hedging instruments not designated are recognized in net income (loss) through interest expense. The following table presents the pre-tax gains (losses) from derivative instruments recognized in other comprehensive (loss) income in the Company’s consolidated statements of comprehensive income (loss) (in thousands):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6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20" w:type="dxa"/>
            <w:vAlign w:val="bottom"/>
            <w:tcBorders>
              <w:bottom w:val="single" w:sz="8" w:color="auto"/>
            </w:tcBorders>
          </w:tcPr>
          <w:p>
            <w:pPr>
              <w:spacing w:after="0"/>
              <w:rPr>
                <w:sz w:val="18"/>
                <w:szCs w:val="18"/>
                <w:color w:val="auto"/>
              </w:rPr>
            </w:pPr>
          </w:p>
        </w:tc>
      </w:tr>
      <w:tr>
        <w:trPr>
          <w:trHeight w:val="213"/>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caps designated as cash flow hedges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(7,195)</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that discontinued hedge accounting</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(8,298)</w:t>
            </w: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presents the amount and location of pre-tax income (loss) recognized in the Company’s consolidated statement of comprehensive income (loss) related to the Company’s derivative instruments (in thousands):</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Derivative</w:t>
            </w:r>
          </w:p>
        </w:tc>
        <w:tc>
          <w:tcPr>
            <w:tcW w:w="320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Income Statement Caption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r>
      <w:tr>
        <w:trPr>
          <w:trHeight w:val="212"/>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caps designated as cash flow hedges</w:t>
            </w:r>
          </w:p>
        </w:tc>
        <w:tc>
          <w:tcPr>
            <w:tcW w:w="33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Interest rate swaps designated as cash flow hedges</w:t>
            </w:r>
          </w:p>
        </w:tc>
        <w:tc>
          <w:tcPr>
            <w:tcW w:w="3320" w:type="dxa"/>
            <w:vAlign w:val="bottom"/>
            <w:gridSpan w:val="2"/>
          </w:tcPr>
          <w:p>
            <w:pPr>
              <w:ind w:left="76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9"/>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 not designated as hedges</w:t>
            </w:r>
          </w:p>
        </w:tc>
        <w:tc>
          <w:tcPr>
            <w:tcW w:w="33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Interest rate swaps that discontinued hedge accounting</w:t>
            </w:r>
          </w:p>
        </w:tc>
        <w:tc>
          <w:tcPr>
            <w:tcW w:w="3320" w:type="dxa"/>
            <w:vAlign w:val="bottom"/>
            <w:gridSpan w:val="2"/>
          </w:tcPr>
          <w:p>
            <w:pPr>
              <w:ind w:left="76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expects to reclassify $2.8 million of total interest rate costs from accumulated other comprehensive loss against interest expense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three levels of inputs within the fair value hierarchy are defined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While the Company believes its valuation methods are appropriate and consistent with other market participants,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methodologies or assumptions to determine the fair value of certain financial instruments could result in a different fair value measurement at the reporting date.</w:t>
      </w:r>
    </w:p>
    <w:p>
      <w:pPr>
        <w:spacing w:after="0" w:line="152"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i w:val="1"/>
          <w:iCs w:val="1"/>
          <w:color w:val="auto"/>
        </w:rPr>
        <w:t>First Lien Term Loan</w:t>
      </w:r>
      <w:r>
        <w:rPr>
          <w:rFonts w:ascii="Arial" w:cs="Arial" w:eastAsia="Arial" w:hAnsi="Arial"/>
          <w:sz w:val="16"/>
          <w:szCs w:val="16"/>
          <w:color w:val="auto"/>
        </w:rPr>
        <w:t>: Prior to the October refinancing, the fair value of the First Lien Term Loan is derived from a broker quote on the loans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syndication (Level 2 inputs). See Note 11, </w:t>
      </w:r>
      <w:r>
        <w:rPr>
          <w:rFonts w:ascii="Arial" w:cs="Arial" w:eastAsia="Arial" w:hAnsi="Arial"/>
          <w:sz w:val="16"/>
          <w:szCs w:val="16"/>
          <w:i w:val="1"/>
          <w:iCs w:val="1"/>
          <w:color w:val="auto"/>
        </w:rPr>
        <w:t>Indebtedness</w:t>
      </w:r>
      <w:r>
        <w:rPr>
          <w:rFonts w:ascii="Arial" w:cs="Arial" w:eastAsia="Arial" w:hAnsi="Arial"/>
          <w:sz w:val="16"/>
          <w:szCs w:val="16"/>
          <w:color w:val="auto"/>
        </w:rPr>
        <w:t>, for further discussion of the carrying amount and fair value of the First Lien Term Loan.</w:t>
      </w:r>
    </w:p>
    <w:p>
      <w:pPr>
        <w:spacing w:after="0" w:line="8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Second Lien Notes</w:t>
      </w:r>
      <w:r>
        <w:rPr>
          <w:rFonts w:ascii="Arial" w:cs="Arial" w:eastAsia="Arial" w:hAnsi="Arial"/>
          <w:sz w:val="18"/>
          <w:szCs w:val="18"/>
          <w:color w:val="auto"/>
        </w:rPr>
        <w:t>: Prior to the January refinancing, the fair value of the Second Lien Notes is derived from a cash flow model that discounted the cash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flows based on market interest rates (Level 3 inputs). See Note 11,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of the carrying amount and fair value of the Second Lien Notes.</w:t>
      </w:r>
    </w:p>
    <w:p>
      <w:pPr>
        <w:spacing w:after="0" w:line="157"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i w:val="1"/>
          <w:iCs w:val="1"/>
          <w:color w:val="auto"/>
        </w:rPr>
        <w:t>New First Lien Term Loan</w:t>
      </w:r>
      <w:r>
        <w:rPr>
          <w:rFonts w:ascii="Arial" w:cs="Arial" w:eastAsia="Arial" w:hAnsi="Arial"/>
          <w:sz w:val="17"/>
          <w:szCs w:val="17"/>
          <w:color w:val="auto"/>
        </w:rPr>
        <w:t>: The fair value of the New First Lien Term Loan is derived from a broker quote on the loans in the syndication (Level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inputs). See Note 11,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of the carrying amount and fair value of the New First Lien Term Loan.</w:t>
      </w:r>
    </w:p>
    <w:p>
      <w:pPr>
        <w:spacing w:after="0" w:line="10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Senior Notes</w:t>
      </w:r>
      <w:r>
        <w:rPr>
          <w:rFonts w:ascii="Arial" w:cs="Arial" w:eastAsia="Arial" w:hAnsi="Arial"/>
          <w:sz w:val="18"/>
          <w:szCs w:val="18"/>
          <w:color w:val="auto"/>
        </w:rPr>
        <w:t>: The fair value of the Senior Notes is derived from a broker quote (Level 2 inputs). See Note 11,</w:t>
      </w:r>
      <w:r>
        <w:rPr>
          <w:rFonts w:ascii="Arial" w:cs="Arial" w:eastAsia="Arial" w:hAnsi="Arial"/>
          <w:sz w:val="18"/>
          <w:szCs w:val="18"/>
          <w:i w:val="1"/>
          <w:iCs w:val="1"/>
          <w:color w:val="auto"/>
        </w:rPr>
        <w:t xml:space="preserve"> Indebtedness</w:t>
      </w:r>
      <w:r>
        <w:rPr>
          <w:rFonts w:ascii="Arial" w:cs="Arial" w:eastAsia="Arial" w:hAnsi="Arial"/>
          <w:sz w:val="18"/>
          <w:szCs w:val="18"/>
          <w:color w:val="auto"/>
        </w:rPr>
        <w:t>, for further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and fair value of the Senior Notes.</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i w:val="1"/>
          <w:iCs w:val="1"/>
          <w:color w:val="auto"/>
        </w:rPr>
        <w:t>Interest rate swaps</w:t>
      </w:r>
      <w:r>
        <w:rPr>
          <w:rFonts w:ascii="Arial" w:cs="Arial" w:eastAsia="Arial" w:hAnsi="Arial"/>
          <w:sz w:val="17"/>
          <w:szCs w:val="17"/>
          <w:color w:val="auto"/>
        </w:rPr>
        <w:t>: The fair values of interest rate swaps are derived from the interest rates prevalent in the market and future expectations of those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interest rates (Level 2 inputs). The Company determines the fair value of the investments based on quoted prices from third-party brokers. Both interest rate swaps have been terminated. See Note 12,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further discussion of the fair value of the interest rate swaps.</w:t>
      </w:r>
    </w:p>
    <w:p>
      <w:pPr>
        <w:spacing w:after="0" w:line="138"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i w:val="1"/>
          <w:iCs w:val="1"/>
          <w:color w:val="auto"/>
        </w:rPr>
        <w:t>Interest rate cap</w:t>
      </w:r>
      <w:r>
        <w:rPr>
          <w:rFonts w:ascii="Arial" w:cs="Arial" w:eastAsia="Arial" w:hAnsi="Arial"/>
          <w:sz w:val="18"/>
          <w:szCs w:val="18"/>
          <w:color w:val="auto"/>
        </w:rPr>
        <w:t>: The fair values of the interest rate cap are derived from the interest rates prevalent in the market and future expectations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rates (Level 2 inputs). The Company determines the fair value of the investments based on quoted prices from third-party brokers.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 of the fair value of the interest rate caps.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 assets or liabilities measured at fair value at December 31, 2021 or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0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INCENTIVE COMPENSATION</w:t>
      </w:r>
    </w:p>
    <w:p>
      <w:pPr>
        <w:spacing w:after="0" w:line="19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 Under the Company’s 2018 Equity Incentive Plan (the “2018 Plan”), approved at the annual meeting by the BioScrip</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4,101,735 shares of common stock were initially authorized for issuance under the 2018 Plan. In May 2021, an additional 4,999,999 shares were authorized for issuance under the 2018 Plan, resulting in a total 9,101,734 shares of common stock authorized for issuance.</w:t>
      </w:r>
    </w:p>
    <w:p>
      <w:pPr>
        <w:spacing w:after="0" w:line="147" w:lineRule="exact"/>
        <w:rPr>
          <w:sz w:val="20"/>
          <w:szCs w:val="20"/>
          <w:color w:val="auto"/>
        </w:rPr>
      </w:pPr>
    </w:p>
    <w:p>
      <w:pPr>
        <w:jc w:val="both"/>
        <w:ind w:right="120" w:firstLine="324"/>
        <w:spacing w:after="0" w:line="289"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 Options granted under the 2018 Plan typically vest over a three- or four-year period and, in certain instances, may fully vest upon a</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in control of the Company. The options also typically have an exercise price that may not be less than 100% of its fair market value on the date of grant and are exercisable seven to ten years after the date of grant, subject to earlier termination in certain circumstances.</w:t>
      </w:r>
    </w:p>
    <w:p>
      <w:pPr>
        <w:spacing w:after="0" w:line="12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Compensation expense from stock options is recognized on a straight-line basis over the requisite service period. During the years ended December 31, 2021 and 2020, the Company recognized compensation expense related to stock options of $1.9 million and $0.4 million. The Company did not recognize any compensation expense related to stock options prior to the Merger.</w:t>
      </w:r>
    </w:p>
    <w:p>
      <w:pPr>
        <w:spacing w:after="0" w:line="15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weighted average grant-date fair value of options granted during the years ended December 31, 2021 and 2020 was $17.79 and $5.94, respectively. The Company did not grant any options during the year ended December 31, 2019. The fair value of stock options granted was estimated on the date of grant using a Black-Scholes pricing model. The assumptions used to compute the fair value of options for the year ended December 31, 2021 and 2020 are as follows:</w:t>
      </w:r>
    </w:p>
    <w:p>
      <w:pPr>
        <w:spacing w:after="0" w:line="187"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2020</w:t>
            </w:r>
          </w:p>
        </w:tc>
      </w:tr>
      <w:tr>
        <w:trPr>
          <w:trHeight w:val="21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51.92 %</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45.7 %</w:t>
            </w: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0.53 %</w:t>
            </w:r>
          </w:p>
        </w:tc>
      </w:tr>
      <w:tr>
        <w:trPr>
          <w:trHeight w:val="21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life of options</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6.5 years</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years</w:t>
            </w:r>
          </w:p>
        </w:tc>
      </w:tr>
      <w:tr>
        <w:trPr>
          <w:trHeight w:val="210"/>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Dividend rate</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December 31, 2021 is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54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6"/>
                <w:szCs w:val="16"/>
                <w:color w:val="auto"/>
              </w:rPr>
            </w:pPr>
          </w:p>
        </w:tc>
        <w:tc>
          <w:tcPr>
            <w:tcW w:w="208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Weighted Average Exercise</w:t>
            </w:r>
          </w:p>
        </w:tc>
        <w:tc>
          <w:tcPr>
            <w:tcW w:w="10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Arial" w:cs="Arial" w:eastAsia="Arial" w:hAnsi="Arial"/>
                <w:sz w:val="16"/>
                <w:szCs w:val="16"/>
                <w:b w:val="1"/>
                <w:bCs w:val="1"/>
                <w:color w:val="auto"/>
              </w:rPr>
              <w:t>Aggregate Intrinsic Value</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(thousands)</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Remaining Contractual Life</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412,831</w:t>
            </w:r>
          </w:p>
        </w:tc>
        <w:tc>
          <w:tcPr>
            <w:tcW w:w="5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853,089</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22.14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5,335</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(42,405)</w:t>
            </w:r>
          </w:p>
        </w:tc>
        <w:tc>
          <w:tcPr>
            <w:tcW w:w="5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 and expired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(53,374)</w:t>
            </w:r>
          </w:p>
        </w:tc>
        <w:tc>
          <w:tcPr>
            <w:tcW w:w="560" w:type="dxa"/>
            <w:vAlign w:val="bottom"/>
            <w:tcBorders>
              <w:bottom w:val="single" w:sz="8" w:color="CCEEFF"/>
            </w:tcBorders>
            <w:gridSpan w:val="2"/>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22.13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1,170,141</w:t>
            </w:r>
          </w:p>
        </w:tc>
        <w:tc>
          <w:tcPr>
            <w:tcW w:w="56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10,154</w:t>
            </w:r>
          </w:p>
        </w:tc>
        <w:tc>
          <w:tcPr>
            <w:tcW w:w="1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6"/>
                <w:szCs w:val="16"/>
                <w:color w:val="auto"/>
                <w:w w:val="88"/>
              </w:rPr>
              <w:t>8.55 years</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20" w:type="dxa"/>
            <w:vAlign w:val="bottom"/>
          </w:tcPr>
          <w:p>
            <w:pPr>
              <w:spacing w:after="0"/>
              <w:rPr>
                <w:sz w:val="20"/>
                <w:szCs w:val="20"/>
                <w:color w:val="auto"/>
              </w:rPr>
            </w:pPr>
            <w:r>
              <w:rPr>
                <w:rFonts w:ascii="Arial" w:cs="Arial" w:eastAsia="Arial" w:hAnsi="Arial"/>
                <w:sz w:val="16"/>
                <w:szCs w:val="16"/>
                <w:color w:val="auto"/>
              </w:rPr>
              <w:t>Exercisable at December 31, 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150,890</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2,131</w:t>
            </w:r>
          </w:p>
        </w:tc>
        <w:tc>
          <w:tcPr>
            <w:tcW w:w="120" w:type="dxa"/>
            <w:vAlign w:val="bottom"/>
          </w:tcPr>
          <w:p>
            <w:pPr>
              <w:spacing w:after="0"/>
              <w:rPr>
                <w:sz w:val="16"/>
                <w:szCs w:val="16"/>
                <w:color w:val="auto"/>
              </w:rPr>
            </w:pPr>
          </w:p>
        </w:tc>
        <w:tc>
          <w:tcPr>
            <w:tcW w:w="2000" w:type="dxa"/>
            <w:vAlign w:val="bottom"/>
          </w:tcPr>
          <w:p>
            <w:pPr>
              <w:ind w:left="1320"/>
              <w:spacing w:after="0"/>
              <w:rPr>
                <w:sz w:val="20"/>
                <w:szCs w:val="20"/>
                <w:color w:val="auto"/>
              </w:rPr>
            </w:pPr>
            <w:r>
              <w:rPr>
                <w:rFonts w:ascii="Arial" w:cs="Arial" w:eastAsia="Arial" w:hAnsi="Arial"/>
                <w:sz w:val="16"/>
                <w:szCs w:val="16"/>
                <w:color w:val="auto"/>
                <w:w w:val="88"/>
              </w:rPr>
              <w:t>3.63 years</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During the year ended December 31, 2021, shares were surrendered to satisfy tax withholding obligations on the exercise of stock options with a cost basis of $0.1 million. During the year ended December 31, 2020, shares were surrendered to satisfy tax withholding obligations on the exercise of stock options with a cost basis of $2.7 million, which are all held as treasury stock as of December 31, 2021. During the year ended December 31, 2020, $0.4 million of cash was received from stock option exercises under share-based payment arrangements. No cash was received from stock option exercises under share-based payment arrangements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maximum term of stock options under these plans is ten years. Options outstanding as of December 31, 2021 expire on various dates ranging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2023 through October 2031. The following table outlines the outstanding and exercisable stock options as of December 31, 2021:</w:t>
      </w: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1"/>
              </w:rPr>
              <w:t>Options Outstanding</w:t>
            </w:r>
          </w:p>
        </w:tc>
        <w:tc>
          <w:tcPr>
            <w:tcW w:w="1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159"/>
        </w:trPr>
        <w:tc>
          <w:tcPr>
            <w:tcW w:w="18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Range of Option</w:t>
            </w: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Weighted Average</w:t>
            </w:r>
          </w:p>
        </w:tc>
        <w:tc>
          <w:tcPr>
            <w:tcW w:w="17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4"/>
              </w:rPr>
              <w:t>Weighted Average</w:t>
            </w:r>
          </w:p>
        </w:tc>
        <w:tc>
          <w:tcPr>
            <w:tcW w:w="0" w:type="dxa"/>
            <w:vAlign w:val="bottom"/>
          </w:tcPr>
          <w:p>
            <w:pPr>
              <w:spacing w:after="0"/>
              <w:rPr>
                <w:sz w:val="1"/>
                <w:szCs w:val="1"/>
                <w:color w:val="auto"/>
              </w:rPr>
            </w:pPr>
          </w:p>
        </w:tc>
      </w:tr>
      <w:tr>
        <w:trPr>
          <w:trHeight w:val="162"/>
        </w:trPr>
        <w:tc>
          <w:tcPr>
            <w:tcW w:w="1840" w:type="dxa"/>
            <w:vAlign w:val="bottom"/>
            <w:gridSpan w:val="2"/>
            <w:vMerge w:val="continue"/>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9"/>
              </w:rPr>
              <w:t>Outstanding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Remaining Contractual</w:t>
            </w:r>
          </w:p>
        </w:tc>
        <w:tc>
          <w:tcPr>
            <w:tcW w:w="17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Options Exercisable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Exercise Price</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26"/>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$0.00 - $8.24</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 years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20"/>
                <w:szCs w:val="20"/>
                <w:color w:val="auto"/>
              </w:rPr>
            </w:pPr>
            <w:r>
              <w:rPr>
                <w:rFonts w:ascii="Arial" w:cs="Arial" w:eastAsia="Arial" w:hAnsi="Arial"/>
                <w:sz w:val="16"/>
                <w:szCs w:val="16"/>
                <w:color w:val="auto"/>
              </w:rPr>
              <w:t>$8.24 - $16.52</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292,189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7.0 years</w:t>
            </w:r>
          </w:p>
        </w:tc>
        <w:tc>
          <w:tcPr>
            <w:tcW w:w="1760" w:type="dxa"/>
            <w:vAlign w:val="bottom"/>
          </w:tcPr>
          <w:p>
            <w:pPr>
              <w:jc w:val="right"/>
              <w:spacing w:after="0"/>
              <w:rPr>
                <w:sz w:val="20"/>
                <w:szCs w:val="20"/>
                <w:color w:val="auto"/>
              </w:rPr>
            </w:pPr>
            <w:r>
              <w:rPr>
                <w:rFonts w:ascii="Arial" w:cs="Arial" w:eastAsia="Arial" w:hAnsi="Arial"/>
                <w:sz w:val="16"/>
                <w:szCs w:val="16"/>
                <w:color w:val="auto"/>
              </w:rPr>
              <w:t>99,739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$16.52 - $24.76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521,461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9.0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20"/>
                <w:szCs w:val="20"/>
                <w:color w:val="auto"/>
              </w:rPr>
            </w:pPr>
            <w:r>
              <w:rPr>
                <w:rFonts w:ascii="Arial" w:cs="Arial" w:eastAsia="Arial" w:hAnsi="Arial"/>
                <w:sz w:val="16"/>
                <w:szCs w:val="16"/>
                <w:color w:val="auto"/>
              </w:rPr>
              <w:t>$24.76 - $33.00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336,715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9.6 years</w:t>
            </w:r>
          </w:p>
        </w:tc>
        <w:tc>
          <w:tcPr>
            <w:tcW w:w="176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30.20</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$41.28 - $49.52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6"/>
                <w:szCs w:val="16"/>
                <w:color w:val="auto"/>
              </w:rPr>
              <w:t>$49.52 - $57.76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2,375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56.24</w:t>
            </w:r>
          </w:p>
        </w:tc>
        <w:tc>
          <w:tcPr>
            <w:tcW w:w="1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1.3 years</w:t>
            </w:r>
          </w:p>
        </w:tc>
        <w:tc>
          <w:tcPr>
            <w:tcW w:w="1760" w:type="dxa"/>
            <w:vAlign w:val="bottom"/>
          </w:tcPr>
          <w:p>
            <w:pPr>
              <w:jc w:val="right"/>
              <w:spacing w:after="0"/>
              <w:rPr>
                <w:sz w:val="20"/>
                <w:szCs w:val="20"/>
                <w:color w:val="auto"/>
              </w:rPr>
            </w:pPr>
            <w:r>
              <w:rPr>
                <w:rFonts w:ascii="Arial" w:cs="Arial" w:eastAsia="Arial" w:hAnsi="Arial"/>
                <w:sz w:val="16"/>
                <w:szCs w:val="16"/>
                <w:color w:val="auto"/>
              </w:rPr>
              <w:t>2,375</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56.24</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$66.00 - $74.28</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 years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w:t>
            </w:r>
          </w:p>
        </w:tc>
        <w:tc>
          <w:tcPr>
            <w:tcW w:w="0" w:type="dxa"/>
            <w:vAlign w:val="bottom"/>
          </w:tcPr>
          <w:p>
            <w:pPr>
              <w:spacing w:after="0"/>
              <w:rPr>
                <w:sz w:val="1"/>
                <w:szCs w:val="1"/>
                <w:color w:val="auto"/>
              </w:rPr>
            </w:pPr>
          </w:p>
        </w:tc>
      </w:tr>
      <w:tr>
        <w:trPr>
          <w:trHeight w:val="210"/>
        </w:trPr>
        <w:tc>
          <w:tcPr>
            <w:tcW w:w="1840" w:type="dxa"/>
            <w:vAlign w:val="bottom"/>
            <w:gridSpan w:val="2"/>
          </w:tcPr>
          <w:p>
            <w:pPr>
              <w:ind w:left="200"/>
              <w:spacing w:after="0"/>
              <w:rPr>
                <w:sz w:val="20"/>
                <w:szCs w:val="20"/>
                <w:color w:val="auto"/>
              </w:rPr>
            </w:pPr>
            <w:r>
              <w:rPr>
                <w:rFonts w:ascii="Arial" w:cs="Arial" w:eastAsia="Arial" w:hAnsi="Arial"/>
                <w:sz w:val="16"/>
                <w:szCs w:val="16"/>
                <w:color w:val="auto"/>
              </w:rPr>
              <w:t>All options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1,170,141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of December 31, 2021, there was $13.9 million of unrecognized compensation expense related to unvested option grants that is expected to be recognized over a weighted-average period of 2.3 years.</w:t>
      </w:r>
    </w:p>
    <w:p>
      <w:pPr>
        <w:spacing w:after="0" w:line="126" w:lineRule="exact"/>
        <w:rPr>
          <w:sz w:val="20"/>
          <w:szCs w:val="20"/>
          <w:color w:val="auto"/>
        </w:rPr>
      </w:pPr>
    </w:p>
    <w:p>
      <w:pPr>
        <w:ind w:right="220" w:firstLine="324"/>
        <w:spacing w:after="0" w:line="314"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 Restricted stock grants subject solely to an employee’s continued service with the Company generally will become fully vested</w:t>
      </w:r>
      <w:r>
        <w:rPr>
          <w:rFonts w:ascii="Arial" w:cs="Arial" w:eastAsia="Arial" w:hAnsi="Arial"/>
          <w:sz w:val="16"/>
          <w:szCs w:val="16"/>
          <w:b w:val="1"/>
          <w:bCs w:val="1"/>
          <w:color w:val="auto"/>
        </w:rPr>
        <w:t xml:space="preserve"> </w:t>
      </w:r>
      <w:r>
        <w:rPr>
          <w:rFonts w:ascii="Arial" w:cs="Arial" w:eastAsia="Arial" w:hAnsi="Arial"/>
          <w:sz w:val="16"/>
          <w:szCs w:val="16"/>
          <w:color w:val="auto"/>
        </w:rPr>
        <w:t>within one to four years from the grant date and, in certain instances, may fully vest upon a change in control of the Company. Restricted stock grants subject solely to a Director’s continued service with the Company generally will become fully vested within one year from the date of grant.</w:t>
      </w:r>
    </w:p>
    <w:p>
      <w:pPr>
        <w:spacing w:after="0" w:line="105" w:lineRule="exact"/>
        <w:rPr>
          <w:sz w:val="20"/>
          <w:szCs w:val="20"/>
          <w:color w:val="auto"/>
        </w:rPr>
      </w:pPr>
    </w:p>
    <w:p>
      <w:pPr>
        <w:ind w:right="740" w:firstLine="324"/>
        <w:spacing w:after="0" w:line="311" w:lineRule="auto"/>
        <w:rPr>
          <w:sz w:val="20"/>
          <w:szCs w:val="20"/>
          <w:color w:val="auto"/>
        </w:rPr>
      </w:pPr>
      <w:r>
        <w:rPr>
          <w:rFonts w:ascii="Arial" w:cs="Arial" w:eastAsia="Arial" w:hAnsi="Arial"/>
          <w:sz w:val="16"/>
          <w:szCs w:val="16"/>
          <w:color w:val="auto"/>
        </w:rPr>
        <w:t>Compensation expense from restricted stock is recognized on a straight-line basis over the requisite service period. During the years ended December 31, 2021 and 2020, the Company recognized compensation expense related to restricted stock awards of $4.9 million and $2.3 million, respectively. The Company did not recognize any compensation expense related to restricted stock awards prior to the Merger.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award activity for the year ended December 31, 2021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21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16"/>
                <w:szCs w:val="16"/>
                <w:color w:val="auto"/>
              </w:rPr>
            </w:pPr>
          </w:p>
        </w:tc>
        <w:tc>
          <w:tcPr>
            <w:tcW w:w="21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 Grant Date</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549,650</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spacing w:after="0"/>
              <w:rPr>
                <w:sz w:val="20"/>
                <w:szCs w:val="20"/>
                <w:color w:val="auto"/>
              </w:rPr>
            </w:pPr>
            <w:r>
              <w:rPr>
                <w:rFonts w:ascii="Arial" w:cs="Arial" w:eastAsia="Arial" w:hAnsi="Arial"/>
                <w:sz w:val="16"/>
                <w:szCs w:val="16"/>
                <w:color w:val="auto"/>
              </w:rPr>
              <w:t>875,554</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issued</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(91,858)</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 and expired</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(67,120)</w:t>
            </w:r>
          </w:p>
        </w:tc>
        <w:tc>
          <w:tcPr>
            <w:tcW w:w="520" w:type="dxa"/>
            <w:vAlign w:val="bottom"/>
            <w:tcBorders>
              <w:bottom w:val="single" w:sz="8" w:color="CCEEFF"/>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1,266,226</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During the year ended December 31, 2021, shares were surrendered to satisfy tax withholding obligations on the vesting of restricted stock awards with a cost basis of $0.0 million. During the year ended December 31, 2020, shares were surrendered to satisfy tax withholding obligations on the vesting of restricted stock awards with a cost basis of $0.3 million.</w:t>
      </w:r>
    </w:p>
    <w:p>
      <w:pPr>
        <w:spacing w:after="0" w:line="15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As of December 31, 2021, there was $31.2 million in unrecognized compensation expense related to unvested restricted stock awards that is expected to be recognized over a weighted average period of 2.1 years. The total fair value of restricted stock awards vested during the years ended December 31, 2021, 2020 and 2019 was $1.2 million, $1.5 million and $1.9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HC I Incentive Units </w:t>
      </w:r>
      <w:r>
        <w:rPr>
          <w:rFonts w:ascii="Arial" w:cs="Arial" w:eastAsia="Arial" w:hAnsi="Arial"/>
          <w:sz w:val="18"/>
          <w:szCs w:val="18"/>
          <w:color w:val="auto"/>
        </w:rPr>
        <w:t>— Beginning in October 2015, HC I implemented an equity incentive plan for certain officers and employees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units are equity-based awards subject to time and performance vesting restrictions. The compensation expense related to this plan has been reflected in the Company’s financial statements.</w:t>
      </w:r>
    </w:p>
    <w:p>
      <w:pPr>
        <w:spacing w:after="0" w:line="13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compensation expense is recognized on a straight-line basis over the vesting period of the award or the employee’s retirement eligible date, if earlier. During the years ended December 31, 2021, 2020 and 2019, the Company recognized compensation expense related to the HC I incentive units of $0.1 million, $0.2 million and $1.9 million, respectively.There are no awards outstanding as of December 31, 2021 and no awards were issued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20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On January 3, 2020, the Company’s board of directors and HC I, the stockholder of a majority of the Company’s common stock, approved a reverse stock split of the Company’s issued and outstanding common stock on a one share for four share basis and appropriately amended the Company’s Third Amended and Restated Certificate of Incorporation to reflect the change. On February 3, 2020, the reverse stock split became effective. In connection with the reverse stock split, the Company changed its ticker symbol from “BIOS” to “OPCH” and transferred the Company’s common stock from the Nasdaq Capital Market to the Nasdaq Global Select Market. The par value of the Company’s common stock remained unchanged as a result of the reverse stock split, resulting in a decrease to the aggregate par value of common stock and corresponding increase to paid-in capital in the Company’s consolidated financial statements, which was retrospectively applied to all periods presented in the financial statements. All common shares, warrants and stock awards presented in the consolidated financial statements have been retrospectively adjusted for the reverse stock split.</w:t>
      </w:r>
    </w:p>
    <w:p>
      <w:pPr>
        <w:spacing w:after="0" w:line="1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During the year ended December 31, 2020, the Company completed a public offering of 20,700,000 shares of the Company’s common stock at a price of $12.50 per share, consisting of 10,000,000 shares of common stock issued and sold by the Company and 10,700,000 shares of common stock sold by HC I. The Company received net proceeds from the offering of $118.9 million, after deducting underwriting discounts and commissions and estimated offering expenses payable by the Company. During the year ended December 31, 2021, HC I completed secondary offerings of 76,400,000 shares of common stock. For the year ended December 31, 2021, HCI holds approximately 20.7% of the common stock of the Company.</w:t>
      </w:r>
    </w:p>
    <w:p>
      <w:pPr>
        <w:spacing w:after="0" w:line="11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b w:val="1"/>
          <w:bCs w:val="1"/>
          <w:color w:val="auto"/>
        </w:rPr>
        <w:t xml:space="preserve">2017 Warrants </w:t>
      </w:r>
      <w:r>
        <w:rPr>
          <w:rFonts w:ascii="Arial" w:cs="Arial" w:eastAsia="Arial" w:hAnsi="Arial"/>
          <w:sz w:val="16"/>
          <w:szCs w:val="16"/>
          <w:color w:val="auto"/>
        </w:rPr>
        <w:t>— Prior to the Merger, BioScrip issued warrants to certain debt holders pursuant to a Warrant Purchase Agreement dated as of June</w:t>
      </w:r>
      <w:r>
        <w:rPr>
          <w:rFonts w:ascii="Arial" w:cs="Arial" w:eastAsia="Arial" w:hAnsi="Arial"/>
          <w:sz w:val="16"/>
          <w:szCs w:val="16"/>
          <w:b w:val="1"/>
          <w:bCs w:val="1"/>
          <w:color w:val="auto"/>
        </w:rPr>
        <w:t xml:space="preserve"> </w:t>
      </w:r>
      <w:r>
        <w:rPr>
          <w:rFonts w:ascii="Arial" w:cs="Arial" w:eastAsia="Arial" w:hAnsi="Arial"/>
          <w:sz w:val="16"/>
          <w:szCs w:val="16"/>
          <w:color w:val="auto"/>
        </w:rPr>
        <w:t>29, 2017. In conjunction with the Merger, the 2017 Warrants were amended to entitle the purchasers of the warrants to purchase 2.1 million shares of common stock. The 2017 Warrants have a 10-year term and an exercise price of $8.00 per share and may be exercised by payment of the exercise price in cash or surrender of shares of common stock into which the 2017 Warrants are being converted in an aggregate amount sufficient to pay the exercise price. The 2017 Warrants are classified as equity instruments, and the fair value of these warrants of $14.1 million was recorded in paid-in capital as of the Merger Date. During the years ended December 31, 2021 and 2020, warrant holders exercised warrants to purchase zero and 42,336 shares of common stock, respectively. No proceeds were received from these exercises as the warrant holders elected to surrender shares to pay the exercise price. At December 31, 2021 and 2020, the remaining warrant holders are entitled to purchase 1.4 million shares of common stock, respectively.</w:t>
      </w:r>
    </w:p>
    <w:p>
      <w:pPr>
        <w:spacing w:after="0" w:line="132" w:lineRule="exact"/>
        <w:rPr>
          <w:sz w:val="20"/>
          <w:szCs w:val="20"/>
          <w:color w:val="auto"/>
        </w:rPr>
      </w:pPr>
    </w:p>
    <w:p>
      <w:pPr>
        <w:jc w:val="both"/>
        <w:ind w:right="200" w:firstLine="324"/>
        <w:spacing w:after="0" w:line="281" w:lineRule="auto"/>
        <w:rPr>
          <w:sz w:val="20"/>
          <w:szCs w:val="20"/>
          <w:color w:val="auto"/>
        </w:rPr>
      </w:pPr>
      <w:r>
        <w:rPr>
          <w:rFonts w:ascii="Arial" w:cs="Arial" w:eastAsia="Arial" w:hAnsi="Arial"/>
          <w:sz w:val="17"/>
          <w:szCs w:val="17"/>
          <w:b w:val="1"/>
          <w:bCs w:val="1"/>
          <w:color w:val="auto"/>
        </w:rPr>
        <w:t xml:space="preserve">2015 Warrants </w:t>
      </w:r>
      <w:r>
        <w:rPr>
          <w:rFonts w:ascii="Arial" w:cs="Arial" w:eastAsia="Arial" w:hAnsi="Arial"/>
          <w:sz w:val="17"/>
          <w:szCs w:val="17"/>
          <w:color w:val="auto"/>
        </w:rPr>
        <w:t>— Prior to the Merger, BioScrip issued warrants pursuant to a Common Stock Warrant Agreement dated as of March 9, 2015 which</w:t>
      </w:r>
      <w:r>
        <w:rPr>
          <w:rFonts w:ascii="Arial" w:cs="Arial" w:eastAsia="Arial" w:hAnsi="Arial"/>
          <w:sz w:val="17"/>
          <w:szCs w:val="17"/>
          <w:b w:val="1"/>
          <w:bCs w:val="1"/>
          <w:color w:val="auto"/>
        </w:rPr>
        <w:t xml:space="preserve"> </w:t>
      </w:r>
      <w:r>
        <w:rPr>
          <w:rFonts w:ascii="Arial" w:cs="Arial" w:eastAsia="Arial" w:hAnsi="Arial"/>
          <w:sz w:val="17"/>
          <w:szCs w:val="17"/>
          <w:color w:val="auto"/>
        </w:rPr>
        <w:t>entitle the holders to purchase 0.9 million shares of common stock. The 2015 Warrants have a 10-year term and have exercise prices in a range of $20.68 per share to $25.80 per share. The 2015 Warrants were assumed by the Company in conjunction with the Merger and are classified as equity instruments, and the fair value of these warrants of $4.6 million was recorded in paid in capital as of the Merger Date.</w:t>
      </w:r>
    </w:p>
    <w:p>
      <w:pPr>
        <w:spacing w:after="0" w:line="1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color w:val="auto"/>
        </w:rPr>
        <w:t xml:space="preserve">Home Solutions Restricted Stock </w:t>
      </w:r>
      <w:r>
        <w:rPr>
          <w:rFonts w:ascii="Arial" w:cs="Arial" w:eastAsia="Arial" w:hAnsi="Arial"/>
          <w:sz w:val="16"/>
          <w:szCs w:val="16"/>
          <w:color w:val="auto"/>
        </w:rPr>
        <w:t>— In conjunction with BioScrip’s 2016 acquisition of Home Solutions, Inc., 1.8 million restricted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common stock were issued, of which 0.8 million of these units vest upon the closing price of the Company’s common stock averaging at or above $16.00 per share over 20 consecutive trading days prior to December 31, 2019 and 1.0 million of these units vest upon the closing price of the Company’s common stock averaging at or above $20.00 per share over 20 consecutive trading days prior to December 31, 2019. The restricted stock expired on December 31, 2019. As discussed in Note 1, </w:t>
      </w:r>
      <w:r>
        <w:rPr>
          <w:rFonts w:ascii="Arial" w:cs="Arial" w:eastAsia="Arial" w:hAnsi="Arial"/>
          <w:sz w:val="16"/>
          <w:szCs w:val="16"/>
          <w:i w:val="1"/>
          <w:iCs w:val="1"/>
          <w:color w:val="auto"/>
        </w:rPr>
        <w:t>Nature of Operations and Presentation of Financial Statements</w:t>
      </w:r>
      <w:r>
        <w:rPr>
          <w:rFonts w:ascii="Arial" w:cs="Arial" w:eastAsia="Arial" w:hAnsi="Arial"/>
          <w:sz w:val="16"/>
          <w:szCs w:val="16"/>
          <w:color w:val="auto"/>
        </w:rPr>
        <w:t>, 7,048,357 common shares issued to HC I in conjunction with the Merger were set aside to prevent dilution related to the vesting of the Home Solutions restricted stock. During the year ended December 31, 2020, this matter was resolved with no common shares being issued to Home Solutions, Inc., and the 7,048,357 shares, at $0.0001 par value, set aside were cancelled as unvested and removed from the Company’s common shares issued and outstanding.</w:t>
      </w:r>
    </w:p>
    <w:p>
      <w:pPr>
        <w:spacing w:after="0" w:line="119"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 During the year ended December 31, 2019, 290,117 shares were surrendered to satisfy tax withholding obligations on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options and the vesting of restricted stock awards with a cost basis of $2.5 million, of which $2.4 million remains held in treasury as of December 31, 2021 and 2020. At December 31, 2021 and 2020, the Company held 383,722 shares of treasury stock.</w:t>
      </w:r>
    </w:p>
    <w:p>
      <w:pPr>
        <w:spacing w:after="0" w:line="149" w:lineRule="exact"/>
        <w:rPr>
          <w:sz w:val="20"/>
          <w:szCs w:val="20"/>
          <w:color w:val="auto"/>
        </w:rPr>
      </w:pPr>
    </w:p>
    <w:p>
      <w:pPr>
        <w:ind w:right="600" w:firstLine="324"/>
        <w:spacing w:after="0" w:line="282"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In conjunction with the Merger, all legacy BioScrip preferred stock was settled, and no preferred stock is outstanding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2021 or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185" w:lineRule="exact"/>
        <w:rPr>
          <w:sz w:val="20"/>
          <w:szCs w:val="20"/>
          <w:color w:val="auto"/>
        </w:rPr>
      </w:pPr>
    </w:p>
    <w:p>
      <w:pPr>
        <w:ind w:right="600" w:firstLine="324"/>
        <w:spacing w:after="0" w:line="282" w:lineRule="auto"/>
        <w:rPr>
          <w:sz w:val="20"/>
          <w:szCs w:val="20"/>
          <w:color w:val="auto"/>
        </w:rPr>
      </w:pPr>
      <w:r>
        <w:rPr>
          <w:rFonts w:ascii="Arial" w:cs="Arial" w:eastAsia="Arial" w:hAnsi="Arial"/>
          <w:sz w:val="18"/>
          <w:szCs w:val="18"/>
          <w:b w:val="1"/>
          <w:bCs w:val="1"/>
          <w:color w:val="auto"/>
        </w:rPr>
        <w:t xml:space="preserve">Management Services </w:t>
      </w:r>
      <w:r>
        <w:rPr>
          <w:rFonts w:ascii="Arial" w:cs="Arial" w:eastAsia="Arial" w:hAnsi="Arial"/>
          <w:sz w:val="18"/>
          <w:szCs w:val="18"/>
          <w:color w:val="auto"/>
        </w:rPr>
        <w:t>— In conjunction with the Option Care acquisition from Walgreen Co. in 2015, the Company entered into two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Services Agreements with Madison Dearborn Partners VI-B, L.P. and Walgreen Co.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Each Management Services Agreement required the Company to pay $0.3 million to each party quarterly beginning July 1, 2015 for on-going management, consulting and financial services provided to the Company. Following the close of the Merger, both Management Services Agreements were terminated. The Company did not incur any management services expense during the years ended December 31, 2021 or December 31, 2020. In 2019, prior to the Merger, the Company incurred $1.5 million of management services expense, which has been reflected as a component of selling, general and administrative expense in the consolidated statements of comprehensive income (loss) for the year ended December 31, 2019.</w:t>
      </w:r>
    </w:p>
    <w:p>
      <w:pPr>
        <w:spacing w:after="0" w:line="11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color w:val="auto"/>
        </w:rPr>
        <w:t xml:space="preserve">Management Equity Ownership Plan </w:t>
      </w:r>
      <w:r>
        <w:rPr>
          <w:rFonts w:ascii="Arial" w:cs="Arial" w:eastAsia="Arial" w:hAnsi="Arial"/>
          <w:sz w:val="18"/>
          <w:szCs w:val="18"/>
          <w:color w:val="auto"/>
        </w:rPr>
        <w:t>— In October 2015, HC I implemented an equity ownership and incentive plan for certain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Option Care. The officers were able to purchase membership units in HC I and could fund a portion of the purchase with a loan from Option Care. These loans were treated as a shareholder contribution in Option Care. For the years ended December 31, 2021, 2020 and 2019, there was no activity credited to paid-in capital related to HC I membership units purchased with a loan from Option Care. There were no shareholder redemptions during the year ended December 31, 2021 and 2020. During the year ended December 31, 2019, shareholder redemptions totaled $2.4 million, comprised of a cash distribution to HC I of $2.0 million and notes redeemed of $0.4 million.</w:t>
      </w:r>
    </w:p>
    <w:p>
      <w:pPr>
        <w:spacing w:after="0" w:line="16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the year ended December 31, 2019, prior to the Merger, Option Care sold its notes receivable from management, along with all accrued interest expense, to a third-party bank. Option Care received cash proceeds of $1.3 million, which represented payment of $1.1 million in outstanding notes receivable from management and payment of $0.2 million in accrued interest expense. There were no notes receivable from management outstanding as of December 31, 2021, 2020 or 2019.</w:t>
      </w:r>
    </w:p>
    <w:p>
      <w:pPr>
        <w:spacing w:after="0" w:line="142" w:lineRule="exact"/>
        <w:rPr>
          <w:sz w:val="20"/>
          <w:szCs w:val="20"/>
          <w:color w:val="auto"/>
        </w:rPr>
      </w:pPr>
    </w:p>
    <w:p>
      <w:pPr>
        <w:ind w:right="100" w:firstLine="324"/>
        <w:spacing w:after="0" w:line="281" w:lineRule="auto"/>
        <w:rPr>
          <w:sz w:val="20"/>
          <w:szCs w:val="20"/>
          <w:color w:val="auto"/>
        </w:rPr>
      </w:pPr>
      <w:r>
        <w:rPr>
          <w:rFonts w:ascii="Arial" w:cs="Arial" w:eastAsia="Arial" w:hAnsi="Arial"/>
          <w:sz w:val="17"/>
          <w:szCs w:val="17"/>
          <w:b w:val="1"/>
          <w:bCs w:val="1"/>
          <w:color w:val="auto"/>
        </w:rPr>
        <w:t xml:space="preserve">Transactions with Equity-Method Investees </w:t>
      </w:r>
      <w:r>
        <w:rPr>
          <w:rFonts w:ascii="Arial" w:cs="Arial" w:eastAsia="Arial" w:hAnsi="Arial"/>
          <w:sz w:val="17"/>
          <w:szCs w:val="17"/>
          <w:color w:val="auto"/>
        </w:rPr>
        <w:t>— The Company provides management services to its joint ventures such as accounting, invoicing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in addition to day-to-day managerial support of the operations of the businesses. The Company recorded management fee income of $3.5 million, $2.9 million and $2.5 million for the years ended December 31, 2021, 2020 and 2019, respectively. Management fees are recorded in net revenues in the accompanying consolidated statements of comprehensive income (loss).</w:t>
      </w:r>
    </w:p>
    <w:p>
      <w:pPr>
        <w:spacing w:after="0" w:line="12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had amounts due to its joint ventures of $1.4 million as of December 31, 2021. The Company had amounts due from its joint ventures of $2.4 million as of December 31, 2020 and due to its joint ventures of $4.3 million as of December 31, 2019. These receivables were included in prepaid expenses and other current assets in the accompanying balance sheets and these payables were included in accrued expenses and other current liabilities in the accompanying balance sheets. These balances primarily relate to cash collections received by the Company on behalf of the joint ventures, offset by certain pharmaceutical inventories purchased by the Company on behalf of the joint ventures.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whether any subsequent events occurred since December 31, 2021 and noted the following subsequent event:</w:t>
      </w:r>
    </w:p>
    <w:p>
      <w:pPr>
        <w:spacing w:after="0" w:line="196" w:lineRule="exact"/>
        <w:rPr>
          <w:sz w:val="20"/>
          <w:szCs w:val="20"/>
          <w:color w:val="auto"/>
        </w:rPr>
      </w:pPr>
    </w:p>
    <w:p>
      <w:pPr>
        <w:ind w:right="320" w:firstLine="324"/>
        <w:spacing w:after="0" w:line="291" w:lineRule="auto"/>
        <w:rPr>
          <w:sz w:val="20"/>
          <w:szCs w:val="20"/>
          <w:color w:val="auto"/>
        </w:rPr>
      </w:pPr>
      <w:r>
        <w:rPr>
          <w:rFonts w:ascii="Arial" w:cs="Arial" w:eastAsia="Arial" w:hAnsi="Arial"/>
          <w:sz w:val="17"/>
          <w:szCs w:val="17"/>
          <w:color w:val="auto"/>
        </w:rPr>
        <w:t>In February 2022, the Company entered into a definitive agreement to acquire Specialty Pharmacy Nursing Network, Inc. The Company expects to complete the acquisition in 2022. An estimate of the financial effect cannot be made as the acquisition has not yet been completed.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effective as of December 31, 2021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(“CEO”) and Chief Financial Officer (“CFO”), as appropriate to allow timely decisions regarding required disclosure.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8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the Company, as defined in Rules 13a-15(f) and 15d-15(f) under the Exchange Act. Our internal control system is designed to provide reasonable assurance regarding the reliability of financial reporting and the preparation of the Company’s financial statements for external purposes in accordance with U.S. GAAP.</w:t>
      </w:r>
    </w:p>
    <w:p>
      <w:pPr>
        <w:spacing w:after="0" w:line="1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 xml:space="preserve">Our management, with the participation of the CEO and CFO, assessed the effectiveness of the Company’s internal control over financial reporting. Based on the criteria for effective internal control over financial reporting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management concluded that the internal control over financial reporting was effective as of December 31, 2021. The Company’s independent registered public accounting firm, KPMG LLP, has issued an audit report on the Company’s internal control over financial reporting, which appears elsewhere in this Annual Report.</w:t>
      </w:r>
    </w:p>
    <w:p>
      <w:pPr>
        <w:spacing w:after="0" w:line="14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8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There has been no change during the quarter ended December 31, 2021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 the Stockholders and Board of Directors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Option Care Health, Inc.:</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63" w:lineRule="exact"/>
        <w:rPr>
          <w:sz w:val="20"/>
          <w:szCs w:val="20"/>
          <w:color w:val="auto"/>
        </w:rPr>
      </w:pPr>
    </w:p>
    <w:p>
      <w:pPr>
        <w:ind w:left="80" w:right="100"/>
        <w:spacing w:after="0" w:line="257" w:lineRule="auto"/>
        <w:rPr>
          <w:sz w:val="20"/>
          <w:szCs w:val="20"/>
          <w:color w:val="auto"/>
        </w:rPr>
      </w:pPr>
      <w:r>
        <w:rPr>
          <w:rFonts w:ascii="Arial" w:cs="Arial" w:eastAsia="Arial" w:hAnsi="Arial"/>
          <w:sz w:val="18"/>
          <w:szCs w:val="18"/>
          <w:color w:val="auto"/>
        </w:rPr>
        <w:t>We have audited Option Care Health, Inc. and subsidiaries' (the Company) internal control over financial reporting as of December 31, 2021,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80" w:lineRule="exact"/>
        <w:rPr>
          <w:sz w:val="20"/>
          <w:szCs w:val="20"/>
          <w:color w:val="auto"/>
        </w:rPr>
      </w:pPr>
    </w:p>
    <w:p>
      <w:pPr>
        <w:ind w:left="80" w:right="4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comprehensive income (loss), stockholders’ equity, and cash flows for each of the years in the three-year period ended December 31, 2021, and the related notes (collectively, the consolidated financial statements), and our report dated February 23, 2022 expressed an unqualified opinion on those consolidated financial statements.</w:t>
      </w:r>
    </w:p>
    <w:p>
      <w:pPr>
        <w:spacing w:after="0" w:line="8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Basis for Opinion</w:t>
      </w:r>
    </w:p>
    <w:p>
      <w:pPr>
        <w:spacing w:after="0" w:line="63" w:lineRule="exact"/>
        <w:rPr>
          <w:sz w:val="20"/>
          <w:szCs w:val="20"/>
          <w:color w:val="auto"/>
        </w:rPr>
      </w:pPr>
    </w:p>
    <w:p>
      <w:pPr>
        <w:ind w:left="80"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left="8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63" w:lineRule="exact"/>
        <w:rPr>
          <w:sz w:val="20"/>
          <w:szCs w:val="20"/>
          <w:color w:val="auto"/>
        </w:rPr>
      </w:pPr>
    </w:p>
    <w:p>
      <w:pPr>
        <w:ind w:left="8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left="80" w:right="10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Chicago, Illinois February 23,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adopted a Code of Ethics that applies to all of our directors, officers and employees, including our principal executive, principal financial and principal accounting officers, or persons performing similar functions. Our Code of Ethics is posted on our website located at http://investors.optioncarehealth.com/corporate-governance/highlights. We intend to disclose future amendments to certain provisions of the Code of Ethics, and waivers of the Code of Ethics granted to executive officers and directors, on our website.</w:t>
      </w:r>
    </w:p>
    <w:p>
      <w:pPr>
        <w:spacing w:after="0" w:line="160"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other information required by this item is incorporated by reference from the information contained in our definitive proxy statement to be filed with the SEC no later than 120 days after December 31, 2021 in connection with our 2022 Annual Meeting of Stockholders.</w:t>
      </w:r>
    </w:p>
    <w:p>
      <w:pPr>
        <w:spacing w:after="0" w:line="1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2021 in connection with our 2022 Annual Meeting of Stockholders.</w:t>
      </w:r>
    </w:p>
    <w:p>
      <w:pPr>
        <w:spacing w:after="0" w:line="1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2021 in connection with our 2022 Annual Meeting of Stockholders.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2021 in connection with our 2022 Annual Meeting of Stockholders.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2021 in connection with our 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13"/>
          </w:tcPr>
          <w:p>
            <w:pPr>
              <w:jc w:val="center"/>
              <w:ind w:right="4520"/>
              <w:spacing w:after="0"/>
              <w:rPr>
                <w:sz w:val="20"/>
                <w:szCs w:val="20"/>
                <w:color w:val="auto"/>
              </w:rPr>
            </w:pPr>
            <w:r>
              <w:rPr>
                <w:rFonts w:ascii="Arial" w:cs="Arial" w:eastAsia="Arial" w:hAnsi="Arial"/>
                <w:sz w:val="18"/>
                <w:szCs w:val="18"/>
                <w:b w:val="1"/>
                <w:bCs w:val="1"/>
                <w:color w:val="auto"/>
              </w:rPr>
              <w:t>PART IV</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9840" w:type="dxa"/>
            <w:vAlign w:val="bottom"/>
            <w:gridSpan w:val="23"/>
          </w:tcPr>
          <w:p>
            <w:pPr>
              <w:ind w:left="180"/>
              <w:spacing w:after="0"/>
              <w:rPr>
                <w:sz w:val="20"/>
                <w:szCs w:val="20"/>
                <w:color w:val="auto"/>
              </w:rPr>
            </w:pPr>
            <w:r>
              <w:rPr>
                <w:rFonts w:ascii="Arial" w:cs="Arial" w:eastAsia="Arial" w:hAnsi="Arial"/>
                <w:sz w:val="18"/>
                <w:szCs w:val="18"/>
                <w:b w:val="1"/>
                <w:bCs w:val="1"/>
                <w:i w:val="1"/>
                <w:iCs w:val="1"/>
                <w:color w:val="auto"/>
              </w:rPr>
              <w:t>Exhibits, Financial Statement Schedules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600" w:type="dxa"/>
            <w:vAlign w:val="bottom"/>
            <w:gridSpan w:val="25"/>
            <w:vMerge w:val="restart"/>
          </w:tcPr>
          <w:p>
            <w:pPr>
              <w:spacing w:after="0"/>
              <w:rPr>
                <w:sz w:val="20"/>
                <w:szCs w:val="20"/>
                <w:color w:val="auto"/>
              </w:rPr>
            </w:pPr>
            <w:r>
              <w:rPr>
                <w:rFonts w:ascii="Arial" w:cs="Arial" w:eastAsia="Arial" w:hAnsi="Arial"/>
                <w:sz w:val="18"/>
                <w:szCs w:val="18"/>
                <w:b w:val="1"/>
                <w:bCs w:val="1"/>
                <w:color w:val="auto"/>
              </w:rPr>
              <w:t>(a)(1) Financial Statements.</w:t>
            </w:r>
          </w:p>
        </w:tc>
        <w:tc>
          <w:tcPr>
            <w:tcW w:w="6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600" w:type="dxa"/>
            <w:vAlign w:val="bottom"/>
            <w:gridSpan w:val="25"/>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600" w:type="dxa"/>
            <w:vAlign w:val="bottom"/>
            <w:gridSpan w:val="25"/>
          </w:tcPr>
          <w:p>
            <w:pPr>
              <w:spacing w:after="0"/>
              <w:rPr>
                <w:sz w:val="20"/>
                <w:szCs w:val="20"/>
                <w:color w:val="auto"/>
              </w:rPr>
            </w:pPr>
            <w:r>
              <w:rPr>
                <w:rFonts w:ascii="Arial" w:cs="Arial" w:eastAsia="Arial" w:hAnsi="Arial"/>
                <w:sz w:val="18"/>
                <w:szCs w:val="18"/>
                <w:color w:val="auto"/>
              </w:rPr>
              <w:t>The following financial statements appear in Part II, Item 8:</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80" w:type="dxa"/>
            <w:vAlign w:val="bottom"/>
            <w:gridSpan w:val="24"/>
          </w:tcPr>
          <w:p>
            <w:pPr>
              <w:spacing w:after="0" w:line="169" w:lineRule="exact"/>
              <w:rPr>
                <w:rFonts w:ascii="Arial" w:cs="Arial" w:eastAsia="Arial" w:hAnsi="Arial"/>
                <w:sz w:val="18"/>
                <w:szCs w:val="18"/>
                <w:color w:val="0000FF"/>
              </w:rPr>
            </w:pPr>
            <w:hyperlink w:anchor="page42">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185)</w:t>
            </w:r>
          </w:p>
        </w:tc>
        <w:tc>
          <w:tcPr>
            <w:tcW w:w="380" w:type="dxa"/>
            <w:vAlign w:val="bottom"/>
            <w:gridSpan w:val="2"/>
          </w:tcPr>
          <w:p>
            <w:pPr>
              <w:jc w:val="center"/>
              <w:ind w:left="117"/>
              <w:spacing w:after="0" w:line="169" w:lineRule="exact"/>
              <w:rPr>
                <w:rFonts w:ascii="Arial" w:cs="Arial" w:eastAsia="Arial" w:hAnsi="Arial"/>
                <w:sz w:val="16"/>
                <w:szCs w:val="16"/>
                <w:color w:val="0000FF"/>
              </w:rPr>
            </w:pPr>
            <w:hyperlink w:anchor="page42">
              <w:r>
                <w:rPr>
                  <w:rFonts w:ascii="Arial" w:cs="Arial" w:eastAsia="Arial" w:hAnsi="Arial"/>
                  <w:sz w:val="16"/>
                  <w:szCs w:val="16"/>
                  <w:color w:val="0000FF"/>
                </w:rPr>
                <w:t>43</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6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Consolidated Balance Sheets as of December 31, 2021 and 2020</w:t>
              </w:r>
            </w:hyperlink>
          </w:p>
        </w:tc>
        <w:tc>
          <w:tcPr>
            <w:tcW w:w="5620" w:type="dxa"/>
            <w:vAlign w:val="bottom"/>
            <w:gridSpan w:val="14"/>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6"/>
                <w:szCs w:val="16"/>
                <w:color w:val="0000FF"/>
              </w:rPr>
            </w:pPr>
            <w:hyperlink w:anchor="page44">
              <w:r>
                <w:rPr>
                  <w:rFonts w:ascii="Arial" w:cs="Arial" w:eastAsia="Arial" w:hAnsi="Arial"/>
                  <w:sz w:val="16"/>
                  <w:szCs w:val="16"/>
                  <w:color w:val="0000FF"/>
                </w:rPr>
                <w:t>45</w:t>
              </w:r>
            </w:hyperlink>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80" w:type="dxa"/>
            <w:vAlign w:val="bottom"/>
            <w:gridSpan w:val="2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Consolidated Statements of Comprehensive Income (Loss) for the years ended December 31, 2021, 2020 and 2019</w:t>
              </w:r>
            </w:hyperlink>
          </w:p>
        </w:tc>
        <w:tc>
          <w:tcPr>
            <w:tcW w:w="380" w:type="dxa"/>
            <w:vAlign w:val="bottom"/>
            <w:gridSpan w:val="2"/>
          </w:tcPr>
          <w:p>
            <w:pPr>
              <w:jc w:val="center"/>
              <w:ind w:left="117"/>
              <w:spacing w:after="0"/>
              <w:rPr>
                <w:rFonts w:ascii="Arial" w:cs="Arial" w:eastAsia="Arial" w:hAnsi="Arial"/>
                <w:sz w:val="16"/>
                <w:szCs w:val="16"/>
                <w:color w:val="0000FF"/>
              </w:rPr>
            </w:pPr>
            <w:hyperlink w:anchor="page45">
              <w:r>
                <w:rPr>
                  <w:rFonts w:ascii="Arial" w:cs="Arial" w:eastAsia="Arial" w:hAnsi="Arial"/>
                  <w:sz w:val="16"/>
                  <w:szCs w:val="16"/>
                  <w:color w:val="0000FF"/>
                </w:rPr>
                <w:t>48</w:t>
              </w:r>
            </w:hyperlink>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80" w:type="dxa"/>
            <w:vAlign w:val="bottom"/>
            <w:tcBorders>
              <w:top w:val="single" w:sz="8" w:color="0000FF"/>
            </w:tcBorders>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Consolidated Statements of Cash Flows for the years ended December 31, 2021, 2020 and 2019</w:t>
              </w:r>
            </w:hyperlink>
          </w:p>
        </w:tc>
        <w:tc>
          <w:tcPr>
            <w:tcW w:w="2000" w:type="dxa"/>
            <w:vAlign w:val="bottom"/>
            <w:gridSpan w:val="6"/>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rFonts w:ascii="Arial" w:cs="Arial" w:eastAsia="Arial" w:hAnsi="Arial"/>
                <w:sz w:val="16"/>
                <w:szCs w:val="16"/>
                <w:color w:val="0000FF"/>
              </w:rPr>
            </w:pPr>
            <w:hyperlink w:anchor="page46">
              <w:r>
                <w:rPr>
                  <w:rFonts w:ascii="Arial" w:cs="Arial" w:eastAsia="Arial" w:hAnsi="Arial"/>
                  <w:sz w:val="16"/>
                  <w:szCs w:val="16"/>
                  <w:color w:val="0000FF"/>
                </w:rPr>
                <w:t>49</w:t>
              </w:r>
            </w:hyperlink>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80" w:type="dxa"/>
            <w:vAlign w:val="bottom"/>
            <w:gridSpan w:val="24"/>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Consolidated Statements of Stockholders’ Equity for the years ended December 31, 2021, 2020 and 2019</w:t>
              </w:r>
            </w:hyperlink>
          </w:p>
        </w:tc>
        <w:tc>
          <w:tcPr>
            <w:tcW w:w="380" w:type="dxa"/>
            <w:vAlign w:val="bottom"/>
            <w:gridSpan w:val="2"/>
          </w:tcPr>
          <w:p>
            <w:pPr>
              <w:jc w:val="center"/>
              <w:ind w:left="117"/>
              <w:spacing w:after="0"/>
              <w:rPr>
                <w:rFonts w:ascii="Arial" w:cs="Arial" w:eastAsia="Arial" w:hAnsi="Arial"/>
                <w:sz w:val="16"/>
                <w:szCs w:val="16"/>
                <w:color w:val="0000FF"/>
              </w:rPr>
            </w:pPr>
            <w:hyperlink w:anchor="page49">
              <w:r>
                <w:rPr>
                  <w:rFonts w:ascii="Arial" w:cs="Arial" w:eastAsia="Arial" w:hAnsi="Arial"/>
                  <w:sz w:val="16"/>
                  <w:szCs w:val="16"/>
                  <w:color w:val="0000FF"/>
                </w:rPr>
                <w:t>51</w:t>
              </w:r>
            </w:hyperlink>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Notes to Consolidated Financial Statements</w:t>
              </w:r>
            </w:hyperlink>
          </w:p>
        </w:tc>
        <w:tc>
          <w:tcPr>
            <w:tcW w:w="4420" w:type="dxa"/>
            <w:vAlign w:val="bottom"/>
            <w:tcBorders>
              <w:top w:val="single" w:sz="8" w:color="0000FF"/>
            </w:tcBorders>
            <w:gridSpan w:val="13"/>
          </w:tcPr>
          <w:p>
            <w:pPr>
              <w:spacing w:after="0"/>
              <w:rPr>
                <w:sz w:val="18"/>
                <w:szCs w:val="18"/>
                <w:color w:val="auto"/>
              </w:rPr>
            </w:pPr>
          </w:p>
        </w:tc>
        <w:tc>
          <w:tcPr>
            <w:tcW w:w="2700" w:type="dxa"/>
            <w:vAlign w:val="bottom"/>
            <w:gridSpan w:val="7"/>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rFonts w:ascii="Arial" w:cs="Arial" w:eastAsia="Arial" w:hAnsi="Arial"/>
                <w:sz w:val="16"/>
                <w:szCs w:val="16"/>
                <w:color w:val="0000FF"/>
              </w:rPr>
            </w:pPr>
            <w:hyperlink w:anchor="page48">
              <w:r>
                <w:rPr>
                  <w:rFonts w:ascii="Arial" w:cs="Arial" w:eastAsia="Arial" w:hAnsi="Arial"/>
                  <w:sz w:val="16"/>
                  <w:szCs w:val="16"/>
                  <w:color w:val="0000FF"/>
                </w:rPr>
                <w:t>53</w:t>
              </w:r>
            </w:hyperlink>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600" w:type="dxa"/>
            <w:vAlign w:val="bottom"/>
            <w:gridSpan w:val="25"/>
          </w:tcPr>
          <w:p>
            <w:pPr>
              <w:spacing w:after="0"/>
              <w:rPr>
                <w:sz w:val="20"/>
                <w:szCs w:val="20"/>
                <w:color w:val="auto"/>
              </w:rPr>
            </w:pPr>
            <w:r>
              <w:rPr>
                <w:rFonts w:ascii="Arial" w:cs="Arial" w:eastAsia="Arial" w:hAnsi="Arial"/>
                <w:sz w:val="18"/>
                <w:szCs w:val="18"/>
                <w:color w:val="auto"/>
              </w:rPr>
              <w:t>All other schedules not listed above have been omitted since they are not applicable or are not required.</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(a)(3) Exhibits.</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gridSpan w:val="15"/>
          </w:tcPr>
          <w:p>
            <w:pPr>
              <w:jc w:val="center"/>
              <w:ind w:right="3980"/>
              <w:spacing w:after="0"/>
              <w:rPr>
                <w:sz w:val="20"/>
                <w:szCs w:val="20"/>
                <w:color w:val="auto"/>
              </w:rPr>
            </w:pPr>
            <w:r>
              <w:rPr>
                <w:rFonts w:ascii="Arial" w:cs="Arial" w:eastAsia="Arial" w:hAnsi="Arial"/>
                <w:sz w:val="18"/>
                <w:szCs w:val="18"/>
                <w:b w:val="1"/>
                <w:bCs w:val="1"/>
                <w:color w:val="auto"/>
                <w:w w:val="91"/>
              </w:rPr>
              <w:t>Index to Exhibits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0" w:type="dxa"/>
            <w:vAlign w:val="bottom"/>
          </w:tcPr>
          <w:p>
            <w:pPr>
              <w:spacing w:after="0"/>
              <w:rPr>
                <w:sz w:val="24"/>
                <w:szCs w:val="24"/>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Exhibit Number</w:t>
            </w:r>
          </w:p>
        </w:tc>
        <w:tc>
          <w:tcPr>
            <w:tcW w:w="1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13"/>
          </w:tcPr>
          <w:p>
            <w:pPr>
              <w:ind w:left="840"/>
              <w:spacing w:after="0"/>
              <w:rPr>
                <w:sz w:val="20"/>
                <w:szCs w:val="20"/>
                <w:color w:val="auto"/>
              </w:rPr>
            </w:pPr>
            <w:r>
              <w:rPr>
                <w:rFonts w:ascii="Arial" w:cs="Arial" w:eastAsia="Arial" w:hAnsi="Arial"/>
                <w:sz w:val="16"/>
                <w:szCs w:val="16"/>
                <w:b w:val="1"/>
                <w:bCs w:val="1"/>
                <w:color w:val="auto"/>
              </w:rPr>
              <w:t>Description</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60" w:type="dxa"/>
            <w:vAlign w:val="bottom"/>
            <w:gridSpan w:val="2"/>
          </w:tcPr>
          <w:p>
            <w:pPr>
              <w:ind w:left="40"/>
              <w:spacing w:after="0" w:line="169" w:lineRule="exact"/>
              <w:rPr>
                <w:sz w:val="20"/>
                <w:szCs w:val="20"/>
                <w:color w:val="auto"/>
              </w:rPr>
            </w:pPr>
            <w:r>
              <w:rPr>
                <w:rFonts w:ascii="Arial" w:cs="Arial" w:eastAsia="Arial" w:hAnsi="Arial"/>
                <w:sz w:val="16"/>
                <w:szCs w:val="16"/>
                <w:color w:val="auto"/>
                <w:w w:val="94"/>
              </w:rPr>
              <w:t>2.1+</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700" w:type="dxa"/>
            <w:vAlign w:val="bottom"/>
            <w:tcBorders>
              <w:bottom w:val="single" w:sz="8" w:color="0000FF"/>
            </w:tcBorders>
            <w:gridSpan w:val="26"/>
          </w:tcPr>
          <w:p>
            <w:pPr>
              <w:spacing w:after="0" w:line="155" w:lineRule="exact"/>
              <w:rPr>
                <w:rFonts w:ascii="Arial" w:cs="Arial" w:eastAsia="Arial" w:hAnsi="Arial"/>
                <w:sz w:val="16"/>
                <w:szCs w:val="16"/>
                <w:color w:val="0000FF"/>
                <w:w w:val="95"/>
              </w:rPr>
            </w:pPr>
            <w:hyperlink r:id="rId91">
              <w:r>
                <w:rPr>
                  <w:rFonts w:ascii="Arial" w:cs="Arial" w:eastAsia="Arial" w:hAnsi="Arial"/>
                  <w:sz w:val="16"/>
                  <w:szCs w:val="16"/>
                  <w:color w:val="0000FF"/>
                  <w:w w:val="95"/>
                </w:rPr>
                <w:t>Agreement and Plan of Merger, dated as of March 14, 2019, by and among BioScrip, Inc., Beta Sub, Inc., Beta Sub, LLC, HC Group Holdings I,</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700" w:type="dxa"/>
            <w:vAlign w:val="bottom"/>
            <w:tcBorders>
              <w:bottom w:val="single" w:sz="8" w:color="0000FF"/>
            </w:tcBorders>
            <w:gridSpan w:val="26"/>
          </w:tcPr>
          <w:p>
            <w:pPr>
              <w:spacing w:after="0" w:line="142" w:lineRule="exact"/>
              <w:rPr>
                <w:rFonts w:ascii="Arial" w:cs="Arial" w:eastAsia="Arial" w:hAnsi="Arial"/>
                <w:sz w:val="16"/>
                <w:szCs w:val="16"/>
                <w:color w:val="0000FF"/>
                <w:w w:val="96"/>
              </w:rPr>
            </w:pPr>
            <w:hyperlink r:id="rId91">
              <w:r>
                <w:rPr>
                  <w:rFonts w:ascii="Arial" w:cs="Arial" w:eastAsia="Arial" w:hAnsi="Arial"/>
                  <w:sz w:val="16"/>
                  <w:szCs w:val="16"/>
                  <w:color w:val="0000FF"/>
                  <w:w w:val="96"/>
                </w:rPr>
                <w:t>LLC, HC Group Holdings II, Inc. and HC Group Holdings III, Inc. (incorporated by reference to Exhibit 2.1 to the Company’s Current Report 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60" w:type="dxa"/>
            <w:vAlign w:val="bottom"/>
            <w:tcBorders>
              <w:bottom w:val="single" w:sz="8" w:color="0000FF"/>
            </w:tcBorders>
            <w:gridSpan w:val="4"/>
          </w:tcPr>
          <w:p>
            <w:pPr>
              <w:spacing w:after="0" w:line="142" w:lineRule="exact"/>
              <w:rPr>
                <w:rFonts w:ascii="Arial" w:cs="Arial" w:eastAsia="Arial" w:hAnsi="Arial"/>
                <w:sz w:val="16"/>
                <w:szCs w:val="16"/>
                <w:color w:val="0000FF"/>
                <w:w w:val="94"/>
              </w:rPr>
            </w:pPr>
            <w:hyperlink r:id="rId91">
              <w:r>
                <w:rPr>
                  <w:rFonts w:ascii="Arial" w:cs="Arial" w:eastAsia="Arial" w:hAnsi="Arial"/>
                  <w:sz w:val="16"/>
                  <w:szCs w:val="16"/>
                  <w:color w:val="0000FF"/>
                  <w:w w:val="94"/>
                </w:rPr>
                <w:t>Form 8-K filed on March 15, 2019).</w:t>
              </w:r>
            </w:hyperlink>
          </w:p>
        </w:tc>
        <w:tc>
          <w:tcPr>
            <w:tcW w:w="6780" w:type="dxa"/>
            <w:vAlign w:val="bottom"/>
            <w:gridSpan w:val="18"/>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0" w:type="dxa"/>
            <w:vAlign w:val="bottom"/>
            <w:gridSpan w:val="2"/>
          </w:tcPr>
          <w:p>
            <w:pPr>
              <w:ind w:left="40"/>
              <w:spacing w:after="0"/>
              <w:rPr>
                <w:sz w:val="20"/>
                <w:szCs w:val="20"/>
                <w:color w:val="auto"/>
              </w:rPr>
            </w:pPr>
            <w:r>
              <w:rPr>
                <w:rFonts w:ascii="Arial" w:cs="Arial" w:eastAsia="Arial" w:hAnsi="Arial"/>
                <w:sz w:val="16"/>
                <w:szCs w:val="16"/>
                <w:color w:val="auto"/>
              </w:rPr>
              <w:t>3.1</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740" w:type="dxa"/>
            <w:vAlign w:val="bottom"/>
            <w:tcBorders>
              <w:bottom w:val="single" w:sz="8" w:color="0000FF"/>
            </w:tcBorders>
            <w:gridSpan w:val="28"/>
          </w:tcPr>
          <w:p>
            <w:pPr>
              <w:spacing w:after="0"/>
              <w:rPr>
                <w:rFonts w:ascii="Arial" w:cs="Arial" w:eastAsia="Arial" w:hAnsi="Arial"/>
                <w:sz w:val="16"/>
                <w:szCs w:val="16"/>
                <w:color w:val="0000FF"/>
                <w:w w:val="97"/>
              </w:rPr>
            </w:pPr>
            <w:hyperlink r:id="rId92">
              <w:r>
                <w:rPr>
                  <w:rFonts w:ascii="Arial" w:cs="Arial" w:eastAsia="Arial" w:hAnsi="Arial"/>
                  <w:sz w:val="16"/>
                  <w:szCs w:val="16"/>
                  <w:color w:val="0000FF"/>
                  <w:w w:val="97"/>
                </w:rPr>
                <w:t>Third Amended and Restated Certificate of Incorporation of BioScrip, Inc. (incorporated by reference to Exhibit 3.1 to the Company’s Current</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140" w:type="dxa"/>
            <w:vAlign w:val="bottom"/>
            <w:gridSpan w:val="22"/>
          </w:tcPr>
          <w:p>
            <w:pPr>
              <w:spacing w:after="0" w:line="169" w:lineRule="exact"/>
              <w:rPr>
                <w:rFonts w:ascii="Arial" w:cs="Arial" w:eastAsia="Arial" w:hAnsi="Arial"/>
                <w:sz w:val="16"/>
                <w:szCs w:val="16"/>
                <w:color w:val="0000FF"/>
              </w:rPr>
            </w:pPr>
            <w:hyperlink r:id="rId92">
              <w:r>
                <w:rPr>
                  <w:rFonts w:ascii="Arial" w:cs="Arial" w:eastAsia="Arial" w:hAnsi="Arial"/>
                  <w:sz w:val="16"/>
                  <w:szCs w:val="16"/>
                  <w:color w:val="0000FF"/>
                </w:rPr>
                <w:t>Report on Form 8-K filed on August 7, 2019).</w:t>
              </w:r>
            </w:hyperlink>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gridSpan w:val="2"/>
            <w:vMerge w:val="restart"/>
          </w:tcPr>
          <w:p>
            <w:pPr>
              <w:ind w:left="40"/>
              <w:spacing w:after="0"/>
              <w:rPr>
                <w:sz w:val="20"/>
                <w:szCs w:val="20"/>
                <w:color w:val="auto"/>
              </w:rPr>
            </w:pPr>
            <w:r>
              <w:rPr>
                <w:rFonts w:ascii="Arial" w:cs="Arial" w:eastAsia="Arial" w:hAnsi="Arial"/>
                <w:sz w:val="16"/>
                <w:szCs w:val="16"/>
                <w:color w:val="auto"/>
              </w:rPr>
              <w:t>3.2</w:t>
            </w: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740" w:type="dxa"/>
            <w:vAlign w:val="bottom"/>
            <w:tcBorders>
              <w:bottom w:val="single" w:sz="8" w:color="0000FF"/>
            </w:tcBorders>
            <w:gridSpan w:val="28"/>
          </w:tcPr>
          <w:p>
            <w:pPr>
              <w:spacing w:after="0"/>
              <w:rPr>
                <w:rFonts w:ascii="Arial" w:cs="Arial" w:eastAsia="Arial" w:hAnsi="Arial"/>
                <w:sz w:val="16"/>
                <w:szCs w:val="16"/>
                <w:color w:val="0000FF"/>
                <w:w w:val="95"/>
              </w:rPr>
            </w:pPr>
            <w:hyperlink r:id="rId93">
              <w:r>
                <w:rPr>
                  <w:rFonts w:ascii="Arial" w:cs="Arial" w:eastAsia="Arial" w:hAnsi="Arial"/>
                  <w:sz w:val="16"/>
                  <w:szCs w:val="16"/>
                  <w:color w:val="0000FF"/>
                  <w:w w:val="95"/>
                </w:rPr>
                <w:t>Certificate of Amendment to Certificate of Incorporation, amending the Third Amended and Restated Certificate of Incorporation of BioScrip, Inc.</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140" w:type="dxa"/>
            <w:vAlign w:val="bottom"/>
            <w:gridSpan w:val="22"/>
          </w:tcPr>
          <w:p>
            <w:pPr>
              <w:spacing w:after="0" w:line="169" w:lineRule="exact"/>
              <w:rPr>
                <w:rFonts w:ascii="Arial" w:cs="Arial" w:eastAsia="Arial" w:hAnsi="Arial"/>
                <w:sz w:val="16"/>
                <w:szCs w:val="16"/>
                <w:color w:val="0000FF"/>
              </w:rPr>
            </w:pPr>
            <w:hyperlink r:id="rId93">
              <w:r>
                <w:rPr>
                  <w:rFonts w:ascii="Arial" w:cs="Arial" w:eastAsia="Arial" w:hAnsi="Arial"/>
                  <w:sz w:val="16"/>
                  <w:szCs w:val="16"/>
                  <w:color w:val="0000FF"/>
                </w:rPr>
                <w:t>(incorporated by reference to Exhibit 3.3 to the Company’s Current Report on Form 8-K filed on August 7, 2019).</w:t>
              </w:r>
            </w:hyperlink>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gridSpan w:val="2"/>
          </w:tcPr>
          <w:p>
            <w:pPr>
              <w:ind w:left="40"/>
              <w:spacing w:after="0"/>
              <w:rPr>
                <w:sz w:val="20"/>
                <w:szCs w:val="20"/>
                <w:color w:val="auto"/>
              </w:rPr>
            </w:pPr>
            <w:r>
              <w:rPr>
                <w:rFonts w:ascii="Arial" w:cs="Arial" w:eastAsia="Arial" w:hAnsi="Arial"/>
                <w:sz w:val="16"/>
                <w:szCs w:val="16"/>
                <w:color w:val="auto"/>
              </w:rPr>
              <w:t>3.3</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740" w:type="dxa"/>
            <w:vAlign w:val="bottom"/>
            <w:gridSpan w:val="28"/>
          </w:tcPr>
          <w:p>
            <w:pPr>
              <w:spacing w:after="0"/>
              <w:rPr>
                <w:rFonts w:ascii="Arial" w:cs="Arial" w:eastAsia="Arial" w:hAnsi="Arial"/>
                <w:sz w:val="16"/>
                <w:szCs w:val="16"/>
                <w:color w:val="0000FF"/>
                <w:w w:val="95"/>
              </w:rPr>
            </w:pPr>
            <w:hyperlink r:id="rId94">
              <w:r>
                <w:rPr>
                  <w:rFonts w:ascii="Arial" w:cs="Arial" w:eastAsia="Arial" w:hAnsi="Arial"/>
                  <w:sz w:val="16"/>
                  <w:szCs w:val="16"/>
                  <w:color w:val="0000FF"/>
                  <w:w w:val="95"/>
                </w:rPr>
                <w:t>Second Amended and Restated Bylaws of Option Care Health, Inc., formerly known as BioScrip, Inc. (incorporated by reference to Exhibit 3.4 to</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5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92"/>
              </w:rPr>
            </w:pPr>
            <w:hyperlink r:id="rId94">
              <w:r>
                <w:rPr>
                  <w:rFonts w:ascii="Arial" w:cs="Arial" w:eastAsia="Arial" w:hAnsi="Arial"/>
                  <w:sz w:val="16"/>
                  <w:szCs w:val="16"/>
                  <w:color w:val="0000FF"/>
                  <w:w w:val="92"/>
                </w:rPr>
                <w:t>the Company’s Current Report on Form 8-K filed on August 7, 2019).</w:t>
              </w:r>
            </w:hyperlink>
          </w:p>
        </w:tc>
        <w:tc>
          <w:tcPr>
            <w:tcW w:w="4580" w:type="dxa"/>
            <w:vAlign w:val="bottom"/>
            <w:tcBorders>
              <w:top w:val="single" w:sz="8" w:color="0000FF"/>
            </w:tcBorders>
            <w:gridSpan w:val="12"/>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0" w:type="dxa"/>
            <w:vAlign w:val="bottom"/>
            <w:gridSpan w:val="2"/>
          </w:tcPr>
          <w:p>
            <w:pPr>
              <w:ind w:left="40"/>
              <w:spacing w:after="0"/>
              <w:rPr>
                <w:sz w:val="20"/>
                <w:szCs w:val="20"/>
                <w:color w:val="auto"/>
              </w:rPr>
            </w:pPr>
            <w:r>
              <w:rPr>
                <w:rFonts w:ascii="Arial" w:cs="Arial" w:eastAsia="Arial" w:hAnsi="Arial"/>
                <w:sz w:val="16"/>
                <w:szCs w:val="16"/>
                <w:color w:val="auto"/>
              </w:rPr>
              <w:t>3.4</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gridSpan w:val="28"/>
          </w:tcPr>
          <w:p>
            <w:pPr>
              <w:spacing w:after="0"/>
              <w:rPr>
                <w:rFonts w:ascii="Arial" w:cs="Arial" w:eastAsia="Arial" w:hAnsi="Arial"/>
                <w:sz w:val="16"/>
                <w:szCs w:val="16"/>
                <w:color w:val="0000FF"/>
                <w:w w:val="97"/>
              </w:rPr>
            </w:pPr>
            <w:hyperlink r:id="rId95">
              <w:r>
                <w:rPr>
                  <w:rFonts w:ascii="Arial" w:cs="Arial" w:eastAsia="Arial" w:hAnsi="Arial"/>
                  <w:sz w:val="16"/>
                  <w:szCs w:val="16"/>
                  <w:color w:val="0000FF"/>
                  <w:w w:val="97"/>
                </w:rPr>
                <w:t>Certificate of Amendment of the Certificate of Incorporation, filed January 30, 2020 (incorporated by reference to Exhibit 3.4 to the Company’s</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1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95">
              <w:r>
                <w:rPr>
                  <w:rFonts w:ascii="Arial" w:cs="Arial" w:eastAsia="Arial" w:hAnsi="Arial"/>
                  <w:sz w:val="16"/>
                  <w:szCs w:val="16"/>
                  <w:color w:val="0000FF"/>
                </w:rPr>
                <w:t>Annual Report on Form 10-K filed on March 11, 2021).</w:t>
              </w:r>
            </w:hyperlink>
          </w:p>
        </w:tc>
        <w:tc>
          <w:tcPr>
            <w:tcW w:w="20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gridSpan w:val="2"/>
          </w:tcPr>
          <w:p>
            <w:pPr>
              <w:ind w:left="40"/>
              <w:spacing w:after="0"/>
              <w:rPr>
                <w:sz w:val="20"/>
                <w:szCs w:val="20"/>
                <w:color w:val="auto"/>
              </w:rPr>
            </w:pPr>
            <w:r>
              <w:rPr>
                <w:rFonts w:ascii="Arial" w:cs="Arial" w:eastAsia="Arial" w:hAnsi="Arial"/>
                <w:sz w:val="16"/>
                <w:szCs w:val="16"/>
                <w:color w:val="auto"/>
              </w:rPr>
              <w:t>4.1</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gridSpan w:val="28"/>
          </w:tcPr>
          <w:p>
            <w:pPr>
              <w:spacing w:after="0"/>
              <w:rPr>
                <w:rFonts w:ascii="Arial" w:cs="Arial" w:eastAsia="Arial" w:hAnsi="Arial"/>
                <w:sz w:val="16"/>
                <w:szCs w:val="16"/>
                <w:color w:val="0000FF"/>
                <w:w w:val="92"/>
              </w:rPr>
            </w:pPr>
            <w:hyperlink r:id="rId96">
              <w:r>
                <w:rPr>
                  <w:rFonts w:ascii="Arial" w:cs="Arial" w:eastAsia="Arial" w:hAnsi="Arial"/>
                  <w:sz w:val="16"/>
                  <w:szCs w:val="16"/>
                  <w:color w:val="0000FF"/>
                  <w:w w:val="92"/>
                </w:rPr>
                <w:t>Registration Rights Agreement, dated as of March 9, 2015, by and among the Company, Coliseum Capital Partners, L.P., Coliseum Capital Partners</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72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w w:val="96"/>
              </w:rPr>
            </w:pPr>
            <w:hyperlink r:id="rId96">
              <w:r>
                <w:rPr>
                  <w:rFonts w:ascii="Arial" w:cs="Arial" w:eastAsia="Arial" w:hAnsi="Arial"/>
                  <w:sz w:val="16"/>
                  <w:szCs w:val="16"/>
                  <w:color w:val="0000FF"/>
                  <w:w w:val="96"/>
                </w:rPr>
                <w:t>II, L.P., and Blackwell Partners, LLC, Series A. (Incorporated by reference to Exhibit 4.1 to the Company’s Current Report on Form 8-K filed on</w:t>
              </w:r>
            </w:hyperlink>
          </w:p>
        </w:tc>
        <w:tc>
          <w:tcPr>
            <w:tcW w:w="20"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140" w:type="dxa"/>
            <w:vAlign w:val="bottom"/>
            <w:gridSpan w:val="22"/>
          </w:tcPr>
          <w:p>
            <w:pPr>
              <w:spacing w:after="0" w:line="142" w:lineRule="exact"/>
              <w:rPr>
                <w:rFonts w:ascii="Arial" w:cs="Arial" w:eastAsia="Arial" w:hAnsi="Arial"/>
                <w:sz w:val="16"/>
                <w:szCs w:val="16"/>
                <w:color w:val="0000FF"/>
              </w:rPr>
            </w:pPr>
            <w:hyperlink r:id="rId96">
              <w:r>
                <w:rPr>
                  <w:rFonts w:ascii="Arial" w:cs="Arial" w:eastAsia="Arial" w:hAnsi="Arial"/>
                  <w:sz w:val="16"/>
                  <w:szCs w:val="16"/>
                  <w:color w:val="0000FF"/>
                </w:rPr>
                <w:t>March 10, 2015).</w:t>
              </w:r>
            </w:hyperlink>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gridSpan w:val="2"/>
          </w:tcPr>
          <w:p>
            <w:pPr>
              <w:ind w:left="40"/>
              <w:spacing w:after="0"/>
              <w:rPr>
                <w:sz w:val="20"/>
                <w:szCs w:val="20"/>
                <w:color w:val="auto"/>
              </w:rPr>
            </w:pPr>
            <w:r>
              <w:rPr>
                <w:rFonts w:ascii="Arial" w:cs="Arial" w:eastAsia="Arial" w:hAnsi="Arial"/>
                <w:sz w:val="16"/>
                <w:szCs w:val="16"/>
                <w:color w:val="auto"/>
              </w:rPr>
              <w:t>4.2</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gridSpan w:val="28"/>
          </w:tcPr>
          <w:p>
            <w:pPr>
              <w:spacing w:after="0"/>
              <w:rPr>
                <w:rFonts w:ascii="Arial" w:cs="Arial" w:eastAsia="Arial" w:hAnsi="Arial"/>
                <w:sz w:val="16"/>
                <w:szCs w:val="16"/>
                <w:color w:val="0000FF"/>
                <w:w w:val="97"/>
              </w:rPr>
            </w:pPr>
            <w:hyperlink r:id="rId97">
              <w:r>
                <w:rPr>
                  <w:rFonts w:ascii="Arial" w:cs="Arial" w:eastAsia="Arial" w:hAnsi="Arial"/>
                  <w:sz w:val="16"/>
                  <w:szCs w:val="16"/>
                  <w:color w:val="0000FF"/>
                  <w:w w:val="97"/>
                </w:rPr>
                <w:t>Amendment No. 1 to the Registration Rights Agreement dated June 10, 2016, by and among the Company, Coliseum Capital Partners, L.P.,</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w w:val="92"/>
              </w:rPr>
            </w:pPr>
            <w:hyperlink r:id="rId97">
              <w:r>
                <w:rPr>
                  <w:rFonts w:ascii="Arial" w:cs="Arial" w:eastAsia="Arial" w:hAnsi="Arial"/>
                  <w:sz w:val="16"/>
                  <w:szCs w:val="16"/>
                  <w:color w:val="0000FF"/>
                  <w:w w:val="92"/>
                </w:rPr>
                <w:t>Coliseum Capital Partners II, L.P. and Blackwell Partners, LLC Series A. (Incorporated by reference to Exhibit 4.1 to the Company’s Current Report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140" w:type="dxa"/>
            <w:vAlign w:val="bottom"/>
            <w:gridSpan w:val="22"/>
          </w:tcPr>
          <w:p>
            <w:pPr>
              <w:spacing w:after="0" w:line="142" w:lineRule="exact"/>
              <w:rPr>
                <w:rFonts w:ascii="Arial" w:cs="Arial" w:eastAsia="Arial" w:hAnsi="Arial"/>
                <w:sz w:val="16"/>
                <w:szCs w:val="16"/>
                <w:color w:val="0000FF"/>
              </w:rPr>
            </w:pPr>
            <w:hyperlink r:id="rId97">
              <w:r>
                <w:rPr>
                  <w:rFonts w:ascii="Arial" w:cs="Arial" w:eastAsia="Arial" w:hAnsi="Arial"/>
                  <w:sz w:val="16"/>
                  <w:szCs w:val="16"/>
                  <w:color w:val="0000FF"/>
                </w:rPr>
                <w:t>on Form 8-K filed on June 13, 2016).</w:t>
              </w:r>
            </w:hyperlink>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gridSpan w:val="2"/>
          </w:tcPr>
          <w:p>
            <w:pPr>
              <w:ind w:left="40"/>
              <w:spacing w:after="0"/>
              <w:rPr>
                <w:sz w:val="20"/>
                <w:szCs w:val="20"/>
                <w:color w:val="auto"/>
              </w:rPr>
            </w:pPr>
            <w:r>
              <w:rPr>
                <w:rFonts w:ascii="Arial" w:cs="Arial" w:eastAsia="Arial" w:hAnsi="Arial"/>
                <w:sz w:val="16"/>
                <w:szCs w:val="16"/>
                <w:color w:val="auto"/>
              </w:rPr>
              <w:t>4.3</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gridSpan w:val="28"/>
          </w:tcPr>
          <w:p>
            <w:pPr>
              <w:spacing w:after="0"/>
              <w:rPr>
                <w:rFonts w:ascii="Arial" w:cs="Arial" w:eastAsia="Arial" w:hAnsi="Arial"/>
                <w:sz w:val="16"/>
                <w:szCs w:val="16"/>
                <w:color w:val="0000FF"/>
                <w:w w:val="92"/>
              </w:rPr>
            </w:pPr>
            <w:hyperlink r:id="rId98">
              <w:r>
                <w:rPr>
                  <w:rFonts w:ascii="Arial" w:cs="Arial" w:eastAsia="Arial" w:hAnsi="Arial"/>
                  <w:sz w:val="16"/>
                  <w:szCs w:val="16"/>
                  <w:color w:val="0000FF"/>
                  <w:w w:val="92"/>
                </w:rPr>
                <w:t>Amendment No. 2 to the Registration Rights Agreement dated June 14, 2016, by and among the Company and the PIPE Investors. (Incorporated by</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2"/>
              </w:rPr>
            </w:pPr>
            <w:hyperlink r:id="rId98">
              <w:r>
                <w:rPr>
                  <w:rFonts w:ascii="Arial" w:cs="Arial" w:eastAsia="Arial" w:hAnsi="Arial"/>
                  <w:sz w:val="16"/>
                  <w:szCs w:val="16"/>
                  <w:color w:val="0000FF"/>
                  <w:w w:val="92"/>
                </w:rPr>
                <w:t>reference to Exhibit 4.1 to the Company’s Current Report on Form 8-K filed on June 14, 2016).</w:t>
              </w:r>
            </w:hyperlink>
          </w:p>
        </w:tc>
        <w:tc>
          <w:tcPr>
            <w:tcW w:w="2940" w:type="dxa"/>
            <w:vAlign w:val="bottom"/>
            <w:tcBorders>
              <w:top w:val="single" w:sz="8" w:color="0000FF"/>
            </w:tcBorders>
            <w:gridSpan w:val="9"/>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0" w:type="dxa"/>
            <w:vAlign w:val="bottom"/>
            <w:gridSpan w:val="2"/>
          </w:tcPr>
          <w:p>
            <w:pPr>
              <w:ind w:left="40"/>
              <w:spacing w:after="0"/>
              <w:rPr>
                <w:sz w:val="20"/>
                <w:szCs w:val="20"/>
                <w:color w:val="auto"/>
              </w:rPr>
            </w:pPr>
            <w:r>
              <w:rPr>
                <w:rFonts w:ascii="Arial" w:cs="Arial" w:eastAsia="Arial" w:hAnsi="Arial"/>
                <w:sz w:val="16"/>
                <w:szCs w:val="16"/>
                <w:color w:val="auto"/>
              </w:rPr>
              <w:t>4.4</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tcBorders>
              <w:bottom w:val="single" w:sz="8" w:color="0000FF"/>
            </w:tcBorders>
            <w:gridSpan w:val="28"/>
          </w:tcPr>
          <w:p>
            <w:pPr>
              <w:spacing w:after="0"/>
              <w:rPr>
                <w:rFonts w:ascii="Arial" w:cs="Arial" w:eastAsia="Arial" w:hAnsi="Arial"/>
                <w:sz w:val="16"/>
                <w:szCs w:val="16"/>
                <w:color w:val="0000FF"/>
                <w:w w:val="97"/>
              </w:rPr>
            </w:pPr>
            <w:hyperlink r:id="rId99">
              <w:r>
                <w:rPr>
                  <w:rFonts w:ascii="Arial" w:cs="Arial" w:eastAsia="Arial" w:hAnsi="Arial"/>
                  <w:sz w:val="16"/>
                  <w:szCs w:val="16"/>
                  <w:color w:val="0000FF"/>
                  <w:w w:val="97"/>
                </w:rPr>
                <w:t>Common Stock Warrant Agreement, dated July 28, 2015, by and between the Company and the American Stock Transfer &amp; Trust Company,</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140" w:type="dxa"/>
            <w:vAlign w:val="bottom"/>
            <w:gridSpan w:val="22"/>
          </w:tcPr>
          <w:p>
            <w:pPr>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LLC. (Incorporated by reference to Exhibit 4.1 to the Company’s Current Report on Form 8-K filed on July 28, 2015).</w:t>
              </w:r>
            </w:hyperlink>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360" w:type="dxa"/>
            <w:vAlign w:val="bottom"/>
            <w:gridSpan w:val="8"/>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gridSpan w:val="2"/>
          </w:tcPr>
          <w:p>
            <w:pPr>
              <w:ind w:left="40"/>
              <w:spacing w:after="0"/>
              <w:rPr>
                <w:sz w:val="20"/>
                <w:szCs w:val="20"/>
                <w:color w:val="auto"/>
              </w:rPr>
            </w:pPr>
            <w:r>
              <w:rPr>
                <w:rFonts w:ascii="Arial" w:cs="Arial" w:eastAsia="Arial" w:hAnsi="Arial"/>
                <w:sz w:val="16"/>
                <w:szCs w:val="16"/>
                <w:color w:val="auto"/>
              </w:rPr>
              <w:t>4.5</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tcBorders>
              <w:bottom w:val="single" w:sz="8" w:color="0000FF"/>
            </w:tcBorders>
            <w:gridSpan w:val="28"/>
          </w:tcPr>
          <w:p>
            <w:pPr>
              <w:spacing w:after="0"/>
              <w:rPr>
                <w:rFonts w:ascii="Arial" w:cs="Arial" w:eastAsia="Arial" w:hAnsi="Arial"/>
                <w:sz w:val="16"/>
                <w:szCs w:val="16"/>
                <w:color w:val="0000FF"/>
                <w:w w:val="94"/>
              </w:rPr>
            </w:pPr>
            <w:hyperlink r:id="rId100">
              <w:r>
                <w:rPr>
                  <w:rFonts w:ascii="Arial" w:cs="Arial" w:eastAsia="Arial" w:hAnsi="Arial"/>
                  <w:sz w:val="16"/>
                  <w:szCs w:val="16"/>
                  <w:color w:val="0000FF"/>
                  <w:w w:val="94"/>
                </w:rPr>
                <w:t>Registration Rights Agreement, dated June 29, 2017, by and among the Company and the parties signatory thereto (Incorporated by reference to</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0" w:type="dxa"/>
            <w:vAlign w:val="bottom"/>
            <w:tcBorders>
              <w:bottom w:val="single" w:sz="8" w:color="0000FF"/>
            </w:tcBorders>
            <w:gridSpan w:val="11"/>
          </w:tcPr>
          <w:p>
            <w:pPr>
              <w:spacing w:after="0" w:line="142" w:lineRule="exact"/>
              <w:rPr>
                <w:rFonts w:ascii="Arial" w:cs="Arial" w:eastAsia="Arial" w:hAnsi="Arial"/>
                <w:sz w:val="16"/>
                <w:szCs w:val="16"/>
                <w:color w:val="0000FF"/>
                <w:w w:val="92"/>
              </w:rPr>
            </w:pPr>
            <w:hyperlink r:id="rId100">
              <w:r>
                <w:rPr>
                  <w:rFonts w:ascii="Arial" w:cs="Arial" w:eastAsia="Arial" w:hAnsi="Arial"/>
                  <w:sz w:val="16"/>
                  <w:szCs w:val="16"/>
                  <w:color w:val="0000FF"/>
                  <w:w w:val="92"/>
                </w:rPr>
                <w:t>Exhibit 4.2 to the Company’s Current Report on Form 8-K filed on June 29, 2017).</w:t>
              </w:r>
            </w:hyperlink>
          </w:p>
        </w:tc>
        <w:tc>
          <w:tcPr>
            <w:tcW w:w="3740" w:type="dxa"/>
            <w:vAlign w:val="bottom"/>
            <w:gridSpan w:val="11"/>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0" w:type="dxa"/>
            <w:vAlign w:val="bottom"/>
            <w:gridSpan w:val="2"/>
          </w:tcPr>
          <w:p>
            <w:pPr>
              <w:ind w:left="40"/>
              <w:spacing w:after="0"/>
              <w:rPr>
                <w:sz w:val="20"/>
                <w:szCs w:val="20"/>
                <w:color w:val="auto"/>
              </w:rPr>
            </w:pPr>
            <w:r>
              <w:rPr>
                <w:rFonts w:ascii="Arial" w:cs="Arial" w:eastAsia="Arial" w:hAnsi="Arial"/>
                <w:sz w:val="16"/>
                <w:szCs w:val="16"/>
                <w:color w:val="auto"/>
              </w:rPr>
              <w:t>4.6</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140" w:type="dxa"/>
            <w:vAlign w:val="bottom"/>
            <w:gridSpan w:val="22"/>
          </w:tcPr>
          <w:p>
            <w:pPr>
              <w:spacing w:after="0"/>
              <w:rPr>
                <w:rFonts w:ascii="Arial" w:cs="Arial" w:eastAsia="Arial" w:hAnsi="Arial"/>
                <w:sz w:val="16"/>
                <w:szCs w:val="16"/>
                <w:color w:val="0000FF"/>
                <w:w w:val="93"/>
              </w:rPr>
            </w:pPr>
            <w:hyperlink r:id="rId101">
              <w:r>
                <w:rPr>
                  <w:rFonts w:ascii="Arial" w:cs="Arial" w:eastAsia="Arial" w:hAnsi="Arial"/>
                  <w:sz w:val="16"/>
                  <w:szCs w:val="16"/>
                  <w:color w:val="0000FF"/>
                  <w:w w:val="93"/>
                </w:rPr>
                <w:t>Amendment No. 1 to Registration Rights Agreement by and between BioScrip, Inc. and the stockholders of the Company signatory thereto</w:t>
              </w:r>
            </w:hyperlink>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01">
              <w:r>
                <w:rPr>
                  <w:rFonts w:ascii="Arial" w:cs="Arial" w:eastAsia="Arial" w:hAnsi="Arial"/>
                  <w:sz w:val="16"/>
                  <w:szCs w:val="16"/>
                  <w:color w:val="0000FF"/>
                </w:rPr>
                <w:t>(incorporated by reference to Exhibit 10.4 to the Company’s Current Report on Form 8-K filed on March 15, 2019).</w:t>
              </w:r>
            </w:hyperlink>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680" w:type="dxa"/>
            <w:vAlign w:val="bottom"/>
            <w:gridSpan w:val="9"/>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gridSpan w:val="2"/>
          </w:tcPr>
          <w:p>
            <w:pPr>
              <w:ind w:left="40"/>
              <w:spacing w:after="0"/>
              <w:rPr>
                <w:sz w:val="20"/>
                <w:szCs w:val="20"/>
                <w:color w:val="auto"/>
              </w:rPr>
            </w:pPr>
            <w:r>
              <w:rPr>
                <w:rFonts w:ascii="Arial" w:cs="Arial" w:eastAsia="Arial" w:hAnsi="Arial"/>
                <w:sz w:val="16"/>
                <w:szCs w:val="16"/>
                <w:color w:val="auto"/>
              </w:rPr>
              <w:t>4.7</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gridSpan w:val="28"/>
          </w:tcPr>
          <w:p>
            <w:pPr>
              <w:spacing w:after="0"/>
              <w:rPr>
                <w:rFonts w:ascii="Arial" w:cs="Arial" w:eastAsia="Arial" w:hAnsi="Arial"/>
                <w:sz w:val="16"/>
                <w:szCs w:val="16"/>
                <w:color w:val="0000FF"/>
                <w:w w:val="94"/>
              </w:rPr>
            </w:pPr>
            <w:hyperlink r:id="rId102">
              <w:r>
                <w:rPr>
                  <w:rFonts w:ascii="Arial" w:cs="Arial" w:eastAsia="Arial" w:hAnsi="Arial"/>
                  <w:sz w:val="16"/>
                  <w:szCs w:val="16"/>
                  <w:color w:val="0000FF"/>
                  <w:w w:val="94"/>
                </w:rPr>
                <w:t>Description of Option Care Health Inc.’s registered securities (incorporated by reference to Exhibit 4.12 to the Company’s Annual Report on Form</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3"/>
              </w:rPr>
            </w:pPr>
            <w:hyperlink r:id="rId102">
              <w:r>
                <w:rPr>
                  <w:rFonts w:ascii="Arial" w:cs="Arial" w:eastAsia="Arial" w:hAnsi="Arial"/>
                  <w:sz w:val="16"/>
                  <w:szCs w:val="16"/>
                  <w:color w:val="0000FF"/>
                  <w:w w:val="93"/>
                </w:rPr>
                <w:t>10-K filed on March 11, 2021).</w:t>
              </w:r>
            </w:hyperlink>
          </w:p>
        </w:tc>
        <w:tc>
          <w:tcPr>
            <w:tcW w:w="7100" w:type="dxa"/>
            <w:vAlign w:val="bottom"/>
            <w:tcBorders>
              <w:top w:val="single" w:sz="8" w:color="0000FF"/>
            </w:tcBorders>
            <w:gridSpan w:val="19"/>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0" w:type="dxa"/>
            <w:vAlign w:val="bottom"/>
            <w:gridSpan w:val="2"/>
          </w:tcPr>
          <w:p>
            <w:pPr>
              <w:ind w:left="40"/>
              <w:spacing w:after="0"/>
              <w:rPr>
                <w:sz w:val="20"/>
                <w:szCs w:val="20"/>
                <w:color w:val="auto"/>
              </w:rPr>
            </w:pPr>
            <w:r>
              <w:rPr>
                <w:rFonts w:ascii="Arial" w:cs="Arial" w:eastAsia="Arial" w:hAnsi="Arial"/>
                <w:sz w:val="16"/>
                <w:szCs w:val="16"/>
                <w:color w:val="auto"/>
                <w:w w:val="96"/>
              </w:rPr>
              <w:t>10.1</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tcBorders>
              <w:bottom w:val="single" w:sz="8" w:color="0000FF"/>
            </w:tcBorders>
            <w:gridSpan w:val="28"/>
          </w:tcPr>
          <w:p>
            <w:pPr>
              <w:spacing w:after="0"/>
              <w:rPr>
                <w:rFonts w:ascii="Arial" w:cs="Arial" w:eastAsia="Arial" w:hAnsi="Arial"/>
                <w:sz w:val="16"/>
                <w:szCs w:val="16"/>
                <w:color w:val="0000FF"/>
                <w:w w:val="92"/>
              </w:rPr>
            </w:pPr>
            <w:hyperlink r:id="rId103">
              <w:r>
                <w:rPr>
                  <w:rFonts w:ascii="Arial" w:cs="Arial" w:eastAsia="Arial" w:hAnsi="Arial"/>
                  <w:sz w:val="16"/>
                  <w:szCs w:val="16"/>
                  <w:color w:val="0000FF"/>
                  <w:w w:val="92"/>
                </w:rPr>
                <w:t>Amended and Restated Warrant Agreement, dated as of March 14, 2019, by and among BioScrip, Inc. and the Holders (as defined therein) signatory</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20" w:type="dxa"/>
            <w:vAlign w:val="bottom"/>
            <w:tcBorders>
              <w:bottom w:val="single" w:sz="8" w:color="0000FF"/>
            </w:tcBorders>
            <w:gridSpan w:val="20"/>
          </w:tcPr>
          <w:p>
            <w:pPr>
              <w:spacing w:after="0" w:line="142" w:lineRule="exact"/>
              <w:rPr>
                <w:rFonts w:ascii="Arial" w:cs="Arial" w:eastAsia="Arial" w:hAnsi="Arial"/>
                <w:sz w:val="16"/>
                <w:szCs w:val="16"/>
                <w:color w:val="0000FF"/>
                <w:w w:val="92"/>
              </w:rPr>
            </w:pPr>
            <w:hyperlink r:id="rId103">
              <w:r>
                <w:rPr>
                  <w:rFonts w:ascii="Arial" w:cs="Arial" w:eastAsia="Arial" w:hAnsi="Arial"/>
                  <w:sz w:val="16"/>
                  <w:szCs w:val="16"/>
                  <w:color w:val="0000FF"/>
                  <w:w w:val="92"/>
                </w:rPr>
                <w:t>thereto (incorporated by reference to Exhibit 10.2 to the Company’s Current Report on Form 8-K filed on March 15, 2019).</w:t>
              </w:r>
            </w:hyperlink>
          </w:p>
        </w:tc>
        <w:tc>
          <w:tcPr>
            <w:tcW w:w="11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0" w:type="dxa"/>
            <w:vAlign w:val="bottom"/>
            <w:gridSpan w:val="2"/>
          </w:tcPr>
          <w:p>
            <w:pPr>
              <w:ind w:left="40"/>
              <w:spacing w:after="0"/>
              <w:rPr>
                <w:sz w:val="20"/>
                <w:szCs w:val="20"/>
                <w:color w:val="auto"/>
              </w:rPr>
            </w:pPr>
            <w:r>
              <w:rPr>
                <w:rFonts w:ascii="Arial" w:cs="Arial" w:eastAsia="Arial" w:hAnsi="Arial"/>
                <w:sz w:val="16"/>
                <w:szCs w:val="16"/>
                <w:color w:val="auto"/>
                <w:w w:val="96"/>
              </w:rPr>
              <w:t>10.2</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gridSpan w:val="28"/>
          </w:tcPr>
          <w:p>
            <w:pPr>
              <w:spacing w:after="0"/>
              <w:rPr>
                <w:rFonts w:ascii="Arial" w:cs="Arial" w:eastAsia="Arial" w:hAnsi="Arial"/>
                <w:sz w:val="16"/>
                <w:szCs w:val="16"/>
                <w:color w:val="0000FF"/>
                <w:w w:val="93"/>
              </w:rPr>
            </w:pPr>
            <w:hyperlink r:id="rId104">
              <w:r>
                <w:rPr>
                  <w:rFonts w:ascii="Arial" w:cs="Arial" w:eastAsia="Arial" w:hAnsi="Arial"/>
                  <w:sz w:val="16"/>
                  <w:szCs w:val="16"/>
                  <w:color w:val="0000FF"/>
                  <w:w w:val="93"/>
                </w:rPr>
                <w:t>Registration Rights Agreement, dated as of August 6, 2019, by and among BioScrip, Inc. and HC Group Holdings I, LLC (incorporated by reference</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1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to Exhibit 10.1 to the Company’s Current Report on Form 8-K filed on August 7, 2019).</w:t>
              </w:r>
            </w:hyperlink>
          </w:p>
        </w:tc>
        <w:tc>
          <w:tcPr>
            <w:tcW w:w="2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20" w:type="dxa"/>
            <w:vAlign w:val="bottom"/>
            <w:gridSpan w:val="1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3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gridSpan w:val="2"/>
          </w:tcPr>
          <w:p>
            <w:pPr>
              <w:ind w:left="40"/>
              <w:spacing w:after="0"/>
              <w:rPr>
                <w:sz w:val="20"/>
                <w:szCs w:val="20"/>
                <w:color w:val="auto"/>
              </w:rPr>
            </w:pPr>
            <w:r>
              <w:rPr>
                <w:rFonts w:ascii="Arial" w:cs="Arial" w:eastAsia="Arial" w:hAnsi="Arial"/>
                <w:sz w:val="16"/>
                <w:szCs w:val="16"/>
                <w:color w:val="auto"/>
                <w:w w:val="96"/>
              </w:rPr>
              <w:t>10.3</w:t>
            </w: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40" w:type="dxa"/>
            <w:vAlign w:val="bottom"/>
            <w:tcBorders>
              <w:bottom w:val="single" w:sz="8" w:color="0000FF"/>
            </w:tcBorders>
            <w:gridSpan w:val="28"/>
          </w:tcPr>
          <w:p>
            <w:pPr>
              <w:spacing w:after="0"/>
              <w:rPr>
                <w:rFonts w:ascii="Arial" w:cs="Arial" w:eastAsia="Arial" w:hAnsi="Arial"/>
                <w:sz w:val="16"/>
                <w:szCs w:val="16"/>
                <w:color w:val="0000FF"/>
                <w:w w:val="97"/>
              </w:rPr>
            </w:pPr>
            <w:hyperlink r:id="rId105">
              <w:r>
                <w:rPr>
                  <w:rFonts w:ascii="Arial" w:cs="Arial" w:eastAsia="Arial" w:hAnsi="Arial"/>
                  <w:sz w:val="16"/>
                  <w:szCs w:val="16"/>
                  <w:color w:val="0000FF"/>
                  <w:w w:val="97"/>
                </w:rPr>
                <w:t>Director Nomination Agreement, dated as of August 6, 2019, by and among the BioScrip, Inc. and HC Group Holdings I, LLC (incorporated by</w:t>
              </w:r>
            </w:hyperlink>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140" w:type="dxa"/>
            <w:vAlign w:val="bottom"/>
            <w:gridSpan w:val="22"/>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reference to Exhibit 10.2 to the Company’s Current Report on Form 8-K filed on August 7, 2019).</w:t>
              </w:r>
            </w:hyperlink>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0"/>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60" w:type="dxa"/>
            <w:vAlign w:val="bottom"/>
            <w:tcBorders>
              <w:top w:val="single" w:sz="8" w:color="0000FF"/>
            </w:tcBorders>
            <w:gridSpan w:val="10"/>
          </w:tcPr>
          <w:p>
            <w:pPr>
              <w:jc w:val="center"/>
              <w:ind w:left="3619"/>
              <w:spacing w:after="0"/>
              <w:rPr>
                <w:sz w:val="20"/>
                <w:szCs w:val="20"/>
                <w:color w:val="auto"/>
              </w:rPr>
            </w:pPr>
            <w:r>
              <w:rPr>
                <w:rFonts w:ascii="Arial" w:cs="Arial" w:eastAsia="Arial" w:hAnsi="Arial"/>
                <w:sz w:val="18"/>
                <w:szCs w:val="18"/>
                <w:color w:val="auto"/>
                <w:w w:val="89"/>
              </w:rPr>
              <w:t>81</w:t>
            </w:r>
          </w:p>
        </w:tc>
        <w:tc>
          <w:tcPr>
            <w:tcW w:w="8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10.5</w:t>
      </w:r>
      <w:r>
        <w:rPr>
          <w:rFonts w:ascii="Arial" w:cs="Arial" w:eastAsia="Arial" w:hAnsi="Arial"/>
          <w:sz w:val="15"/>
          <w:szCs w:val="15"/>
          <w:color w:val="auto"/>
        </w:rPr>
        <w:t>†</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10.6</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25" w:lineRule="auto"/>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ABL Credit Agreement, dated as of August 6, 2019, among HC Group Holdings II, LLC, as the Initial Borrower, BioScrip, Inc., as the Parent</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Borrower, and Bank of America N.A., as the Administrative Agent, Issuing Bank and Swing Line Lender, the other lenders party thereto from time</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to time and Bank of America, N.A. and ACF Finco I LP as Joint Lead Arrangers and Joint Lead Bookrunners (incorporated by reference to Exhibit</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10.4 to the Company’s Current Report on Form 8-K filed on August 7, 2019).</w:t>
        </w:r>
      </w:hyperlink>
    </w:p>
    <w:p>
      <w:pPr>
        <w:spacing w:after="0" w:line="12" w:lineRule="exact"/>
        <w:rPr>
          <w:rFonts w:ascii="Arial" w:cs="Arial" w:eastAsia="Arial" w:hAnsi="Arial"/>
          <w:sz w:val="16"/>
          <w:szCs w:val="16"/>
          <w:u w:val="single" w:color="auto"/>
          <w:color w:val="0000FF"/>
        </w:rPr>
      </w:pPr>
    </w:p>
    <w:p>
      <w:pPr>
        <w:ind w:right="180"/>
        <w:spacing w:after="0"/>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John Rademacher Amended and Restated Employment Agreement entered into on February 23, 2018 (incorporated by reference to Exhibit 10.1 to</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the Company’s Current Report on Form 8-K filed on August 7, 2019).</w:t>
        </w:r>
      </w:hyperlink>
    </w:p>
    <w:p>
      <w:pPr>
        <w:spacing w:after="0" w:line="10" w:lineRule="exact"/>
        <w:rPr>
          <w:sz w:val="20"/>
          <w:szCs w:val="20"/>
          <w:color w:val="auto"/>
        </w:rPr>
      </w:pPr>
    </w:p>
    <w:p>
      <w:pPr>
        <w:ind w:right="320"/>
        <w:spacing w:after="0"/>
        <w:rPr>
          <w:rFonts w:ascii="Arial" w:cs="Arial" w:eastAsia="Arial" w:hAnsi="Arial"/>
          <w:sz w:val="16"/>
          <w:szCs w:val="16"/>
          <w:u w:val="single" w:color="auto"/>
          <w:color w:val="0000FF"/>
        </w:rPr>
      </w:pPr>
      <w:hyperlink r:id="rId110">
        <w:r>
          <w:rPr>
            <w:rFonts w:ascii="Arial" w:cs="Arial" w:eastAsia="Arial" w:hAnsi="Arial"/>
            <w:sz w:val="16"/>
            <w:szCs w:val="16"/>
            <w:u w:val="single" w:color="auto"/>
            <w:color w:val="0000FF"/>
          </w:rPr>
          <w:t>Michael Shapiro Employment Agreement entered into on October 13, 2015 (incorporated by reference to Exhibit 10.2 to the Company’s Current</w:t>
        </w:r>
      </w:hyperlink>
      <w:r>
        <w:rPr>
          <w:rFonts w:ascii="Arial" w:cs="Arial" w:eastAsia="Arial" w:hAnsi="Arial"/>
          <w:sz w:val="16"/>
          <w:szCs w:val="16"/>
          <w:u w:val="single" w:color="auto"/>
          <w:color w:val="0000FF"/>
        </w:rPr>
        <w:t xml:space="preserve"> </w:t>
      </w:r>
      <w:hyperlink r:id="rId110">
        <w:r>
          <w:rPr>
            <w:rFonts w:ascii="Arial" w:cs="Arial" w:eastAsia="Arial" w:hAnsi="Arial"/>
            <w:sz w:val="16"/>
            <w:szCs w:val="16"/>
            <w:u w:val="single" w:color="auto"/>
            <w:color w:val="0000FF"/>
          </w:rPr>
          <w:t>Report on Form 8-K filed on August 7, 2019).</w:t>
        </w:r>
      </w:hyperlink>
    </w:p>
    <w:p>
      <w:pPr>
        <w:spacing w:after="0" w:line="1" w:lineRule="exact"/>
        <w:rPr>
          <w:sz w:val="20"/>
          <w:szCs w:val="20"/>
          <w:color w:val="auto"/>
        </w:rPr>
      </w:pPr>
    </w:p>
    <w:p>
      <w:pPr>
        <w:sectPr>
          <w:pgSz w:w="11900" w:h="16838" w:orient="portrait"/>
          <w:cols w:equalWidth="0" w:num="2">
            <w:col w:w="780" w:space="720"/>
            <w:col w:w="9700"/>
          </w:cols>
          <w:pgMar w:left="320" w:top="121" w:right="379" w:bottom="1440" w:gutter="0" w:footer="0" w:header="0"/>
          <w:type w:val="continuous"/>
        </w:sectPr>
      </w:pPr>
    </w:p>
    <w:tbl>
      <w:tblPr>
        <w:tblLayout w:type="fixed"/>
        <w:tblInd w:w="40" w:type="dxa"/>
        <w:tblCellMar>
          <w:top w:w="0" w:type="dxa"/>
          <w:left w:w="0" w:type="dxa"/>
          <w:bottom w:w="0" w:type="dxa"/>
          <w:right w:w="0" w:type="dxa"/>
        </w:tblCellMar>
      </w:tblPr>
      <w:tr>
        <w:trPr>
          <w:trHeight w:val="182"/>
        </w:trPr>
        <w:tc>
          <w:tcPr>
            <w:tcW w:w="1460" w:type="dxa"/>
            <w:vAlign w:val="bottom"/>
          </w:tcPr>
          <w:p>
            <w:pPr>
              <w:spacing w:after="0" w:line="182" w:lineRule="exact"/>
              <w:rPr>
                <w:sz w:val="20"/>
                <w:szCs w:val="20"/>
                <w:color w:val="auto"/>
              </w:rPr>
            </w:pPr>
            <w:r>
              <w:rPr>
                <w:rFonts w:ascii="Arial" w:cs="Arial" w:eastAsia="Arial" w:hAnsi="Arial"/>
                <w:sz w:val="16"/>
                <w:szCs w:val="16"/>
                <w:color w:val="auto"/>
              </w:rPr>
              <w:t>10.7</w:t>
            </w:r>
            <w:r>
              <w:rPr>
                <w:rFonts w:ascii="Arial" w:cs="Arial" w:eastAsia="Arial" w:hAnsi="Arial"/>
                <w:sz w:val="17"/>
                <w:szCs w:val="17"/>
                <w:color w:val="auto"/>
              </w:rPr>
              <w:t>†</w:t>
            </w:r>
          </w:p>
        </w:tc>
        <w:tc>
          <w:tcPr>
            <w:tcW w:w="9660" w:type="dxa"/>
            <w:vAlign w:val="bottom"/>
            <w:tcBorders>
              <w:bottom w:val="single" w:sz="8" w:color="0000FF"/>
            </w:tcBorders>
            <w:gridSpan w:val="19"/>
          </w:tcPr>
          <w:p>
            <w:pPr>
              <w:spacing w:after="0" w:line="162" w:lineRule="exact"/>
              <w:rPr>
                <w:rFonts w:ascii="Arial" w:cs="Arial" w:eastAsia="Arial" w:hAnsi="Arial"/>
                <w:sz w:val="16"/>
                <w:szCs w:val="16"/>
                <w:color w:val="0000FF"/>
                <w:w w:val="92"/>
              </w:rPr>
            </w:pPr>
            <w:hyperlink r:id="rId111">
              <w:r>
                <w:rPr>
                  <w:rFonts w:ascii="Arial" w:cs="Arial" w:eastAsia="Arial" w:hAnsi="Arial"/>
                  <w:sz w:val="16"/>
                  <w:szCs w:val="16"/>
                  <w:color w:val="0000FF"/>
                  <w:w w:val="92"/>
                </w:rPr>
                <w:t>Harriet Booker Employment Agreement entered into on June 3, 2019 (incorporated by reference to Exhibit 10.3 to the Company’s Current Report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2320" w:type="dxa"/>
            <w:vAlign w:val="bottom"/>
            <w:tcBorders>
              <w:bottom w:val="single" w:sz="8" w:color="0000FF"/>
            </w:tcBorders>
            <w:gridSpan w:val="2"/>
          </w:tcPr>
          <w:p>
            <w:pPr>
              <w:spacing w:after="0" w:line="142" w:lineRule="exact"/>
              <w:rPr>
                <w:rFonts w:ascii="Arial" w:cs="Arial" w:eastAsia="Arial" w:hAnsi="Arial"/>
                <w:sz w:val="16"/>
                <w:szCs w:val="16"/>
                <w:color w:val="0000FF"/>
                <w:w w:val="94"/>
              </w:rPr>
            </w:pPr>
            <w:hyperlink r:id="rId111">
              <w:r>
                <w:rPr>
                  <w:rFonts w:ascii="Arial" w:cs="Arial" w:eastAsia="Arial" w:hAnsi="Arial"/>
                  <w:sz w:val="16"/>
                  <w:szCs w:val="16"/>
                  <w:color w:val="0000FF"/>
                  <w:w w:val="94"/>
                </w:rPr>
                <w:t>Form 8-K filed on August 7, 2019).</w:t>
              </w:r>
            </w:hyperlink>
          </w:p>
        </w:tc>
        <w:tc>
          <w:tcPr>
            <w:tcW w:w="7340" w:type="dxa"/>
            <w:vAlign w:val="bottom"/>
            <w:gridSpan w:val="1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6"/>
                <w:szCs w:val="16"/>
                <w:color w:val="auto"/>
              </w:rPr>
              <w:t>10.8†</w:t>
            </w:r>
          </w:p>
        </w:tc>
        <w:tc>
          <w:tcPr>
            <w:tcW w:w="9680" w:type="dxa"/>
            <w:vAlign w:val="bottom"/>
            <w:gridSpan w:val="20"/>
          </w:tcPr>
          <w:p>
            <w:pPr>
              <w:spacing w:after="0"/>
              <w:rPr>
                <w:rFonts w:ascii="Arial" w:cs="Arial" w:eastAsia="Arial" w:hAnsi="Arial"/>
                <w:sz w:val="16"/>
                <w:szCs w:val="16"/>
                <w:color w:val="0000FF"/>
                <w:w w:val="92"/>
              </w:rPr>
            </w:pPr>
            <w:hyperlink r:id="rId112">
              <w:r>
                <w:rPr>
                  <w:rFonts w:ascii="Arial" w:cs="Arial" w:eastAsia="Arial" w:hAnsi="Arial"/>
                  <w:sz w:val="16"/>
                  <w:szCs w:val="16"/>
                  <w:color w:val="0000FF"/>
                  <w:w w:val="92"/>
                </w:rPr>
                <w:t>Rich Denness Employment Agreement entered into on June 8, 2019 (incorporated by reference to Exhibit 10.12 to the Company's Annual Report on</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96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Form 10-K filed on March 11,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6"/>
                <w:szCs w:val="16"/>
                <w:color w:val="auto"/>
              </w:rPr>
              <w:t>10.9†</w:t>
            </w:r>
          </w:p>
        </w:tc>
        <w:tc>
          <w:tcPr>
            <w:tcW w:w="9680" w:type="dxa"/>
            <w:vAlign w:val="bottom"/>
            <w:gridSpan w:val="20"/>
          </w:tcPr>
          <w:p>
            <w:pPr>
              <w:spacing w:after="0"/>
              <w:rPr>
                <w:rFonts w:ascii="Arial" w:cs="Arial" w:eastAsia="Arial" w:hAnsi="Arial"/>
                <w:sz w:val="16"/>
                <w:szCs w:val="16"/>
                <w:color w:val="0000FF"/>
                <w:w w:val="93"/>
              </w:rPr>
            </w:pPr>
            <w:hyperlink r:id="rId113">
              <w:r>
                <w:rPr>
                  <w:rFonts w:ascii="Arial" w:cs="Arial" w:eastAsia="Arial" w:hAnsi="Arial"/>
                  <w:sz w:val="16"/>
                  <w:szCs w:val="16"/>
                  <w:color w:val="0000FF"/>
                  <w:w w:val="93"/>
                </w:rPr>
                <w:t>Cliff Berman Employment Agreement entered into on August 3, 2015 (incorporated by reference to Exhibit 10.13 to the Company's Annual Report</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3"/>
              </w:rPr>
            </w:pPr>
            <w:hyperlink r:id="rId113">
              <w:r>
                <w:rPr>
                  <w:rFonts w:ascii="Arial" w:cs="Arial" w:eastAsia="Arial" w:hAnsi="Arial"/>
                  <w:sz w:val="16"/>
                  <w:szCs w:val="16"/>
                  <w:color w:val="0000FF"/>
                  <w:w w:val="93"/>
                </w:rPr>
                <w:t>on Form 10-K filed on March 11, 2021).</w:t>
              </w:r>
            </w:hyperlink>
          </w:p>
        </w:tc>
        <w:tc>
          <w:tcPr>
            <w:tcW w:w="6920" w:type="dxa"/>
            <w:vAlign w:val="bottom"/>
            <w:tcBorders>
              <w:top w:val="single" w:sz="8" w:color="0000FF"/>
            </w:tcBorders>
            <w:gridSpan w:val="10"/>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6"/>
                <w:szCs w:val="16"/>
                <w:color w:val="auto"/>
              </w:rPr>
              <w:t>10.10</w:t>
            </w:r>
          </w:p>
        </w:tc>
        <w:tc>
          <w:tcPr>
            <w:tcW w:w="9680" w:type="dxa"/>
            <w:vAlign w:val="bottom"/>
            <w:gridSpan w:val="20"/>
          </w:tcPr>
          <w:p>
            <w:pPr>
              <w:spacing w:after="0"/>
              <w:rPr>
                <w:rFonts w:ascii="Arial" w:cs="Arial" w:eastAsia="Arial" w:hAnsi="Arial"/>
                <w:sz w:val="16"/>
                <w:szCs w:val="16"/>
                <w:color w:val="0000FF"/>
                <w:w w:val="95"/>
              </w:rPr>
            </w:pPr>
            <w:hyperlink r:id="rId114">
              <w:r>
                <w:rPr>
                  <w:rFonts w:ascii="Arial" w:cs="Arial" w:eastAsia="Arial" w:hAnsi="Arial"/>
                  <w:sz w:val="16"/>
                  <w:szCs w:val="16"/>
                  <w:color w:val="0000FF"/>
                  <w:w w:val="95"/>
                </w:rPr>
                <w:t>First Amendment to ABL Credit Agreement, dated as of October 5, 2020, among Option Care Health, Inc. (f/k/a BioScrip, Inc.), each Guarantor</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9380" w:type="dxa"/>
            <w:vAlign w:val="bottom"/>
            <w:tcBorders>
              <w:top w:val="single" w:sz="8" w:color="0000FF"/>
            </w:tcBorders>
            <w:gridSpan w:val="12"/>
          </w:tcPr>
          <w:p>
            <w:pPr>
              <w:spacing w:after="0" w:line="142" w:lineRule="exact"/>
              <w:rPr>
                <w:rFonts w:ascii="Arial" w:cs="Arial" w:eastAsia="Arial" w:hAnsi="Arial"/>
                <w:sz w:val="16"/>
                <w:szCs w:val="16"/>
                <w:color w:val="0000FF"/>
                <w:w w:val="95"/>
              </w:rPr>
            </w:pPr>
            <w:hyperlink r:id="rId114">
              <w:r>
                <w:rPr>
                  <w:rFonts w:ascii="Arial" w:cs="Arial" w:eastAsia="Arial" w:hAnsi="Arial"/>
                  <w:sz w:val="16"/>
                  <w:szCs w:val="16"/>
                  <w:color w:val="0000FF"/>
                  <w:w w:val="95"/>
                </w:rPr>
                <w:t>party hereto, each lender party hereto and Bank of America, N.A., as administrative agent (incorporated by reference to Exhibit 10.1 of the</w:t>
              </w:r>
            </w:hyperlink>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43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2"/>
              </w:rPr>
            </w:pPr>
            <w:hyperlink r:id="rId114">
              <w:r>
                <w:rPr>
                  <w:rFonts w:ascii="Arial" w:cs="Arial" w:eastAsia="Arial" w:hAnsi="Arial"/>
                  <w:sz w:val="16"/>
                  <w:szCs w:val="16"/>
                  <w:color w:val="0000FF"/>
                  <w:w w:val="92"/>
                </w:rPr>
                <w:t>Company's Current Report on Form 8-K filed on October 6, 2020).</w:t>
              </w:r>
            </w:hyperlink>
          </w:p>
        </w:tc>
        <w:tc>
          <w:tcPr>
            <w:tcW w:w="4640" w:type="dxa"/>
            <w:vAlign w:val="bottom"/>
            <w:tcBorders>
              <w:top w:val="single" w:sz="8" w:color="0000FF"/>
            </w:tcBorders>
            <w:gridSpan w:val="2"/>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20"/>
                <w:szCs w:val="20"/>
                <w:color w:val="auto"/>
              </w:rPr>
            </w:pPr>
            <w:r>
              <w:rPr>
                <w:rFonts w:ascii="Arial" w:cs="Arial" w:eastAsia="Arial" w:hAnsi="Arial"/>
                <w:sz w:val="16"/>
                <w:szCs w:val="16"/>
                <w:color w:val="auto"/>
              </w:rPr>
              <w:t>10.11</w:t>
            </w:r>
          </w:p>
        </w:tc>
        <w:tc>
          <w:tcPr>
            <w:tcW w:w="9540" w:type="dxa"/>
            <w:vAlign w:val="bottom"/>
            <w:tcBorders>
              <w:bottom w:val="single" w:sz="8" w:color="0000FF"/>
            </w:tcBorders>
            <w:gridSpan w:val="15"/>
          </w:tcPr>
          <w:p>
            <w:pPr>
              <w:spacing w:after="0"/>
              <w:rPr>
                <w:rFonts w:ascii="Arial" w:cs="Arial" w:eastAsia="Arial" w:hAnsi="Arial"/>
                <w:sz w:val="16"/>
                <w:szCs w:val="16"/>
                <w:color w:val="0000FF"/>
                <w:w w:val="91"/>
              </w:rPr>
            </w:pPr>
            <w:hyperlink r:id="rId115">
              <w:r>
                <w:rPr>
                  <w:rFonts w:ascii="Arial" w:cs="Arial" w:eastAsia="Arial" w:hAnsi="Arial"/>
                  <w:sz w:val="16"/>
                  <w:szCs w:val="16"/>
                  <w:color w:val="0000FF"/>
                  <w:w w:val="91"/>
                </w:rPr>
                <w:t>Second Amendment to ABL Credit Agreement, dated as of January 21, 2021, by and among Option Care Health, Inc., the guarantors party thereto,</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680" w:type="dxa"/>
            <w:vAlign w:val="bottom"/>
            <w:gridSpan w:val="20"/>
          </w:tcPr>
          <w:p>
            <w:pPr>
              <w:spacing w:after="0" w:line="169" w:lineRule="exact"/>
              <w:rPr>
                <w:rFonts w:ascii="Arial" w:cs="Arial" w:eastAsia="Arial" w:hAnsi="Arial"/>
                <w:sz w:val="16"/>
                <w:szCs w:val="16"/>
                <w:color w:val="0000FF"/>
                <w:w w:val="95"/>
              </w:rPr>
            </w:pPr>
            <w:hyperlink r:id="rId115">
              <w:r>
                <w:rPr>
                  <w:rFonts w:ascii="Arial" w:cs="Arial" w:eastAsia="Arial" w:hAnsi="Arial"/>
                  <w:sz w:val="16"/>
                  <w:szCs w:val="16"/>
                  <w:color w:val="0000FF"/>
                  <w:w w:val="95"/>
                </w:rPr>
                <w:t>Bank of America, N.A. and the financial institutions party thereto (incorporated by reference to Exhibit 10.2 of the Company's Current Report on</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244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2"/>
              </w:rPr>
            </w:pPr>
            <w:hyperlink r:id="rId115">
              <w:r>
                <w:rPr>
                  <w:rFonts w:ascii="Arial" w:cs="Arial" w:eastAsia="Arial" w:hAnsi="Arial"/>
                  <w:sz w:val="16"/>
                  <w:szCs w:val="16"/>
                  <w:color w:val="0000FF"/>
                  <w:w w:val="92"/>
                </w:rPr>
                <w:t>Form 8-K filed on January 22, 2021).</w:t>
              </w:r>
            </w:hyperlink>
          </w:p>
        </w:tc>
        <w:tc>
          <w:tcPr>
            <w:tcW w:w="6980" w:type="dxa"/>
            <w:vAlign w:val="bottom"/>
            <w:tcBorders>
              <w:top w:val="single" w:sz="8" w:color="0000FF"/>
            </w:tcBorders>
            <w:gridSpan w:val="9"/>
          </w:tcPr>
          <w:p>
            <w:pPr>
              <w:spacing w:after="0"/>
              <w:rPr>
                <w:sz w:val="14"/>
                <w:szCs w:val="14"/>
                <w:color w:val="auto"/>
              </w:rPr>
            </w:pPr>
          </w:p>
        </w:tc>
        <w:tc>
          <w:tcPr>
            <w:tcW w:w="2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10.12</w:t>
            </w:r>
          </w:p>
        </w:tc>
        <w:tc>
          <w:tcPr>
            <w:tcW w:w="9220" w:type="dxa"/>
            <w:vAlign w:val="bottom"/>
            <w:tcBorders>
              <w:bottom w:val="single" w:sz="8" w:color="0000FF"/>
            </w:tcBorders>
            <w:gridSpan w:val="11"/>
          </w:tcPr>
          <w:p>
            <w:pPr>
              <w:spacing w:after="0"/>
              <w:rPr>
                <w:rFonts w:ascii="Arial" w:cs="Arial" w:eastAsia="Arial" w:hAnsi="Arial"/>
                <w:sz w:val="16"/>
                <w:szCs w:val="16"/>
                <w:color w:val="0000FF"/>
                <w:w w:val="92"/>
              </w:rPr>
            </w:pPr>
            <w:hyperlink r:id="rId116">
              <w:r>
                <w:rPr>
                  <w:rFonts w:ascii="Arial" w:cs="Arial" w:eastAsia="Arial" w:hAnsi="Arial"/>
                  <w:sz w:val="16"/>
                  <w:szCs w:val="16"/>
                  <w:color w:val="0000FF"/>
                  <w:w w:val="92"/>
                </w:rPr>
                <w:t>Option Care Health, Inc. 2018 Equity Incentive Plan updated as of May 19, 2021 (incorporated by reference to Exhibit 10.1 of the Company’s</w:t>
              </w:r>
            </w:hyperlink>
          </w:p>
        </w:tc>
        <w:tc>
          <w:tcPr>
            <w:tcW w:w="4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680" w:type="dxa"/>
            <w:vAlign w:val="bottom"/>
            <w:gridSpan w:val="20"/>
          </w:tcPr>
          <w:p>
            <w:pPr>
              <w:spacing w:after="0" w:line="169" w:lineRule="exact"/>
              <w:rPr>
                <w:rFonts w:ascii="Arial" w:cs="Arial" w:eastAsia="Arial" w:hAnsi="Arial"/>
                <w:sz w:val="16"/>
                <w:szCs w:val="16"/>
                <w:color w:val="0000FF"/>
              </w:rPr>
            </w:pPr>
            <w:hyperlink r:id="rId116">
              <w:r>
                <w:rPr>
                  <w:rFonts w:ascii="Arial" w:cs="Arial" w:eastAsia="Arial" w:hAnsi="Arial"/>
                  <w:sz w:val="16"/>
                  <w:szCs w:val="16"/>
                  <w:color w:val="0000FF"/>
                </w:rPr>
                <w:t>Quarterly Report on Form 10-Q/A filed on August 3, 2021).</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spacing w:after="0"/>
              <w:rPr>
                <w:sz w:val="20"/>
                <w:szCs w:val="20"/>
                <w:color w:val="auto"/>
              </w:rPr>
            </w:pPr>
            <w:r>
              <w:rPr>
                <w:rFonts w:ascii="Arial" w:cs="Arial" w:eastAsia="Arial" w:hAnsi="Arial"/>
                <w:sz w:val="16"/>
                <w:szCs w:val="16"/>
                <w:color w:val="auto"/>
              </w:rPr>
              <w:t>10.13</w:t>
            </w:r>
          </w:p>
        </w:tc>
        <w:tc>
          <w:tcPr>
            <w:tcW w:w="9680" w:type="dxa"/>
            <w:vAlign w:val="bottom"/>
            <w:gridSpan w:val="20"/>
          </w:tcPr>
          <w:p>
            <w:pPr>
              <w:spacing w:after="0"/>
              <w:rPr>
                <w:rFonts w:ascii="Arial" w:cs="Arial" w:eastAsia="Arial" w:hAnsi="Arial"/>
                <w:sz w:val="16"/>
                <w:szCs w:val="16"/>
                <w:color w:val="0000FF"/>
                <w:w w:val="91"/>
              </w:rPr>
            </w:pPr>
            <w:hyperlink r:id="rId117">
              <w:r>
                <w:rPr>
                  <w:rFonts w:ascii="Arial" w:cs="Arial" w:eastAsia="Arial" w:hAnsi="Arial"/>
                  <w:sz w:val="16"/>
                  <w:szCs w:val="16"/>
                  <w:color w:val="0000FF"/>
                  <w:w w:val="91"/>
                </w:rPr>
                <w:t>Indenture, dated as of October 27, 2021, by and between Option Care Health, Inc., each of the Guarantors (as defined therein) listed on the signature</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9640" w:type="dxa"/>
            <w:vAlign w:val="bottom"/>
            <w:tcBorders>
              <w:top w:val="single" w:sz="8" w:color="0000FF"/>
            </w:tcBorders>
            <w:gridSpan w:val="18"/>
          </w:tcPr>
          <w:p>
            <w:pPr>
              <w:spacing w:after="0" w:line="155" w:lineRule="exact"/>
              <w:rPr>
                <w:rFonts w:ascii="Arial" w:cs="Arial" w:eastAsia="Arial" w:hAnsi="Arial"/>
                <w:sz w:val="16"/>
                <w:szCs w:val="16"/>
                <w:color w:val="0000FF"/>
                <w:w w:val="93"/>
              </w:rPr>
            </w:pPr>
            <w:hyperlink r:id="rId117">
              <w:r>
                <w:rPr>
                  <w:rFonts w:ascii="Arial" w:cs="Arial" w:eastAsia="Arial" w:hAnsi="Arial"/>
                  <w:sz w:val="16"/>
                  <w:szCs w:val="16"/>
                  <w:color w:val="0000FF"/>
                  <w:w w:val="93"/>
                </w:rPr>
                <w:t>pages thereto and Ankura Trust Company, LLC as trustee (incorporated by reference to Exhibit 4.1 of the Company’s Current Report on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952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117">
              <w:r>
                <w:rPr>
                  <w:rFonts w:ascii="Arial" w:cs="Arial" w:eastAsia="Arial" w:hAnsi="Arial"/>
                  <w:sz w:val="16"/>
                  <w:szCs w:val="16"/>
                  <w:color w:val="0000FF"/>
                </w:rPr>
                <w:t>filed on October 29, 2021).</w:t>
              </w:r>
            </w:hyperlink>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Arial" w:cs="Arial" w:eastAsia="Arial" w:hAnsi="Arial"/>
                <w:sz w:val="16"/>
                <w:szCs w:val="16"/>
                <w:color w:val="auto"/>
              </w:rPr>
              <w:t>10.14</w:t>
            </w:r>
          </w:p>
        </w:tc>
        <w:tc>
          <w:tcPr>
            <w:tcW w:w="1760" w:type="dxa"/>
            <w:vAlign w:val="bottom"/>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vMerge w:val="continue"/>
          </w:tcPr>
          <w:p>
            <w:pPr>
              <w:spacing w:after="0"/>
              <w:rPr>
                <w:sz w:val="19"/>
                <w:szCs w:val="19"/>
                <w:color w:val="auto"/>
              </w:rPr>
            </w:pPr>
          </w:p>
        </w:tc>
        <w:tc>
          <w:tcPr>
            <w:tcW w:w="9660" w:type="dxa"/>
            <w:vAlign w:val="bottom"/>
            <w:tcBorders>
              <w:bottom w:val="single" w:sz="8" w:color="0000FF"/>
            </w:tcBorders>
            <w:gridSpan w:val="19"/>
          </w:tcPr>
          <w:p>
            <w:pPr>
              <w:spacing w:after="0"/>
              <w:rPr>
                <w:rFonts w:ascii="Arial" w:cs="Arial" w:eastAsia="Arial" w:hAnsi="Arial"/>
                <w:sz w:val="16"/>
                <w:szCs w:val="16"/>
                <w:color w:val="0000FF"/>
                <w:w w:val="92"/>
              </w:rPr>
            </w:pPr>
            <w:hyperlink r:id="rId117">
              <w:r>
                <w:rPr>
                  <w:rFonts w:ascii="Arial" w:cs="Arial" w:eastAsia="Arial" w:hAnsi="Arial"/>
                  <w:sz w:val="16"/>
                  <w:szCs w:val="16"/>
                  <w:color w:val="0000FF"/>
                  <w:w w:val="92"/>
                </w:rPr>
                <w:t>Form of 4.375% Senior Notes due 2029 (included in Exhibit 10.14 and incorporated by reference to Exhibit 4.2 of the Company’s Current Report on</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2460" w:type="dxa"/>
            <w:vAlign w:val="bottom"/>
            <w:tcBorders>
              <w:bottom w:val="single" w:sz="8" w:color="0000FF"/>
            </w:tcBorders>
            <w:gridSpan w:val="5"/>
          </w:tcPr>
          <w:p>
            <w:pPr>
              <w:spacing w:after="0" w:line="169" w:lineRule="exact"/>
              <w:rPr>
                <w:rFonts w:ascii="Arial" w:cs="Arial" w:eastAsia="Arial" w:hAnsi="Arial"/>
                <w:sz w:val="16"/>
                <w:szCs w:val="16"/>
                <w:color w:val="0000FF"/>
                <w:w w:val="93"/>
              </w:rPr>
            </w:pPr>
            <w:hyperlink r:id="rId117">
              <w:r>
                <w:rPr>
                  <w:rFonts w:ascii="Arial" w:cs="Arial" w:eastAsia="Arial" w:hAnsi="Arial"/>
                  <w:sz w:val="16"/>
                  <w:szCs w:val="16"/>
                  <w:color w:val="0000FF"/>
                  <w:w w:val="93"/>
                </w:rPr>
                <w:t>Form 8-K filed on October 29, 2021).</w:t>
              </w:r>
            </w:hyperlink>
          </w:p>
        </w:tc>
        <w:tc>
          <w:tcPr>
            <w:tcW w:w="72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10.15</w:t>
            </w:r>
          </w:p>
        </w:tc>
        <w:tc>
          <w:tcPr>
            <w:tcW w:w="9680" w:type="dxa"/>
            <w:vAlign w:val="bottom"/>
            <w:gridSpan w:val="20"/>
          </w:tcPr>
          <w:p>
            <w:pPr>
              <w:spacing w:after="0"/>
              <w:rPr>
                <w:rFonts w:ascii="Arial" w:cs="Arial" w:eastAsia="Arial" w:hAnsi="Arial"/>
                <w:sz w:val="16"/>
                <w:szCs w:val="16"/>
                <w:color w:val="0000FF"/>
                <w:w w:val="93"/>
              </w:rPr>
            </w:pPr>
            <w:hyperlink r:id="rId118">
              <w:r>
                <w:rPr>
                  <w:rFonts w:ascii="Arial" w:cs="Arial" w:eastAsia="Arial" w:hAnsi="Arial"/>
                  <w:sz w:val="16"/>
                  <w:szCs w:val="16"/>
                  <w:color w:val="0000FF"/>
                  <w:w w:val="93"/>
                </w:rPr>
                <w:t>Second Amendment and Amendment and Restatement Agreement to First Lien Credit Agreement, dated as of October 27, 2021 (incorporated by</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6500" w:type="dxa"/>
            <w:vAlign w:val="bottom"/>
            <w:tcBorders>
              <w:top w:val="single" w:sz="8" w:color="0000FF"/>
              <w:bottom w:val="single" w:sz="8" w:color="0000FF"/>
            </w:tcBorders>
            <w:gridSpan w:val="9"/>
          </w:tcPr>
          <w:p>
            <w:pPr>
              <w:spacing w:after="0" w:line="169" w:lineRule="exact"/>
              <w:rPr>
                <w:rFonts w:ascii="Arial" w:cs="Arial" w:eastAsia="Arial" w:hAnsi="Arial"/>
                <w:sz w:val="16"/>
                <w:szCs w:val="16"/>
                <w:color w:val="0000FF"/>
                <w:w w:val="92"/>
              </w:rPr>
            </w:pPr>
            <w:hyperlink r:id="rId118">
              <w:r>
                <w:rPr>
                  <w:rFonts w:ascii="Arial" w:cs="Arial" w:eastAsia="Arial" w:hAnsi="Arial"/>
                  <w:sz w:val="16"/>
                  <w:szCs w:val="16"/>
                  <w:color w:val="0000FF"/>
                  <w:w w:val="92"/>
                </w:rPr>
                <w:t>reference to Exhibit 10.1 of the Company's Current Report on Form 8-K filed on October 29, 2021).</w:t>
              </w:r>
            </w:hyperlink>
          </w:p>
        </w:tc>
        <w:tc>
          <w:tcPr>
            <w:tcW w:w="2920" w:type="dxa"/>
            <w:vAlign w:val="bottom"/>
            <w:tcBorders>
              <w:top w:val="single" w:sz="8" w:color="0000FF"/>
            </w:tcBorders>
            <w:gridSpan w:val="4"/>
          </w:tcPr>
          <w:p>
            <w:pPr>
              <w:spacing w:after="0"/>
              <w:rPr>
                <w:sz w:val="14"/>
                <w:szCs w:val="14"/>
                <w:color w:val="auto"/>
              </w:rPr>
            </w:pPr>
          </w:p>
        </w:tc>
        <w:tc>
          <w:tcPr>
            <w:tcW w:w="2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6"/>
                <w:szCs w:val="16"/>
                <w:color w:val="auto"/>
              </w:rPr>
              <w:t>10.16</w:t>
            </w:r>
          </w:p>
        </w:tc>
        <w:tc>
          <w:tcPr>
            <w:tcW w:w="9380" w:type="dxa"/>
            <w:vAlign w:val="bottom"/>
            <w:tcBorders>
              <w:bottom w:val="single" w:sz="8" w:color="0000FF"/>
            </w:tcBorders>
            <w:gridSpan w:val="12"/>
          </w:tcPr>
          <w:p>
            <w:pPr>
              <w:spacing w:after="0"/>
              <w:rPr>
                <w:rFonts w:ascii="Arial" w:cs="Arial" w:eastAsia="Arial" w:hAnsi="Arial"/>
                <w:sz w:val="16"/>
                <w:szCs w:val="16"/>
                <w:color w:val="0000FF"/>
                <w:w w:val="92"/>
              </w:rPr>
            </w:pPr>
            <w:hyperlink r:id="rId119">
              <w:r>
                <w:rPr>
                  <w:rFonts w:ascii="Arial" w:cs="Arial" w:eastAsia="Arial" w:hAnsi="Arial"/>
                  <w:sz w:val="16"/>
                  <w:szCs w:val="16"/>
                  <w:color w:val="0000FF"/>
                  <w:w w:val="92"/>
                </w:rPr>
                <w:t>Third Amendment to ABL Credit Agreement, dated as of October 27, 2021 (incorporated by reference to Exhibit 10.2 of the Company's Current</w:t>
              </w:r>
            </w:hyperlink>
          </w:p>
        </w:tc>
        <w:tc>
          <w:tcPr>
            <w:tcW w:w="3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00"/>
          </w:cols>
          <w:pgMar w:left="320" w:top="121" w:right="379" w:bottom="1440" w:gutter="0" w:footer="0" w:header="0"/>
          <w:type w:val="continuous"/>
        </w:sect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21.1</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23.1</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31.1</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31.2</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Report on Form 8-K filed on October 29, 2021).</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85">
        <w:r>
          <w:rPr>
            <w:rFonts w:ascii="Arial" w:cs="Arial" w:eastAsia="Arial" w:hAnsi="Arial"/>
            <w:sz w:val="16"/>
            <w:szCs w:val="16"/>
            <w:u w:val="single" w:color="auto"/>
            <w:color w:val="0000FF"/>
          </w:rPr>
          <w:t>List of subsidiaries of Option Care Health, Inc. (filed herewith).</w:t>
        </w:r>
      </w:hyperlink>
    </w:p>
    <w:p>
      <w:pPr>
        <w:spacing w:after="0" w:line="59" w:lineRule="exact"/>
        <w:rPr>
          <w:sz w:val="20"/>
          <w:szCs w:val="20"/>
          <w:color w:val="auto"/>
        </w:rPr>
      </w:pPr>
    </w:p>
    <w:p>
      <w:pPr>
        <w:spacing w:after="0"/>
        <w:rPr>
          <w:rFonts w:ascii="Arial" w:cs="Arial" w:eastAsia="Arial" w:hAnsi="Arial"/>
          <w:sz w:val="16"/>
          <w:szCs w:val="16"/>
          <w:u w:val="single" w:color="auto"/>
          <w:color w:val="0000FF"/>
        </w:rPr>
      </w:pPr>
      <w:hyperlink w:anchor="page87">
        <w:r>
          <w:rPr>
            <w:rFonts w:ascii="Arial" w:cs="Arial" w:eastAsia="Arial" w:hAnsi="Arial"/>
            <w:sz w:val="16"/>
            <w:szCs w:val="16"/>
            <w:u w:val="single" w:color="auto"/>
            <w:color w:val="0000FF"/>
          </w:rPr>
          <w:t>Consent of Independent Registered Public Accounting Firm (filed herewith).</w:t>
        </w:r>
      </w:hyperlink>
    </w:p>
    <w:p>
      <w:pPr>
        <w:spacing w:after="0" w:line="59" w:lineRule="exact"/>
        <w:rPr>
          <w:sz w:val="20"/>
          <w:szCs w:val="20"/>
          <w:color w:val="auto"/>
        </w:rPr>
      </w:pPr>
    </w:p>
    <w:p>
      <w:pPr>
        <w:spacing w:after="0"/>
        <w:rPr>
          <w:rFonts w:ascii="Arial" w:cs="Arial" w:eastAsia="Arial" w:hAnsi="Arial"/>
          <w:sz w:val="14"/>
          <w:szCs w:val="14"/>
          <w:u w:val="single" w:color="auto"/>
          <w:color w:val="0000FF"/>
        </w:rPr>
      </w:pPr>
      <w:hyperlink w:anchor="page88">
        <w:r>
          <w:rPr>
            <w:rFonts w:ascii="Arial" w:cs="Arial" w:eastAsia="Arial" w:hAnsi="Arial"/>
            <w:sz w:val="14"/>
            <w:szCs w:val="14"/>
            <w:u w:val="single" w:color="auto"/>
            <w:color w:val="0000FF"/>
          </w:rPr>
          <w:t>Certification of Chief Executive Officer pursuant to 18 U.S.C. Section 1350, as adopted pursuant to Section 302 of the Sarbanes-Oxley Act of 2002.</w:t>
        </w:r>
      </w:hyperlink>
    </w:p>
    <w:p>
      <w:pPr>
        <w:spacing w:after="0" w:line="42" w:lineRule="exact"/>
        <w:rPr>
          <w:sz w:val="20"/>
          <w:szCs w:val="20"/>
          <w:color w:val="auto"/>
        </w:rPr>
      </w:pPr>
    </w:p>
    <w:p>
      <w:pPr>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(filed herewith).</w:t>
        </w:r>
      </w:hyperlink>
    </w:p>
    <w:p>
      <w:pPr>
        <w:spacing w:after="0" w:line="32" w:lineRule="exact"/>
        <w:rPr>
          <w:sz w:val="20"/>
          <w:szCs w:val="20"/>
          <w:color w:val="auto"/>
        </w:rPr>
      </w:pPr>
    </w:p>
    <w:p>
      <w:pPr>
        <w:spacing w:after="0"/>
        <w:rPr>
          <w:rFonts w:ascii="Arial" w:cs="Arial" w:eastAsia="Arial" w:hAnsi="Arial"/>
          <w:sz w:val="14"/>
          <w:szCs w:val="14"/>
          <w:u w:val="single" w:color="auto"/>
          <w:color w:val="0000FF"/>
        </w:rPr>
      </w:pPr>
      <w:hyperlink w:anchor="page89">
        <w:r>
          <w:rPr>
            <w:rFonts w:ascii="Arial" w:cs="Arial" w:eastAsia="Arial" w:hAnsi="Arial"/>
            <w:sz w:val="14"/>
            <w:szCs w:val="14"/>
            <w:u w:val="single" w:color="auto"/>
            <w:color w:val="0000FF"/>
          </w:rPr>
          <w:t>Certification of Chief Financial Officer pursuant to 18 U.S.C. Section 1350, as adopted pursuant to Section 302 of the Sarbanes-Oxley Act of 2002.</w:t>
        </w:r>
      </w:hyperlink>
    </w:p>
    <w:p>
      <w:pPr>
        <w:spacing w:after="0" w:line="15" w:lineRule="exact"/>
        <w:rPr>
          <w:sz w:val="20"/>
          <w:szCs w:val="20"/>
          <w:color w:val="auto"/>
        </w:rPr>
      </w:pPr>
    </w:p>
    <w:p>
      <w:pPr>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(filed herewith).</w:t>
        </w:r>
      </w:hyperlink>
    </w:p>
    <w:p>
      <w:pPr>
        <w:spacing w:after="0" w:line="6" w:lineRule="exact"/>
        <w:rPr>
          <w:sz w:val="20"/>
          <w:szCs w:val="20"/>
          <w:color w:val="auto"/>
        </w:rPr>
      </w:pPr>
    </w:p>
    <w:p>
      <w:pPr>
        <w:sectPr>
          <w:pgSz w:w="11900" w:h="16838" w:orient="portrait"/>
          <w:cols w:equalWidth="0" w:num="2">
            <w:col w:w="780" w:space="720"/>
            <w:col w:w="9700"/>
          </w:cols>
          <w:pgMar w:left="320" w:top="121" w:right="37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1460" w:type="dxa"/>
            <w:vAlign w:val="bottom"/>
          </w:tcPr>
          <w:p>
            <w:pPr>
              <w:jc w:val="right"/>
              <w:ind w:right="1099"/>
              <w:spacing w:after="0"/>
              <w:rPr>
                <w:sz w:val="20"/>
                <w:szCs w:val="20"/>
                <w:color w:val="auto"/>
              </w:rPr>
            </w:pPr>
            <w:r>
              <w:rPr>
                <w:rFonts w:ascii="Arial" w:cs="Arial" w:eastAsia="Arial" w:hAnsi="Arial"/>
                <w:sz w:val="16"/>
                <w:szCs w:val="16"/>
                <w:color w:val="auto"/>
                <w:w w:val="83"/>
              </w:rPr>
              <w:t>32.1</w:t>
            </w:r>
          </w:p>
        </w:tc>
        <w:tc>
          <w:tcPr>
            <w:tcW w:w="9680" w:type="dxa"/>
            <w:vAlign w:val="bottom"/>
            <w:gridSpan w:val="4"/>
          </w:tcPr>
          <w:p>
            <w:pPr>
              <w:spacing w:after="0"/>
              <w:rPr>
                <w:rFonts w:ascii="Arial" w:cs="Arial" w:eastAsia="Arial" w:hAnsi="Arial"/>
                <w:sz w:val="16"/>
                <w:szCs w:val="16"/>
                <w:color w:val="0000FF"/>
                <w:w w:val="92"/>
              </w:rPr>
            </w:pPr>
            <w:hyperlink w:anchor="page90">
              <w:r>
                <w:rPr>
                  <w:rFonts w:ascii="Arial" w:cs="Arial" w:eastAsia="Arial" w:hAnsi="Arial"/>
                  <w:sz w:val="16"/>
                  <w:szCs w:val="16"/>
                  <w:color w:val="0000FF"/>
                  <w:w w:val="92"/>
                </w:rPr>
                <w:t>Certification of Chief Executive Officer pursuant to 18 U.S. C. Section 1350, as adopted pursuant to Section 906 of the Sarbanes-Oxley Act of 2002.</w:t>
              </w:r>
            </w:hyperlink>
          </w:p>
        </w:tc>
      </w:tr>
      <w:tr>
        <w:trPr>
          <w:trHeight w:val="142"/>
        </w:trPr>
        <w:tc>
          <w:tcPr>
            <w:tcW w:w="146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5"/>
              </w:rPr>
            </w:pPr>
            <w:hyperlink w:anchor="page90">
              <w:r>
                <w:rPr>
                  <w:rFonts w:ascii="Arial" w:cs="Arial" w:eastAsia="Arial" w:hAnsi="Arial"/>
                  <w:sz w:val="16"/>
                  <w:szCs w:val="16"/>
                  <w:color w:val="0000FF"/>
                  <w:w w:val="95"/>
                </w:rPr>
                <w:t>(filed herewith).</w:t>
              </w:r>
            </w:hyperlink>
          </w:p>
        </w:tc>
        <w:tc>
          <w:tcPr>
            <w:tcW w:w="860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460" w:type="dxa"/>
            <w:vAlign w:val="bottom"/>
          </w:tcPr>
          <w:p>
            <w:pPr>
              <w:jc w:val="right"/>
              <w:ind w:right="1099"/>
              <w:spacing w:after="0"/>
              <w:rPr>
                <w:sz w:val="20"/>
                <w:szCs w:val="20"/>
                <w:color w:val="auto"/>
              </w:rPr>
            </w:pPr>
            <w:r>
              <w:rPr>
                <w:rFonts w:ascii="Arial" w:cs="Arial" w:eastAsia="Arial" w:hAnsi="Arial"/>
                <w:sz w:val="16"/>
                <w:szCs w:val="16"/>
                <w:color w:val="auto"/>
                <w:w w:val="83"/>
              </w:rPr>
              <w:t>32.2</w:t>
            </w:r>
          </w:p>
        </w:tc>
        <w:tc>
          <w:tcPr>
            <w:tcW w:w="9680" w:type="dxa"/>
            <w:vAlign w:val="bottom"/>
            <w:gridSpan w:val="4"/>
          </w:tcPr>
          <w:p>
            <w:pPr>
              <w:spacing w:after="0"/>
              <w:rPr>
                <w:rFonts w:ascii="Arial" w:cs="Arial" w:eastAsia="Arial" w:hAnsi="Arial"/>
                <w:sz w:val="16"/>
                <w:szCs w:val="16"/>
                <w:color w:val="0000FF"/>
                <w:w w:val="92"/>
              </w:rPr>
            </w:pPr>
            <w:hyperlink w:anchor="page91">
              <w:r>
                <w:rPr>
                  <w:rFonts w:ascii="Arial" w:cs="Arial" w:eastAsia="Arial" w:hAnsi="Arial"/>
                  <w:sz w:val="16"/>
                  <w:szCs w:val="16"/>
                  <w:color w:val="0000FF"/>
                  <w:w w:val="92"/>
                </w:rPr>
                <w:t>Certification of Chief Financial Officer pursuant to 18 U.S. C. Section 1350, as adopted pursuant to Section 906 of the Sarbanes-Oxley Act of 2002.</w:t>
              </w:r>
            </w:hyperlink>
          </w:p>
        </w:tc>
      </w:tr>
      <w:tr>
        <w:trPr>
          <w:trHeight w:val="142"/>
        </w:trPr>
        <w:tc>
          <w:tcPr>
            <w:tcW w:w="146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5"/>
              </w:rPr>
            </w:pPr>
            <w:hyperlink w:anchor="page91">
              <w:r>
                <w:rPr>
                  <w:rFonts w:ascii="Arial" w:cs="Arial" w:eastAsia="Arial" w:hAnsi="Arial"/>
                  <w:sz w:val="16"/>
                  <w:szCs w:val="16"/>
                  <w:color w:val="0000FF"/>
                  <w:w w:val="95"/>
                </w:rPr>
                <w:t>(filed herewith).</w:t>
              </w:r>
            </w:hyperlink>
          </w:p>
        </w:tc>
        <w:tc>
          <w:tcPr>
            <w:tcW w:w="8560" w:type="dxa"/>
            <w:vAlign w:val="bottom"/>
            <w:tcBorders>
              <w:top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r>
    </w:tbl>
    <w:p>
      <w:pPr>
        <w:spacing w:after="0" w:line="31" w:lineRule="exact"/>
        <w:rPr>
          <w:sz w:val="20"/>
          <w:szCs w:val="20"/>
          <w:color w:val="auto"/>
        </w:rPr>
      </w:pPr>
    </w:p>
    <w:p>
      <w:pPr>
        <w:jc w:val="both"/>
        <w:ind w:left="1500" w:hanging="1454"/>
        <w:spacing w:after="0" w:line="222" w:lineRule="auto"/>
        <w:tabs>
          <w:tab w:leader="none" w:pos="1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Form 10-K for the fiscal year ended December 31, 2021, formatted in XBRL (Extensible Business Reporting Language): (i) Consolidated Statements of Comprehensive Income (Loss) for the fiscal years ended December 31, 2021, 2020 and 2019, (ii) Consolidated Balance Sheets as of December 31, 2021 and 2020, (iii) Consolidated Statements of Stockholders’ Equity for the fiscal years ended December 31, 2021, 2020 and 2019, (iv) Consolidated Statements of Cash Flows for the fiscal years ended December 31, 2021, 2020 and 2019, and (v) Notes to Consolidated Financial Statements.</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040" w:type="dxa"/>
            <w:vAlign w:val="bottom"/>
          </w:tcPr>
          <w:p>
            <w:pPr>
              <w:spacing w:after="0"/>
              <w:rPr>
                <w:sz w:val="20"/>
                <w:szCs w:val="20"/>
                <w:color w:val="auto"/>
              </w:rPr>
            </w:pPr>
            <w:r>
              <w:rPr>
                <w:rFonts w:ascii="Arial" w:cs="Arial" w:eastAsia="Arial" w:hAnsi="Arial"/>
                <w:sz w:val="16"/>
                <w:szCs w:val="16"/>
                <w:color w:val="auto"/>
              </w:rPr>
              <w:t>101.INS</w:t>
            </w:r>
          </w:p>
        </w:tc>
        <w:tc>
          <w:tcPr>
            <w:tcW w:w="4460" w:type="dxa"/>
            <w:vAlign w:val="bottom"/>
          </w:tcPr>
          <w:p>
            <w:pPr>
              <w:ind w:left="420"/>
              <w:spacing w:after="0"/>
              <w:rPr>
                <w:sz w:val="20"/>
                <w:szCs w:val="20"/>
                <w:color w:val="auto"/>
              </w:rPr>
            </w:pPr>
            <w:r>
              <w:rPr>
                <w:rFonts w:ascii="Arial" w:cs="Arial" w:eastAsia="Arial" w:hAnsi="Arial"/>
                <w:sz w:val="16"/>
                <w:szCs w:val="16"/>
                <w:color w:val="auto"/>
              </w:rPr>
              <w:t>XBRL Instance Document</w:t>
            </w: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101.SCH</w:t>
            </w:r>
          </w:p>
        </w:tc>
        <w:tc>
          <w:tcPr>
            <w:tcW w:w="4460" w:type="dxa"/>
            <w:vAlign w:val="bottom"/>
          </w:tcPr>
          <w:p>
            <w:pPr>
              <w:ind w:left="42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101.CAL</w:t>
            </w:r>
          </w:p>
        </w:tc>
        <w:tc>
          <w:tcPr>
            <w:tcW w:w="4460" w:type="dxa"/>
            <w:vAlign w:val="bottom"/>
          </w:tcPr>
          <w:p>
            <w:pPr>
              <w:ind w:left="420"/>
              <w:spacing w:after="0"/>
              <w:rPr>
                <w:sz w:val="20"/>
                <w:szCs w:val="20"/>
                <w:color w:val="auto"/>
              </w:rPr>
            </w:pPr>
            <w:r>
              <w:rPr>
                <w:rFonts w:ascii="Arial" w:cs="Arial" w:eastAsia="Arial" w:hAnsi="Arial"/>
                <w:sz w:val="16"/>
                <w:szCs w:val="16"/>
                <w:color w:val="auto"/>
                <w:w w:val="94"/>
              </w:rPr>
              <w:t>XBRL Taxonomy Extension Calculation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101.DEF</w:t>
            </w:r>
          </w:p>
        </w:tc>
        <w:tc>
          <w:tcPr>
            <w:tcW w:w="4460" w:type="dxa"/>
            <w:vAlign w:val="bottom"/>
          </w:tcPr>
          <w:p>
            <w:pPr>
              <w:ind w:left="420"/>
              <w:spacing w:after="0"/>
              <w:rPr>
                <w:sz w:val="20"/>
                <w:szCs w:val="20"/>
                <w:color w:val="auto"/>
              </w:rPr>
            </w:pPr>
            <w:r>
              <w:rPr>
                <w:rFonts w:ascii="Arial" w:cs="Arial" w:eastAsia="Arial" w:hAnsi="Arial"/>
                <w:sz w:val="16"/>
                <w:szCs w:val="16"/>
                <w:color w:val="auto"/>
                <w:w w:val="97"/>
              </w:rPr>
              <w:t>XBRL Taxonomy Extension Definition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101.LAB</w:t>
            </w:r>
          </w:p>
        </w:tc>
        <w:tc>
          <w:tcPr>
            <w:tcW w:w="4460" w:type="dxa"/>
            <w:vAlign w:val="bottom"/>
          </w:tcPr>
          <w:p>
            <w:pPr>
              <w:ind w:left="420"/>
              <w:spacing w:after="0"/>
              <w:rPr>
                <w:sz w:val="20"/>
                <w:szCs w:val="20"/>
                <w:color w:val="auto"/>
              </w:rPr>
            </w:pPr>
            <w:r>
              <w:rPr>
                <w:rFonts w:ascii="Arial" w:cs="Arial" w:eastAsia="Arial" w:hAnsi="Arial"/>
                <w:sz w:val="16"/>
                <w:szCs w:val="16"/>
                <w:color w:val="auto"/>
              </w:rPr>
              <w:t>XBRL Taxonomy Extension Labels Linkbase Document</w:t>
            </w: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101.PRE</w:t>
            </w:r>
          </w:p>
        </w:tc>
        <w:tc>
          <w:tcPr>
            <w:tcW w:w="4460" w:type="dxa"/>
            <w:vAlign w:val="bottom"/>
          </w:tcPr>
          <w:p>
            <w:pPr>
              <w:ind w:left="420"/>
              <w:spacing w:after="0"/>
              <w:rPr>
                <w:sz w:val="20"/>
                <w:szCs w:val="20"/>
                <w:color w:val="auto"/>
              </w:rPr>
            </w:pPr>
            <w:r>
              <w:rPr>
                <w:rFonts w:ascii="Arial" w:cs="Arial" w:eastAsia="Arial" w:hAnsi="Arial"/>
                <w:sz w:val="16"/>
                <w:szCs w:val="16"/>
                <w:color w:val="auto"/>
                <w:w w:val="92"/>
              </w:rPr>
              <w:t>XBRL Taxonomy Extension Presentation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104</w:t>
            </w:r>
          </w:p>
        </w:tc>
        <w:tc>
          <w:tcPr>
            <w:tcW w:w="4460" w:type="dxa"/>
            <w:vAlign w:val="bottom"/>
          </w:tcPr>
          <w:p>
            <w:pPr>
              <w:ind w:left="420"/>
              <w:spacing w:after="0"/>
              <w:rPr>
                <w:sz w:val="20"/>
                <w:szCs w:val="20"/>
                <w:color w:val="auto"/>
              </w:rPr>
            </w:pPr>
            <w:r>
              <w:rPr>
                <w:rFonts w:ascii="Arial" w:cs="Arial" w:eastAsia="Arial" w:hAnsi="Arial"/>
                <w:sz w:val="16"/>
                <w:szCs w:val="16"/>
                <w:color w:val="auto"/>
              </w:rPr>
              <w:t>XBRL Formatted Cover Page</w:t>
            </w:r>
          </w:p>
        </w:tc>
      </w:tr>
    </w:tbl>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2" w:name="page83"/>
    <w:bookmarkEnd w:id="8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Designates the Company’s management contracts or compensatory plan or arrangement.</w:t>
      </w:r>
    </w:p>
    <w:p>
      <w:pPr>
        <w:spacing w:after="0" w:line="68" w:lineRule="exact"/>
        <w:rPr>
          <w:sz w:val="20"/>
          <w:szCs w:val="20"/>
          <w:color w:val="auto"/>
        </w:rPr>
      </w:pPr>
    </w:p>
    <w:p>
      <w:pPr>
        <w:sectPr>
          <w:pgSz w:w="11900" w:h="16838" w:orient="portrait"/>
          <w:cols w:equalWidth="0" w:num="2">
            <w:col w:w="720" w:space="720"/>
            <w:col w:w="9740"/>
          </w:cols>
          <w:pgMar w:left="320" w:top="121" w:right="39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Certain schedules attached to the Agreement and Plan of Merger have been omitted pursuant to Item 601(b)(2) of Regulation S-K. The Company will furnish copies of the omitted schedules to the Securities and Exchange Commission upon request by the Commission.</w:t>
      </w:r>
    </w:p>
    <w:p>
      <w:pPr>
        <w:spacing w:after="0" w:line="164" w:lineRule="exact"/>
        <w:rPr>
          <w:sz w:val="20"/>
          <w:szCs w:val="20"/>
          <w:color w:val="auto"/>
        </w:rPr>
      </w:pPr>
    </w:p>
    <w:p>
      <w:pPr>
        <w:sectPr>
          <w:pgSz w:w="11900" w:h="16838" w:orient="portrait"/>
          <w:cols w:equalWidth="0" w:num="2">
            <w:col w:w="720" w:space="720"/>
            <w:col w:w="9740"/>
          </w:cols>
          <w:pgMar w:left="320" w:top="121" w:right="399" w:bottom="1440" w:gutter="0" w:footer="0" w:header="0"/>
          <w:type w:val="continuous"/>
        </w:sect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ectPr>
          <w:pgSz w:w="11900" w:h="16838" w:orient="portrait"/>
          <w:cols w:equalWidth="0" w:num="1">
            <w:col w:w="11180"/>
          </w:cols>
          <w:pgMar w:left="320" w:top="121" w:right="399" w:bottom="1440" w:gutter="0" w:footer="0" w:header="0"/>
          <w:type w:val="continuous"/>
        </w:sectPr>
      </w:pP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600" w:firstLine="324"/>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23, 2022.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OPTION CARE HEALTH, INC.</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 Michael Shapiro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Shapiro</w:t>
      </w:r>
    </w:p>
    <w:p>
      <w:pPr>
        <w:spacing w:after="0" w:line="184"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Chief Financial Officer and Senior Vice President (Principal Financial Officer and Duly Authorized Officer)</w:t>
      </w:r>
    </w:p>
    <w:p>
      <w:pPr>
        <w:spacing w:after="0" w:line="20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89"/>
              </w:rPr>
              <w:t>Signature</w:t>
            </w:r>
          </w:p>
        </w:tc>
        <w:tc>
          <w:tcPr>
            <w:tcW w:w="2680" w:type="dxa"/>
            <w:vAlign w:val="bottom"/>
            <w:gridSpan w:val="12"/>
          </w:tcPr>
          <w:p>
            <w:pPr>
              <w:spacing w:after="0"/>
              <w:rPr>
                <w:sz w:val="17"/>
                <w:szCs w:val="17"/>
                <w:color w:val="auto"/>
              </w:rPr>
            </w:pPr>
          </w:p>
        </w:tc>
        <w:tc>
          <w:tcPr>
            <w:tcW w:w="2940" w:type="dxa"/>
            <w:vAlign w:val="bottom"/>
          </w:tcPr>
          <w:p>
            <w:pPr>
              <w:spacing w:after="0"/>
              <w:rPr>
                <w:sz w:val="17"/>
                <w:szCs w:val="17"/>
                <w:color w:val="auto"/>
              </w:rPr>
            </w:pPr>
          </w:p>
        </w:tc>
        <w:tc>
          <w:tcPr>
            <w:tcW w:w="2860" w:type="dxa"/>
            <w:vAlign w:val="bottom"/>
            <w:gridSpan w:val="2"/>
          </w:tcPr>
          <w:p>
            <w:pPr>
              <w:jc w:val="center"/>
              <w:ind w:right="2320"/>
              <w:spacing w:after="0"/>
              <w:rPr>
                <w:sz w:val="20"/>
                <w:szCs w:val="20"/>
                <w:color w:val="auto"/>
              </w:rPr>
            </w:pPr>
            <w:r>
              <w:rPr>
                <w:rFonts w:ascii="Arial" w:cs="Arial" w:eastAsia="Arial" w:hAnsi="Arial"/>
                <w:sz w:val="18"/>
                <w:szCs w:val="18"/>
                <w:b w:val="1"/>
                <w:bCs w:val="1"/>
                <w:color w:val="auto"/>
                <w:w w:val="91"/>
              </w:rPr>
              <w:t>Title(s)</w:t>
            </w:r>
          </w:p>
        </w:tc>
        <w:tc>
          <w:tcPr>
            <w:tcW w:w="92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9"/>
        </w:trPr>
        <w:tc>
          <w:tcPr>
            <w:tcW w:w="3440" w:type="dxa"/>
            <w:vAlign w:val="bottom"/>
            <w:gridSpan w:val="14"/>
          </w:tcPr>
          <w:p>
            <w:pPr>
              <w:spacing w:after="0"/>
              <w:rPr>
                <w:sz w:val="20"/>
                <w:szCs w:val="20"/>
                <w:color w:val="auto"/>
              </w:rPr>
            </w:pPr>
            <w:r>
              <w:rPr>
                <w:rFonts w:ascii="Arial" w:cs="Arial" w:eastAsia="Arial" w:hAnsi="Arial"/>
                <w:sz w:val="18"/>
                <w:szCs w:val="18"/>
                <w:color w:val="auto"/>
              </w:rPr>
              <w:t>/s/ John C. Rademacher</w:t>
            </w:r>
          </w:p>
        </w:tc>
        <w:tc>
          <w:tcPr>
            <w:tcW w:w="580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Chief Executive Officer, President and Director</w:t>
            </w:r>
          </w:p>
        </w:tc>
        <w:tc>
          <w:tcPr>
            <w:tcW w:w="1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February 23, 2022</w:t>
            </w:r>
          </w:p>
        </w:tc>
      </w:tr>
      <w:tr>
        <w:trPr>
          <w:trHeight w:val="224"/>
        </w:trPr>
        <w:tc>
          <w:tcPr>
            <w:tcW w:w="60" w:type="dxa"/>
            <w:vAlign w:val="bottom"/>
          </w:tcPr>
          <w:p>
            <w:pPr>
              <w:spacing w:after="0"/>
              <w:rPr>
                <w:sz w:val="19"/>
                <w:szCs w:val="19"/>
                <w:color w:val="auto"/>
              </w:rPr>
            </w:pPr>
          </w:p>
        </w:tc>
        <w:tc>
          <w:tcPr>
            <w:tcW w:w="166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w w:val="96"/>
              </w:rPr>
              <w:t>John C. Rademacher</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(Principal Executive Officer)</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7"/>
        </w:trPr>
        <w:tc>
          <w:tcPr>
            <w:tcW w:w="3440" w:type="dxa"/>
            <w:vAlign w:val="bottom"/>
            <w:gridSpan w:val="14"/>
          </w:tcPr>
          <w:p>
            <w:pPr>
              <w:spacing w:after="0"/>
              <w:rPr>
                <w:sz w:val="20"/>
                <w:szCs w:val="20"/>
                <w:color w:val="auto"/>
              </w:rPr>
            </w:pPr>
            <w:r>
              <w:rPr>
                <w:rFonts w:ascii="Arial" w:cs="Arial" w:eastAsia="Arial" w:hAnsi="Arial"/>
                <w:sz w:val="18"/>
                <w:szCs w:val="18"/>
                <w:color w:val="auto"/>
              </w:rPr>
              <w:t>/s/ Michael Shapiro</w:t>
            </w:r>
          </w:p>
        </w:tc>
        <w:tc>
          <w:tcPr>
            <w:tcW w:w="580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Chief Financial Officer and Senior Vice President</w:t>
            </w:r>
          </w:p>
        </w:tc>
        <w:tc>
          <w:tcPr>
            <w:tcW w:w="1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February 23, 2022</w:t>
            </w:r>
          </w:p>
        </w:tc>
      </w:tr>
      <w:tr>
        <w:trPr>
          <w:trHeight w:val="224"/>
        </w:trPr>
        <w:tc>
          <w:tcPr>
            <w:tcW w:w="60" w:type="dxa"/>
            <w:vAlign w:val="bottom"/>
          </w:tcPr>
          <w:p>
            <w:pPr>
              <w:spacing w:after="0"/>
              <w:rPr>
                <w:sz w:val="19"/>
                <w:szCs w:val="19"/>
                <w:color w:val="auto"/>
              </w:rPr>
            </w:pPr>
          </w:p>
        </w:tc>
        <w:tc>
          <w:tcPr>
            <w:tcW w:w="13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Michael Shapiro</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580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(Principal Financial Officer, Principal Accounting Officer)</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91"/>
        </w:trPr>
        <w:tc>
          <w:tcPr>
            <w:tcW w:w="3440" w:type="dxa"/>
            <w:vAlign w:val="bottom"/>
            <w:gridSpan w:val="14"/>
          </w:tcPr>
          <w:p>
            <w:pPr>
              <w:spacing w:after="0"/>
              <w:rPr>
                <w:sz w:val="20"/>
                <w:szCs w:val="20"/>
                <w:color w:val="auto"/>
              </w:rPr>
            </w:pPr>
            <w:r>
              <w:rPr>
                <w:rFonts w:ascii="Arial" w:cs="Arial" w:eastAsia="Arial" w:hAnsi="Arial"/>
                <w:sz w:val="18"/>
                <w:szCs w:val="18"/>
                <w:color w:val="auto"/>
              </w:rPr>
              <w:t>/s/ Harry M. Jansen Kraemer, Jr.</w:t>
            </w:r>
          </w:p>
        </w:tc>
        <w:tc>
          <w:tcPr>
            <w:tcW w:w="580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Non-Executive Chairman of the Board</w:t>
            </w:r>
          </w:p>
        </w:tc>
        <w:tc>
          <w:tcPr>
            <w:tcW w:w="1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February 23, 2022</w:t>
            </w:r>
          </w:p>
        </w:tc>
      </w:tr>
      <w:tr>
        <w:trPr>
          <w:trHeight w:val="224"/>
        </w:trPr>
        <w:tc>
          <w:tcPr>
            <w:tcW w:w="234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w w:val="98"/>
              </w:rPr>
              <w:t>Harry M. Jansen Kraemer, Jr.</w:t>
            </w:r>
          </w:p>
        </w:tc>
        <w:tc>
          <w:tcPr>
            <w:tcW w:w="1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7"/>
        </w:trPr>
        <w:tc>
          <w:tcPr>
            <w:tcW w:w="3440" w:type="dxa"/>
            <w:vAlign w:val="bottom"/>
            <w:gridSpan w:val="14"/>
          </w:tcPr>
          <w:p>
            <w:pPr>
              <w:spacing w:after="0"/>
              <w:rPr>
                <w:sz w:val="20"/>
                <w:szCs w:val="20"/>
                <w:color w:val="auto"/>
              </w:rPr>
            </w:pPr>
            <w:r>
              <w:rPr>
                <w:rFonts w:ascii="Arial" w:cs="Arial" w:eastAsia="Arial" w:hAnsi="Arial"/>
                <w:sz w:val="18"/>
                <w:szCs w:val="18"/>
                <w:color w:val="auto"/>
              </w:rPr>
              <w:t>/s/ John J. Arlotta</w:t>
            </w:r>
          </w:p>
        </w:tc>
        <w:tc>
          <w:tcPr>
            <w:tcW w:w="580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February 23, 2022</w:t>
            </w:r>
          </w:p>
        </w:tc>
      </w:tr>
      <w:tr>
        <w:trPr>
          <w:trHeight w:val="224"/>
        </w:trPr>
        <w:tc>
          <w:tcPr>
            <w:tcW w:w="12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John J. Arlotta</w:t>
            </w:r>
          </w:p>
        </w:tc>
        <w:tc>
          <w:tcPr>
            <w:tcW w:w="2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spacing w:after="0"/>
              <w:rPr>
                <w:sz w:val="19"/>
                <w:szCs w:val="19"/>
                <w:color w:val="auto"/>
              </w:rPr>
            </w:pP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7"/>
        </w:trPr>
        <w:tc>
          <w:tcPr>
            <w:tcW w:w="3440" w:type="dxa"/>
            <w:vAlign w:val="bottom"/>
            <w:gridSpan w:val="14"/>
          </w:tcPr>
          <w:p>
            <w:pPr>
              <w:spacing w:after="0"/>
              <w:rPr>
                <w:sz w:val="20"/>
                <w:szCs w:val="20"/>
                <w:color w:val="auto"/>
              </w:rPr>
            </w:pPr>
            <w:r>
              <w:rPr>
                <w:rFonts w:ascii="Arial" w:cs="Arial" w:eastAsia="Arial" w:hAnsi="Arial"/>
                <w:sz w:val="18"/>
                <w:szCs w:val="18"/>
                <w:color w:val="auto"/>
              </w:rPr>
              <w:t>/s/ Elizabeth Q. Betten</w:t>
            </w:r>
          </w:p>
        </w:tc>
        <w:tc>
          <w:tcPr>
            <w:tcW w:w="580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February 23, 2022</w:t>
            </w:r>
          </w:p>
        </w:tc>
      </w:tr>
      <w:tr>
        <w:trPr>
          <w:trHeight w:val="224"/>
        </w:trPr>
        <w:tc>
          <w:tcPr>
            <w:tcW w:w="164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Elizabeth Q. Betten</w:t>
            </w:r>
          </w:p>
        </w:tc>
        <w:tc>
          <w:tcPr>
            <w:tcW w:w="20" w:type="dxa"/>
            <w:vAlign w:val="bottom"/>
          </w:tcPr>
          <w:p>
            <w:pPr>
              <w:spacing w:after="0"/>
              <w:rPr>
                <w:sz w:val="19"/>
                <w:szCs w:val="19"/>
                <w:color w:val="auto"/>
              </w:rPr>
            </w:pPr>
          </w:p>
        </w:tc>
        <w:tc>
          <w:tcPr>
            <w:tcW w:w="1780" w:type="dxa"/>
            <w:vAlign w:val="bottom"/>
            <w:gridSpan w:val="3"/>
          </w:tcPr>
          <w:p>
            <w:pPr>
              <w:spacing w:after="0"/>
              <w:rPr>
                <w:sz w:val="19"/>
                <w:szCs w:val="19"/>
                <w:color w:val="auto"/>
              </w:rPr>
            </w:pP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7"/>
        </w:trPr>
        <w:tc>
          <w:tcPr>
            <w:tcW w:w="3440" w:type="dxa"/>
            <w:vAlign w:val="bottom"/>
            <w:gridSpan w:val="14"/>
          </w:tcPr>
          <w:p>
            <w:pPr>
              <w:spacing w:after="0"/>
              <w:rPr>
                <w:sz w:val="20"/>
                <w:szCs w:val="20"/>
                <w:color w:val="auto"/>
              </w:rPr>
            </w:pPr>
            <w:r>
              <w:rPr>
                <w:rFonts w:ascii="Arial" w:cs="Arial" w:eastAsia="Arial" w:hAnsi="Arial"/>
                <w:sz w:val="18"/>
                <w:szCs w:val="18"/>
                <w:color w:val="auto"/>
              </w:rPr>
              <w:t>/s/ David W. Golding</w:t>
            </w:r>
          </w:p>
        </w:tc>
        <w:tc>
          <w:tcPr>
            <w:tcW w:w="580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February 23, 2022</w:t>
            </w:r>
          </w:p>
        </w:tc>
      </w:tr>
      <w:tr>
        <w:trPr>
          <w:trHeight w:val="224"/>
        </w:trPr>
        <w:tc>
          <w:tcPr>
            <w:tcW w:w="15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David W. Golding</w:t>
            </w:r>
          </w:p>
        </w:tc>
        <w:tc>
          <w:tcPr>
            <w:tcW w:w="120" w:type="dxa"/>
            <w:vAlign w:val="bottom"/>
            <w:gridSpan w:val="2"/>
          </w:tcPr>
          <w:p>
            <w:pPr>
              <w:spacing w:after="0"/>
              <w:rPr>
                <w:sz w:val="19"/>
                <w:szCs w:val="19"/>
                <w:color w:val="auto"/>
              </w:rPr>
            </w:pPr>
          </w:p>
        </w:tc>
        <w:tc>
          <w:tcPr>
            <w:tcW w:w="1780" w:type="dxa"/>
            <w:vAlign w:val="bottom"/>
            <w:gridSpan w:val="3"/>
          </w:tcPr>
          <w:p>
            <w:pPr>
              <w:spacing w:after="0"/>
              <w:rPr>
                <w:sz w:val="19"/>
                <w:szCs w:val="19"/>
                <w:color w:val="auto"/>
              </w:rPr>
            </w:pP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7"/>
        </w:trPr>
        <w:tc>
          <w:tcPr>
            <w:tcW w:w="3440" w:type="dxa"/>
            <w:vAlign w:val="bottom"/>
            <w:gridSpan w:val="14"/>
          </w:tcPr>
          <w:p>
            <w:pPr>
              <w:spacing w:after="0"/>
              <w:rPr>
                <w:sz w:val="20"/>
                <w:szCs w:val="20"/>
                <w:color w:val="auto"/>
              </w:rPr>
            </w:pPr>
            <w:r>
              <w:rPr>
                <w:rFonts w:ascii="Arial" w:cs="Arial" w:eastAsia="Arial" w:hAnsi="Arial"/>
                <w:sz w:val="18"/>
                <w:szCs w:val="18"/>
                <w:color w:val="auto"/>
              </w:rPr>
              <w:t>/s/ Alan Nielsen</w:t>
            </w:r>
          </w:p>
        </w:tc>
        <w:tc>
          <w:tcPr>
            <w:tcW w:w="580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February 23, 2022</w:t>
            </w:r>
          </w:p>
        </w:tc>
      </w:tr>
      <w:tr>
        <w:trPr>
          <w:trHeight w:val="224"/>
        </w:trPr>
        <w:tc>
          <w:tcPr>
            <w:tcW w:w="11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Alan Nielsen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5"/>
          </w:tcPr>
          <w:p>
            <w:pPr>
              <w:spacing w:after="0"/>
              <w:rPr>
                <w:sz w:val="19"/>
                <w:szCs w:val="19"/>
                <w:color w:val="auto"/>
              </w:rPr>
            </w:pPr>
          </w:p>
        </w:tc>
        <w:tc>
          <w:tcPr>
            <w:tcW w:w="1780" w:type="dxa"/>
            <w:vAlign w:val="bottom"/>
            <w:gridSpan w:val="3"/>
          </w:tcPr>
          <w:p>
            <w:pPr>
              <w:spacing w:after="0"/>
              <w:rPr>
                <w:sz w:val="19"/>
                <w:szCs w:val="19"/>
                <w:color w:val="auto"/>
              </w:rPr>
            </w:pP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91"/>
        </w:trPr>
        <w:tc>
          <w:tcPr>
            <w:tcW w:w="3440" w:type="dxa"/>
            <w:vAlign w:val="bottom"/>
            <w:gridSpan w:val="14"/>
          </w:tcPr>
          <w:p>
            <w:pPr>
              <w:spacing w:after="0"/>
              <w:rPr>
                <w:sz w:val="20"/>
                <w:szCs w:val="20"/>
                <w:color w:val="auto"/>
              </w:rPr>
            </w:pPr>
            <w:r>
              <w:rPr>
                <w:rFonts w:ascii="Arial" w:cs="Arial" w:eastAsia="Arial" w:hAnsi="Arial"/>
                <w:sz w:val="18"/>
                <w:szCs w:val="18"/>
                <w:color w:val="auto"/>
              </w:rPr>
              <w:t>/s/ R. Carter Pate</w:t>
            </w:r>
          </w:p>
        </w:tc>
        <w:tc>
          <w:tcPr>
            <w:tcW w:w="580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February 23, 2022</w:t>
            </w:r>
          </w:p>
        </w:tc>
      </w:tr>
      <w:tr>
        <w:trPr>
          <w:trHeight w:val="224"/>
        </w:trPr>
        <w:tc>
          <w:tcPr>
            <w:tcW w:w="12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R. Carter Pate</w:t>
            </w:r>
          </w:p>
        </w:tc>
        <w:tc>
          <w:tcPr>
            <w:tcW w:w="420" w:type="dxa"/>
            <w:vAlign w:val="bottom"/>
            <w:gridSpan w:val="5"/>
          </w:tcPr>
          <w:p>
            <w:pPr>
              <w:spacing w:after="0"/>
              <w:rPr>
                <w:sz w:val="19"/>
                <w:szCs w:val="19"/>
                <w:color w:val="auto"/>
              </w:rPr>
            </w:pPr>
          </w:p>
        </w:tc>
        <w:tc>
          <w:tcPr>
            <w:tcW w:w="1780" w:type="dxa"/>
            <w:vAlign w:val="bottom"/>
            <w:gridSpan w:val="3"/>
          </w:tcPr>
          <w:p>
            <w:pPr>
              <w:spacing w:after="0"/>
              <w:rPr>
                <w:sz w:val="19"/>
                <w:szCs w:val="19"/>
                <w:color w:val="auto"/>
              </w:rPr>
            </w:pP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7"/>
        </w:trPr>
        <w:tc>
          <w:tcPr>
            <w:tcW w:w="3440" w:type="dxa"/>
            <w:vAlign w:val="bottom"/>
            <w:gridSpan w:val="14"/>
          </w:tcPr>
          <w:p>
            <w:pPr>
              <w:spacing w:after="0"/>
              <w:rPr>
                <w:sz w:val="20"/>
                <w:szCs w:val="20"/>
                <w:color w:val="auto"/>
              </w:rPr>
            </w:pPr>
            <w:r>
              <w:rPr>
                <w:rFonts w:ascii="Arial" w:cs="Arial" w:eastAsia="Arial" w:hAnsi="Arial"/>
                <w:sz w:val="18"/>
                <w:szCs w:val="18"/>
                <w:color w:val="auto"/>
              </w:rPr>
              <w:t>/s/ Nitin Sahney</w:t>
            </w:r>
          </w:p>
        </w:tc>
        <w:tc>
          <w:tcPr>
            <w:tcW w:w="580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February 23, 2022</w:t>
            </w:r>
          </w:p>
        </w:tc>
      </w:tr>
      <w:tr>
        <w:trPr>
          <w:trHeight w:val="224"/>
        </w:trPr>
        <w:tc>
          <w:tcPr>
            <w:tcW w:w="12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Nitin Sahney</w:t>
            </w:r>
          </w:p>
        </w:tc>
        <w:tc>
          <w:tcPr>
            <w:tcW w:w="460" w:type="dxa"/>
            <w:vAlign w:val="bottom"/>
            <w:gridSpan w:val="6"/>
          </w:tcPr>
          <w:p>
            <w:pPr>
              <w:spacing w:after="0"/>
              <w:rPr>
                <w:sz w:val="19"/>
                <w:szCs w:val="19"/>
                <w:color w:val="auto"/>
              </w:rPr>
            </w:pPr>
          </w:p>
        </w:tc>
        <w:tc>
          <w:tcPr>
            <w:tcW w:w="1780" w:type="dxa"/>
            <w:vAlign w:val="bottom"/>
            <w:gridSpan w:val="3"/>
          </w:tcPr>
          <w:p>
            <w:pPr>
              <w:spacing w:after="0"/>
              <w:rPr>
                <w:sz w:val="19"/>
                <w:szCs w:val="19"/>
                <w:color w:val="auto"/>
              </w:rPr>
            </w:pP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7"/>
        </w:trPr>
        <w:tc>
          <w:tcPr>
            <w:tcW w:w="3440" w:type="dxa"/>
            <w:vAlign w:val="bottom"/>
            <w:gridSpan w:val="14"/>
          </w:tcPr>
          <w:p>
            <w:pPr>
              <w:spacing w:after="0"/>
              <w:rPr>
                <w:sz w:val="20"/>
                <w:szCs w:val="20"/>
                <w:color w:val="auto"/>
              </w:rPr>
            </w:pPr>
            <w:r>
              <w:rPr>
                <w:rFonts w:ascii="Arial" w:cs="Arial" w:eastAsia="Arial" w:hAnsi="Arial"/>
                <w:sz w:val="18"/>
                <w:szCs w:val="18"/>
                <w:color w:val="auto"/>
              </w:rPr>
              <w:t>/s/ Timothy P. Sullivan</w:t>
            </w:r>
          </w:p>
        </w:tc>
        <w:tc>
          <w:tcPr>
            <w:tcW w:w="580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February 23, 2022</w:t>
            </w:r>
          </w:p>
        </w:tc>
      </w:tr>
      <w:tr>
        <w:trPr>
          <w:trHeight w:val="224"/>
        </w:trPr>
        <w:tc>
          <w:tcPr>
            <w:tcW w:w="166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Timothy P. Sullivan</w:t>
            </w:r>
          </w:p>
        </w:tc>
        <w:tc>
          <w:tcPr>
            <w:tcW w:w="1780" w:type="dxa"/>
            <w:vAlign w:val="bottom"/>
            <w:gridSpan w:val="3"/>
          </w:tcPr>
          <w:p>
            <w:pPr>
              <w:spacing w:after="0"/>
              <w:rPr>
                <w:sz w:val="19"/>
                <w:szCs w:val="19"/>
                <w:color w:val="auto"/>
              </w:rPr>
            </w:pP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3"/>
        </w:trPr>
        <w:tc>
          <w:tcPr>
            <w:tcW w:w="3440" w:type="dxa"/>
            <w:vAlign w:val="bottom"/>
            <w:gridSpan w:val="14"/>
          </w:tcPr>
          <w:p>
            <w:pPr>
              <w:spacing w:after="0"/>
              <w:rPr>
                <w:sz w:val="20"/>
                <w:szCs w:val="20"/>
                <w:color w:val="auto"/>
              </w:rPr>
            </w:pPr>
            <w:r>
              <w:rPr>
                <w:rFonts w:ascii="Arial" w:cs="Arial" w:eastAsia="Arial" w:hAnsi="Arial"/>
                <w:sz w:val="18"/>
                <w:szCs w:val="18"/>
                <w:color w:val="auto"/>
              </w:rPr>
              <w:t>/s/ Mark Vainisi</w:t>
            </w:r>
          </w:p>
        </w:tc>
        <w:tc>
          <w:tcPr>
            <w:tcW w:w="580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February 23, 2022</w:t>
            </w:r>
          </w:p>
        </w:tc>
      </w:tr>
      <w:tr>
        <w:trPr>
          <w:trHeight w:val="224"/>
        </w:trPr>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Mark Vainisi</w:t>
            </w:r>
          </w:p>
        </w:tc>
        <w:tc>
          <w:tcPr>
            <w:tcW w:w="2280" w:type="dxa"/>
            <w:vAlign w:val="bottom"/>
            <w:gridSpan w:val="11"/>
          </w:tcPr>
          <w:p>
            <w:pPr>
              <w:spacing w:after="0"/>
              <w:rPr>
                <w:sz w:val="19"/>
                <w:szCs w:val="19"/>
                <w:color w:val="auto"/>
              </w:rPr>
            </w:pPr>
          </w:p>
        </w:tc>
        <w:tc>
          <w:tcPr>
            <w:tcW w:w="2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836"/>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40" w:type="dxa"/>
            <w:vAlign w:val="bottom"/>
          </w:tcPr>
          <w:p>
            <w:pPr>
              <w:jc w:val="right"/>
              <w:ind w:right="610"/>
              <w:spacing w:after="0"/>
              <w:rPr>
                <w:sz w:val="20"/>
                <w:szCs w:val="20"/>
                <w:color w:val="auto"/>
              </w:rPr>
            </w:pPr>
            <w:r>
              <w:rPr>
                <w:rFonts w:ascii="Arial" w:cs="Arial" w:eastAsia="Arial" w:hAnsi="Arial"/>
                <w:sz w:val="18"/>
                <w:szCs w:val="18"/>
                <w:color w:val="auto"/>
              </w:rPr>
              <w:t>84</w:t>
            </w: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200"/>
          </w:cols>
          <w:pgMar w:left="320" w:top="121" w:right="379" w:bottom="1440" w:gutter="0" w:footer="0" w:header="0"/>
        </w:sectPr>
      </w:pPr>
    </w:p>
    <w:bookmarkStart w:id="84" w:name="page85"/>
    <w:bookmarkEnd w:id="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1560"/>
              <w:spacing w:after="0"/>
              <w:rPr>
                <w:sz w:val="20"/>
                <w:szCs w:val="20"/>
                <w:color w:val="auto"/>
              </w:rPr>
            </w:pPr>
            <w:r>
              <w:rPr>
                <w:rFonts w:ascii="Arial" w:cs="Arial" w:eastAsia="Arial" w:hAnsi="Arial"/>
                <w:sz w:val="16"/>
                <w:szCs w:val="16"/>
                <w:b w:val="1"/>
                <w:bCs w:val="1"/>
                <w:color w:val="auto"/>
              </w:rPr>
              <w:t>EXHIBIT 21.1</w:t>
            </w:r>
          </w:p>
        </w:tc>
      </w:tr>
      <w:tr>
        <w:trPr>
          <w:trHeight w:val="452"/>
        </w:trPr>
        <w:tc>
          <w:tcPr>
            <w:tcW w:w="2840" w:type="dxa"/>
            <w:vAlign w:val="bottom"/>
          </w:tcPr>
          <w:p>
            <w:pPr>
              <w:spacing w:after="0"/>
              <w:rPr>
                <w:sz w:val="24"/>
                <w:szCs w:val="24"/>
                <w:color w:val="auto"/>
              </w:rPr>
            </w:pPr>
          </w:p>
        </w:tc>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8"/>
              </w:rPr>
              <w:t>OPTION CARE HEALTH, INC. AND ITS SUBSIDIARIES</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42"/>
        </w:trPr>
        <w:tc>
          <w:tcPr>
            <w:tcW w:w="5960" w:type="dxa"/>
            <w:vAlign w:val="bottom"/>
            <w:tcBorders>
              <w:bottom w:val="single" w:sz="8" w:color="auto"/>
            </w:tcBorders>
            <w:gridSpan w:val="2"/>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2500"/>
              <w:spacing w:after="0"/>
              <w:rPr>
                <w:sz w:val="20"/>
                <w:szCs w:val="20"/>
                <w:color w:val="auto"/>
              </w:rPr>
            </w:pPr>
            <w:r>
              <w:rPr>
                <w:rFonts w:ascii="Arial" w:cs="Arial" w:eastAsia="Arial" w:hAnsi="Arial"/>
                <w:sz w:val="18"/>
                <w:szCs w:val="18"/>
                <w:b w:val="1"/>
                <w:bCs w:val="1"/>
                <w:color w:val="auto"/>
              </w:rPr>
              <w:t>Entity Name</w:t>
            </w:r>
          </w:p>
        </w:tc>
        <w:tc>
          <w:tcPr>
            <w:tcW w:w="24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State of Incorporation</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Doing Business As</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Applied Health Care,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Infusion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Infusion Services,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Medical Supply Services,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PBM Services,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(NY),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Minnesota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Bradhurst Specialty Pharmacy,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CHI Holding Corp.</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Chronimed,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Minnesota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CHS Holdings,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Holdings,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Specialties Network Services of Illinois,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Specialties,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Crescent Healthcare,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Crescent Therafusion,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Care Systems of New York,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Care Systems,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Homecare Solutions,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Managed Care,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Medical Billing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Indiana,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Kentucky,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Michigan,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Deaconess Enterprises,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Deaconess HomeCare,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East Goshen Pharmacy,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Pennsylvania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HC Group Holdings II,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HC Group Holdings III,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Healthy Connections Homecare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Texas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Home I.V. Specialists,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Arkansas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HomeChoice Partners,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Infinity Infusion Nursing,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Alabama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Infinity Infusion Nursing</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InfuCenters,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Infusal Partners, LP</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Florida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HHA,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South Carolina,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Sub,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Infusion Partners of Brunswick,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Georgia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Infusion Partners of Melbourne,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Georgia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Infusion Partners,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bl>
    <w:p>
      <w:pPr>
        <w:sectPr>
          <w:pgSz w:w="11900" w:h="16838" w:orient="portrait"/>
          <w:cols w:equalWidth="0" w:num="1">
            <w:col w:w="11220"/>
          </w:cols>
          <w:pgMar w:left="340" w:top="895" w:right="339" w:bottom="1440" w:gutter="0" w:footer="0" w:header="0"/>
        </w:sectPr>
      </w:pPr>
    </w:p>
    <w:bookmarkStart w:id="85" w:name="page86"/>
    <w:bookmarkEnd w:id="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Infusion Solutions, Inc.</w:t>
            </w:r>
          </w:p>
        </w:tc>
        <w:tc>
          <w:tcPr>
            <w:tcW w:w="26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Hampshire</w:t>
            </w:r>
          </w:p>
        </w:tc>
        <w:tc>
          <w:tcPr>
            <w:tcW w:w="2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Infusion Therapy Specialists,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Nebraska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Knoxville Home Therapies,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Tennessee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MedNow Infusion,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National Health Infusion,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Florida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Natural Living,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England Home Therapies,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Massachusetts</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Nutri USA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Enterprises,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Enterprises,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Pennsylvania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Health, Inc. (f/k/a BioScrip,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Home Care,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Illinois</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Home Health,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Washington</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Infusion Services,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Infusion Suites,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of New York,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Health, Ltd.</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Illinois</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Home Health,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OptioNet,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PHCS Acquisition Co,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Professional Home Care Services,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Regional Ambulatory Diagnostics,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River City Pharmacy,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Scott-Wilson,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Kentucky</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Specialty Pharma,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Springville Pharmacy Infusion Therapy,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Trinity HomeCare,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Jersey</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Wilcox Medical,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Vermont</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bl>
    <w:p>
      <w:pPr>
        <w:sectPr>
          <w:pgSz w:w="11900" w:h="16838" w:orient="portrait"/>
          <w:cols w:equalWidth="0" w:num="1">
            <w:col w:w="11220"/>
          </w:cols>
          <w:pgMar w:left="340" w:top="101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(Nos. 333-210530, 333-214039, 333-216630, 333-216631, and 333-239504) on Form S-3 and (No. 333-228310) on Form S-8 of our reports dated February 23, 2022, with respect to the consolidated financial statements of Option Care Health, Inc. and the effectiveness of internal control over financial reporting.</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200"/>
          </w:cols>
          <w:pgMar w:left="320" w:top="891" w:right="379" w:bottom="1440" w:gutter="0" w:footer="0" w:header="0"/>
        </w:sectPr>
      </w:pPr>
    </w:p>
    <w:bookmarkStart w:id="87" w:name="page88"/>
    <w:bookmarkEnd w:id="87"/>
    <w:p>
      <w:pPr>
        <w:ind w:left="10180"/>
        <w:spacing w:after="0"/>
        <w:rPr>
          <w:sz w:val="20"/>
          <w:szCs w:val="20"/>
          <w:color w:val="auto"/>
        </w:rPr>
      </w:pPr>
      <w:r>
        <w:rPr>
          <w:rFonts w:ascii="Arial" w:cs="Arial" w:eastAsia="Arial" w:hAnsi="Arial"/>
          <w:sz w:val="16"/>
          <w:szCs w:val="16"/>
          <w:b w:val="1"/>
          <w:bCs w:val="1"/>
          <w:color w:val="auto"/>
        </w:rPr>
        <w:t>EXHIBIT 31.1</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Option Care Health, Inc.;</w:t>
      </w:r>
    </w:p>
    <w:p>
      <w:pPr>
        <w:spacing w:after="0" w:line="90"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42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13"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1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President and Director (Principal Executive Officer)</w:t>
      </w:r>
    </w:p>
    <w:p>
      <w:pPr>
        <w:sectPr>
          <w:pgSz w:w="11900" w:h="16838" w:orient="portrait"/>
          <w:cols w:equalWidth="0" w:num="1">
            <w:col w:w="11240"/>
          </w:cols>
          <w:pgMar w:left="320" w:top="89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31.2</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Option Care Health, Inc.;</w:t>
      </w:r>
    </w:p>
    <w:p>
      <w:pPr>
        <w:spacing w:after="0" w:line="90"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42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13"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15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 (Principal Financial Officer)</w:t>
      </w:r>
    </w:p>
    <w:p>
      <w:pPr>
        <w:sectPr>
          <w:pgSz w:w="11900" w:h="16838" w:orient="portrait"/>
          <w:cols w:equalWidth="0" w:num="1">
            <w:col w:w="11240"/>
          </w:cols>
          <w:pgMar w:left="320" w:top="89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7"/>
          <w:szCs w:val="17"/>
          <w:color w:val="auto"/>
        </w:rPr>
        <w:t>In connection with the Annual Report of Option Care Health, Inc. (the “Company”) on Form 10-K for the year ended December 31, 2021,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President and Director (Principal Executive Officer)</w:t>
      </w:r>
    </w:p>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7"/>
          <w:szCs w:val="17"/>
          <w:color w:val="auto"/>
        </w:rPr>
        <w:t>In connection with the Annual Report of Option Care Health, Inc. (the “Company”) on Form 10-K for the year ended December 31, 2021,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 (Principal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lvl w:ilvl="1">
      <w:lvlJc w:val="left"/>
      <w:lvlText w:val="(%2)"/>
      <w:numFmt w:val="decimal"/>
      <w:start w:val="1"/>
    </w:lvl>
  </w:abstractNum>
  <w:abstractNum w:abstractNumId="13">
    <w:nsid w:val="519B500D"/>
    <w:multiLevelType w:val="hybridMultilevel"/>
    <w:lvl w:ilvl="0">
      <w:lvlJc w:val="left"/>
      <w:lvlText w:val="%1."/>
      <w:numFmt w:val="decimal"/>
      <w:start w:val="4"/>
    </w:lvl>
    <w:lvl w:ilvl="1">
      <w:lvlJc w:val="left"/>
      <w:lvlText w:val="%2"/>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0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91" Type="http://schemas.openxmlformats.org/officeDocument/2006/relationships/hyperlink" Target="http://www.sec.gov/Archives/edgar/data/1014739/000114420419014367/tv516369_ex2-1.htm" TargetMode="External"/><Relationship Id="rId92" Type="http://schemas.openxmlformats.org/officeDocument/2006/relationships/hyperlink" Target="http://www.sec.gov/Archives/edgar/data/1014739/000114420419038047/tv526734_ex3-1.htm" TargetMode="External"/><Relationship Id="rId93" Type="http://schemas.openxmlformats.org/officeDocument/2006/relationships/hyperlink" Target="http://www.sec.gov/Archives/edgar/data/1014739/000114420419038047/tv526734_ex3-3.htm" TargetMode="External"/><Relationship Id="rId94" Type="http://schemas.openxmlformats.org/officeDocument/2006/relationships/hyperlink" Target="http://www.sec.gov/Archives/edgar/data/1014739/000114420419038047/tv526734_ex3-4.htm" TargetMode="External"/><Relationship Id="rId95" Type="http://schemas.openxmlformats.org/officeDocument/2006/relationships/hyperlink" Target="http://www.sec.gov/Archives/edgar/data/1014739/000110465920009797/tm206375d1_ex3-1.htm" TargetMode="External"/><Relationship Id="rId96" Type="http://schemas.openxmlformats.org/officeDocument/2006/relationships/hyperlink" Target="http://www.sec.gov/Archives/edgar/data/1014739/000114420415014933/v403951_ex4-1.htm" TargetMode="External"/><Relationship Id="rId97" Type="http://schemas.openxmlformats.org/officeDocument/2006/relationships/hyperlink" Target="http://www.sec.gov/Archives/edgar/data/1014739/000114420416107943/v442184_ex4-1.htm" TargetMode="External"/><Relationship Id="rId98" Type="http://schemas.openxmlformats.org/officeDocument/2006/relationships/hyperlink" Target="http://www.sec.gov/Archives/edgar/data/1014739/000114420416108111/v442259_ex4-1.htm" TargetMode="External"/><Relationship Id="rId99" Type="http://schemas.openxmlformats.org/officeDocument/2006/relationships/hyperlink" Target="http://www.sec.gov/Archives/edgar/data/1014739/000114420415044654/v416452_ex4-1.htm" TargetMode="External"/><Relationship Id="rId100" Type="http://schemas.openxmlformats.org/officeDocument/2006/relationships/hyperlink" Target="http://www.sec.gov/Archives/edgar/data/1014739/000114420417034758/v469985_ex4-2.htm" TargetMode="External"/><Relationship Id="rId101" Type="http://schemas.openxmlformats.org/officeDocument/2006/relationships/hyperlink" Target="http://www.sec.gov/Archives/edgar/data/1014739/000114420419014367/tv516369_ex10-4.htm" TargetMode="External"/><Relationship Id="rId102" Type="http://schemas.openxmlformats.org/officeDocument/2006/relationships/hyperlink" Target="https://www.sec.gov/Archives/edgar/data/1014739/000101473920000013/bios-ex412x20191231x10k.htm" TargetMode="External"/><Relationship Id="rId103" Type="http://schemas.openxmlformats.org/officeDocument/2006/relationships/hyperlink" Target="http://www.sec.gov/Archives/edgar/data/1014739/000114420419014367/tv516369_ex10-2.htm" TargetMode="External"/><Relationship Id="rId104" Type="http://schemas.openxmlformats.org/officeDocument/2006/relationships/hyperlink" Target="http://www.sec.gov/Archives/edgar/data/1014739/000114420419038047/tv526734_ex10-1.htm" TargetMode="External"/><Relationship Id="rId105" Type="http://schemas.openxmlformats.org/officeDocument/2006/relationships/hyperlink" Target="http://www.sec.gov/Archives/edgar/data/1014739/000114420419038047/tv526734_ex10-2.htm" TargetMode="External"/><Relationship Id="rId108" Type="http://schemas.openxmlformats.org/officeDocument/2006/relationships/hyperlink" Target="http://www.sec.gov/Archives/edgar/data/1014739/000114420419038047/tv526734_ex10-4.htm" TargetMode="External"/><Relationship Id="rId109" Type="http://schemas.openxmlformats.org/officeDocument/2006/relationships/hyperlink" Target="http://www.sec.gov/Archives/edgar/data/1014739/000114420419038051/tv526894_ex10-1.htm" TargetMode="External"/><Relationship Id="rId110" Type="http://schemas.openxmlformats.org/officeDocument/2006/relationships/hyperlink" Target="http://www.sec.gov/Archives/edgar/data/1014739/000114420419038051/tv526894_ex10-2.htm" TargetMode="External"/><Relationship Id="rId111" Type="http://schemas.openxmlformats.org/officeDocument/2006/relationships/hyperlink" Target="http://www.sec.gov/Archives/edgar/data/1014739/000114420419038051/tv526894_ex10-3.htm" TargetMode="External"/><Relationship Id="rId112" Type="http://schemas.openxmlformats.org/officeDocument/2006/relationships/hyperlink" Target="http://www.sec.gov/Archives/edgar/data/1014739/000101473921000011/opch-ex1012x20201231x10k.htm" TargetMode="External"/><Relationship Id="rId113" Type="http://schemas.openxmlformats.org/officeDocument/2006/relationships/hyperlink" Target="http://www.sec.gov/Archives/edgar/data/1014739/000101473921000011/opch-ex1013x20201231x10k.htm" TargetMode="External"/><Relationship Id="rId114" Type="http://schemas.openxmlformats.org/officeDocument/2006/relationships/hyperlink" Target="http://www.sec.gov/Archives/edgar/data/1014739/000101473920000031/a101_firstxamendmentxtox.htm" TargetMode="External"/><Relationship Id="rId115" Type="http://schemas.openxmlformats.org/officeDocument/2006/relationships/hyperlink" Target="http://www.sec.gov/Archives/edgar/data/1014739/000110465921006705/tm213833d1_ex10-2.htm" TargetMode="External"/><Relationship Id="rId116" Type="http://schemas.openxmlformats.org/officeDocument/2006/relationships/hyperlink" Target="https://www.sec.gov/Archives/edgar/data/1014739/000101473921000040/opch-ex101x20210630x10q1.htm" TargetMode="External"/><Relationship Id="rId117" Type="http://schemas.openxmlformats.org/officeDocument/2006/relationships/hyperlink" Target="https://www.sec.gov/Archives/edgar/data/1014739/000110465921131786/tm2131162d1_ex4-1.htm" TargetMode="External"/><Relationship Id="rId118" Type="http://schemas.openxmlformats.org/officeDocument/2006/relationships/hyperlink" Target="https://www.sec.gov/Archives/edgar/data/1014739/000110465921131786/tm2131162d1_ex10-1.htm" TargetMode="External"/><Relationship Id="rId119" Type="http://schemas.openxmlformats.org/officeDocument/2006/relationships/hyperlink" Target="https://www.sec.gov/Archives/edgar/data/1014739/000110465921131786/tm2131162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2022-02-23T15:23:49Z</dcterms:created>
  <dcterms:modified xsi:type="dcterms:W3CDTF">2022-02-23T15:23:49Z</dcterms:modified>
</cp:coreProperties>
</file>