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342265</wp:posOffset>
            </wp:positionH>
            <wp:positionV relativeFrom="page">
              <wp:posOffset>729615</wp:posOffset>
            </wp:positionV>
            <wp:extent cx="686498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4191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8"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9" w:lineRule="exact"/>
        <w:rPr>
          <w:sz w:val="24"/>
          <w:szCs w:val="24"/>
          <w:color w:val="auto"/>
        </w:rPr>
      </w:pPr>
    </w:p>
    <w:p>
      <w:pPr>
        <w:ind w:left="1120" w:right="2020" w:hanging="642"/>
        <w:spacing w:after="0" w:line="277" w:lineRule="auto"/>
        <w:tabs>
          <w:tab w:leader="none" w:pos="11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2022</w:t>
      </w:r>
    </w:p>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9" w:lineRule="exact"/>
        <w:rPr>
          <w:sz w:val="24"/>
          <w:szCs w:val="24"/>
          <w:color w:val="auto"/>
        </w:rPr>
      </w:pPr>
    </w:p>
    <w:p>
      <w:pPr>
        <w:ind w:left="1120" w:hanging="642"/>
        <w:spacing w:after="0"/>
        <w:tabs>
          <w:tab w:leader="none" w:pos="11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2" w:lineRule="exact"/>
        <w:rPr>
          <w:sz w:val="24"/>
          <w:szCs w:val="24"/>
          <w:color w:val="auto"/>
        </w:rPr>
      </w:pPr>
    </w:p>
    <w:p>
      <w:pPr>
        <w:ind w:left="1120"/>
        <w:spacing w:after="0"/>
        <w:tabs>
          <w:tab w:leader="none" w:pos="33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2727960</wp:posOffset>
            </wp:positionH>
            <wp:positionV relativeFrom="paragraph">
              <wp:posOffset>19685</wp:posOffset>
            </wp:positionV>
            <wp:extent cx="1686560" cy="683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6560" cy="683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OPTION CARE HEALTH, INC.</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20"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1220" w:type="dxa"/>
            <w:vAlign w:val="bottom"/>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right"/>
              <w:ind w:right="2100"/>
              <w:spacing w:after="0"/>
              <w:rPr>
                <w:sz w:val="20"/>
                <w:szCs w:val="20"/>
                <w:color w:val="auto"/>
              </w:rPr>
            </w:pPr>
            <w:r>
              <w:rPr>
                <w:rFonts w:ascii="Times New Roman" w:cs="Times New Roman" w:eastAsia="Times New Roman" w:hAnsi="Times New Roman"/>
                <w:sz w:val="16"/>
                <w:szCs w:val="16"/>
                <w:b w:val="1"/>
                <w:bCs w:val="1"/>
                <w:color w:val="auto"/>
              </w:rPr>
              <w:t>05-0489664</w:t>
            </w:r>
          </w:p>
        </w:tc>
      </w:tr>
      <w:tr>
        <w:trPr>
          <w:trHeight w:val="212"/>
        </w:trPr>
        <w:tc>
          <w:tcPr>
            <w:tcW w:w="5020" w:type="dxa"/>
            <w:vAlign w:val="bottom"/>
            <w:gridSpan w:val="3"/>
          </w:tcPr>
          <w:p>
            <w:pPr>
              <w:jc w:val="center"/>
              <w:ind w:left="1460"/>
              <w:spacing w:after="0"/>
              <w:rPr>
                <w:sz w:val="20"/>
                <w:szCs w:val="20"/>
                <w:color w:val="auto"/>
              </w:rPr>
            </w:pPr>
            <w:r>
              <w:rPr>
                <w:rFonts w:ascii="Times New Roman" w:cs="Times New Roman" w:eastAsia="Times New Roman" w:hAnsi="Times New Roman"/>
                <w:sz w:val="16"/>
                <w:szCs w:val="16"/>
                <w:i w:val="1"/>
                <w:iCs w:val="1"/>
                <w:color w:val="auto"/>
                <w:w w:val="99"/>
              </w:rPr>
              <w:t>(State of incorporation)</w:t>
            </w:r>
          </w:p>
        </w:tc>
        <w:tc>
          <w:tcPr>
            <w:tcW w:w="1300" w:type="dxa"/>
            <w:vAlign w:val="bottom"/>
          </w:tcPr>
          <w:p>
            <w:pPr>
              <w:spacing w:after="0"/>
              <w:rPr>
                <w:sz w:val="18"/>
                <w:szCs w:val="18"/>
                <w:color w:val="auto"/>
              </w:rPr>
            </w:pPr>
          </w:p>
        </w:tc>
        <w:tc>
          <w:tcPr>
            <w:tcW w:w="4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w w:val="99"/>
              </w:rPr>
              <w:t>(I.R.S. Employer Identification No.)</w:t>
            </w:r>
          </w:p>
        </w:tc>
      </w:tr>
      <w:tr>
        <w:trPr>
          <w:trHeight w:val="212"/>
        </w:trPr>
        <w:tc>
          <w:tcPr>
            <w:tcW w:w="256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w w:val="96"/>
              </w:rPr>
              <w:t>3000 Lakeside Dr.</w:t>
            </w:r>
          </w:p>
        </w:tc>
        <w:tc>
          <w:tcPr>
            <w:tcW w:w="12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Suite 300N,</w:t>
            </w:r>
          </w:p>
        </w:tc>
        <w:tc>
          <w:tcPr>
            <w:tcW w:w="1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Bannockburn,</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IL</w:t>
            </w:r>
          </w:p>
        </w:tc>
        <w:tc>
          <w:tcPr>
            <w:tcW w:w="1520" w:type="dxa"/>
            <w:vAlign w:val="bottom"/>
          </w:tcPr>
          <w:p>
            <w:pPr>
              <w:spacing w:after="0"/>
              <w:rPr>
                <w:sz w:val="18"/>
                <w:szCs w:val="18"/>
                <w:color w:val="auto"/>
              </w:rPr>
            </w:pPr>
          </w:p>
        </w:tc>
        <w:tc>
          <w:tcPr>
            <w:tcW w:w="3380" w:type="dxa"/>
            <w:vAlign w:val="bottom"/>
          </w:tcPr>
          <w:p>
            <w:pPr>
              <w:jc w:val="right"/>
              <w:ind w:right="2300"/>
              <w:spacing w:after="0"/>
              <w:rPr>
                <w:sz w:val="20"/>
                <w:szCs w:val="20"/>
                <w:color w:val="auto"/>
              </w:rPr>
            </w:pPr>
            <w:r>
              <w:rPr>
                <w:rFonts w:ascii="Times New Roman" w:cs="Times New Roman" w:eastAsia="Times New Roman" w:hAnsi="Times New Roman"/>
                <w:sz w:val="16"/>
                <w:szCs w:val="16"/>
                <w:b w:val="1"/>
                <w:bCs w:val="1"/>
                <w:color w:val="auto"/>
              </w:rPr>
              <w:t>60015</w:t>
            </w:r>
          </w:p>
        </w:tc>
      </w:tr>
      <w:tr>
        <w:trPr>
          <w:trHeight w:val="212"/>
        </w:trPr>
        <w:tc>
          <w:tcPr>
            <w:tcW w:w="5020" w:type="dxa"/>
            <w:vAlign w:val="bottom"/>
            <w:gridSpan w:val="3"/>
          </w:tcPr>
          <w:p>
            <w:pPr>
              <w:jc w:val="center"/>
              <w:ind w:left="1480"/>
              <w:spacing w:after="0"/>
              <w:rPr>
                <w:sz w:val="20"/>
                <w:szCs w:val="20"/>
                <w:color w:val="auto"/>
              </w:rPr>
            </w:pPr>
            <w:r>
              <w:rPr>
                <w:rFonts w:ascii="Times New Roman" w:cs="Times New Roman" w:eastAsia="Times New Roman" w:hAnsi="Times New Roman"/>
                <w:sz w:val="16"/>
                <w:szCs w:val="16"/>
                <w:i w:val="1"/>
                <w:iCs w:val="1"/>
                <w:color w:val="auto"/>
                <w:w w:val="99"/>
              </w:rPr>
              <w:t>(Address of principal executive offices)</w:t>
            </w: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center"/>
              <w:ind w:right="1680"/>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68"/>
        </w:trPr>
        <w:tc>
          <w:tcPr>
            <w:tcW w:w="2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380" w:type="dxa"/>
            <w:vAlign w:val="bottom"/>
          </w:tcPr>
          <w:p>
            <w:pPr>
              <w:spacing w:after="0"/>
              <w:rPr>
                <w:sz w:val="23"/>
                <w:szCs w:val="23"/>
                <w:color w:val="auto"/>
              </w:rPr>
            </w:pPr>
          </w:p>
        </w:tc>
      </w:tr>
      <w:tr>
        <w:trPr>
          <w:trHeight w:val="210"/>
        </w:trPr>
        <w:tc>
          <w:tcPr>
            <w:tcW w:w="2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312-940-2443</w:t>
            </w:r>
          </w:p>
        </w:tc>
        <w:tc>
          <w:tcPr>
            <w:tcW w:w="1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26"/>
        </w:trPr>
        <w:tc>
          <w:tcPr>
            <w:tcW w:w="2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80" w:type="dxa"/>
            <w:vAlign w:val="bottom"/>
          </w:tcPr>
          <w:p>
            <w:pPr>
              <w:spacing w:after="0"/>
              <w:rPr>
                <w:sz w:val="19"/>
                <w:szCs w:val="19"/>
                <w:color w:val="auto"/>
              </w:rPr>
            </w:pPr>
          </w:p>
        </w:tc>
      </w:tr>
      <w:tr>
        <w:trPr>
          <w:trHeight w:val="164"/>
        </w:trPr>
        <w:tc>
          <w:tcPr>
            <w:tcW w:w="2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204"/>
        </w:trPr>
        <w:tc>
          <w:tcPr>
            <w:tcW w:w="256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124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Name of each exchange on which registered</w:t>
            </w:r>
          </w:p>
        </w:tc>
      </w:tr>
      <w:tr>
        <w:trPr>
          <w:trHeight w:val="206"/>
        </w:trPr>
        <w:tc>
          <w:tcPr>
            <w:tcW w:w="5020" w:type="dxa"/>
            <w:vAlign w:val="bottom"/>
            <w:tcBorders>
              <w:left w:val="single" w:sz="8" w:color="auto"/>
              <w:bottom w:val="single" w:sz="8" w:color="auto"/>
            </w:tcBorders>
            <w:gridSpan w:val="3"/>
          </w:tcPr>
          <w:p>
            <w:pPr>
              <w:jc w:val="center"/>
              <w:ind w:left="1220"/>
              <w:spacing w:after="0"/>
              <w:rPr>
                <w:sz w:val="20"/>
                <w:szCs w:val="20"/>
                <w:color w:val="auto"/>
              </w:rPr>
            </w:pPr>
            <w:r>
              <w:rPr>
                <w:rFonts w:ascii="Times New Roman" w:cs="Times New Roman" w:eastAsia="Times New Roman" w:hAnsi="Times New Roman"/>
                <w:sz w:val="16"/>
                <w:szCs w:val="16"/>
                <w:color w:val="auto"/>
                <w:w w:val="99"/>
              </w:rPr>
              <w:t>Common Stock, $0.0001 par value per share</w:t>
            </w: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OPCH</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bl>
    <w:p>
      <w:pPr>
        <w:spacing w:after="0" w:line="6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1200" w:val="left"/>
        </w:tabs>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29" w:lineRule="exact"/>
        <w:rPr>
          <w:sz w:val="24"/>
          <w:szCs w:val="24"/>
          <w:color w:val="auto"/>
        </w:rPr>
      </w:pPr>
    </w:p>
    <w:p>
      <w:pPr>
        <w:jc w:val="both"/>
        <w:ind w:firstLine="159"/>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1" w:lineRule="exact"/>
        <w:rPr>
          <w:sz w:val="24"/>
          <w:szCs w:val="24"/>
          <w:color w:val="auto"/>
        </w:rPr>
      </w:pPr>
    </w:p>
    <w:p>
      <w:pPr>
        <w:jc w:val="both"/>
        <w:ind w:firstLine="159"/>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2" w:lineRule="exact"/>
        <w:rPr>
          <w:sz w:val="24"/>
          <w:szCs w:val="24"/>
          <w:color w:val="auto"/>
        </w:rPr>
      </w:pPr>
    </w:p>
    <w:p>
      <w:pPr>
        <w:ind w:left="1240"/>
        <w:spacing w:after="0" w:line="184" w:lineRule="exact"/>
        <w:tabs>
          <w:tab w:leader="none" w:pos="3020" w:val="left"/>
          <w:tab w:leader="none" w:pos="4480" w:val="left"/>
          <w:tab w:leader="none" w:pos="62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Emerging growth company </w:t>
      </w:r>
      <w:r>
        <w:rPr>
          <w:rFonts w:ascii="MS PGothic" w:cs="MS PGothic" w:eastAsia="MS PGothic" w:hAnsi="MS PGothic"/>
          <w:sz w:val="15"/>
          <w:szCs w:val="15"/>
          <w:color w:val="auto"/>
        </w:rPr>
        <w:t>☐</w:t>
      </w:r>
    </w:p>
    <w:p>
      <w:pPr>
        <w:spacing w:after="0" w:line="280" w:lineRule="exact"/>
        <w:rPr>
          <w:sz w:val="24"/>
          <w:szCs w:val="24"/>
          <w:color w:val="auto"/>
        </w:rPr>
      </w:pPr>
    </w:p>
    <w:p>
      <w:pPr>
        <w:jc w:val="both"/>
        <w:ind w:firstLine="159"/>
        <w:spacing w:after="0" w:line="20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9" w:lineRule="exact"/>
        <w:rPr>
          <w:sz w:val="24"/>
          <w:szCs w:val="24"/>
          <w:color w:val="auto"/>
        </w:rPr>
      </w:pPr>
    </w:p>
    <w:p>
      <w:pPr>
        <w:ind w:left="160"/>
        <w:spacing w:after="0" w:line="184" w:lineRule="exact"/>
        <w:tabs>
          <w:tab w:leader="none" w:pos="80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6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On October 25, 2022, there were 181,900,930 shares of the registrant’s Common Stock outstanding.</w:t>
      </w:r>
    </w:p>
    <w:p>
      <w:pPr>
        <w:sectPr>
          <w:pgSz w:w="11900" w:h="16838" w:orient="portrait"/>
          <w:cols w:equalWidth="0" w:num="1">
            <w:col w:w="11240"/>
          </w:cols>
          <w:pgMar w:left="320" w:top="129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92075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80" w:type="dxa"/>
            <w:vAlign w:val="bottom"/>
            <w:gridSpan w:val="7"/>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04"/>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20" w:type="dxa"/>
            <w:vAlign w:val="bottom"/>
            <w:gridSpan w:val="5"/>
          </w:tcPr>
          <w:p>
            <w:pPr>
              <w:jc w:val="center"/>
              <w:ind w:left="1480"/>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20" w:type="dxa"/>
            <w:vAlign w:val="bottom"/>
            <w:gridSpan w:val="5"/>
          </w:tcPr>
          <w:p>
            <w:pPr>
              <w:jc w:val="center"/>
              <w:ind w:left="1480"/>
              <w:spacing w:after="0"/>
              <w:rPr>
                <w:sz w:val="20"/>
                <w:szCs w:val="20"/>
                <w:color w:val="auto"/>
              </w:rPr>
            </w:pPr>
            <w:r>
              <w:rPr>
                <w:rFonts w:ascii="Times New Roman" w:cs="Times New Roman" w:eastAsia="Times New Roman" w:hAnsi="Times New Roman"/>
                <w:sz w:val="16"/>
                <w:szCs w:val="16"/>
                <w:b w:val="1"/>
                <w:bCs w:val="1"/>
                <w:color w:val="auto"/>
                <w:w w:val="98"/>
              </w:rPr>
              <w:t>Number</w:t>
            </w: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gridSpan w:val="7"/>
          </w:tcPr>
          <w:p>
            <w:pPr>
              <w:jc w:val="center"/>
              <w:ind w:right="1860"/>
              <w:spacing w:after="0"/>
              <w:rPr>
                <w:sz w:val="20"/>
                <w:szCs w:val="20"/>
                <w:color w:val="auto"/>
              </w:rPr>
            </w:pPr>
            <w:r>
              <w:rPr>
                <w:rFonts w:ascii="Times New Roman" w:cs="Times New Roman" w:eastAsia="Times New Roman" w:hAnsi="Times New Roman"/>
                <w:sz w:val="16"/>
                <w:szCs w:val="16"/>
                <w:b w:val="1"/>
                <w:bCs w:val="1"/>
                <w:color w:val="auto"/>
                <w:w w:val="92"/>
              </w:rPr>
              <w:t>PART I</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1120" w:type="dxa"/>
            <w:vAlign w:val="bottom"/>
            <w:gridSpan w:val="3"/>
          </w:tcPr>
          <w:p>
            <w:pPr>
              <w:spacing w:after="0"/>
              <w:rPr>
                <w:sz w:val="24"/>
                <w:szCs w:val="24"/>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Financial Statements</w:t>
            </w:r>
          </w:p>
        </w:tc>
        <w:tc>
          <w:tcPr>
            <w:tcW w:w="5940" w:type="dxa"/>
            <w:vAlign w:val="bottom"/>
            <w:gridSpan w:val="9"/>
          </w:tcPr>
          <w:p>
            <w:pPr>
              <w:spacing w:after="0"/>
              <w:rPr>
                <w:sz w:val="24"/>
                <w:szCs w:val="24"/>
                <w:color w:val="auto"/>
              </w:rPr>
            </w:pPr>
          </w:p>
        </w:tc>
        <w:tc>
          <w:tcPr>
            <w:tcW w:w="1800" w:type="dxa"/>
            <w:vAlign w:val="bottom"/>
            <w:gridSpan w:val="2"/>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1880" w:type="dxa"/>
            <w:vAlign w:val="bottom"/>
            <w:gridSpan w:val="3"/>
          </w:tcPr>
          <w:p>
            <w:pPr>
              <w:jc w:val="center"/>
              <w:ind w:left="1720"/>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Comprehensive Income</w:t>
            </w:r>
          </w:p>
        </w:tc>
        <w:tc>
          <w:tcPr>
            <w:tcW w:w="1880" w:type="dxa"/>
            <w:vAlign w:val="bottom"/>
            <w:gridSpan w:val="3"/>
          </w:tcPr>
          <w:p>
            <w:pPr>
              <w:jc w:val="center"/>
              <w:ind w:left="1720"/>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9"/>
              </w:rPr>
              <w:t>Unaudited Condensed Consolidated Statements of Cash Flows</w:t>
            </w:r>
          </w:p>
        </w:tc>
        <w:tc>
          <w:tcPr>
            <w:tcW w:w="760" w:type="dxa"/>
            <w:vAlign w:val="bottom"/>
            <w:tcBorders>
              <w:top w:val="single" w:sz="8" w:color="0000FF"/>
            </w:tcBorders>
            <w:gridSpan w:val="3"/>
          </w:tcPr>
          <w:p>
            <w:pPr>
              <w:spacing w:after="0"/>
              <w:rPr>
                <w:sz w:val="16"/>
                <w:szCs w:val="16"/>
                <w:color w:val="auto"/>
              </w:rPr>
            </w:pPr>
          </w:p>
        </w:tc>
        <w:tc>
          <w:tcPr>
            <w:tcW w:w="2520" w:type="dxa"/>
            <w:vAlign w:val="bottom"/>
            <w:gridSpan w:val="2"/>
          </w:tcPr>
          <w:p>
            <w:pPr>
              <w:spacing w:after="0"/>
              <w:rPr>
                <w:sz w:val="16"/>
                <w:szCs w:val="16"/>
                <w:color w:val="auto"/>
              </w:rPr>
            </w:pPr>
          </w:p>
        </w:tc>
        <w:tc>
          <w:tcPr>
            <w:tcW w:w="1800" w:type="dxa"/>
            <w:vAlign w:val="bottom"/>
            <w:gridSpan w:val="2"/>
          </w:tcPr>
          <w:p>
            <w:pPr>
              <w:spacing w:after="0"/>
              <w:rPr>
                <w:sz w:val="16"/>
                <w:szCs w:val="16"/>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9"/>
              </w:rPr>
              <w:t>Unaudited Condensed Consolidated Statements of Stockholders’ Equity</w:t>
            </w:r>
          </w:p>
        </w:tc>
        <w:tc>
          <w:tcPr>
            <w:tcW w:w="2680" w:type="dxa"/>
            <w:vAlign w:val="bottom"/>
            <w:gridSpan w:val="3"/>
          </w:tcPr>
          <w:p>
            <w:pPr>
              <w:spacing w:after="0"/>
              <w:rPr>
                <w:sz w:val="16"/>
                <w:szCs w:val="16"/>
                <w:color w:val="auto"/>
              </w:rPr>
            </w:pPr>
          </w:p>
        </w:tc>
        <w:tc>
          <w:tcPr>
            <w:tcW w:w="1800" w:type="dxa"/>
            <w:vAlign w:val="bottom"/>
            <w:gridSpan w:val="2"/>
          </w:tcPr>
          <w:p>
            <w:pPr>
              <w:spacing w:after="0"/>
              <w:rPr>
                <w:sz w:val="16"/>
                <w:szCs w:val="16"/>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1920" w:type="dxa"/>
            <w:vAlign w:val="bottom"/>
            <w:gridSpan w:val="4"/>
          </w:tcPr>
          <w:p>
            <w:pPr>
              <w:jc w:val="center"/>
              <w:ind w:left="1680"/>
              <w:spacing w:after="0"/>
              <w:rPr>
                <w:sz w:val="20"/>
                <w:szCs w:val="20"/>
                <w:color w:val="auto"/>
              </w:rPr>
            </w:pPr>
            <w:r>
              <w:rPr>
                <w:rFonts w:ascii="Times New Roman" w:cs="Times New Roman" w:eastAsia="Times New Roman" w:hAnsi="Times New Roman"/>
                <w:sz w:val="16"/>
                <w:szCs w:val="16"/>
                <w:color w:val="0000FF"/>
                <w:w w:val="99"/>
              </w:rPr>
              <w:t>10</w:t>
            </w:r>
          </w:p>
        </w:tc>
        <w:tc>
          <w:tcPr>
            <w:tcW w:w="2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1120" w:type="dxa"/>
            <w:vAlign w:val="bottom"/>
            <w:gridSpan w:val="3"/>
          </w:tcPr>
          <w:p>
            <w:pPr>
              <w:spacing w:after="0"/>
              <w:rPr>
                <w:sz w:val="16"/>
                <w:szCs w:val="16"/>
                <w:color w:val="auto"/>
              </w:rPr>
            </w:pPr>
          </w:p>
        </w:tc>
        <w:tc>
          <w:tcPr>
            <w:tcW w:w="7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920" w:type="dxa"/>
            <w:vAlign w:val="bottom"/>
            <w:gridSpan w:val="4"/>
          </w:tcPr>
          <w:p>
            <w:pPr>
              <w:jc w:val="center"/>
              <w:ind w:left="1680"/>
              <w:spacing w:after="0"/>
              <w:rPr>
                <w:sz w:val="20"/>
                <w:szCs w:val="20"/>
                <w:color w:val="auto"/>
              </w:rPr>
            </w:pPr>
            <w:r>
              <w:rPr>
                <w:rFonts w:ascii="Times New Roman" w:cs="Times New Roman" w:eastAsia="Times New Roman" w:hAnsi="Times New Roman"/>
                <w:sz w:val="16"/>
                <w:szCs w:val="16"/>
                <w:color w:val="0000FF"/>
                <w:w w:val="99"/>
              </w:rPr>
              <w:t>24</w:t>
            </w:r>
          </w:p>
        </w:tc>
        <w:tc>
          <w:tcPr>
            <w:tcW w:w="200" w:type="dxa"/>
            <w:vAlign w:val="bottom"/>
          </w:tcPr>
          <w:p>
            <w:pPr>
              <w:spacing w:after="0"/>
              <w:rPr>
                <w:sz w:val="16"/>
                <w:szCs w:val="16"/>
                <w:color w:val="auto"/>
              </w:rPr>
            </w:pPr>
          </w:p>
        </w:tc>
      </w:tr>
      <w:tr>
        <w:trPr>
          <w:trHeight w:val="192"/>
        </w:trPr>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1120" w:type="dxa"/>
            <w:vAlign w:val="bottom"/>
            <w:gridSpan w:val="3"/>
          </w:tcPr>
          <w:p>
            <w:pPr>
              <w:spacing w:after="0"/>
              <w:rPr>
                <w:sz w:val="16"/>
                <w:szCs w:val="16"/>
                <w:color w:val="auto"/>
              </w:rPr>
            </w:pPr>
          </w:p>
        </w:tc>
        <w:tc>
          <w:tcPr>
            <w:tcW w:w="57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36</w:t>
            </w:r>
          </w:p>
        </w:tc>
        <w:tc>
          <w:tcPr>
            <w:tcW w:w="200" w:type="dxa"/>
            <w:vAlign w:val="bottom"/>
          </w:tcPr>
          <w:p>
            <w:pPr>
              <w:spacing w:after="0"/>
              <w:rPr>
                <w:sz w:val="16"/>
                <w:szCs w:val="16"/>
                <w:color w:val="auto"/>
              </w:rPr>
            </w:pPr>
          </w:p>
        </w:tc>
      </w:tr>
      <w:tr>
        <w:trPr>
          <w:trHeight w:val="192"/>
        </w:trPr>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1120" w:type="dxa"/>
            <w:vAlign w:val="bottom"/>
            <w:gridSpan w:val="3"/>
          </w:tcPr>
          <w:p>
            <w:pPr>
              <w:spacing w:after="0"/>
              <w:rPr>
                <w:sz w:val="16"/>
                <w:szCs w:val="16"/>
                <w:color w:val="auto"/>
              </w:rPr>
            </w:pPr>
          </w:p>
        </w:tc>
        <w:tc>
          <w:tcPr>
            <w:tcW w:w="38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3420" w:type="dxa"/>
            <w:vAlign w:val="bottom"/>
            <w:gridSpan w:val="6"/>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36</w:t>
            </w:r>
          </w:p>
        </w:tc>
        <w:tc>
          <w:tcPr>
            <w:tcW w:w="200" w:type="dxa"/>
            <w:vAlign w:val="bottom"/>
          </w:tcPr>
          <w:p>
            <w:pPr>
              <w:spacing w:after="0"/>
              <w:rPr>
                <w:sz w:val="16"/>
                <w:szCs w:val="16"/>
                <w:color w:val="auto"/>
              </w:rPr>
            </w:pPr>
          </w:p>
        </w:tc>
      </w:tr>
      <w:tr>
        <w:trPr>
          <w:trHeight w:val="387"/>
        </w:trPr>
        <w:tc>
          <w:tcPr>
            <w:tcW w:w="4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gridSpan w:val="7"/>
          </w:tcPr>
          <w:p>
            <w:pPr>
              <w:ind w:left="110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7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337"/>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1120" w:type="dxa"/>
            <w:vAlign w:val="bottom"/>
            <w:gridSpan w:val="3"/>
          </w:tcPr>
          <w:p>
            <w:pPr>
              <w:spacing w:after="0"/>
              <w:rPr>
                <w:sz w:val="24"/>
                <w:szCs w:val="24"/>
                <w:color w:val="auto"/>
              </w:rPr>
            </w:pPr>
          </w:p>
        </w:tc>
        <w:tc>
          <w:tcPr>
            <w:tcW w:w="7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20" w:type="dxa"/>
            <w:vAlign w:val="bottom"/>
            <w:gridSpan w:val="4"/>
          </w:tcPr>
          <w:p>
            <w:pPr>
              <w:jc w:val="center"/>
              <w:ind w:left="1680"/>
              <w:spacing w:after="0"/>
              <w:rPr>
                <w:sz w:val="20"/>
                <w:szCs w:val="20"/>
                <w:color w:val="auto"/>
              </w:rPr>
            </w:pPr>
            <w:r>
              <w:rPr>
                <w:rFonts w:ascii="Times New Roman" w:cs="Times New Roman" w:eastAsia="Times New Roman" w:hAnsi="Times New Roman"/>
                <w:sz w:val="16"/>
                <w:szCs w:val="16"/>
                <w:color w:val="0000FF"/>
                <w:w w:val="99"/>
              </w:rPr>
              <w:t>37</w:t>
            </w:r>
          </w:p>
        </w:tc>
        <w:tc>
          <w:tcPr>
            <w:tcW w:w="20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1000" w:type="dxa"/>
            <w:vAlign w:val="bottom"/>
            <w:gridSpan w:val="2"/>
          </w:tcPr>
          <w:p>
            <w:pPr>
              <w:spacing w:after="0"/>
              <w:rPr>
                <w:sz w:val="16"/>
                <w:szCs w:val="16"/>
                <w:color w:val="auto"/>
              </w:rPr>
            </w:pPr>
          </w:p>
        </w:tc>
        <w:tc>
          <w:tcPr>
            <w:tcW w:w="7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920" w:type="dxa"/>
            <w:vAlign w:val="bottom"/>
            <w:gridSpan w:val="4"/>
          </w:tcPr>
          <w:p>
            <w:pPr>
              <w:jc w:val="center"/>
              <w:ind w:left="1680"/>
              <w:spacing w:after="0"/>
              <w:rPr>
                <w:sz w:val="20"/>
                <w:szCs w:val="20"/>
                <w:color w:val="auto"/>
              </w:rPr>
            </w:pPr>
            <w:r>
              <w:rPr>
                <w:rFonts w:ascii="Times New Roman" w:cs="Times New Roman" w:eastAsia="Times New Roman" w:hAnsi="Times New Roman"/>
                <w:sz w:val="16"/>
                <w:szCs w:val="16"/>
                <w:color w:val="0000FF"/>
                <w:w w:val="99"/>
              </w:rPr>
              <w:t>37</w:t>
            </w:r>
          </w:p>
        </w:tc>
        <w:tc>
          <w:tcPr>
            <w:tcW w:w="200" w:type="dxa"/>
            <w:vAlign w:val="bottom"/>
          </w:tcPr>
          <w:p>
            <w:pPr>
              <w:spacing w:after="0"/>
              <w:rPr>
                <w:sz w:val="16"/>
                <w:szCs w:val="16"/>
                <w:color w:val="auto"/>
              </w:rPr>
            </w:pPr>
          </w:p>
        </w:tc>
      </w:tr>
      <w:tr>
        <w:trPr>
          <w:trHeight w:val="192"/>
        </w:trPr>
        <w:tc>
          <w:tcPr>
            <w:tcW w:w="4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6.</w:t>
            </w:r>
          </w:p>
        </w:tc>
        <w:tc>
          <w:tcPr>
            <w:tcW w:w="120" w:type="dxa"/>
            <w:vAlign w:val="bottom"/>
            <w:tcBorders>
              <w:top w:val="single" w:sz="8" w:color="0000FF"/>
            </w:tcBorders>
          </w:tcPr>
          <w:p>
            <w:pPr>
              <w:spacing w:after="0"/>
              <w:rPr>
                <w:sz w:val="16"/>
                <w:szCs w:val="16"/>
                <w:color w:val="auto"/>
              </w:rPr>
            </w:pPr>
          </w:p>
        </w:tc>
        <w:tc>
          <w:tcPr>
            <w:tcW w:w="1000" w:type="dxa"/>
            <w:vAlign w:val="bottom"/>
            <w:gridSpan w:val="2"/>
          </w:tcPr>
          <w:p>
            <w:pPr>
              <w:spacing w:after="0"/>
              <w:rPr>
                <w:sz w:val="16"/>
                <w:szCs w:val="16"/>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260" w:type="dxa"/>
            <w:vAlign w:val="bottom"/>
            <w:tcBorders>
              <w:top w:val="single" w:sz="8" w:color="0000FF"/>
            </w:tcBorders>
          </w:tcPr>
          <w:p>
            <w:pPr>
              <w:spacing w:after="0"/>
              <w:rPr>
                <w:sz w:val="16"/>
                <w:szCs w:val="16"/>
                <w:color w:val="auto"/>
              </w:rPr>
            </w:pPr>
          </w:p>
        </w:tc>
        <w:tc>
          <w:tcPr>
            <w:tcW w:w="6480" w:type="dxa"/>
            <w:vAlign w:val="bottom"/>
            <w:gridSpan w:val="11"/>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37</w:t>
            </w:r>
          </w:p>
        </w:tc>
        <w:tc>
          <w:tcPr>
            <w:tcW w:w="200" w:type="dxa"/>
            <w:vAlign w:val="bottom"/>
          </w:tcPr>
          <w:p>
            <w:pPr>
              <w:spacing w:after="0"/>
              <w:rPr>
                <w:sz w:val="16"/>
                <w:szCs w:val="16"/>
                <w:color w:val="auto"/>
              </w:rPr>
            </w:pPr>
          </w:p>
        </w:tc>
      </w:tr>
      <w:tr>
        <w:trPr>
          <w:trHeight w:val="352"/>
        </w:trPr>
        <w:tc>
          <w:tcPr>
            <w:tcW w:w="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SIGNATURES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37</w:t>
            </w:r>
          </w:p>
        </w:tc>
        <w:tc>
          <w:tcPr>
            <w:tcW w:w="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0"/>
          </w:cols>
          <w:pgMar w:left="340" w:top="1168" w:right="579" w:bottom="1440" w:gutter="0" w:footer="0" w:header="0"/>
        </w:sectPr>
      </w:pPr>
    </w:p>
    <w:bookmarkStart w:id="2" w:name="page3"/>
    <w:bookmarkEnd w:id="2"/>
    <w:p>
      <w:pPr>
        <w:ind w:right="240"/>
        <w:spacing w:after="0" w:line="273" w:lineRule="auto"/>
        <w:rPr>
          <w:sz w:val="20"/>
          <w:szCs w:val="20"/>
          <w:color w:val="auto"/>
        </w:rPr>
      </w:pPr>
      <w:r>
        <w:rPr>
          <w:rFonts w:ascii="Times New Roman" w:cs="Times New Roman" w:eastAsia="Times New Roman" w:hAnsi="Times New Roman"/>
          <w:sz w:val="16"/>
          <w:szCs w:val="16"/>
          <w:color w:val="auto"/>
        </w:rPr>
        <w:t>Unless the context requires otherwise, references in this Quarterly Report on Form 10-Q (this “Form 10-Q”) to "Option Care Health," the “Company,” “we,” “us” and “our” refer to Option Care Health, Inc. and its consolidated subsidiaries.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43"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5"/>
          <w:szCs w:val="15"/>
          <w:color w:val="auto"/>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spacing w:after="0" w:line="16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2021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8"/>
        </w:trPr>
        <w:tc>
          <w:tcPr>
            <w:tcW w:w="7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255,468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119,423</w:t>
            </w: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338,242</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183,095</w:t>
            </w: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96,289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69,496</w:t>
            </w:r>
          </w:p>
        </w:tc>
      </w:tr>
      <w:tr>
        <w:trPr>
          <w:trHeight w:val="244"/>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951,964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710,256</w:t>
            </w:r>
          </w:p>
        </w:tc>
      </w:tr>
      <w:tr>
        <w:trPr>
          <w:trHeight w:val="210"/>
        </w:trPr>
        <w:tc>
          <w:tcPr>
            <w:tcW w:w="74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111,535</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74,777</w:t>
            </w: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21,433</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344,587</w:t>
            </w: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1,533,043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1,477,564</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27,033</w:t>
            </w: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23,733</w:t>
            </w:r>
          </w:p>
        </w:tc>
      </w:tr>
      <w:tr>
        <w:trPr>
          <w:trHeight w:val="204"/>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2,121,299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2,080,662</w:t>
            </w:r>
          </w:p>
        </w:tc>
      </w:tr>
      <w:tr>
        <w:trPr>
          <w:trHeight w:val="23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3,073,263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2,790,918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279,246</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83,503</w:t>
            </w: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71,857</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19,089</w:t>
            </w: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44"/>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586,800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459,695</w:t>
            </w:r>
          </w:p>
        </w:tc>
      </w:tr>
      <w:tr>
        <w:trPr>
          <w:trHeight w:val="210"/>
        </w:trPr>
        <w:tc>
          <w:tcPr>
            <w:tcW w:w="74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of discount, deferred financing costs and current portion</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1,058,606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1,059,900</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74,492</w:t>
            </w: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20,945</w:t>
            </w:r>
          </w:p>
        </w:tc>
      </w:tr>
      <w:tr>
        <w:trPr>
          <w:trHeight w:val="208"/>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1,149,128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1,155,337</w:t>
            </w:r>
          </w:p>
        </w:tc>
      </w:tr>
      <w:tr>
        <w:trPr>
          <w:trHeight w:val="204"/>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1,735,928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1,615,032</w:t>
            </w:r>
          </w:p>
        </w:tc>
      </w:tr>
      <w:tr>
        <w:trPr>
          <w:trHeight w:val="35"/>
        </w:trPr>
        <w:tc>
          <w:tcPr>
            <w:tcW w:w="7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11200"/>
          </w:cols>
          <w:pgMar w:left="320" w:top="118" w:right="37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STOCKHOLDERS’ EQUITY:</w:t>
      </w:r>
    </w:p>
    <w:p>
      <w:pPr>
        <w:spacing w:after="0" w:line="28" w:lineRule="exact"/>
        <w:rPr>
          <w:sz w:val="20"/>
          <w:szCs w:val="20"/>
          <w:color w:val="auto"/>
        </w:rPr>
      </w:pPr>
    </w:p>
    <w:p>
      <w:pPr>
        <w:ind w:left="140" w:right="980"/>
        <w:spacing w:after="0" w:line="239" w:lineRule="auto"/>
        <w:rPr>
          <w:sz w:val="20"/>
          <w:szCs w:val="20"/>
          <w:color w:val="auto"/>
        </w:rPr>
      </w:pPr>
      <w:r>
        <w:rPr>
          <w:rFonts w:ascii="Times New Roman" w:cs="Times New Roman" w:eastAsia="Times New Roman" w:hAnsi="Times New Roman"/>
          <w:sz w:val="16"/>
          <w:szCs w:val="16"/>
          <w:color w:val="auto"/>
        </w:rPr>
        <w:t>Preferred stock; $0.0001 par value; 12,500,000 shares authorized, no shares outstanding as of September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-231775</wp:posOffset>
            </wp:positionV>
            <wp:extent cx="7109460" cy="236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9460" cy="236220"/>
                    </a:xfrm>
                    <a:prstGeom prst="rect">
                      <a:avLst/>
                    </a:prstGeom>
                    <a:noFill/>
                  </pic:spPr>
                </pic:pic>
              </a:graphicData>
            </a:graphic>
          </wp:anchor>
        </w:drawing>
      </w:r>
    </w:p>
    <w:p>
      <w:pPr>
        <w:jc w:val="both"/>
        <w:ind w:left="140" w:right="800"/>
        <w:spacing w:after="0" w:line="229" w:lineRule="auto"/>
        <w:rPr>
          <w:sz w:val="20"/>
          <w:szCs w:val="20"/>
          <w:color w:val="auto"/>
        </w:rPr>
      </w:pPr>
      <w:r>
        <w:rPr>
          <w:rFonts w:ascii="Times New Roman" w:cs="Times New Roman" w:eastAsia="Times New Roman" w:hAnsi="Times New Roman"/>
          <w:sz w:val="16"/>
          <w:szCs w:val="16"/>
          <w:color w:val="auto"/>
        </w:rPr>
        <w:t>Common stock; $0.0001 par value: 250,000,000 shares authorized, 182,284,651 shares issued and 181,900,929 shares outstanding as of September 30, 2022; 180,309,637 shares issued and 179,925,915 shares outstanding as of December 31, 2021</w:t>
      </w:r>
    </w:p>
    <w:p>
      <w:pPr>
        <w:spacing w:after="0" w:line="5" w:lineRule="exact"/>
        <w:rPr>
          <w:sz w:val="20"/>
          <w:szCs w:val="20"/>
          <w:color w:val="auto"/>
        </w:rPr>
      </w:pPr>
    </w:p>
    <w:p>
      <w:pPr>
        <w:ind w:left="140" w:right="1340"/>
        <w:spacing w:after="0" w:line="239" w:lineRule="auto"/>
        <w:rPr>
          <w:sz w:val="20"/>
          <w:szCs w:val="20"/>
          <w:color w:val="auto"/>
        </w:rPr>
      </w:pPr>
      <w:r>
        <w:rPr>
          <w:rFonts w:ascii="Times New Roman" w:cs="Times New Roman" w:eastAsia="Times New Roman" w:hAnsi="Times New Roman"/>
          <w:sz w:val="16"/>
          <w:szCs w:val="16"/>
          <w:color w:val="auto"/>
        </w:rPr>
        <w:t>Treasury stock; 383,722 shares outstanding, at cost, as of September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-231775</wp:posOffset>
            </wp:positionV>
            <wp:extent cx="7109460" cy="236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9460" cy="236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260"/>
        <w:spacing w:after="0"/>
        <w:tabs>
          <w:tab w:leader="none" w:pos="22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27" w:lineRule="exact"/>
        <w:rPr>
          <w:sz w:val="20"/>
          <w:szCs w:val="20"/>
          <w:color w:val="auto"/>
        </w:rPr>
      </w:pPr>
    </w:p>
    <w:p>
      <w:pPr>
        <w:ind w:left="260"/>
        <w:spacing w:after="0"/>
        <w:tabs>
          <w:tab w:leader="none" w:pos="2200" w:val="left"/>
        </w:tabs>
        <w:rPr>
          <w:sz w:val="20"/>
          <w:szCs w:val="20"/>
          <w:color w:val="auto"/>
        </w:rPr>
      </w:pPr>
      <w:r>
        <w:rPr>
          <w:rFonts w:ascii="Times New Roman" w:cs="Times New Roman" w:eastAsia="Times New Roman" w:hAnsi="Times New Roman"/>
          <w:sz w:val="16"/>
          <w:szCs w:val="16"/>
          <w:color w:val="auto"/>
        </w:rPr>
        <w:t>18</w:t>
      </w:r>
      <w:r>
        <w:rPr>
          <w:sz w:val="20"/>
          <w:szCs w:val="20"/>
          <w:color w:val="auto"/>
        </w:rPr>
        <w:tab/>
      </w:r>
      <w:r>
        <w:rPr>
          <w:rFonts w:ascii="Times New Roman" w:cs="Times New Roman" w:eastAsia="Times New Roman" w:hAnsi="Times New Roman"/>
          <w:sz w:val="16"/>
          <w:szCs w:val="16"/>
          <w:color w:val="auto"/>
        </w:rPr>
        <w:t>18</w:t>
      </w:r>
    </w:p>
    <w:p>
      <w:pPr>
        <w:spacing w:after="0" w:line="10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5"/>
          <w:szCs w:val="15"/>
          <w:color w:val="auto"/>
        </w:rPr>
        <w:t>(2,403)</w:t>
      </w:r>
      <w:r>
        <w:rPr>
          <w:sz w:val="20"/>
          <w:szCs w:val="20"/>
          <w:color w:val="auto"/>
        </w:rPr>
        <w:tab/>
      </w:r>
      <w:r>
        <w:rPr>
          <w:rFonts w:ascii="Times New Roman" w:cs="Times New Roman" w:eastAsia="Times New Roman" w:hAnsi="Times New Roman"/>
          <w:sz w:val="15"/>
          <w:szCs w:val="15"/>
          <w:color w:val="auto"/>
        </w:rPr>
        <w:t>(2,403)</w:t>
      </w:r>
    </w:p>
    <w:p>
      <w:pPr>
        <w:spacing w:after="0" w:line="119" w:lineRule="exact"/>
        <w:rPr>
          <w:sz w:val="20"/>
          <w:szCs w:val="20"/>
          <w:color w:val="auto"/>
        </w:rPr>
      </w:pPr>
    </w:p>
    <w:p>
      <w:pPr>
        <w:sectPr>
          <w:pgSz w:w="11900" w:h="16838" w:orient="portrait"/>
          <w:cols w:equalWidth="0" w:num="2">
            <w:col w:w="8040" w:space="720"/>
            <w:col w:w="2440"/>
          </w:cols>
          <w:pgMar w:left="320" w:top="118" w:right="37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1,172,315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1,138,855</w:t>
            </w: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142,894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39,867</w:t>
            </w:r>
          </w:p>
        </w:tc>
      </w:tr>
      <w:tr>
        <w:trPr>
          <w:trHeight w:val="21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24,511</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0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6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1,337,335</w:t>
            </w: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1,175,886</w:t>
            </w:r>
          </w:p>
        </w:tc>
      </w:tr>
      <w:tr>
        <w:trPr>
          <w:trHeight w:val="208"/>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6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3,073,263</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2,790,918</w:t>
            </w:r>
          </w:p>
        </w:tc>
      </w:tr>
      <w:tr>
        <w:trPr>
          <w:trHeight w:val="20"/>
        </w:trPr>
        <w:tc>
          <w:tcPr>
            <w:tcW w:w="7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27" w:lineRule="exact"/>
        <w:rPr>
          <w:sz w:val="20"/>
          <w:szCs w:val="20"/>
          <w:color w:val="auto"/>
        </w:rPr>
      </w:pPr>
    </w:p>
    <w:p>
      <w:pPr>
        <w:ind w:right="3600"/>
        <w:spacing w:after="0" w:line="252"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(IN THOUSANDS, EXCEPT PER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c>
          <w:tcPr>
            <w:tcW w:w="0" w:type="dxa"/>
            <w:vAlign w:val="bottom"/>
          </w:tcPr>
          <w:p>
            <w:pPr>
              <w:spacing w:after="0"/>
              <w:rPr>
                <w:sz w:val="1"/>
                <w:szCs w:val="1"/>
                <w:color w:val="auto"/>
              </w:rPr>
            </w:pPr>
          </w:p>
        </w:tc>
      </w:tr>
      <w:tr>
        <w:trPr>
          <w:trHeight w:val="207"/>
        </w:trPr>
        <w:tc>
          <w:tcPr>
            <w:tcW w:w="57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1,020,918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2,917,522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2,511,446</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802,917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688,969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2,281,685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1,944,037</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567,409</w:t>
            </w:r>
          </w:p>
        </w:tc>
        <w:tc>
          <w:tcPr>
            <w:tcW w:w="0" w:type="dxa"/>
            <w:vAlign w:val="bottom"/>
          </w:tcPr>
          <w:p>
            <w:pPr>
              <w:spacing w:after="0"/>
              <w:rPr>
                <w:sz w:val="1"/>
                <w:szCs w:val="1"/>
                <w:color w:val="auto"/>
              </w:rPr>
            </w:pPr>
          </w:p>
        </w:tc>
      </w:tr>
      <w:tr>
        <w:trPr>
          <w:trHeight w:val="252"/>
        </w:trPr>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388,930</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48,410</w:t>
            </w:r>
          </w:p>
        </w:tc>
        <w:tc>
          <w:tcPr>
            <w:tcW w:w="0" w:type="dxa"/>
            <w:vAlign w:val="bottom"/>
          </w:tcPr>
          <w:p>
            <w:pPr>
              <w:spacing w:after="0"/>
              <w:rPr>
                <w:sz w:val="1"/>
                <w:szCs w:val="1"/>
                <w:color w:val="auto"/>
              </w:rPr>
            </w:pPr>
          </w:p>
        </w:tc>
      </w:tr>
      <w:tr>
        <w:trPr>
          <w:trHeight w:val="204"/>
        </w:trPr>
        <w:tc>
          <w:tcPr>
            <w:tcW w:w="5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157,283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150,085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463,798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437,340</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172,039</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130,069</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(52,717)</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(12,392)</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expense</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(60,542)</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69,527</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37,960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0" w:type="dxa"/>
            <w:vAlign w:val="bottom"/>
          </w:tcPr>
          <w:p>
            <w:pPr>
              <w:spacing w:after="0"/>
              <w:rPr>
                <w:sz w:val="1"/>
                <w:szCs w:val="1"/>
                <w:color w:val="auto"/>
              </w:rPr>
            </w:pPr>
          </w:p>
        </w:tc>
      </w:tr>
      <w:tr>
        <w:trPr>
          <w:trHeight w:val="235"/>
        </w:trPr>
        <w:tc>
          <w:tcPr>
            <w:tcW w:w="5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38,823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103,027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64,431</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Change in unrealized gains on cash flow hedges, net of income tax expense of $1,398,</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 $5,917, and $0, respectively</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0" w:type="dxa"/>
            <w:vAlign w:val="bottom"/>
          </w:tcPr>
          <w:p>
            <w:pPr>
              <w:spacing w:after="0"/>
              <w:rPr>
                <w:sz w:val="1"/>
                <w:szCs w:val="1"/>
                <w:color w:val="auto"/>
              </w:rPr>
            </w:pPr>
          </w:p>
        </w:tc>
      </w:tr>
      <w:tr>
        <w:trPr>
          <w:trHeight w:val="23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127,989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share, 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1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180,829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179,841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181,760</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181,055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27" w:lineRule="exact"/>
        <w:rPr>
          <w:sz w:val="20"/>
          <w:szCs w:val="20"/>
          <w:color w:val="auto"/>
        </w:rPr>
      </w:pPr>
    </w:p>
    <w:p>
      <w:pPr>
        <w:ind w:right="4800"/>
        <w:spacing w:after="0" w:line="252"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2"/>
        </w:trPr>
        <w:tc>
          <w:tcPr>
            <w:tcW w:w="8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64,431</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52,820</w:t>
            </w: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11,137</w:t>
            </w:r>
          </w:p>
        </w:tc>
      </w:tr>
      <w:tr>
        <w:trPr>
          <w:trHeight w:val="215"/>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 - net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12,403</w:t>
            </w:r>
          </w:p>
        </w:tc>
      </w:tr>
      <w:tr>
        <w:trPr>
          <w:trHeight w:val="215"/>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w:t>
            </w:r>
          </w:p>
        </w:tc>
      </w:tr>
      <w:tr>
        <w:trPr>
          <w:trHeight w:val="215"/>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incentive compensation expense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w:t>
            </w: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distribution from equity method investments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5"/>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adjustments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(27,310)</w:t>
            </w: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(31,472)</w:t>
            </w: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w:t>
            </w: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35,648</w:t>
            </w: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w:t>
            </w: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18,353</w:t>
            </w: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(14,620)</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r>
      <w:tr>
        <w:trPr>
          <w:trHeight w:val="208"/>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143,259</w:t>
            </w: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(11,744)</w:t>
            </w:r>
          </w:p>
        </w:tc>
      </w:tr>
      <w:tr>
        <w:trPr>
          <w:trHeight w:val="215"/>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(18,852)</w:t>
            </w:r>
          </w:p>
        </w:tc>
      </w:tr>
      <w:tr>
        <w:trPr>
          <w:trHeight w:val="244"/>
        </w:trPr>
        <w:tc>
          <w:tcPr>
            <w:tcW w:w="8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(104,426)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(30,596)</w:t>
            </w:r>
          </w:p>
        </w:tc>
      </w:tr>
      <w:tr>
        <w:trPr>
          <w:trHeight w:val="210"/>
        </w:trPr>
        <w:tc>
          <w:tcPr>
            <w:tcW w:w="8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215"/>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stock options, vesting of restricted stock, and related tax withholdings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warrant exercises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355,200</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(8,832)</w:t>
            </w:r>
          </w:p>
        </w:tc>
      </w:tr>
      <w:tr>
        <w:trPr>
          <w:trHeight w:val="215"/>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Retirement of debt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(352,009)</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w:t>
            </w:r>
          </w:p>
        </w:tc>
      </w:tr>
      <w:tr>
        <w:trPr>
          <w:trHeight w:val="215"/>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prepayment fees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r>
      <w:tr>
        <w:trPr>
          <w:trHeight w:val="204"/>
        </w:trPr>
        <w:tc>
          <w:tcPr>
            <w:tcW w:w="8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(11,072)</w:t>
            </w:r>
          </w:p>
        </w:tc>
      </w:tr>
      <w:tr>
        <w:trPr>
          <w:trHeight w:val="20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101,591</w:t>
            </w:r>
          </w:p>
        </w:tc>
      </w:tr>
      <w:tr>
        <w:trPr>
          <w:trHeight w:val="21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the period</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99,265</w:t>
            </w:r>
          </w:p>
        </w:tc>
      </w:tr>
      <w:tr>
        <w:trPr>
          <w:trHeight w:val="23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255,468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200,856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29,578</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52,002</w:t>
            </w:r>
          </w:p>
        </w:tc>
      </w:tr>
      <w:tr>
        <w:trPr>
          <w:trHeight w:val="215"/>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w:t>
            </w:r>
          </w:p>
        </w:tc>
      </w:tr>
      <w:tr>
        <w:trPr>
          <w:trHeight w:val="208"/>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18,964</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19,631</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27" w:lineRule="exact"/>
        <w:rPr>
          <w:sz w:val="20"/>
          <w:szCs w:val="20"/>
          <w:color w:val="auto"/>
        </w:rPr>
      </w:pPr>
    </w:p>
    <w:p>
      <w:pPr>
        <w:ind w:right="3700"/>
        <w:spacing w:after="0" w:line="252"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8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3"/>
                <w:szCs w:val="13"/>
                <w:color w:val="auto"/>
              </w:rPr>
            </w:pPr>
          </w:p>
        </w:tc>
        <w:tc>
          <w:tcPr>
            <w:tcW w:w="1160" w:type="dxa"/>
            <w:vAlign w:val="bottom"/>
          </w:tcPr>
          <w:p>
            <w:pPr>
              <w:jc w:val="center"/>
              <w:ind w:right="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December 31,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1,015,724</w:t>
            </w:r>
          </w:p>
        </w:tc>
        <w:tc>
          <w:tcPr>
            <w:tcW w:w="0" w:type="dxa"/>
            <w:vAlign w:val="bottom"/>
          </w:tcPr>
          <w:p>
            <w:pPr>
              <w:spacing w:after="0"/>
              <w:rPr>
                <w:sz w:val="1"/>
                <w:szCs w:val="1"/>
                <w:color w:val="auto"/>
              </w:rPr>
            </w:pPr>
          </w:p>
        </w:tc>
      </w:tr>
      <w:tr>
        <w:trPr>
          <w:trHeight w:val="159"/>
        </w:trPr>
        <w:tc>
          <w:tcPr>
            <w:tcW w:w="27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20" w:type="dxa"/>
            <w:vAlign w:val="bottom"/>
          </w:tcPr>
          <w:p>
            <w:pPr>
              <w:spacing w:after="0"/>
              <w:rPr>
                <w:sz w:val="13"/>
                <w:szCs w:val="13"/>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withholdings</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w:t>
            </w:r>
          </w:p>
        </w:tc>
        <w:tc>
          <w:tcPr>
            <w:tcW w:w="0" w:type="dxa"/>
            <w:vAlign w:val="bottom"/>
          </w:tcPr>
          <w:p>
            <w:pPr>
              <w:spacing w:after="0"/>
              <w:rPr>
                <w:sz w:val="1"/>
                <w:szCs w:val="1"/>
                <w:color w:val="auto"/>
              </w:rPr>
            </w:pPr>
          </w:p>
        </w:tc>
      </w:tr>
      <w:tr>
        <w:trPr>
          <w:trHeight w:val="204"/>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 March 31, 2021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1,130,448</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(102,892)</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1,018,080</w:t>
            </w: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31,816</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0" w:type="dxa"/>
            <w:vAlign w:val="bottom"/>
          </w:tcPr>
          <w:p>
            <w:pPr>
              <w:spacing w:after="0"/>
              <w:rPr>
                <w:sz w:val="1"/>
                <w:szCs w:val="1"/>
                <w:color w:val="auto"/>
              </w:rPr>
            </w:pPr>
          </w:p>
        </w:tc>
      </w:tr>
      <w:tr>
        <w:trPr>
          <w:trHeight w:val="20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1,132,964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1,056,611</w:t>
            </w:r>
          </w:p>
        </w:tc>
        <w:tc>
          <w:tcPr>
            <w:tcW w:w="0" w:type="dxa"/>
            <w:vAlign w:val="bottom"/>
          </w:tcPr>
          <w:p>
            <w:pPr>
              <w:spacing w:after="0"/>
              <w:rPr>
                <w:sz w:val="1"/>
                <w:szCs w:val="1"/>
                <w:color w:val="auto"/>
              </w:rPr>
            </w:pPr>
          </w:p>
        </w:tc>
      </w:tr>
      <w:tr>
        <w:trPr>
          <w:trHeight w:val="159"/>
        </w:trPr>
        <w:tc>
          <w:tcPr>
            <w:tcW w:w="27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20" w:type="dxa"/>
            <w:vAlign w:val="bottom"/>
          </w:tcPr>
          <w:p>
            <w:pPr>
              <w:spacing w:after="0"/>
              <w:rPr>
                <w:sz w:val="13"/>
                <w:szCs w:val="13"/>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withholdings</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35,476</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1,135,465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1,097,480</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 December 31,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1,138,855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1,175,886</w:t>
            </w: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30,275</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11,070</w:t>
            </w:r>
          </w:p>
        </w:tc>
        <w:tc>
          <w:tcPr>
            <w:tcW w:w="0" w:type="dxa"/>
            <w:vAlign w:val="bottom"/>
          </w:tcPr>
          <w:p>
            <w:pPr>
              <w:spacing w:after="0"/>
              <w:rPr>
                <w:sz w:val="1"/>
                <w:szCs w:val="1"/>
                <w:color w:val="auto"/>
              </w:rPr>
            </w:pPr>
          </w:p>
        </w:tc>
      </w:tr>
      <w:tr>
        <w:trPr>
          <w:trHeight w:val="20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March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1,143,388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1,221,764</w:t>
            </w:r>
          </w:p>
        </w:tc>
        <w:tc>
          <w:tcPr>
            <w:tcW w:w="0" w:type="dxa"/>
            <w:vAlign w:val="bottom"/>
          </w:tcPr>
          <w:p>
            <w:pPr>
              <w:spacing w:after="0"/>
              <w:rPr>
                <w:sz w:val="1"/>
                <w:szCs w:val="1"/>
                <w:color w:val="auto"/>
              </w:rPr>
            </w:pPr>
          </w:p>
        </w:tc>
      </w:tr>
      <w:tr>
        <w:trPr>
          <w:trHeight w:val="159"/>
        </w:trPr>
        <w:tc>
          <w:tcPr>
            <w:tcW w:w="27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20" w:type="dxa"/>
            <w:vAlign w:val="bottom"/>
          </w:tcPr>
          <w:p>
            <w:pPr>
              <w:spacing w:after="0"/>
              <w:rPr>
                <w:sz w:val="13"/>
                <w:szCs w:val="13"/>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withholdings</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warrants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20,098</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33,929</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0" w:type="dxa"/>
            <w:vAlign w:val="bottom"/>
          </w:tcPr>
          <w:p>
            <w:pPr>
              <w:spacing w:after="0"/>
              <w:rPr>
                <w:sz w:val="1"/>
                <w:szCs w:val="1"/>
                <w:color w:val="auto"/>
              </w:rPr>
            </w:pPr>
          </w:p>
        </w:tc>
      </w:tr>
      <w:tr>
        <w:trPr>
          <w:trHeight w:val="20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June 30,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1,168,052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1,284,994</w:t>
            </w:r>
          </w:p>
        </w:tc>
        <w:tc>
          <w:tcPr>
            <w:tcW w:w="0" w:type="dxa"/>
            <w:vAlign w:val="bottom"/>
          </w:tcPr>
          <w:p>
            <w:pPr>
              <w:spacing w:after="0"/>
              <w:rPr>
                <w:sz w:val="1"/>
                <w:szCs w:val="1"/>
                <w:color w:val="auto"/>
              </w:rPr>
            </w:pPr>
          </w:p>
        </w:tc>
      </w:tr>
      <w:tr>
        <w:trPr>
          <w:trHeight w:val="159"/>
        </w:trPr>
        <w:tc>
          <w:tcPr>
            <w:tcW w:w="27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20" w:type="dxa"/>
            <w:vAlign w:val="bottom"/>
          </w:tcPr>
          <w:p>
            <w:pPr>
              <w:spacing w:after="0"/>
              <w:rPr>
                <w:sz w:val="13"/>
                <w:szCs w:val="13"/>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withholdings</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warrants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38,823</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0" w:type="dxa"/>
            <w:vAlign w:val="bottom"/>
          </w:tcPr>
          <w:p>
            <w:pPr>
              <w:spacing w:after="0"/>
              <w:rPr>
                <w:sz w:val="1"/>
                <w:szCs w:val="1"/>
                <w:color w:val="auto"/>
              </w:rPr>
            </w:pPr>
          </w:p>
        </w:tc>
      </w:tr>
      <w:tr>
        <w:trPr>
          <w:trHeight w:val="233"/>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September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1,172,315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1,337,335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PRESENTATION OF FINANCIAL STATEMENTS</w:t>
      </w:r>
    </w:p>
    <w:p>
      <w:pPr>
        <w:spacing w:after="0" w:line="178" w:lineRule="exact"/>
        <w:rPr>
          <w:sz w:val="20"/>
          <w:szCs w:val="20"/>
          <w:color w:val="auto"/>
        </w:rPr>
      </w:pPr>
    </w:p>
    <w:p>
      <w:pPr>
        <w:ind w:firstLine="31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Corporate Organization and Business </w:t>
      </w:r>
      <w:r>
        <w:rPr>
          <w:rFonts w:ascii="Times New Roman" w:cs="Times New Roman" w:eastAsia="Times New Roman" w:hAnsi="Times New Roman"/>
          <w:sz w:val="18"/>
          <w:szCs w:val="18"/>
          <w:color w:val="auto"/>
        </w:rPr>
        <w:t>— HC Group Holdings II, Inc. (“HC II”) was incorporated under the laws of the State of Delaware on January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37" w:lineRule="exact"/>
        <w:rPr>
          <w:sz w:val="20"/>
          <w:szCs w:val="20"/>
          <w:color w:val="auto"/>
        </w:rPr>
      </w:pPr>
    </w:p>
    <w:p>
      <w:pPr>
        <w:ind w:right="20" w:firstLine="319"/>
        <w:spacing w:after="0" w:line="250" w:lineRule="auto"/>
        <w:rPr>
          <w:sz w:val="20"/>
          <w:szCs w:val="20"/>
          <w:color w:val="auto"/>
        </w:rPr>
      </w:pPr>
      <w:r>
        <w:rPr>
          <w:rFonts w:ascii="Times New Roman" w:cs="Times New Roman" w:eastAsia="Times New Roman" w:hAnsi="Times New Roman"/>
          <w:sz w:val="18"/>
          <w:szCs w:val="18"/>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(“Option Care Health”, or the “Company”). The combined Company’s stock is listed on the Nasdaq Global Select Market as of September 30, 2022. During the three and nine months ended September 30, 2022, HC I completed a secondary offering of 11,000,000 shares of common stock. Following this offering, HC I holds approximately 14.4% of the common stock of the Company.</w:t>
      </w:r>
    </w:p>
    <w:p>
      <w:pPr>
        <w:spacing w:after="0" w:line="161" w:lineRule="exact"/>
        <w:rPr>
          <w:sz w:val="20"/>
          <w:szCs w:val="20"/>
          <w:color w:val="auto"/>
        </w:rPr>
      </w:pPr>
    </w:p>
    <w:p>
      <w:pPr>
        <w:ind w:right="160" w:firstLine="319"/>
        <w:spacing w:after="0" w:line="255" w:lineRule="auto"/>
        <w:rPr>
          <w:sz w:val="20"/>
          <w:szCs w:val="20"/>
          <w:color w:val="auto"/>
        </w:rPr>
      </w:pPr>
      <w:r>
        <w:rPr>
          <w:rFonts w:ascii="Times New Roman" w:cs="Times New Roman" w:eastAsia="Times New Roman" w:hAnsi="Times New Roman"/>
          <w:sz w:val="18"/>
          <w:szCs w:val="18"/>
          <w:color w:val="auto"/>
        </w:rPr>
        <w:t>Option Care Health, and its wholly-owned subsidiaries, provides infusion therapy and other ancillary health care services through a national network of 97 full service pharmacies and 64 stand-alone infusion suites.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41" w:lineRule="exact"/>
        <w:rPr>
          <w:sz w:val="20"/>
          <w:szCs w:val="20"/>
          <w:color w:val="auto"/>
        </w:rPr>
      </w:pPr>
    </w:p>
    <w:p>
      <w:pPr>
        <w:ind w:firstLine="31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have been prepared in conformity with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2021 audited consolidated financial statements, including the notes thereto, as presented in our Form 10-K.</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 xml:space="preserve">Principles of Consolidation </w:t>
      </w:r>
      <w:r>
        <w:rPr>
          <w:rFonts w:ascii="Times New Roman" w:cs="Times New Roman" w:eastAsia="Times New Roman" w:hAnsi="Times New Roman"/>
          <w:sz w:val="17"/>
          <w:szCs w:val="17"/>
          <w:color w:val="auto"/>
        </w:rPr>
        <w:t>— The Company’s unaudited condensed consolidated financial statements include the accounts of Option Care Health,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All intercompany transactions and balances are eliminated in consolidation.</w:t>
      </w:r>
    </w:p>
    <w:p>
      <w:pPr>
        <w:spacing w:after="0" w:line="172" w:lineRule="exact"/>
        <w:rPr>
          <w:sz w:val="20"/>
          <w:szCs w:val="20"/>
          <w:color w:val="auto"/>
        </w:rPr>
      </w:pPr>
    </w:p>
    <w:p>
      <w:pPr>
        <w:jc w:val="both"/>
        <w:ind w:right="60" w:firstLine="319"/>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1" w:lineRule="exact"/>
        <w:rPr>
          <w:sz w:val="20"/>
          <w:szCs w:val="20"/>
          <w:color w:val="auto"/>
        </w:rPr>
      </w:pPr>
    </w:p>
    <w:p>
      <w:pPr>
        <w:ind w:right="660" w:firstLine="31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w:t>
      </w:r>
    </w:p>
    <w:p>
      <w:pPr>
        <w:spacing w:after="0" w:line="120" w:lineRule="exact"/>
        <w:rPr>
          <w:sz w:val="20"/>
          <w:szCs w:val="20"/>
          <w:color w:val="auto"/>
        </w:rPr>
      </w:pPr>
    </w:p>
    <w:p>
      <w:pPr>
        <w:ind w:right="20" w:firstLine="319"/>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 Included in prepaid expenses and other current assets are rebates receivable from pharmaceutical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supply manufacturers of $46.4 million and $43.0 million as of September 30, 2022 and December 31, 2021, respectively. There were no other items included in prepaid expenses and other current assets that comprised 5% or more of total current assets. As of September 30, 2022, the Company determined that certain assets related to the respiratory therapy and durable medical equipment business met the applicable criteria as being held for sale. As of September 30, 2022, $9.5 million of assets held for sale and $2.0 million of liabilities held for sale were classified in prepaid expenses and other current assets and accrued expenses and other current liabilities, respectively, in the condensed consolidated balance sheets. The assets and liabilities were classified as held for sale at the lower of their carrying amount or fair values less cost to sell. In October 2022, the Company entered into a definitive agreement to sell these assets. The Company expects to close the transaction within the fourth quarter of fiscal year 2022.</w:t>
      </w:r>
    </w:p>
    <w:p>
      <w:pPr>
        <w:spacing w:after="0" w:line="214" w:lineRule="exact"/>
        <w:rPr>
          <w:sz w:val="20"/>
          <w:szCs w:val="20"/>
          <w:color w:val="auto"/>
        </w:rPr>
      </w:pPr>
    </w:p>
    <w:p>
      <w:pPr>
        <w:ind w:right="40" w:firstLine="319"/>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 The Company’s investments in certain unconsolidated entities are accounted for under the equity method. The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these investments is included in other noncurrent assets in the accompanying condensed consolidated balance sheets. As of September 30, 2022 and December 31, 2021, the balance of the investments was $21.7 million and $20.1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$1.5 million and $4.1 million for the three and nine months ended September 30, 2022, respectively, and $1.7 million and $4.6 million for the three and nine months ended September 30, 2021, respectively. See Note 16, </w:t>
      </w:r>
      <w:r>
        <w:rPr>
          <w:rFonts w:ascii="Times New Roman" w:cs="Times New Roman" w:eastAsia="Times New Roman" w:hAnsi="Times New Roman"/>
          <w:sz w:val="18"/>
          <w:szCs w:val="18"/>
          <w:i w:val="1"/>
          <w:iCs w:val="1"/>
          <w:color w:val="auto"/>
        </w:rPr>
        <w:t>Related-Party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for discussion of related-party transactions with these investees.</w:t>
      </w:r>
    </w:p>
    <w:p>
      <w:pPr>
        <w:spacing w:after="0" w:line="131" w:lineRule="exact"/>
        <w:rPr>
          <w:sz w:val="20"/>
          <w:szCs w:val="20"/>
          <w:color w:val="auto"/>
        </w:rPr>
      </w:pPr>
    </w:p>
    <w:p>
      <w:pPr>
        <w:ind w:right="200" w:firstLine="31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Concentrations of Business Risk </w:t>
      </w:r>
      <w:r>
        <w:rPr>
          <w:rFonts w:ascii="Times New Roman" w:cs="Times New Roman" w:eastAsia="Times New Roman" w:hAnsi="Times New Roman"/>
          <w:sz w:val="18"/>
          <w:szCs w:val="18"/>
          <w:color w:val="auto"/>
        </w:rPr>
        <w:t>— The Company generates revenue from managed care contracts and other agreements with commercial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payers. Revenue related to the Company’s largest payer was approximately 14% and 15% for the three and nine months ended September 30, 2022, respectively. Revenue related to the Company’s largest payer was approximately 16% and 16% for the three and nine months ended September 30, 2021, respectively. There were no other managed care contracts that represent greater than 10% of revenue for the periods presented.</w:t>
      </w:r>
    </w:p>
    <w:p>
      <w:pPr>
        <w:spacing w:after="0" w:line="153" w:lineRule="exact"/>
        <w:rPr>
          <w:sz w:val="20"/>
          <w:szCs w:val="20"/>
          <w:color w:val="auto"/>
        </w:rPr>
      </w:pPr>
    </w:p>
    <w:p>
      <w:pPr>
        <w:ind w:right="40" w:firstLine="319"/>
        <w:spacing w:after="0" w:line="251" w:lineRule="auto"/>
        <w:rPr>
          <w:sz w:val="20"/>
          <w:szCs w:val="20"/>
          <w:color w:val="auto"/>
        </w:rPr>
      </w:pPr>
      <w:r>
        <w:rPr>
          <w:rFonts w:ascii="Times New Roman" w:cs="Times New Roman" w:eastAsia="Times New Roman" w:hAnsi="Times New Roman"/>
          <w:sz w:val="18"/>
          <w:szCs w:val="18"/>
          <w:color w:val="auto"/>
        </w:rPr>
        <w:t>For the three and nine months ended September 30, 2022, approximately 12% and 12%, respectively, of the Company’s revenue was reimbursable through direct government healthcare programs, such as Medicare and Medicaid. For the three and nine months ended September 30, 2021, approximately 12% and 12%, respectively, of the Company’s revenue was reimbursable through direct government healthcare programs, such as Medicare and Medicaid. As of September 30, 2022 and December 31, 2021, approximately 11% and 11%,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211" w:lineRule="exact"/>
        <w:rPr>
          <w:sz w:val="20"/>
          <w:szCs w:val="20"/>
          <w:color w:val="auto"/>
        </w:rPr>
      </w:pPr>
    </w:p>
    <w:p>
      <w:pPr>
        <w:ind w:right="20" w:firstLine="319"/>
        <w:spacing w:after="0" w:line="255" w:lineRule="auto"/>
        <w:rPr>
          <w:sz w:val="20"/>
          <w:szCs w:val="20"/>
          <w:color w:val="auto"/>
        </w:rPr>
      </w:pPr>
      <w:r>
        <w:rPr>
          <w:rFonts w:ascii="Times New Roman" w:cs="Times New Roman" w:eastAsia="Times New Roman" w:hAnsi="Times New Roman"/>
          <w:sz w:val="18"/>
          <w:szCs w:val="18"/>
          <w:color w:val="auto"/>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56" w:lineRule="exact"/>
        <w:rPr>
          <w:sz w:val="20"/>
          <w:szCs w:val="20"/>
          <w:color w:val="auto"/>
        </w:rPr>
      </w:pPr>
    </w:p>
    <w:p>
      <w:pPr>
        <w:ind w:firstLine="319"/>
        <w:spacing w:after="0" w:line="251" w:lineRule="auto"/>
        <w:rPr>
          <w:sz w:val="20"/>
          <w:szCs w:val="20"/>
          <w:color w:val="auto"/>
        </w:rPr>
      </w:pPr>
      <w:r>
        <w:rPr>
          <w:rFonts w:ascii="Times New Roman" w:cs="Times New Roman" w:eastAsia="Times New Roman" w:hAnsi="Times New Roman"/>
          <w:sz w:val="18"/>
          <w:szCs w:val="18"/>
          <w:color w:val="auto"/>
        </w:rPr>
        <w:t>For the three and nine months ended September 30, 2022, approximately 74% and 73%, respectively, of the Company’s pharmaceutical and medical supply purchases were from four vendors. For the three and nine months ended September 30, 2021, approximately 65% and 65%, respectively,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remains some uncertainty regarding the COVID-19 pandemic, as of September 30, 2022, the Company has been able to maintain adequate levels of supplies and pharmaceuticals to support its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 AND ASSET ACQUISITIONS</w:t>
      </w:r>
    </w:p>
    <w:p>
      <w:pPr>
        <w:spacing w:after="0" w:line="19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Infinity Infusion Nursing LLC — </w:t>
      </w:r>
      <w:r>
        <w:rPr>
          <w:rFonts w:ascii="Times New Roman" w:cs="Times New Roman" w:eastAsia="Times New Roman" w:hAnsi="Times New Roman"/>
          <w:sz w:val="18"/>
          <w:szCs w:val="18"/>
          <w:color w:val="auto"/>
        </w:rPr>
        <w:t>In October 2021, pursuant to the equity purchase agreement dated October 1, 2021, the Company completed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100% of the equity interests in Infinity Infusion Nursing, LLC for a purchase price, net of cash acquired, of $59.6 million. The Company has finalized the purchase price allocation of the acquisition and no purchase accounting adjustments were made.</w:t>
      </w:r>
    </w:p>
    <w:p>
      <w:pPr>
        <w:spacing w:after="0" w:line="135"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Wasatch Infusion LLC Acquisition — </w:t>
      </w:r>
      <w:r>
        <w:rPr>
          <w:rFonts w:ascii="Times New Roman" w:cs="Times New Roman" w:eastAsia="Times New Roman" w:hAnsi="Times New Roman"/>
          <w:sz w:val="17"/>
          <w:szCs w:val="17"/>
          <w:color w:val="auto"/>
        </w:rPr>
        <w:t>In December 2021, pursuant to the executed asset purchase agreement on December 29, 2021,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completed the acquisition of Wasatch Infusion LLC for a purchase price of $19.5 million. As of March 31, 2022, the Company finalized the purchase price allocation of the acquisition. Certain adjustments were made to preliminary valuation amounts related to accounts receivable, other assets and other assumed liabilities. The following is a final allocation of the consideration transferred to acquired identifiable assets and assumed liabilities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r>
      <w:tr>
        <w:trPr>
          <w:trHeight w:val="210"/>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1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w:t>
            </w:r>
          </w:p>
        </w:tc>
      </w:tr>
      <w:tr>
        <w:trPr>
          <w:trHeight w:val="210"/>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1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w:t>
            </w:r>
          </w:p>
        </w:tc>
      </w:tr>
      <w:tr>
        <w:trPr>
          <w:trHeight w:val="21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assumed liabilities</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20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Identifiable assets and liabilities</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r>
      <w:tr>
        <w:trPr>
          <w:trHeight w:val="21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 (1)</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17,366</w:t>
            </w:r>
          </w:p>
        </w:tc>
      </w:tr>
      <w:tr>
        <w:trPr>
          <w:trHeight w:val="233"/>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44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Goodwill is attributable to cost synergies from procurement and operational efficiencies and elimination of duplicative administrative costs.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Specialty Pharmacy Nursing Network, Inc. — </w:t>
      </w:r>
      <w:r>
        <w:rPr>
          <w:rFonts w:ascii="Times New Roman" w:cs="Times New Roman" w:eastAsia="Times New Roman" w:hAnsi="Times New Roman"/>
          <w:sz w:val="18"/>
          <w:szCs w:val="18"/>
          <w:color w:val="auto"/>
        </w:rPr>
        <w:t>In April 2022, pursuant to the equity purchase agreement dated February 7, 2022, the Company completed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acquisition of 100% of the equity interests in Specialty Pharmacy Nursing Network, Inc. (“SPNN”) for a purchase price, net of cash acquired, of $59.9 million.</w:t>
      </w:r>
    </w:p>
    <w:p>
      <w:pPr>
        <w:spacing w:after="0" w:line="135" w:lineRule="exact"/>
        <w:rPr>
          <w:sz w:val="20"/>
          <w:szCs w:val="20"/>
          <w:color w:val="auto"/>
        </w:rPr>
      </w:pPr>
    </w:p>
    <w:p>
      <w:pPr>
        <w:jc w:val="both"/>
        <w:ind w:right="120" w:firstLine="319"/>
        <w:spacing w:after="0" w:line="256" w:lineRule="auto"/>
        <w:rPr>
          <w:sz w:val="20"/>
          <w:szCs w:val="20"/>
          <w:color w:val="auto"/>
        </w:rPr>
      </w:pPr>
      <w:r>
        <w:rPr>
          <w:rFonts w:ascii="Times New Roman" w:cs="Times New Roman" w:eastAsia="Times New Roman" w:hAnsi="Times New Roman"/>
          <w:sz w:val="18"/>
          <w:szCs w:val="18"/>
          <w:color w:val="auto"/>
        </w:rPr>
        <w:t xml:space="preserve">The allocation of the purchase price of SPNN was accounted for as a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the total purchase price being allocated to the assets and liabilities acquired based on the relative fair value of each asset and liability. The following is a preliminary estimate of the allocation of the consideration transferred, open for accounts receivable and accounts payable, to acquired identifiable assets and assumed liabilities, net of cash acquired, as of September 30, 2022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r>
      <w:tr>
        <w:trPr>
          <w:trHeight w:val="210"/>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25,580</w:t>
            </w:r>
          </w:p>
        </w:tc>
      </w:tr>
      <w:tr>
        <w:trPr>
          <w:trHeight w:val="21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0"/>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r>
      <w:tr>
        <w:trPr>
          <w:trHeight w:val="21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0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identifiable assets and liabilities</w:t>
            </w: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26,151</w:t>
            </w:r>
          </w:p>
        </w:tc>
      </w:tr>
      <w:tr>
        <w:trPr>
          <w:trHeight w:val="21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(1)</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33,746</w:t>
            </w:r>
          </w:p>
        </w:tc>
      </w:tr>
      <w:tr>
        <w:trPr>
          <w:trHeight w:val="21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0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60,558</w:t>
            </w:r>
          </w:p>
        </w:tc>
      </w:tr>
      <w:tr>
        <w:trPr>
          <w:trHeight w:val="21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33"/>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net of cash acquired</w:t>
            </w:r>
          </w:p>
        </w:tc>
        <w:tc>
          <w:tcPr>
            <w:tcW w:w="44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760" w:firstLine="325"/>
        <w:spacing w:after="0" w:line="275" w:lineRule="auto"/>
        <w:tabs>
          <w:tab w:leader="none" w:pos="5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attributable to cost synergies from operational efficiencies and establishing a more comprehensive clinical platform through the Company’s national infrastructure and SPNN’s nursing network.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Rochester Home Infusion, Inc. — </w:t>
      </w:r>
      <w:r>
        <w:rPr>
          <w:rFonts w:ascii="Times New Roman" w:cs="Times New Roman" w:eastAsia="Times New Roman" w:hAnsi="Times New Roman"/>
          <w:sz w:val="18"/>
          <w:szCs w:val="18"/>
          <w:color w:val="auto"/>
        </w:rPr>
        <w:t>In August 2022, pursuant to the stock purchase agreement dated June 10, 2022, the Company completed the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100% of the equity interests in Rochester Home Infusion, Inc. (“RHI”) for a purchase price, net of cash acquired, of $27.4 million.</w:t>
      </w:r>
    </w:p>
    <w:p>
      <w:pPr>
        <w:spacing w:after="0" w:line="133" w:lineRule="exact"/>
        <w:rPr>
          <w:sz w:val="20"/>
          <w:szCs w:val="20"/>
          <w:color w:val="auto"/>
        </w:rPr>
      </w:pPr>
    </w:p>
    <w:p>
      <w:pPr>
        <w:ind w:right="120" w:firstLine="319"/>
        <w:spacing w:after="0" w:line="256" w:lineRule="auto"/>
        <w:rPr>
          <w:sz w:val="20"/>
          <w:szCs w:val="20"/>
          <w:color w:val="auto"/>
        </w:rPr>
      </w:pPr>
      <w:r>
        <w:rPr>
          <w:rFonts w:ascii="Times New Roman" w:cs="Times New Roman" w:eastAsia="Times New Roman" w:hAnsi="Times New Roman"/>
          <w:sz w:val="18"/>
          <w:szCs w:val="18"/>
          <w:color w:val="auto"/>
        </w:rPr>
        <w:t xml:space="preserve">The allocation of the purchase price of RHI was accounted for as a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the total purchase price being allocated to the assets and liabilities acquired based on the relative fair value of each asset and liability. The following is a preliminary estimate of the allocation of the consideration transferred, open for accounts receivable and accounts payable, to acquired identifiable assets and assumed liabilities, net of cash acquired, as of September 30, 2022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r>
      <w:tr>
        <w:trPr>
          <w:trHeight w:val="210"/>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w:t>
            </w:r>
          </w:p>
        </w:tc>
      </w:tr>
      <w:tr>
        <w:trPr>
          <w:trHeight w:val="21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Identifiable assets and liabilities</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w:t>
            </w:r>
          </w:p>
        </w:tc>
      </w:tr>
      <w:tr>
        <w:trPr>
          <w:trHeight w:val="210"/>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(1)</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20,797</w:t>
            </w:r>
          </w:p>
        </w:tc>
      </w:tr>
      <w:tr>
        <w:trPr>
          <w:trHeight w:val="21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4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27,619</w:t>
            </w: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acquired</w:t>
            </w:r>
          </w:p>
        </w:tc>
        <w:tc>
          <w:tcPr>
            <w:tcW w:w="4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8"/>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net of cash acquired</w:t>
            </w:r>
          </w:p>
        </w:tc>
        <w:tc>
          <w:tcPr>
            <w:tcW w:w="4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27,418</w:t>
            </w:r>
          </w:p>
        </w:tc>
      </w:tr>
      <w:tr>
        <w:trPr>
          <w:trHeight w:val="20"/>
        </w:trPr>
        <w:tc>
          <w:tcPr>
            <w:tcW w:w="9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580" w:hanging="25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attributable to cost synergies from procurement and operational efficiencies and elimination of duplicative administrative costs.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93" w:lineRule="exact"/>
        <w:rPr>
          <w:sz w:val="20"/>
          <w:szCs w:val="20"/>
          <w:color w:val="auto"/>
        </w:rPr>
      </w:pPr>
    </w:p>
    <w:p>
      <w:pPr>
        <w:ind w:right="68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net revenue earned by category of payer for the three and nine months ended September 30, 2022 and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10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3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payers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769,524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2,526,354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2,164,678</w:t>
            </w:r>
          </w:p>
        </w:tc>
      </w:tr>
      <w:tr>
        <w:trPr>
          <w:trHeight w:val="21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payers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307,067</w:t>
            </w:r>
          </w:p>
        </w:tc>
      </w:tr>
      <w:tr>
        <w:trPr>
          <w:trHeight w:val="21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Patients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39,701</w:t>
            </w:r>
          </w:p>
        </w:tc>
      </w:tr>
      <w:tr>
        <w:trPr>
          <w:trHeight w:val="208"/>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1,020,918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891,937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2,917,522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2,511,446</w:t>
            </w: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67" w:lineRule="exact"/>
        <w:rPr>
          <w:sz w:val="20"/>
          <w:szCs w:val="20"/>
          <w:color w:val="auto"/>
        </w:rPr>
      </w:pPr>
    </w:p>
    <w:p>
      <w:pPr>
        <w:ind w:right="60" w:firstLine="319"/>
        <w:spacing w:after="0" w:line="238"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Company recorded tax expense of $13.3 million and $38.0 million, respectively, which represents an effective tax rate of 25.5% and 26.9%, respectively. The variance in the Company’s effective tax rate of 25.5% and 26.9% for the three and nine months ended September 30, 2022, compared to the federal statutory rate of 21%, is primarily attributable to current and deferred state taxes as well as various non-deductible expenses. During the three and nine months ended September 30, 2021, the Company recorded tax expense of $3.1 million and</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$5.1 million, respectively, which represents an effective tax rate of 8.0% and 7.3%, respectively. The variance in the Company’s effective tax rate of 8.0% and 7.3% for the three and nine months ended September 30, 2021, compared to the federal statutory rate of 21%, is primarily attributable to the Company only recognizing certain deferred federal and state tax expense and current state tax expense while any tax benefits that would have otherwise been recognized were offset by the Company’s tax valuation allowance in effect during that period.</w:t>
      </w:r>
    </w:p>
    <w:p>
      <w:pPr>
        <w:spacing w:after="0" w:line="196" w:lineRule="exact"/>
        <w:rPr>
          <w:sz w:val="20"/>
          <w:szCs w:val="20"/>
          <w:color w:val="auto"/>
        </w:rPr>
      </w:pPr>
    </w:p>
    <w:p>
      <w:pPr>
        <w:ind w:right="100" w:firstLine="319"/>
        <w:spacing w:after="0" w:line="229" w:lineRule="auto"/>
        <w:rPr>
          <w:sz w:val="20"/>
          <w:szCs w:val="20"/>
          <w:color w:val="auto"/>
        </w:rPr>
      </w:pPr>
      <w:r>
        <w:rPr>
          <w:rFonts w:ascii="Times New Roman" w:cs="Times New Roman" w:eastAsia="Times New Roman" w:hAnsi="Times New Roman"/>
          <w:sz w:val="18"/>
          <w:szCs w:val="18"/>
          <w:color w:val="auto"/>
        </w:rPr>
        <w:t>The Company maintains a valuation allowance of $13.1 million against certain state net operating losses. In assessing the realizability of deferred tax assets, the Company considers whether it is more likely than not that some or all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96" w:lineRule="exact"/>
        <w:rPr>
          <w:sz w:val="20"/>
          <w:szCs w:val="20"/>
          <w:color w:val="auto"/>
        </w:rPr>
      </w:pPr>
    </w:p>
    <w:p>
      <w:pPr>
        <w:ind w:firstLine="319"/>
        <w:spacing w:after="0" w:line="232" w:lineRule="auto"/>
        <w:rPr>
          <w:sz w:val="20"/>
          <w:szCs w:val="20"/>
          <w:color w:val="auto"/>
        </w:rPr>
      </w:pPr>
      <w:r>
        <w:rPr>
          <w:rFonts w:ascii="Times New Roman" w:cs="Times New Roman" w:eastAsia="Times New Roman" w:hAnsi="Times New Roman"/>
          <w:sz w:val="18"/>
          <w:szCs w:val="18"/>
          <w:color w:val="auto"/>
        </w:rPr>
        <w:t>The Company’s tax expense for the three and nine months ended September 30, 2022, of $13.3 million and $38.0 million, respectively, consists of quarterly tax liabilities attributable to specific state taxing authorities as well as recognized deferred federal and state tax expense. The Company’s tax expense for the three and nine months ended September 30, 2021 of $3.1 million and $5.1 million, respectively, consists of quarterly tax liabilities attributed to specific state taxing authorities as well as recognized deferred tax expense.</w:t>
      </w:r>
    </w:p>
    <w:p>
      <w:pPr>
        <w:spacing w:after="0" w:line="196" w:lineRule="exact"/>
        <w:rPr>
          <w:sz w:val="20"/>
          <w:szCs w:val="20"/>
          <w:color w:val="auto"/>
        </w:rPr>
      </w:pPr>
    </w:p>
    <w:p>
      <w:pPr>
        <w:ind w:right="800" w:firstLine="319"/>
        <w:spacing w:after="0" w:line="244" w:lineRule="auto"/>
        <w:rPr>
          <w:sz w:val="20"/>
          <w:szCs w:val="20"/>
          <w:color w:val="auto"/>
        </w:rPr>
      </w:pPr>
      <w:r>
        <w:rPr>
          <w:rFonts w:ascii="Times New Roman" w:cs="Times New Roman" w:eastAsia="Times New Roman" w:hAnsi="Times New Roman"/>
          <w:sz w:val="18"/>
          <w:szCs w:val="18"/>
          <w:color w:val="auto"/>
        </w:rPr>
        <w:t>The Company has accumulated federal net operating loss carryovers that are subject to one or more Section 382 limitations. This may limit the Company’s ability to utilize its federal net operating losses.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93" w:lineRule="exact"/>
        <w:rPr>
          <w:sz w:val="20"/>
          <w:szCs w:val="20"/>
          <w:color w:val="auto"/>
        </w:rPr>
      </w:pPr>
    </w:p>
    <w:p>
      <w:pPr>
        <w:ind w:right="40" w:firstLine="319"/>
        <w:spacing w:after="0" w:line="260" w:lineRule="auto"/>
        <w:rPr>
          <w:sz w:val="20"/>
          <w:szCs w:val="20"/>
          <w:color w:val="auto"/>
        </w:rPr>
      </w:pPr>
      <w:r>
        <w:rPr>
          <w:rFonts w:ascii="Times New Roman" w:cs="Times New Roman" w:eastAsia="Times New Roman" w:hAnsi="Times New Roman"/>
          <w:sz w:val="18"/>
          <w:szCs w:val="18"/>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77" w:lineRule="exact"/>
        <w:rPr>
          <w:sz w:val="20"/>
          <w:szCs w:val="20"/>
          <w:color w:val="auto"/>
        </w:rPr>
      </w:pPr>
    </w:p>
    <w:p>
      <w:pPr>
        <w:ind w:right="20" w:firstLine="319"/>
        <w:spacing w:after="0" w:line="254" w:lineRule="auto"/>
        <w:rPr>
          <w:sz w:val="20"/>
          <w:szCs w:val="20"/>
          <w:color w:val="auto"/>
        </w:rPr>
      </w:pPr>
      <w:r>
        <w:rPr>
          <w:rFonts w:ascii="Times New Roman" w:cs="Times New Roman" w:eastAsia="Times New Roman" w:hAnsi="Times New Roman"/>
          <w:sz w:val="17"/>
          <w:szCs w:val="17"/>
          <w:color w:val="auto"/>
        </w:rPr>
        <w:t>The earnings are used as the basis of determining whether the inclusion of common stock equivalents would be anti-dilutive. The computation of diluted shares for the three and nine months ended September 30, 2022 and 2021 includes the effect of shares that would be issued in connection with warrants, stock options and restricted stock awards, as these common stock equivalents are dilutive to the earnings per share recorded in those periods. For the three months ended September 30, 2022, there were 520,944 stock option awards and 13,561 restricted stock awards outstanding that were excluded from the calculation of earnings per share as they would be anti-dilutive. For the nine months ended September 30, 2022, there were 794,887 stock option awards and 476,329 restricted stock awards outstanding that were excluded from the calculation of earnings per share as they would be anti-dilutive. For the three months ended September 30, 2021, there were 457,754 warrants, 496,929 stock option awards, and 38,536 restricted stock awards outstanding that were excluded from the calculation of earnings per share as they would be anti-dilutive. For the nine months ended September 30, 2021, there were 915,507 warrants, 387,656 stock option awards, and 272,540 restricted stock awards outstanding that were excluded from the calculation of earnings per share as they would be anti-dilutive.</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Company’s basic earnings per share and shares outstanding (in thousands, except per share data):</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8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2"/>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180,829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179,841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Earnings per common share, basic</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Company’s diluted earnings per share and shares outstanding (in thousands, except per share data):</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32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8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181,884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179,841</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number of common shares outstanding, diluted</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183,022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181,760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181,055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Earnings per common share, diluted</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14" w:lineRule="exact"/>
        <w:rPr>
          <w:sz w:val="20"/>
          <w:szCs w:val="20"/>
          <w:color w:val="auto"/>
        </w:rPr>
      </w:pPr>
    </w:p>
    <w:p>
      <w:pPr>
        <w:ind w:right="20" w:firstLine="319"/>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incurred operating lease expenses of $7.8 million and $22.7 million, respectively, including short-term lease expense, which were included as a component of selling, general and administrative expenses in the unaudited condensed consolidated statements of comprehensive income. During the three and nine months ended September 30, 2021, the Company incurred operating lease expenses of $7.8 million and $22.3 million, respectively, including short-term lease expense, which were included as a component of selling, general and administrative expenses in the unaudited condensed consolidated statements of comprehensive income. As of September 30, 2022, the weighted-average remaining lease term was 6.6 years and the weighted-average discount rate was 5.17%.</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Operating leases mature as follows (in thousands):</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180" w:type="dxa"/>
            <w:vAlign w:val="bottom"/>
            <w:gridSpan w:val="2"/>
          </w:tcPr>
          <w:p>
            <w:pPr>
              <w:ind w:left="9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06"/>
        </w:trPr>
        <w:tc>
          <w:tcPr>
            <w:tcW w:w="4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8,296</w:t>
            </w:r>
          </w:p>
        </w:tc>
      </w:tr>
      <w:tr>
        <w:trPr>
          <w:trHeight w:val="21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23,052</w:t>
            </w: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16,878</w:t>
            </w:r>
          </w:p>
        </w:tc>
      </w:tr>
      <w:tr>
        <w:trPr>
          <w:trHeight w:val="21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13,987</w:t>
            </w: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11,170</w:t>
            </w:r>
          </w:p>
        </w:tc>
      </w:tr>
      <w:tr>
        <w:trPr>
          <w:trHeight w:val="215"/>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36,329</w:t>
            </w:r>
          </w:p>
        </w:tc>
      </w:tr>
      <w:tr>
        <w:trPr>
          <w:trHeight w:val="20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109,712</w:t>
            </w:r>
          </w:p>
        </w:tc>
      </w:tr>
      <w:tr>
        <w:trPr>
          <w:trHeight w:val="212"/>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(18,602)</w:t>
            </w:r>
          </w:p>
        </w:tc>
      </w:tr>
      <w:tr>
        <w:trPr>
          <w:trHeight w:val="208"/>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91,110</w:t>
            </w: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firstLine="319"/>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commenced new leases, extensions and amendments, resulting in non-cash operating activities in the unaudited condensed consolidated statements of cash flow of $13.6 million related to increases in the operating lease right-of-use assets and operating lease liabilities, respectively. During the nine months ended September 30, 2021, the Company commenced new leases, extensions and amendments, resulting in non-cash operating activities in the unaudited condensed consolidated statements of cash flows of $14.5 million related to increases in the operating lease right-of-use assets and operating lease liabilities, respectively. As of September 30, 2022,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was as follows as of September 30, 2022 and December 31, 2021 (in thousands):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186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pumps</w:t>
            </w: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34,547</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furniture and other</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52,913</w:t>
            </w:r>
          </w:p>
        </w:tc>
      </w:tr>
      <w:tr>
        <w:trPr>
          <w:trHeight w:val="21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92,229</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purchased and internally developed</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30,744</w:t>
            </w:r>
          </w:p>
        </w:tc>
      </w:tr>
      <w:tr>
        <w:trPr>
          <w:trHeight w:val="21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development</w:t>
            </w: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19,924</w:t>
            </w:r>
          </w:p>
        </w:tc>
      </w:tr>
      <w:tr>
        <w:trPr>
          <w:trHeight w:val="206"/>
        </w:trPr>
        <w:tc>
          <w:tcPr>
            <w:tcW w:w="6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230,357</w:t>
            </w:r>
          </w:p>
        </w:tc>
      </w:tr>
      <w:tr>
        <w:trPr>
          <w:trHeight w:val="21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(118,822)</w:t>
            </w:r>
          </w:p>
        </w:tc>
      </w:tr>
      <w:tr>
        <w:trPr>
          <w:trHeight w:val="208"/>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96,312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111,535</w:t>
            </w: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60" w:firstLine="319"/>
        <w:spacing w:after="0" w:line="253" w:lineRule="auto"/>
        <w:rPr>
          <w:sz w:val="20"/>
          <w:szCs w:val="20"/>
          <w:color w:val="auto"/>
        </w:rPr>
      </w:pPr>
      <w:r>
        <w:rPr>
          <w:rFonts w:ascii="Times New Roman" w:cs="Times New Roman" w:eastAsia="Times New Roman" w:hAnsi="Times New Roman"/>
          <w:sz w:val="18"/>
          <w:szCs w:val="18"/>
          <w:color w:val="auto"/>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nine months ended September 30, 2022 and 2021 (in thousands):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2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 in cost of revenue</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w:t>
            </w:r>
          </w:p>
        </w:tc>
      </w:tr>
      <w:tr>
        <w:trPr>
          <w:trHeight w:val="21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expense in operating expenses</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22,670</w:t>
            </w:r>
          </w:p>
        </w:tc>
      </w:tr>
      <w:tr>
        <w:trPr>
          <w:trHeight w:val="23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OTHER INTANGIBLE ASSETS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carrying amount of goodwill consists of the following activity for the three and nine months ended September 30, 2022 (in thousands):</w:t>
      </w:r>
    </w:p>
    <w:p>
      <w:pPr>
        <w:spacing w:after="0" w:line="234"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5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1,477,564</w:t>
            </w:r>
          </w:p>
        </w:tc>
      </w:tr>
      <w:tr>
        <w:trPr>
          <w:trHeight w:val="215"/>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5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204"/>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5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1,478,500</w:t>
            </w:r>
          </w:p>
        </w:tc>
      </w:tr>
      <w:tr>
        <w:trPr>
          <w:trHeight w:val="215"/>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5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33,746</w:t>
            </w:r>
          </w:p>
        </w:tc>
      </w:tr>
      <w:tr>
        <w:trPr>
          <w:trHeight w:val="204"/>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5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1,512,246</w:t>
            </w:r>
          </w:p>
        </w:tc>
      </w:tr>
      <w:tr>
        <w:trPr>
          <w:trHeight w:val="212"/>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20,797</w:t>
            </w:r>
          </w:p>
        </w:tc>
      </w:tr>
      <w:tr>
        <w:trPr>
          <w:trHeight w:val="208"/>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5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1,533,043</w:t>
            </w:r>
          </w:p>
        </w:tc>
      </w:tr>
      <w:tr>
        <w:trPr>
          <w:trHeight w:val="20"/>
        </w:trPr>
        <w:tc>
          <w:tcPr>
            <w:tcW w:w="4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changes in the carrying amount of goodwill for the three or nine months ended September 30, 2021.</w:t>
      </w:r>
    </w:p>
    <w:p>
      <w:pPr>
        <w:spacing w:after="0" w:line="178" w:lineRule="exact"/>
        <w:rPr>
          <w:sz w:val="20"/>
          <w:szCs w:val="20"/>
          <w:color w:val="auto"/>
        </w:rPr>
      </w:pPr>
    </w:p>
    <w:p>
      <w:pPr>
        <w:ind w:right="300" w:firstLine="319"/>
        <w:spacing w:after="0" w:line="275" w:lineRule="auto"/>
        <w:rPr>
          <w:sz w:val="20"/>
          <w:szCs w:val="20"/>
          <w:color w:val="auto"/>
        </w:rPr>
      </w:pPr>
      <w:r>
        <w:rPr>
          <w:rFonts w:ascii="Times New Roman" w:cs="Times New Roman" w:eastAsia="Times New Roman" w:hAnsi="Times New Roman"/>
          <w:sz w:val="18"/>
          <w:szCs w:val="18"/>
          <w:color w:val="auto"/>
        </w:rPr>
        <w:t>The carrying amount and accumulated amortization of intangible assets consist of the following as of September 30, 2022 and December 31, 2021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Pr>
          <w:p>
            <w:pPr>
              <w:spacing w:after="0"/>
              <w:rPr>
                <w:sz w:val="18"/>
                <w:szCs w:val="18"/>
                <w:color w:val="auto"/>
              </w:rPr>
            </w:pPr>
          </w:p>
        </w:tc>
        <w:tc>
          <w:tcPr>
            <w:tcW w:w="17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intangible assets:</w:t>
            </w:r>
          </w:p>
        </w:tc>
        <w:tc>
          <w:tcPr>
            <w:tcW w:w="2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r>
      <w:tr>
        <w:trPr>
          <w:trHeight w:val="210"/>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509,646</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482,200</w:t>
            </w:r>
          </w:p>
        </w:tc>
      </w:tr>
      <w:tr>
        <w:trPr>
          <w:trHeight w:val="21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47,718</w:t>
            </w:r>
          </w:p>
        </w:tc>
      </w:tr>
      <w:tr>
        <w:trPr>
          <w:trHeight w:val="210"/>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w:t>
            </w:r>
          </w:p>
        </w:tc>
      </w:tr>
      <w:tr>
        <w:trPr>
          <w:trHeight w:val="20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gross intangible assets</w:t>
            </w:r>
          </w:p>
        </w:tc>
        <w:tc>
          <w:tcPr>
            <w:tcW w:w="2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549,066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530,955</w:t>
            </w:r>
          </w:p>
        </w:tc>
      </w:tr>
      <w:tr>
        <w:trPr>
          <w:trHeight w:val="248"/>
        </w:trPr>
        <w:tc>
          <w:tcPr>
            <w:tcW w:w="6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0"/>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(137,613)</w:t>
            </w:r>
          </w:p>
        </w:tc>
      </w:tr>
      <w:tr>
        <w:trPr>
          <w:trHeight w:val="21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(26,936)</w:t>
            </w:r>
          </w:p>
        </w:tc>
      </w:tr>
      <w:tr>
        <w:trPr>
          <w:trHeight w:val="210"/>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0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accumulated amortization</w:t>
            </w:r>
          </w:p>
        </w:tc>
        <w:tc>
          <w:tcPr>
            <w:tcW w:w="2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(176,513)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(164,935)</w:t>
            </w:r>
          </w:p>
        </w:tc>
      </w:tr>
      <w:tr>
        <w:trPr>
          <w:trHeight w:val="208"/>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372,553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366,020</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for intangible assets was $8.4 million and $24.6 million for the three and nine months ended September 30, 2022,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$7.9 million and $25.5 million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INDEBTEDNESS</w:t>
      </w: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Long-term debt consisted of the following as of September 30, 2022 (in thousands):</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0" w:type="dxa"/>
            <w:vAlign w:val="bottom"/>
          </w:tcPr>
          <w:p>
            <w:pPr>
              <w:spacing w:after="0"/>
              <w:rPr>
                <w:sz w:val="1"/>
                <w:szCs w:val="1"/>
                <w:color w:val="auto"/>
              </w:rPr>
            </w:pPr>
          </w:p>
        </w:tc>
      </w:tr>
      <w:tr>
        <w:trPr>
          <w:trHeight w:val="20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Asset-based-lending (“ABL”)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595,500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574,875</w:t>
            </w: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489,731</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1,095,500</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1,064,606</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06"/>
        </w:trPr>
        <w:tc>
          <w:tcPr>
            <w:tcW w:w="3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1,058,606</w:t>
            </w: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2021 (in thousands):</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38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2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194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0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ABL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577,064</w:t>
            </w:r>
          </w:p>
        </w:tc>
      </w:tr>
      <w:tr>
        <w:trPr>
          <w:trHeight w:val="21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488,836</w:t>
            </w:r>
          </w:p>
        </w:tc>
      </w:tr>
      <w:tr>
        <w:trPr>
          <w:trHeight w:val="208"/>
        </w:trPr>
        <w:tc>
          <w:tcPr>
            <w:tcW w:w="34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1,065,900</w:t>
            </w: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79"/>
        </w:trPr>
        <w:tc>
          <w:tcPr>
            <w:tcW w:w="34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(6,000)</w:t>
            </w:r>
          </w:p>
        </w:tc>
      </w:tr>
      <w:tr>
        <w:trPr>
          <w:trHeight w:val="206"/>
        </w:trPr>
        <w:tc>
          <w:tcPr>
            <w:tcW w:w="3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1,059,900</w:t>
            </w: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firstLine="319"/>
        <w:spacing w:after="0" w:line="253" w:lineRule="auto"/>
        <w:rPr>
          <w:sz w:val="20"/>
          <w:szCs w:val="20"/>
          <w:color w:val="auto"/>
        </w:rPr>
      </w:pPr>
      <w:r>
        <w:rPr>
          <w:rFonts w:ascii="Times New Roman" w:cs="Times New Roman" w:eastAsia="Times New Roman" w:hAnsi="Times New Roman"/>
          <w:sz w:val="18"/>
          <w:szCs w:val="18"/>
          <w:color w:val="auto"/>
        </w:rPr>
        <w:t>The interest rate on the First Lien Term Loan was 5.27% and 3.25% as of September 30, 2022 and December 31, 2021, respectively. The weighted average interest rate incurred on the First Lien Term Loan was 4.94% and 3.90% for the three and nine months ended September 30, 2022, respectively. The weighted average interest rate incurred on the First Lien Term Loan was 3.84% and 5.87% for the three and nine months ended September 30, 2021, respectively. The interest rate on the Senior Notes was 4.375% as of both September 30, 2022 and December 31, 2021. The weighted average interest rate incurred on the Senior Secured Notes was 4.375% for both the three and nine months ended September 30, 2022.</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Long-term debt matures as follows (in thousands):</w:t>
      </w:r>
    </w:p>
    <w:p>
      <w:pPr>
        <w:spacing w:after="0" w:line="234"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20" w:type="dxa"/>
            <w:vAlign w:val="bottom"/>
          </w:tcPr>
          <w:p>
            <w:pPr>
              <w:spacing w:after="0"/>
              <w:rPr>
                <w:sz w:val="18"/>
                <w:szCs w:val="18"/>
                <w:color w:val="auto"/>
              </w:rPr>
            </w:pPr>
          </w:p>
        </w:tc>
        <w:tc>
          <w:tcPr>
            <w:tcW w:w="18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08"/>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0"/>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1,070,000</w:t>
            </w:r>
          </w:p>
        </w:tc>
      </w:tr>
      <w:tr>
        <w:trPr>
          <w:trHeight w:val="23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1,095,500</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160" w:firstLine="319"/>
        <w:spacing w:after="0" w:line="275"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2022 and 2021, the Company engaged in hedging activities to limit its exposure to changes in interest rates. See Note 11,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the Company’s debt obligations as of September 30, 2022 (in thousands):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180" w:type="dxa"/>
            <w:vAlign w:val="bottom"/>
          </w:tcPr>
          <w:p>
            <w:pPr>
              <w:spacing w:after="0"/>
              <w:rPr>
                <w:sz w:val="16"/>
                <w:szCs w:val="16"/>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Carrying Value as of</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Markets for Identical Item</w:t>
            </w:r>
          </w:p>
        </w:tc>
        <w:tc>
          <w:tcPr>
            <w:tcW w:w="24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00" w:type="dxa"/>
            <w:vAlign w:val="bottom"/>
          </w:tcPr>
          <w:p>
            <w:pPr>
              <w:spacing w:after="0"/>
              <w:rPr>
                <w:sz w:val="16"/>
                <w:szCs w:val="16"/>
                <w:color w:val="auto"/>
              </w:rPr>
            </w:pPr>
          </w:p>
        </w:tc>
        <w:tc>
          <w:tcPr>
            <w:tcW w:w="18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Significant Unobservable</w:t>
            </w:r>
          </w:p>
        </w:tc>
        <w:tc>
          <w:tcPr>
            <w:tcW w:w="0" w:type="dxa"/>
            <w:vAlign w:val="bottom"/>
          </w:tcPr>
          <w:p>
            <w:pPr>
              <w:spacing w:after="0"/>
              <w:rPr>
                <w:sz w:val="1"/>
                <w:szCs w:val="1"/>
                <w:color w:val="auto"/>
              </w:rPr>
            </w:pPr>
          </w:p>
        </w:tc>
      </w:tr>
      <w:tr>
        <w:trPr>
          <w:trHeight w:val="211"/>
        </w:trPr>
        <w:tc>
          <w:tcPr>
            <w:tcW w:w="2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80" w:type="dxa"/>
            <w:vAlign w:val="bottom"/>
          </w:tcPr>
          <w:p>
            <w:pPr>
              <w:spacing w:after="0"/>
              <w:rPr>
                <w:sz w:val="18"/>
                <w:szCs w:val="18"/>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Observable Inputs (Level 2)</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Inputs (Level 3)</w:t>
            </w:r>
          </w:p>
        </w:tc>
        <w:tc>
          <w:tcPr>
            <w:tcW w:w="0" w:type="dxa"/>
            <w:vAlign w:val="bottom"/>
          </w:tcPr>
          <w:p>
            <w:pPr>
              <w:spacing w:after="0"/>
              <w:rPr>
                <w:sz w:val="1"/>
                <w:szCs w:val="1"/>
                <w:color w:val="auto"/>
              </w:rPr>
            </w:pPr>
          </w:p>
        </w:tc>
      </w:tr>
      <w:tr>
        <w:trPr>
          <w:trHeight w:val="207"/>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574,875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instruments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w:t>
      </w:r>
    </w:p>
    <w:p>
      <w:pPr>
        <w:spacing w:after="0" w:line="193" w:lineRule="exact"/>
        <w:rPr>
          <w:sz w:val="20"/>
          <w:szCs w:val="20"/>
          <w:color w:val="auto"/>
        </w:rPr>
      </w:pPr>
    </w:p>
    <w:p>
      <w:pPr>
        <w:ind w:right="40" w:firstLine="319"/>
        <w:spacing w:after="0" w:line="268" w:lineRule="auto"/>
        <w:rPr>
          <w:sz w:val="20"/>
          <w:szCs w:val="20"/>
          <w:color w:val="auto"/>
        </w:rPr>
      </w:pPr>
      <w:r>
        <w:rPr>
          <w:rFonts w:ascii="Times New Roman" w:cs="Times New Roman" w:eastAsia="Times New Roman" w:hAnsi="Times New Roman"/>
          <w:sz w:val="17"/>
          <w:szCs w:val="17"/>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72" w:lineRule="exact"/>
        <w:rPr>
          <w:sz w:val="20"/>
          <w:szCs w:val="20"/>
          <w:color w:val="auto"/>
        </w:rPr>
      </w:pPr>
    </w:p>
    <w:p>
      <w:pPr>
        <w:ind w:right="120" w:firstLine="319"/>
        <w:spacing w:after="0" w:line="260" w:lineRule="auto"/>
        <w:rPr>
          <w:sz w:val="20"/>
          <w:szCs w:val="20"/>
          <w:color w:val="auto"/>
        </w:rPr>
      </w:pPr>
      <w:r>
        <w:rPr>
          <w:rFonts w:ascii="Times New Roman" w:cs="Times New Roman" w:eastAsia="Times New Roman" w:hAnsi="Times New Roman"/>
          <w:sz w:val="18"/>
          <w:szCs w:val="18"/>
          <w:color w:val="auto"/>
        </w:rPr>
        <w:t>In October 2021, the Company entered into an interest rate cap hedge with a notional amount of $300 million for a 5-year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spacing w:after="0" w:line="177" w:lineRule="exact"/>
        <w:rPr>
          <w:sz w:val="20"/>
          <w:szCs w:val="20"/>
          <w:color w:val="auto"/>
        </w:rPr>
      </w:pPr>
    </w:p>
    <w:p>
      <w:pPr>
        <w:ind w:right="48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amount and location of the Company’s derivative instruments in the condensed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4940" w:type="dxa"/>
            <w:vAlign w:val="bottom"/>
            <w:tcBorders>
              <w:bottom w:val="single" w:sz="8" w:color="auto"/>
            </w:tcBorders>
            <w:gridSpan w:val="5"/>
          </w:tcPr>
          <w:p>
            <w:pPr>
              <w:ind w:left="1980"/>
              <w:spacing w:after="0"/>
              <w:rPr>
                <w:sz w:val="20"/>
                <w:szCs w:val="20"/>
                <w:color w:val="auto"/>
              </w:rPr>
            </w:pPr>
            <w:r>
              <w:rPr>
                <w:rFonts w:ascii="Times New Roman" w:cs="Times New Roman" w:eastAsia="Times New Roman" w:hAnsi="Times New Roman"/>
                <w:sz w:val="16"/>
                <w:szCs w:val="16"/>
                <w:b w:val="1"/>
                <w:bCs w:val="1"/>
                <w:color w:val="auto"/>
              </w:rPr>
              <w:t>Fair Value - Derivatives in Asset Position</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04"/>
        </w:trPr>
        <w:tc>
          <w:tcPr>
            <w:tcW w:w="4500" w:type="dxa"/>
            <w:vAlign w:val="bottom"/>
          </w:tcPr>
          <w:p>
            <w:pPr>
              <w:spacing w:after="0"/>
              <w:rPr>
                <w:sz w:val="24"/>
                <w:szCs w:val="24"/>
                <w:color w:val="auto"/>
              </w:rPr>
            </w:pPr>
          </w:p>
        </w:tc>
        <w:tc>
          <w:tcPr>
            <w:tcW w:w="4940" w:type="dxa"/>
            <w:vAlign w:val="bottom"/>
            <w:tcBorders>
              <w:bottom w:val="single" w:sz="8" w:color="auto"/>
            </w:tcBorders>
            <w:gridSpan w:val="5"/>
          </w:tcPr>
          <w:p>
            <w:pPr>
              <w:ind w:left="1880"/>
              <w:spacing w:after="0"/>
              <w:rPr>
                <w:sz w:val="20"/>
                <w:szCs w:val="20"/>
                <w:color w:val="auto"/>
              </w:rPr>
            </w:pPr>
            <w:r>
              <w:rPr>
                <w:rFonts w:ascii="Times New Roman" w:cs="Times New Roman" w:eastAsia="Times New Roman" w:hAnsi="Times New Roman"/>
                <w:sz w:val="16"/>
                <w:szCs w:val="16"/>
                <w:b w:val="1"/>
                <w:bCs w:val="1"/>
                <w:color w:val="auto"/>
              </w:rPr>
              <w:t>Fair Value - Derivatives in Liability Position</w:t>
            </w: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54"/>
        </w:trPr>
        <w:tc>
          <w:tcPr>
            <w:tcW w:w="4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29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Accrued expenses and other current</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12"/>
        </w:trPr>
        <w:tc>
          <w:tcPr>
            <w:tcW w:w="4500" w:type="dxa"/>
            <w:vAlign w:val="bottom"/>
            <w:vMerge w:val="continue"/>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vMerge w:val="continue"/>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60" w:firstLine="319"/>
        <w:spacing w:after="0" w:line="260" w:lineRule="auto"/>
        <w:rPr>
          <w:sz w:val="20"/>
          <w:szCs w:val="20"/>
          <w:color w:val="auto"/>
        </w:rPr>
      </w:pPr>
      <w:r>
        <w:rPr>
          <w:rFonts w:ascii="Times New Roman" w:cs="Times New Roman" w:eastAsia="Times New Roman" w:hAnsi="Times New Roman"/>
          <w:sz w:val="18"/>
          <w:szCs w:val="18"/>
          <w:color w:val="auto"/>
        </w:rPr>
        <w:t>The gain associated with the change in the fair value of the effective portion of the hedging instrument is recorded into other comprehensive income. The following table presents the pre-tax gains from derivative instruments recognized in other comprehensive income in the Company’s unaudited condensed consolidated statements of comprehensive income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designated as cash flow hedges</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11,172</w:t>
            </w:r>
          </w:p>
        </w:tc>
      </w:tr>
      <w:tr>
        <w:trPr>
          <w:trHeight w:val="231"/>
        </w:trPr>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amount and location of pre-tax income (loss) recognized in the Company’s unaudited condensed consolidated statements of comprehensive income related to the Company’s derivative instruments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Income Statement Caption</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54"/>
        </w:trPr>
        <w:tc>
          <w:tcPr>
            <w:tcW w:w="19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Interest rate cap designated</w:t>
            </w:r>
          </w:p>
        </w:tc>
        <w:tc>
          <w:tcPr>
            <w:tcW w:w="120" w:type="dxa"/>
            <w:vAlign w:val="bottom"/>
            <w:shd w:val="clear" w:color="auto" w:fill="CCEEFF"/>
          </w:tcPr>
          <w:p>
            <w:pPr>
              <w:spacing w:after="0"/>
              <w:rPr>
                <w:sz w:val="13"/>
                <w:szCs w:val="13"/>
                <w:color w:val="auto"/>
              </w:rPr>
            </w:pPr>
          </w:p>
        </w:tc>
        <w:tc>
          <w:tcPr>
            <w:tcW w:w="2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cash flow hedge</w:t>
            </w:r>
          </w:p>
        </w:tc>
        <w:tc>
          <w:tcPr>
            <w:tcW w:w="256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Interest rate swaps</w:t>
            </w: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designated as cash flow</w:t>
            </w:r>
          </w:p>
        </w:tc>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tcPr>
          <w:p>
            <w:pPr>
              <w:spacing w:after="0"/>
              <w:rPr>
                <w:sz w:val="13"/>
                <w:szCs w:val="13"/>
                <w:color w:val="auto"/>
              </w:rPr>
            </w:pPr>
          </w:p>
        </w:tc>
        <w:tc>
          <w:tcPr>
            <w:tcW w:w="26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(11,298)</w:t>
            </w:r>
          </w:p>
        </w:tc>
        <w:tc>
          <w:tcPr>
            <w:tcW w:w="0" w:type="dxa"/>
            <w:vAlign w:val="bottom"/>
          </w:tcPr>
          <w:p>
            <w:pPr>
              <w:spacing w:after="0"/>
              <w:rPr>
                <w:sz w:val="1"/>
                <w:szCs w:val="1"/>
                <w:color w:val="auto"/>
              </w:rPr>
            </w:pPr>
          </w:p>
        </w:tc>
      </w:tr>
      <w:tr>
        <w:trPr>
          <w:trHeight w:val="210"/>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hedges</w:t>
            </w:r>
          </w:p>
        </w:tc>
        <w:tc>
          <w:tcPr>
            <w:tcW w:w="25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Interest rate swaps not</w:t>
            </w:r>
          </w:p>
        </w:tc>
        <w:tc>
          <w:tcPr>
            <w:tcW w:w="2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hedges</w:t>
            </w:r>
          </w:p>
        </w:tc>
        <w:tc>
          <w:tcPr>
            <w:tcW w:w="25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(11,300)</w:t>
            </w:r>
          </w:p>
        </w:tc>
        <w:tc>
          <w:tcPr>
            <w:tcW w:w="0" w:type="dxa"/>
            <w:vAlign w:val="bottom"/>
          </w:tcPr>
          <w:p>
            <w:pPr>
              <w:spacing w:after="0"/>
              <w:rPr>
                <w:sz w:val="1"/>
                <w:szCs w:val="1"/>
                <w:color w:val="auto"/>
              </w:rPr>
            </w:pPr>
          </w:p>
        </w:tc>
      </w:tr>
      <w:tr>
        <w:trPr>
          <w:trHeight w:val="22"/>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80" w:lineRule="exact"/>
        <w:rPr>
          <w:sz w:val="20"/>
          <w:szCs w:val="20"/>
          <w:color w:val="auto"/>
        </w:rPr>
      </w:pPr>
    </w:p>
    <w:p>
      <w:pPr>
        <w:ind w:right="100" w:firstLine="319"/>
        <w:spacing w:after="0" w:line="260" w:lineRule="auto"/>
        <w:rPr>
          <w:sz w:val="20"/>
          <w:szCs w:val="20"/>
          <w:color w:val="auto"/>
        </w:rPr>
      </w:pPr>
      <w:r>
        <w:rPr>
          <w:rFonts w:ascii="Times New Roman" w:cs="Times New Roman" w:eastAsia="Times New Roman" w:hAnsi="Times New Roman"/>
          <w:sz w:val="18"/>
          <w:szCs w:val="18"/>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37" w:lineRule="exact"/>
        <w:rPr>
          <w:sz w:val="20"/>
          <w:szCs w:val="20"/>
          <w:color w:val="auto"/>
        </w:rPr>
      </w:pPr>
    </w:p>
    <w:p>
      <w:pPr>
        <w:ind w:left="880" w:hanging="157"/>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fair value measurement are quoted prices in active markets for identical assets or liabilities.</w:t>
      </w:r>
    </w:p>
    <w:p>
      <w:pPr>
        <w:spacing w:after="0" w:line="24" w:lineRule="exact"/>
        <w:rPr>
          <w:rFonts w:ascii="Times New Roman" w:cs="Times New Roman" w:eastAsia="Times New Roman" w:hAnsi="Times New Roman"/>
          <w:sz w:val="18"/>
          <w:szCs w:val="18"/>
          <w:color w:val="auto"/>
        </w:rPr>
      </w:pPr>
    </w:p>
    <w:p>
      <w:pPr>
        <w:jc w:val="both"/>
        <w:ind w:left="880" w:right="80" w:hanging="157"/>
        <w:spacing w:after="0" w:line="246" w:lineRule="auto"/>
        <w:tabs>
          <w:tab w:leader="none" w:pos="8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ind w:left="880" w:hanging="157"/>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or valuation techniques.</w:t>
      </w:r>
    </w:p>
    <w:p>
      <w:pPr>
        <w:spacing w:after="0" w:line="172" w:lineRule="exact"/>
        <w:rPr>
          <w:sz w:val="20"/>
          <w:szCs w:val="20"/>
          <w:color w:val="auto"/>
        </w:rPr>
      </w:pPr>
    </w:p>
    <w:p>
      <w:pPr>
        <w:ind w:right="260" w:firstLine="319"/>
        <w:spacing w:after="0" w:line="275"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21" w:lineRule="exact"/>
        <w:rPr>
          <w:sz w:val="20"/>
          <w:szCs w:val="20"/>
          <w:color w:val="auto"/>
        </w:rPr>
      </w:pPr>
    </w:p>
    <w:p>
      <w:pPr>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The fair value of the First Lien Term Loan is derived from a broker quote on the loans in the syndication (Level 2 inputs). See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for further discussion of the carrying amount and fair value of the First Lien Term Loan.</w:t>
      </w:r>
    </w:p>
    <w:p>
      <w:pPr>
        <w:spacing w:after="0" w:line="120" w:lineRule="exact"/>
        <w:rPr>
          <w:sz w:val="20"/>
          <w:szCs w:val="20"/>
          <w:color w:val="auto"/>
        </w:rPr>
      </w:pPr>
    </w:p>
    <w:p>
      <w:pPr>
        <w:ind w:right="100"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The fair value of the Senior Notes is derived from a broker quote (Level 2 inputs). See Note 10,</w:t>
      </w:r>
      <w:r>
        <w:rPr>
          <w:rFonts w:ascii="Times New Roman" w:cs="Times New Roman" w:eastAsia="Times New Roman" w:hAnsi="Times New Roman"/>
          <w:sz w:val="18"/>
          <w:szCs w:val="18"/>
          <w:i w:val="1"/>
          <w:iCs w:val="1"/>
          <w:color w:val="auto"/>
        </w:rPr>
        <w:t xml:space="preserve"> Indebtedness</w:t>
      </w:r>
      <w:r>
        <w:rPr>
          <w:rFonts w:ascii="Times New Roman" w:cs="Times New Roman" w:eastAsia="Times New Roman" w:hAnsi="Times New Roman"/>
          <w:sz w:val="18"/>
          <w:szCs w:val="18"/>
          <w:color w:val="auto"/>
        </w:rPr>
        <w:t>, for further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and fair value of the Senior Notes.</w:t>
      </w:r>
    </w:p>
    <w:p>
      <w:pPr>
        <w:spacing w:after="0" w:line="133" w:lineRule="exact"/>
        <w:rPr>
          <w:sz w:val="20"/>
          <w:szCs w:val="20"/>
          <w:color w:val="auto"/>
        </w:rPr>
      </w:pPr>
    </w:p>
    <w:p>
      <w:pPr>
        <w:ind w:right="80" w:firstLine="3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Cap: </w:t>
      </w:r>
      <w:r>
        <w:rPr>
          <w:rFonts w:ascii="Times New Roman" w:cs="Times New Roman" w:eastAsia="Times New Roman" w:hAnsi="Times New Roman"/>
          <w:sz w:val="18"/>
          <w:szCs w:val="18"/>
          <w:color w:val="auto"/>
        </w:rPr>
        <w:t>The fair value of the interest rate cap is derived from the interest rates prevalent in the market and future expectations of those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rates (Level 2 inputs). The Company determines the fair value of the investments based on quoted prices from third-party brokers. See Note 11,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for further discussion of the fair value of the interest rate cap.</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other assets or liabilities measured at fair value at September 30, 2022 and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93" w:lineRule="exact"/>
        <w:rPr>
          <w:sz w:val="20"/>
          <w:szCs w:val="20"/>
          <w:color w:val="auto"/>
        </w:rPr>
      </w:pPr>
    </w:p>
    <w:p>
      <w:pPr>
        <w:ind w:firstLine="319"/>
        <w:spacing w:after="0" w:line="249"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INCENTIVE COMPENSATION</w:t>
      </w:r>
    </w:p>
    <w:p>
      <w:pPr>
        <w:spacing w:after="0" w:line="191" w:lineRule="exact"/>
        <w:rPr>
          <w:sz w:val="20"/>
          <w:szCs w:val="20"/>
          <w:color w:val="auto"/>
        </w:rPr>
      </w:pPr>
    </w:p>
    <w:p>
      <w:pPr>
        <w:ind w:firstLine="31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Equity Incentive Plans </w:t>
      </w:r>
      <w:r>
        <w:rPr>
          <w:rFonts w:ascii="Times New Roman" w:cs="Times New Roman" w:eastAsia="Times New Roman" w:hAnsi="Times New Roman"/>
          <w:sz w:val="17"/>
          <w:szCs w:val="17"/>
          <w:color w:val="auto"/>
        </w:rPr>
        <w:t>— Under the Company’s 2018 Equity Incentive Plan (the “2018 Plan”), approved at the annual meeting by the BioScrip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on May 3, 2018 and amended and restated on May 19, 2021, the Company may issue, among other things, incentive stock options, non-qualified stock options, stock appreciation rights, restricted stock units, stock grants, and performance units to key employees and directors, resulting in a total of 9,101,734 shares of common stock are authorized for issuance. The 2018 Plan is administered by the Company’s Compensation Committee, a standing committee of the Company’s Board of Directors. The Company had stock options, restricted stock units and performance stock units outstanding related to the 2018 Plan as of September 30, 2022. During the three and nine months ended September 30, 2022, total stock-based incentive compensation expense recognized by the Company related to the 2018 Plan was $4.0 million and $12.6 million, respectively. During the three and nine months ended September 30, 2021, total stock-based incentive compensation expense recognized by the Company related to the 2018 Plan was $2.5 million and $6.2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178" w:lineRule="exact"/>
        <w:rPr>
          <w:sz w:val="20"/>
          <w:szCs w:val="20"/>
          <w:color w:val="auto"/>
        </w:rPr>
      </w:pPr>
    </w:p>
    <w:p>
      <w:pPr>
        <w:ind w:right="220" w:firstLine="31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2017 Warrants </w:t>
      </w:r>
      <w:r>
        <w:rPr>
          <w:rFonts w:ascii="Times New Roman" w:cs="Times New Roman" w:eastAsia="Times New Roman" w:hAnsi="Times New Roman"/>
          <w:sz w:val="18"/>
          <w:szCs w:val="18"/>
          <w:color w:val="auto"/>
        </w:rPr>
        <w:t>— During the three months ended September 30, 2022, warrant holders did not elect to exercise any warrants to purchase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During the nine months ended September 30, 2022, warrant holders elected to exercise 1,130,089 warrants to purchase shares of common stock. During the three and nine months ended September 30, 2021, warrant holders did not elect to exercise any warrants to purchase shares of common stock. As of September 30, 2022 and December 31, 2021, the remaining warrant holders are entitled to purchase 240,188 and 1,370,277 shares of common stock, respectively.</w:t>
      </w:r>
    </w:p>
    <w:p>
      <w:pPr>
        <w:spacing w:after="0" w:line="153" w:lineRule="exact"/>
        <w:rPr>
          <w:sz w:val="20"/>
          <w:szCs w:val="20"/>
          <w:color w:val="auto"/>
        </w:rPr>
      </w:pPr>
    </w:p>
    <w:p>
      <w:pPr>
        <w:ind w:right="260" w:firstLine="31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2015 Warrants </w:t>
      </w:r>
      <w:r>
        <w:rPr>
          <w:rFonts w:ascii="Times New Roman" w:cs="Times New Roman" w:eastAsia="Times New Roman" w:hAnsi="Times New Roman"/>
          <w:sz w:val="18"/>
          <w:szCs w:val="18"/>
          <w:color w:val="auto"/>
        </w:rPr>
        <w:t>— During the three and nine months ended September 30, 2022, warrant holders elected to exercise 31,968 and 900,272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shares of common stock, respectively. During the three and nine months ended September 30, 2021, warrant holders did not elect to exercise any warrants to purchase shares of common stock. As of September 30, 2022 and December 31, 2021, the remaining warrant holders are entitled to purchase 15,231 and 915,503 shares of common stock,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w:t>
      </w:r>
    </w:p>
    <w:p>
      <w:pPr>
        <w:spacing w:after="0" w:line="178" w:lineRule="exact"/>
        <w:rPr>
          <w:sz w:val="20"/>
          <w:szCs w:val="20"/>
          <w:color w:val="auto"/>
        </w:rPr>
      </w:pPr>
    </w:p>
    <w:p>
      <w:pPr>
        <w:ind w:right="20" w:firstLine="31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Transactions with Equity-Method Investees </w:t>
      </w:r>
      <w:r>
        <w:rPr>
          <w:rFonts w:ascii="Times New Roman" w:cs="Times New Roman" w:eastAsia="Times New Roman" w:hAnsi="Times New Roman"/>
          <w:sz w:val="18"/>
          <w:szCs w:val="18"/>
          <w:color w:val="auto"/>
        </w:rPr>
        <w:t>— The Company provides management services to its joint ventures such as accounting, invoicing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collections in addition to day-to-day managerial support of the operations of the businesses. The Company recorded management fee income of $1.1 million and $2.9 million for the three and nine months ended September 30, 2022, respectively. The Company recorded management fee income of $0.9 million and $2.6 million for the three and nine months ended September 30, 2021, respectively. Management fees are recorded in net revenues in the accompanying unaudited condensed consolidated statements of comprehensive income. During the three and nine months ended September 30, 2022, the Company received distributions from the investees of $1.5 million and $2.5 million, respectively. During the three and nine months ended September 30, 2021, the Company received $1.3 million in distributions from the investees.</w:t>
      </w:r>
    </w:p>
    <w:p>
      <w:pPr>
        <w:spacing w:after="0" w:line="160" w:lineRule="exact"/>
        <w:rPr>
          <w:sz w:val="20"/>
          <w:szCs w:val="20"/>
          <w:color w:val="auto"/>
        </w:rPr>
      </w:pPr>
    </w:p>
    <w:p>
      <w:pPr>
        <w:ind w:right="40" w:firstLine="319"/>
        <w:spacing w:after="0" w:line="253" w:lineRule="auto"/>
        <w:rPr>
          <w:sz w:val="20"/>
          <w:szCs w:val="20"/>
          <w:color w:val="auto"/>
        </w:rPr>
      </w:pPr>
      <w:r>
        <w:rPr>
          <w:rFonts w:ascii="Times New Roman" w:cs="Times New Roman" w:eastAsia="Times New Roman" w:hAnsi="Times New Roman"/>
          <w:sz w:val="18"/>
          <w:szCs w:val="18"/>
          <w:color w:val="auto"/>
        </w:rPr>
        <w:t>The Company had amounts due from its joint ventures of $0.8 million as of September 30, 2022. These receivables were included in prepaid expenses and other current assets in the accompanying condensed consolidated balance sheets. The Company also had amounts due to its joint ventures of $1.4 million as of December 31, 2021. These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91" w:lineRule="exact"/>
        <w:rPr>
          <w:sz w:val="20"/>
          <w:szCs w:val="20"/>
          <w:color w:val="auto"/>
        </w:rPr>
      </w:pPr>
    </w:p>
    <w:p>
      <w:pPr>
        <w:ind w:right="80" w:firstLine="319"/>
        <w:spacing w:after="0" w:line="251"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2021 (our “Form 10-K”), may cause our actual results, financial position, and cash generated from operations to differ materially from these forward-looking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0" w:lineRule="exact"/>
        <w:rPr>
          <w:sz w:val="20"/>
          <w:szCs w:val="20"/>
          <w:color w:val="auto"/>
        </w:rPr>
      </w:pPr>
    </w:p>
    <w:p>
      <w:pPr>
        <w:ind w:right="40" w:firstLine="319"/>
        <w:spacing w:after="0" w:line="251" w:lineRule="auto"/>
        <w:rPr>
          <w:sz w:val="20"/>
          <w:szCs w:val="20"/>
          <w:color w:val="auto"/>
        </w:rPr>
      </w:pPr>
      <w:r>
        <w:rPr>
          <w:rFonts w:ascii="Times New Roman" w:cs="Times New Roman" w:eastAsia="Times New Roman" w:hAnsi="Times New Roman"/>
          <w:sz w:val="18"/>
          <w:szCs w:val="18"/>
          <w:color w:val="auto"/>
        </w:rPr>
        <w:t>Option Care Health, and its wholly-owned subsidiaries, provides infusion therapy and other ancillary health care services through a national network of 161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8" w:lineRule="exact"/>
        <w:rPr>
          <w:sz w:val="20"/>
          <w:szCs w:val="20"/>
          <w:color w:val="auto"/>
        </w:rPr>
      </w:pPr>
    </w:p>
    <w:p>
      <w:pPr>
        <w:ind w:firstLine="319"/>
        <w:spacing w:after="0" w:line="250" w:lineRule="auto"/>
        <w:rPr>
          <w:sz w:val="20"/>
          <w:szCs w:val="20"/>
          <w:color w:val="auto"/>
        </w:rPr>
      </w:pPr>
      <w:r>
        <w:rPr>
          <w:rFonts w:ascii="Times New Roman" w:cs="Times New Roman" w:eastAsia="Times New Roman" w:hAnsi="Times New Roman"/>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 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common stock, par value $0.0001, is listed on the Nasdaq Capital Market under the ticker symbol “OPCH”.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the Impact of the COVID-19 Pandemic</w:t>
      </w:r>
    </w:p>
    <w:p>
      <w:pPr>
        <w:spacing w:after="0" w:line="193" w:lineRule="exact"/>
        <w:rPr>
          <w:sz w:val="20"/>
          <w:szCs w:val="20"/>
          <w:color w:val="auto"/>
        </w:rPr>
      </w:pPr>
    </w:p>
    <w:p>
      <w:pPr>
        <w:ind w:firstLine="319"/>
        <w:spacing w:after="0" w:line="253" w:lineRule="auto"/>
        <w:rPr>
          <w:sz w:val="20"/>
          <w:szCs w:val="20"/>
          <w:color w:val="auto"/>
        </w:rPr>
      </w:pPr>
      <w:r>
        <w:rPr>
          <w:rFonts w:ascii="Times New Roman" w:cs="Times New Roman" w:eastAsia="Times New Roman" w:hAnsi="Times New Roman"/>
          <w:sz w:val="18"/>
          <w:szCs w:val="18"/>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 The Company has been disrupted by both positive and negative referral patterns, experienced challenges in our staffing, increased pricing and periodic inability to procure personal protection equipment, supplies and key drugs. The Company anticipates that the pandemic could affect its operations for an extended period; however, at this time it cannot confidently forecast the duration nor the ultimate financial impact on its operations.</w:t>
      </w:r>
    </w:p>
    <w:p>
      <w:pPr>
        <w:spacing w:after="0" w:line="144" w:lineRule="exact"/>
        <w:rPr>
          <w:sz w:val="20"/>
          <w:szCs w:val="20"/>
          <w:color w:val="auto"/>
        </w:rPr>
      </w:pPr>
    </w:p>
    <w:p>
      <w:pPr>
        <w:ind w:right="180" w:firstLine="319"/>
        <w:spacing w:after="0" w:line="275" w:lineRule="auto"/>
        <w:rPr>
          <w:sz w:val="20"/>
          <w:szCs w:val="20"/>
          <w:color w:val="auto"/>
        </w:rPr>
      </w:pPr>
      <w:r>
        <w:rPr>
          <w:rFonts w:ascii="Times New Roman" w:cs="Times New Roman" w:eastAsia="Times New Roman" w:hAnsi="Times New Roman"/>
          <w:sz w:val="18"/>
          <w:szCs w:val="18"/>
          <w:color w:val="auto"/>
        </w:rPr>
        <w:t>See Item 1A. “Risk Factors” under the caption “The COVID-19 pandemic and other pandemic events could adversely impact our business operations, results of operations, cash flows and financial position” included in our Form 10-K for further discussion of risks.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Results of Operations</w:t>
      </w:r>
    </w:p>
    <w:p>
      <w:pPr>
        <w:spacing w:after="0" w:line="193" w:lineRule="exact"/>
        <w:rPr>
          <w:sz w:val="20"/>
          <w:szCs w:val="20"/>
          <w:color w:val="auto"/>
        </w:rPr>
      </w:pPr>
    </w:p>
    <w:p>
      <w:pPr>
        <w:ind w:right="140" w:firstLine="319"/>
        <w:spacing w:after="0" w:line="275" w:lineRule="auto"/>
        <w:rPr>
          <w:sz w:val="20"/>
          <w:szCs w:val="20"/>
          <w:color w:val="auto"/>
        </w:rPr>
      </w:pPr>
      <w:r>
        <w:rPr>
          <w:rFonts w:ascii="Times New Roman" w:cs="Times New Roman" w:eastAsia="Times New Roman" w:hAnsi="Times New Roman"/>
          <w:sz w:val="18"/>
          <w:szCs w:val="18"/>
          <w:color w:val="auto"/>
        </w:rPr>
        <w:t>The following results of operations include the accounts of Option Care Health and our subsidiaries for the three and nine months ended September 30, 2022 and 2021.</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profit represents our net revenue less cost of revenue.</w:t>
      </w:r>
    </w:p>
    <w:p>
      <w:pPr>
        <w:spacing w:after="0" w:line="18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w:t>
      </w:r>
      <w:r>
        <w:rPr>
          <w:rFonts w:ascii="Times New Roman" w:cs="Times New Roman" w:eastAsia="Times New Roman" w:hAnsi="Times New Roman"/>
          <w:sz w:val="18"/>
          <w:szCs w:val="18"/>
          <w:color w:val="auto"/>
        </w:rPr>
        <w:t>Infusion and related health care services revenue is reported at the estimated net realizable amounts from third-party payers and patients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sold and services rendered. When pharmaceuticals are provided to a patient, revenue is recognized upon delivery of the goods. When nursing services are provided, revenue is recognized when the services are rendered.</w:t>
      </w:r>
    </w:p>
    <w:p>
      <w:pPr>
        <w:spacing w:after="0" w:line="137" w:lineRule="exact"/>
        <w:rPr>
          <w:sz w:val="20"/>
          <w:szCs w:val="20"/>
          <w:color w:val="auto"/>
        </w:rPr>
      </w:pPr>
    </w:p>
    <w:p>
      <w:pPr>
        <w:ind w:firstLine="319"/>
        <w:spacing w:after="0" w:line="255" w:lineRule="auto"/>
        <w:rPr>
          <w:sz w:val="20"/>
          <w:szCs w:val="20"/>
          <w:color w:val="auto"/>
        </w:rPr>
      </w:pPr>
      <w:r>
        <w:rPr>
          <w:rFonts w:ascii="Times New Roman" w:cs="Times New Roman" w:eastAsia="Times New Roman" w:hAnsi="Times New Roman"/>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41" w:lineRule="exact"/>
        <w:rPr>
          <w:sz w:val="20"/>
          <w:szCs w:val="20"/>
          <w:color w:val="auto"/>
        </w:rPr>
      </w:pPr>
    </w:p>
    <w:p>
      <w:pPr>
        <w:ind w:right="180" w:firstLine="3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the actual cost of pharmaceuticals and other medical supplies dispensed to patients. In addition to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55" w:lineRule="exact"/>
        <w:rPr>
          <w:sz w:val="20"/>
          <w:szCs w:val="20"/>
          <w:color w:val="auto"/>
        </w:rPr>
      </w:pPr>
    </w:p>
    <w:p>
      <w:pPr>
        <w:ind w:right="440" w:firstLine="319"/>
        <w:spacing w:after="0" w:line="275" w:lineRule="auto"/>
        <w:rPr>
          <w:sz w:val="20"/>
          <w:szCs w:val="20"/>
          <w:color w:val="auto"/>
        </w:rPr>
      </w:pPr>
      <w:r>
        <w:rPr>
          <w:rFonts w:ascii="Times New Roman" w:cs="Times New Roman" w:eastAsia="Times New Roman" w:hAnsi="Times New Roman"/>
          <w:sz w:val="18"/>
          <w:szCs w:val="18"/>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80" w:lineRule="exact"/>
        <w:rPr>
          <w:sz w:val="20"/>
          <w:szCs w:val="20"/>
          <w:color w:val="auto"/>
        </w:rPr>
      </w:pPr>
    </w:p>
    <w:p>
      <w:pPr>
        <w:ind w:right="140"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consist principally of salaries for administrative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directly and indirectly support the operations, occupancy costs, marketing expenditures, insurance, and professional fees.</w:t>
      </w:r>
    </w:p>
    <w:p>
      <w:pPr>
        <w:spacing w:after="0" w:line="133" w:lineRule="exact"/>
        <w:rPr>
          <w:sz w:val="20"/>
          <w:szCs w:val="20"/>
          <w:color w:val="auto"/>
        </w:rPr>
      </w:pPr>
    </w:p>
    <w:p>
      <w:pPr>
        <w:ind w:right="160"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Depreciation within this caption includes infrastructure items such as computer hardware and software,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leasehold improvements. Depreciation of revenue-generating assets, such as infusion pumps, is included in cost of revenue.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0" w:lineRule="exact"/>
        <w:rPr>
          <w:sz w:val="20"/>
          <w:szCs w:val="20"/>
          <w:color w:val="auto"/>
        </w:rPr>
      </w:pPr>
    </w:p>
    <w:p>
      <w:pPr>
        <w:ind w:right="180" w:firstLine="319"/>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consists principally of interest payments on the Company’s outstanding borrowings under the ABL Facility,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Lien Term Loan and the Senior Notes, amortization of discount and deferred financing fees. Refer to the “Liquidity and Capital Resources” section below for further discussion of these outstanding borrowings.</w:t>
      </w:r>
    </w:p>
    <w:p>
      <w:pPr>
        <w:spacing w:after="0" w:line="148" w:lineRule="exact"/>
        <w:rPr>
          <w:sz w:val="20"/>
          <w:szCs w:val="20"/>
          <w:color w:val="auto"/>
        </w:rPr>
      </w:pPr>
    </w:p>
    <w:p>
      <w:pPr>
        <w:ind w:right="360"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Equity in Earnings of Joint Ventures</w:t>
      </w:r>
      <w:r>
        <w:rPr>
          <w:rFonts w:ascii="Times New Roman" w:cs="Times New Roman" w:eastAsia="Times New Roman" w:hAnsi="Times New Roman"/>
          <w:sz w:val="18"/>
          <w:szCs w:val="18"/>
          <w:color w:val="auto"/>
        </w:rPr>
        <w:t>. Equity in earnings of joint ventures consists of our proportionate share of equity earnings or losses from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two infusion joint ventures with health systems.</w:t>
      </w:r>
    </w:p>
    <w:p>
      <w:pPr>
        <w:spacing w:after="0" w:line="120" w:lineRule="exact"/>
        <w:rPr>
          <w:sz w:val="20"/>
          <w:szCs w:val="20"/>
          <w:color w:val="auto"/>
        </w:rPr>
      </w:pPr>
    </w:p>
    <w:p>
      <w:pPr>
        <w:ind w:right="180"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income (expense) primarily includes activity in the prior year loss on extinguishment of debt incurred in connection with the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debt refinancing and miscellaneous non-operating expenses.</w:t>
      </w:r>
    </w:p>
    <w:p>
      <w:pPr>
        <w:spacing w:after="0" w:line="120" w:lineRule="exact"/>
        <w:rPr>
          <w:sz w:val="20"/>
          <w:szCs w:val="20"/>
          <w:color w:val="auto"/>
        </w:rPr>
      </w:pPr>
    </w:p>
    <w:p>
      <w:pPr>
        <w:ind w:right="80"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The Company is subject to taxation in the United States and various states. The Company’s income tax expense is reflective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federal and state tax rates.</w:t>
      </w:r>
    </w:p>
    <w:p>
      <w:pPr>
        <w:spacing w:after="0" w:line="133" w:lineRule="exact"/>
        <w:rPr>
          <w:sz w:val="20"/>
          <w:szCs w:val="20"/>
          <w:color w:val="auto"/>
        </w:rPr>
      </w:pPr>
    </w:p>
    <w:p>
      <w:pPr>
        <w:ind w:right="280" w:firstLine="319"/>
        <w:spacing w:after="0" w:line="261" w:lineRule="auto"/>
        <w:rPr>
          <w:sz w:val="20"/>
          <w:szCs w:val="20"/>
          <w:color w:val="auto"/>
        </w:rPr>
      </w:pPr>
      <w:r>
        <w:rPr>
          <w:rFonts w:ascii="Times New Roman" w:cs="Times New Roman" w:eastAsia="Times New Roman" w:hAnsi="Times New Roman"/>
          <w:sz w:val="18"/>
          <w:szCs w:val="18"/>
          <w:i w:val="1"/>
          <w:iCs w:val="1"/>
          <w:color w:val="auto"/>
        </w:rPr>
        <w:t>Change in Unrealized Gains (Losses) on Cash Flow Hedges, Net of Income Tax Expense (Benefit)</w:t>
      </w:r>
      <w:r>
        <w:rPr>
          <w:rFonts w:ascii="Times New Roman" w:cs="Times New Roman" w:eastAsia="Times New Roman" w:hAnsi="Times New Roman"/>
          <w:sz w:val="18"/>
          <w:szCs w:val="18"/>
          <w:color w:val="auto"/>
        </w:rPr>
        <w:t>. Change in unrealized gains (losses) on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hedges, net of income taxes, consists of the gains and losses associated with the changes in the fair value of derivatives designated as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Option Care Health’s consolidated results of operations for the three and nine months ended September 30, 2022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(in thousands, except for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2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of Revenue</w:t>
            </w:r>
          </w:p>
        </w:tc>
        <w:tc>
          <w:tcPr>
            <w:tcW w:w="0" w:type="dxa"/>
            <w:vAlign w:val="bottom"/>
          </w:tcPr>
          <w:p>
            <w:pPr>
              <w:spacing w:after="0"/>
              <w:rPr>
                <w:sz w:val="1"/>
                <w:szCs w:val="1"/>
                <w:color w:val="auto"/>
              </w:rPr>
            </w:pPr>
          </w:p>
        </w:tc>
      </w:tr>
      <w:tr>
        <w:trPr>
          <w:trHeight w:val="207"/>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1,020,918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891,937</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2,917,522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2,511,446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802,917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78.6 %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688,969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2,281,685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1,944,037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77.4 %</w:t>
            </w:r>
          </w:p>
        </w:tc>
        <w:tc>
          <w:tcPr>
            <w:tcW w:w="0" w:type="dxa"/>
            <w:vAlign w:val="bottom"/>
          </w:tcPr>
          <w:p>
            <w:pPr>
              <w:spacing w:after="0"/>
              <w:rPr>
                <w:sz w:val="1"/>
                <w:szCs w:val="1"/>
                <w:color w:val="auto"/>
              </w:rPr>
            </w:pPr>
          </w:p>
        </w:tc>
      </w:tr>
      <w:tr>
        <w:trPr>
          <w:trHeight w:val="20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218,001</w:t>
            </w:r>
          </w:p>
        </w:tc>
        <w:tc>
          <w:tcPr>
            <w:tcW w:w="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202,968</w:t>
            </w:r>
          </w:p>
        </w:tc>
        <w:tc>
          <w:tcPr>
            <w:tcW w:w="1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635,837</w:t>
            </w:r>
          </w:p>
        </w:tc>
        <w:tc>
          <w:tcPr>
            <w:tcW w:w="1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567,409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OPERATING COSTS AND</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32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Selling, general and</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142,015</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134,633</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417,771</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388,930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r>
        <w:trPr>
          <w:trHeight w:val="210"/>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administrative expenses</w:t>
            </w: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w:t>
            </w:r>
          </w:p>
        </w:tc>
        <w:tc>
          <w:tcPr>
            <w:tcW w:w="1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15,452</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46,027</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w:t>
            </w: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157,283</w:t>
            </w:r>
          </w:p>
        </w:tc>
        <w:tc>
          <w:tcPr>
            <w:tcW w:w="20" w:type="dxa"/>
            <w:vAlign w:val="bottom"/>
            <w:tcBorders>
              <w:top w:val="single" w:sz="8" w:color="auto"/>
              <w:bottom w:val="single" w:sz="8" w:color="auto"/>
            </w:tcBorders>
          </w:tcPr>
          <w:p>
            <w:pPr>
              <w:spacing w:after="0"/>
              <w:rPr>
                <w:sz w:val="17"/>
                <w:szCs w:val="17"/>
                <w:color w:val="auto"/>
              </w:rPr>
            </w:pP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150,085</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463,798</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437,340</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0" w:type="dxa"/>
            <w:vAlign w:val="bottom"/>
          </w:tcPr>
          <w:p>
            <w:pPr>
              <w:spacing w:after="0"/>
              <w:rPr>
                <w:sz w:val="1"/>
                <w:szCs w:val="1"/>
                <w:color w:val="auto"/>
              </w:rPr>
            </w:pPr>
          </w:p>
        </w:tc>
      </w:tr>
      <w:tr>
        <w:trPr>
          <w:trHeight w:val="20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60,718</w:t>
            </w:r>
          </w:p>
        </w:tc>
        <w:tc>
          <w:tcPr>
            <w:tcW w:w="20" w:type="dxa"/>
            <w:vAlign w:val="bottom"/>
            <w:tcBorders>
              <w:bottom w:val="single" w:sz="8" w:color="auto"/>
            </w:tcBorders>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172,039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Equity in earnings of joint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ventures</w:t>
            </w: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6"/>
        </w:trPr>
        <w:tc>
          <w:tcPr>
            <w:tcW w:w="23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(14,320)</w:t>
            </w:r>
          </w:p>
        </w:tc>
        <w:tc>
          <w:tcPr>
            <w:tcW w:w="1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(31,052)</w:t>
            </w:r>
          </w:p>
        </w:tc>
        <w:tc>
          <w:tcPr>
            <w:tcW w:w="1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(60,542)</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INCOME BEFORE INCOME</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52,081</w:t>
            </w:r>
          </w:p>
        </w:tc>
        <w:tc>
          <w:tcPr>
            <w:tcW w:w="1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38,563</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140,987</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69,527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13,258</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37,960</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OTHER COMPREHENSIVE</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NET OF TAX:</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Change in unrealized gains on cash</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flow hedges, net of income tax</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expense of $1,398, $0, $5,917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20" w:type="dxa"/>
            <w:vAlign w:val="bottom"/>
            <w:vMerge w:val="restart"/>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24,962</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1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$0, respectively</w:t>
            </w:r>
          </w:p>
        </w:tc>
        <w:tc>
          <w:tcPr>
            <w:tcW w:w="1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6"/>
                <w:szCs w:val="16"/>
                <w:color w:val="auto"/>
              </w:rPr>
              <w:t>OTHER COMPREHENSIVE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20" w:type="dxa"/>
            <w:vAlign w:val="bottom"/>
            <w:vMerge w:val="restart"/>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24,962</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320" w:type="dxa"/>
            <w:vAlign w:val="bottom"/>
          </w:tcPr>
          <w:p>
            <w:pPr>
              <w:ind w:left="20"/>
              <w:spacing w:after="0" w:line="139" w:lineRule="exact"/>
              <w:rPr>
                <w:sz w:val="20"/>
                <w:szCs w:val="20"/>
                <w:color w:val="auto"/>
              </w:rPr>
            </w:pPr>
            <w:r>
              <w:rPr>
                <w:rFonts w:ascii="Times New Roman" w:cs="Times New Roman" w:eastAsia="Times New Roman" w:hAnsi="Times New Roman"/>
                <w:sz w:val="16"/>
                <w:szCs w:val="16"/>
                <w:color w:val="auto"/>
              </w:rPr>
              <w:t>NET COMPREHENSIVE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48,078</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38,368</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127,989</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75,603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18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to Three Months Ended September 30, 2021</w:t>
      </w:r>
    </w:p>
    <w:p>
      <w:pPr>
        <w:spacing w:after="0" w:line="193" w:lineRule="exact"/>
        <w:rPr>
          <w:sz w:val="20"/>
          <w:szCs w:val="20"/>
          <w:color w:val="auto"/>
        </w:rPr>
      </w:pPr>
    </w:p>
    <w:p>
      <w:pPr>
        <w:ind w:right="54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tables present selected consolidated comparative results of operations from Option Care Health’s unaudited condensed consolidated financial statements for the three months ended September 30, 2022 and 2021.</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1,020,918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891,937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128,981</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802,917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688,969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113,948</w:t>
            </w:r>
          </w:p>
        </w:tc>
        <w:tc>
          <w:tcPr>
            <w:tcW w:w="7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3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218,001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202,968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15,033</w:t>
            </w:r>
          </w:p>
        </w:tc>
        <w:tc>
          <w:tcPr>
            <w:tcW w:w="7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2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21.4 %</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22.8 %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319"/>
        <w:spacing w:after="0" w:line="253" w:lineRule="auto"/>
        <w:rPr>
          <w:sz w:val="20"/>
          <w:szCs w:val="20"/>
          <w:color w:val="auto"/>
        </w:rPr>
      </w:pPr>
      <w:r>
        <w:rPr>
          <w:rFonts w:ascii="Times New Roman" w:cs="Times New Roman" w:eastAsia="Times New Roman" w:hAnsi="Times New Roman"/>
          <w:sz w:val="18"/>
          <w:szCs w:val="18"/>
          <w:color w:val="auto"/>
        </w:rPr>
        <w:t>The increase in net revenue was primarily driven by organic growth in the Company’s portfolio of therapies, consisting of acute revenue that had mid-single-digit growth relative to the prior year while chronic revenue grew in the mid-teens. Acute growth was driven primarily by the impact of shifts in the competitive landscape, which increased the volume of patient service. Acquisition related growth accounted for approximately 2% and 3% of the increase in net revenue and gross profit, respectively. The increase in cost of revenue and gross profit was primarily driven by the growth in revenue and also impacted by inflationary pressures including labor, transportation, and medical supplies costs.</w:t>
      </w: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72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44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top w:val="single" w:sz="8" w:color="auto"/>
              <w:bottom w:val="single" w:sz="8" w:color="auto"/>
            </w:tcBorders>
          </w:tcPr>
          <w:p>
            <w:pPr>
              <w:spacing w:after="0"/>
              <w:rPr>
                <w:sz w:val="18"/>
                <w:szCs w:val="18"/>
                <w:color w:val="auto"/>
              </w:rPr>
            </w:pPr>
          </w:p>
        </w:tc>
      </w:tr>
      <w:tr>
        <w:trPr>
          <w:trHeight w:val="244"/>
        </w:trPr>
        <w:tc>
          <w:tcPr>
            <w:tcW w:w="4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thousands, except for percentages)</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5"/>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134,633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7,382</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0"/>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7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3"/>
        </w:trPr>
        <w:tc>
          <w:tcPr>
            <w:tcW w:w="4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157,283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150,085</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7,198</w:t>
            </w:r>
          </w:p>
        </w:tc>
        <w:tc>
          <w:tcPr>
            <w:tcW w:w="7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ind w:right="220" w:firstLine="319"/>
        <w:spacing w:after="0" w:line="26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is primarily due to salaries and benefits as a result of acquired team members and inflationary pressures, but has decreased as a percentage of revenue to 13.9% for the three months ended September 30, 2022 as compared to 15.1% for the three months ended September 30, 2021, as our revenue has grown at a faster pace than our selling, general and administrative expenses.</w:t>
      </w:r>
    </w:p>
    <w:p>
      <w:pPr>
        <w:spacing w:after="0" w:line="151" w:lineRule="exact"/>
        <w:rPr>
          <w:sz w:val="20"/>
          <w:szCs w:val="20"/>
          <w:color w:val="auto"/>
        </w:rPr>
      </w:pPr>
    </w:p>
    <w:p>
      <w:pPr>
        <w:ind w:right="400" w:firstLine="319"/>
        <w:spacing w:after="0" w:line="275" w:lineRule="auto"/>
        <w:rPr>
          <w:sz w:val="20"/>
          <w:szCs w:val="20"/>
          <w:color w:val="auto"/>
        </w:rPr>
      </w:pPr>
      <w:r>
        <w:rPr>
          <w:rFonts w:ascii="Times New Roman" w:cs="Times New Roman" w:eastAsia="Times New Roman" w:hAnsi="Times New Roman"/>
          <w:sz w:val="18"/>
          <w:szCs w:val="18"/>
          <w:color w:val="auto"/>
        </w:rPr>
        <w:t>The decrease in depreciation and amortization expense is primarily attributed to certain intangible assets whose useful life expired partially offset by additional intangible assets due to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72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44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920" w:type="dxa"/>
            <w:vAlign w:val="bottom"/>
            <w:tcBorders>
              <w:top w:val="single" w:sz="8" w:color="auto"/>
              <w:bottom w:val="single" w:sz="8" w:color="auto"/>
            </w:tcBorders>
          </w:tcPr>
          <w:p>
            <w:pPr>
              <w:spacing w:after="0"/>
              <w:rPr>
                <w:sz w:val="18"/>
                <w:szCs w:val="18"/>
                <w:color w:val="auto"/>
              </w:rPr>
            </w:pPr>
          </w:p>
        </w:tc>
      </w:tr>
      <w:tr>
        <w:trPr>
          <w:trHeight w:val="244"/>
        </w:trPr>
        <w:tc>
          <w:tcPr>
            <w:tcW w:w="4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thousands, except for percentages)</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2,003</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3,884</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97,100.0 %</w:t>
            </w:r>
          </w:p>
        </w:tc>
      </w:tr>
      <w:tr>
        <w:trPr>
          <w:trHeight w:val="208"/>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other expense</w:t>
            </w: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(14,320)</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5,683</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0"/>
        </w:trPr>
        <w:tc>
          <w:tcPr>
            <w:tcW w:w="4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60" w:firstLine="319"/>
        <w:spacing w:after="0" w:line="305" w:lineRule="auto"/>
        <w:rPr>
          <w:sz w:val="20"/>
          <w:szCs w:val="20"/>
          <w:color w:val="auto"/>
        </w:rPr>
      </w:pPr>
      <w:r>
        <w:rPr>
          <w:rFonts w:ascii="Times New Roman" w:cs="Times New Roman" w:eastAsia="Times New Roman" w:hAnsi="Times New Roman"/>
          <w:sz w:val="17"/>
          <w:szCs w:val="17"/>
          <w:color w:val="auto"/>
        </w:rPr>
        <w:t xml:space="preserve">The decrease in interest expense during the three months ended September 30, 2022 was primarily attributable to the debt refinancing of the First Lien Term Loan and issuance of the Senior Notes in October 2021. See Note 10, </w:t>
      </w:r>
      <w:r>
        <w:rPr>
          <w:rFonts w:ascii="Times New Roman" w:cs="Times New Roman" w:eastAsia="Times New Roman" w:hAnsi="Times New Roman"/>
          <w:sz w:val="17"/>
          <w:szCs w:val="17"/>
          <w:i w:val="1"/>
          <w:iCs w:val="1"/>
          <w:color w:val="auto"/>
        </w:rPr>
        <w:t>Indebtedness</w:t>
      </w:r>
      <w:r>
        <w:rPr>
          <w:rFonts w:ascii="Times New Roman" w:cs="Times New Roman" w:eastAsia="Times New Roman" w:hAnsi="Times New Roman"/>
          <w:sz w:val="17"/>
          <w:szCs w:val="17"/>
          <w:color w:val="auto"/>
        </w:rPr>
        <w:t>, of the consolidated financial statements for further information.</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decrease in equity in earnings of joint ventures was primarily attributable to the performance of the joint ventures.</w:t>
      </w:r>
    </w:p>
    <w:p>
      <w:pPr>
        <w:spacing w:after="0" w:line="178" w:lineRule="exact"/>
        <w:rPr>
          <w:sz w:val="20"/>
          <w:szCs w:val="20"/>
          <w:color w:val="auto"/>
        </w:rPr>
      </w:pPr>
    </w:p>
    <w:p>
      <w:pPr>
        <w:ind w:right="200" w:firstLine="319"/>
        <w:spacing w:after="0" w:line="275" w:lineRule="auto"/>
        <w:rPr>
          <w:sz w:val="20"/>
          <w:szCs w:val="20"/>
          <w:color w:val="auto"/>
        </w:rPr>
      </w:pPr>
      <w:r>
        <w:rPr>
          <w:rFonts w:ascii="Times New Roman" w:cs="Times New Roman" w:eastAsia="Times New Roman" w:hAnsi="Times New Roman"/>
          <w:sz w:val="18"/>
          <w:szCs w:val="18"/>
          <w:color w:val="auto"/>
        </w:rPr>
        <w:t>The change in other, net is due to one-time non-operating income for the three months ended September 30, 2022 related to income from a prior legacy acquisition. There was no comparable activity during the three months ended September 30, 2021.</w:t>
      </w:r>
    </w:p>
    <w:p>
      <w:pPr>
        <w:spacing w:after="0" w:line="200" w:lineRule="exact"/>
        <w:rPr>
          <w:sz w:val="20"/>
          <w:szCs w:val="20"/>
          <w:color w:val="auto"/>
        </w:rPr>
      </w:pP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7"/>
        </w:trPr>
        <w:tc>
          <w:tcPr>
            <w:tcW w:w="44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r>
      <w:tr>
        <w:trPr>
          <w:trHeight w:val="244"/>
        </w:trPr>
        <w:tc>
          <w:tcPr>
            <w:tcW w:w="4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99"/>
              </w:rPr>
              <w:t>(in thousands, except for percentages)</w:t>
            </w:r>
          </w:p>
        </w:tc>
        <w:tc>
          <w:tcPr>
            <w:tcW w:w="820" w:type="dxa"/>
            <w:vAlign w:val="bottom"/>
          </w:tcPr>
          <w:p>
            <w:pPr>
              <w:spacing w:after="0"/>
              <w:rPr>
                <w:sz w:val="21"/>
                <w:szCs w:val="2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10,171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329.5 %</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319"/>
        <w:spacing w:after="0" w:line="248" w:lineRule="auto"/>
        <w:rPr>
          <w:sz w:val="20"/>
          <w:szCs w:val="20"/>
          <w:color w:val="auto"/>
        </w:rPr>
      </w:pPr>
      <w:r>
        <w:rPr>
          <w:rFonts w:ascii="Times New Roman" w:cs="Times New Roman" w:eastAsia="Times New Roman" w:hAnsi="Times New Roman"/>
          <w:sz w:val="18"/>
          <w:szCs w:val="18"/>
          <w:color w:val="auto"/>
        </w:rPr>
        <w:t>The Company maintains a valuation allowance of $13.1 million against certain state net operating losses (“NOLs”). The Company’s tax expense for the three months ended September 30, 2022, consists of quarterly tax liabilities attributable to state tax returns as well as recognized deferred federal and state tax expense. These tax expense items resulted in an effective tax rate of 25.5% during the three months ended September 30, 2022. During the three months ended September 30, 2021, the effective tax rate was 8.0%. The variance in the Company’s effective tax rate of 25.5% for the three months ended September 30, 2022, compared to the federal statutory rate of 21% is primarily attributable to current and deferred state taxes as well as various non-deductible expenses. The variance in the Company’s effective tax rate of 8.0% for the three months ended September 30, 2021, compared to the federal statutory rate of 21% is primarily attributable to the Company only recognizing certain deferred federal and state tax expense and current state tax expense while any tax benefits that would have otherwise been recognized were offset by the Company’s tax valuation allowance in effect during that period. The variance in the year-over-year effective tax rates is primarily attributable to the Company not recognizing any tax benefit for the period ended September 30, 2021, because it maintained a full tax valuation allowance reserve against such benefits. This reserve was subsequently reversed during the three months ended December 31, 2021, except for the $13.1 million allowance noted above. Therefore, the reserve was not applicable in computing tax expense for the three months ended September 30, 2022, thus producing the effective tax rate variance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Income</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72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thousands, except for percentages)</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3,347</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Changes in unrealized gains on cash flow hedges, net of income</w:t>
            </w:r>
          </w:p>
        </w:tc>
        <w:tc>
          <w:tcPr>
            <w:tcW w:w="1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6,363</w:t>
            </w:r>
          </w:p>
        </w:tc>
        <w:tc>
          <w:tcPr>
            <w:tcW w:w="7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220.0 %</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taxes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6,363</w:t>
            </w:r>
          </w:p>
        </w:tc>
        <w:tc>
          <w:tcPr>
            <w:tcW w:w="7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220.0 %</w:t>
            </w:r>
          </w:p>
        </w:tc>
        <w:tc>
          <w:tcPr>
            <w:tcW w:w="0" w:type="dxa"/>
            <w:vAlign w:val="bottom"/>
          </w:tcPr>
          <w:p>
            <w:pPr>
              <w:spacing w:after="0"/>
              <w:rPr>
                <w:sz w:val="1"/>
                <w:szCs w:val="1"/>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14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38,368</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9,710</w:t>
            </w:r>
          </w:p>
        </w:tc>
        <w:tc>
          <w:tcPr>
            <w:tcW w:w="7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net income was primarily attributable to organic growth from additional revenue related to the factors described in the above sections.</w:t>
      </w:r>
    </w:p>
    <w:p>
      <w:pPr>
        <w:spacing w:after="0" w:line="178" w:lineRule="exact"/>
        <w:rPr>
          <w:sz w:val="20"/>
          <w:szCs w:val="20"/>
          <w:color w:val="auto"/>
        </w:rPr>
      </w:pPr>
    </w:p>
    <w:p>
      <w:pPr>
        <w:ind w:right="240" w:firstLine="319"/>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the change in unrealized gains on cash flow hedges, net of income taxes, was primarily related to the increase in fair market value of the $300.0 million interest rate cap hedge executed in October 2021. For the three months ended September 30, 2021, the change in unrealized gains on cash flow hedges, net of income taxes, primarily related to the increase in fair value on the $925.0 million notional swap; the swap expired in August 2021.</w:t>
      </w:r>
    </w:p>
    <w:p>
      <w:pPr>
        <w:spacing w:after="0" w:line="143" w:lineRule="exact"/>
        <w:rPr>
          <w:sz w:val="20"/>
          <w:szCs w:val="20"/>
          <w:color w:val="auto"/>
        </w:rPr>
      </w:pPr>
    </w:p>
    <w:p>
      <w:pPr>
        <w:ind w:right="20" w:firstLine="319"/>
        <w:spacing w:after="0" w:line="260" w:lineRule="auto"/>
        <w:rPr>
          <w:sz w:val="20"/>
          <w:szCs w:val="20"/>
          <w:color w:val="auto"/>
        </w:rPr>
      </w:pPr>
      <w:r>
        <w:rPr>
          <w:rFonts w:ascii="Times New Roman" w:cs="Times New Roman" w:eastAsia="Times New Roman" w:hAnsi="Times New Roman"/>
          <w:sz w:val="18"/>
          <w:szCs w:val="18"/>
          <w:color w:val="auto"/>
        </w:rPr>
        <w:t>Net comprehensive income increased to $48.1 million for the three months ended September 30, 2022, compared to net comprehensive income of $38.4 million for the three months ended September 30, 2021, primarily as a result of the changes in net income, discussed above, further increased by the impact of the fair value of the interest rate cap hedge.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Nine Months Ended September 30, 2021</w:t>
      </w:r>
    </w:p>
    <w:p>
      <w:pPr>
        <w:spacing w:after="0" w:line="193" w:lineRule="exact"/>
        <w:rPr>
          <w:sz w:val="20"/>
          <w:szCs w:val="20"/>
          <w:color w:val="auto"/>
        </w:rPr>
      </w:pPr>
    </w:p>
    <w:p>
      <w:pPr>
        <w:ind w:right="54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tables present selected consolidated comparative results of operations from Option Care Health’s unaudited condensed consolidated financial statements for the nine months ended September 30, 2022 and 2021.</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2,917,522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2,511,446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406,076</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2,281,685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1,944,037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337,648</w:t>
            </w:r>
          </w:p>
        </w:tc>
        <w:tc>
          <w:tcPr>
            <w:tcW w:w="7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0" w:type="dxa"/>
            <w:vAlign w:val="bottom"/>
          </w:tcPr>
          <w:p>
            <w:pPr>
              <w:spacing w:after="0"/>
              <w:rPr>
                <w:sz w:val="1"/>
                <w:szCs w:val="1"/>
                <w:color w:val="auto"/>
              </w:rPr>
            </w:pPr>
          </w:p>
        </w:tc>
      </w:tr>
      <w:tr>
        <w:trPr>
          <w:trHeight w:val="23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635,837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567,409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68,428</w:t>
            </w:r>
          </w:p>
        </w:tc>
        <w:tc>
          <w:tcPr>
            <w:tcW w:w="7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2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21.8 %</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22.6 %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firstLine="319"/>
        <w:spacing w:after="0" w:line="253" w:lineRule="auto"/>
        <w:rPr>
          <w:sz w:val="20"/>
          <w:szCs w:val="20"/>
          <w:color w:val="auto"/>
        </w:rPr>
      </w:pPr>
      <w:r>
        <w:rPr>
          <w:rFonts w:ascii="Times New Roman" w:cs="Times New Roman" w:eastAsia="Times New Roman" w:hAnsi="Times New Roman"/>
          <w:sz w:val="18"/>
          <w:szCs w:val="18"/>
          <w:color w:val="auto"/>
        </w:rPr>
        <w:t>The increase in net revenue was primarily driven by organic growth in the Company’s portfolio of therapies, consisting of acute revenue that had mid-single-digit growth relative to the prior year while chronic revenue grew in the high-teens. Acute growth was driven primarily by the impact of shifts in the competitive landscape, which increased the volume of patient service. Acquisition related growth accounted for approximately 2% and 3% of the increase in net revenue and gross profit, respectively. The increase in cost of revenue and gross profit was primarily driven by the growth in revenue and also impacted by inflationary pressures including labor, transportation, and medical supplies costs.</w:t>
      </w:r>
    </w:p>
    <w:p>
      <w:pPr>
        <w:spacing w:after="0" w:line="200" w:lineRule="exact"/>
        <w:rPr>
          <w:sz w:val="20"/>
          <w:szCs w:val="20"/>
          <w:color w:val="auto"/>
        </w:rPr>
      </w:pPr>
    </w:p>
    <w:p>
      <w:pPr>
        <w:spacing w:after="0" w:line="3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7"/>
        </w:trPr>
        <w:tc>
          <w:tcPr>
            <w:tcW w:w="44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4"/>
        </w:trPr>
        <w:tc>
          <w:tcPr>
            <w:tcW w:w="4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r>
      <w:tr>
        <w:trPr>
          <w:trHeight w:val="215"/>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417,771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388,930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28,841</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0"/>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46,027</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(2,383)</w:t>
            </w:r>
          </w:p>
        </w:tc>
        <w:tc>
          <w:tcPr>
            <w:tcW w:w="7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3"/>
        </w:trPr>
        <w:tc>
          <w:tcPr>
            <w:tcW w:w="4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463,798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437,340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26,458</w:t>
            </w:r>
          </w:p>
        </w:tc>
        <w:tc>
          <w:tcPr>
            <w:tcW w:w="7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ind w:right="280" w:firstLine="319"/>
        <w:spacing w:after="0" w:line="26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is primarily due to salaries and benefits as a result of acquired team members and inflationary pressures, but has decreased as a percentage of revenue to 14.3% for the nine months ended September 30, 2022 as compared to 15.5% for the nine months ended September 30, 2021, as our revenue has grown at a faster pace than our selling, general and administrative expenses.</w:t>
      </w:r>
    </w:p>
    <w:p>
      <w:pPr>
        <w:spacing w:after="0" w:line="137" w:lineRule="exact"/>
        <w:rPr>
          <w:sz w:val="20"/>
          <w:szCs w:val="20"/>
          <w:color w:val="auto"/>
        </w:rPr>
      </w:pPr>
    </w:p>
    <w:p>
      <w:pPr>
        <w:ind w:right="400" w:firstLine="319"/>
        <w:spacing w:after="0" w:line="275" w:lineRule="auto"/>
        <w:rPr>
          <w:sz w:val="20"/>
          <w:szCs w:val="20"/>
          <w:color w:val="auto"/>
        </w:rPr>
      </w:pPr>
      <w:r>
        <w:rPr>
          <w:rFonts w:ascii="Times New Roman" w:cs="Times New Roman" w:eastAsia="Times New Roman" w:hAnsi="Times New Roman"/>
          <w:sz w:val="18"/>
          <w:szCs w:val="18"/>
          <w:color w:val="auto"/>
        </w:rPr>
        <w:t>The decrease in depreciation and amortization expense is primarily attributed to certain intangible assets whose useful life expired partially offset by additional intangible assets due to acquisitions.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7"/>
        </w:trPr>
        <w:tc>
          <w:tcPr>
            <w:tcW w:w="44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r>
      <w:tr>
        <w:trPr>
          <w:trHeight w:val="244"/>
        </w:trPr>
        <w:tc>
          <w:tcPr>
            <w:tcW w:w="4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8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60" w:type="dxa"/>
            <w:vAlign w:val="bottom"/>
          </w:tcPr>
          <w:p>
            <w:pPr>
              <w:spacing w:after="0"/>
              <w:rPr>
                <w:sz w:val="21"/>
                <w:szCs w:val="2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(52,717)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13,709</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(12,392)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16,283</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r>
      <w:tr>
        <w:trPr>
          <w:trHeight w:val="208"/>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other expense</w:t>
            </w: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(31,052)</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(60,542)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29,490</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
        </w:trPr>
        <w:tc>
          <w:tcPr>
            <w:tcW w:w="4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300" w:firstLine="319"/>
        <w:spacing w:after="0" w:line="305" w:lineRule="auto"/>
        <w:rPr>
          <w:sz w:val="20"/>
          <w:szCs w:val="20"/>
          <w:color w:val="auto"/>
        </w:rPr>
      </w:pPr>
      <w:r>
        <w:rPr>
          <w:rFonts w:ascii="Times New Roman" w:cs="Times New Roman" w:eastAsia="Times New Roman" w:hAnsi="Times New Roman"/>
          <w:sz w:val="17"/>
          <w:szCs w:val="17"/>
          <w:color w:val="auto"/>
        </w:rPr>
        <w:t xml:space="preserve">The decrease in interest expense during the nine months ended September 30, 2022 was primarily attributable to the debt refinancing of the First Lien Term Loan and issuance of the Senior Notes in October 2021. See Note 10, </w:t>
      </w:r>
      <w:r>
        <w:rPr>
          <w:rFonts w:ascii="Times New Roman" w:cs="Times New Roman" w:eastAsia="Times New Roman" w:hAnsi="Times New Roman"/>
          <w:sz w:val="17"/>
          <w:szCs w:val="17"/>
          <w:i w:val="1"/>
          <w:iCs w:val="1"/>
          <w:color w:val="auto"/>
        </w:rPr>
        <w:t>Indebtedness</w:t>
      </w:r>
      <w:r>
        <w:rPr>
          <w:rFonts w:ascii="Times New Roman" w:cs="Times New Roman" w:eastAsia="Times New Roman" w:hAnsi="Times New Roman"/>
          <w:sz w:val="17"/>
          <w:szCs w:val="17"/>
          <w:color w:val="auto"/>
        </w:rPr>
        <w:t>, of the consolidated financial statements for further information.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decrease in equity in earnings of joint ventures was primarily attributable to the performance of the joint ventures.</w:t>
      </w:r>
    </w:p>
    <w:p>
      <w:pPr>
        <w:spacing w:after="0" w:line="178" w:lineRule="exact"/>
        <w:rPr>
          <w:sz w:val="20"/>
          <w:szCs w:val="20"/>
          <w:color w:val="auto"/>
        </w:rPr>
      </w:pPr>
    </w:p>
    <w:p>
      <w:pPr>
        <w:ind w:right="180" w:firstLine="319"/>
        <w:spacing w:after="0" w:line="260" w:lineRule="auto"/>
        <w:rPr>
          <w:sz w:val="20"/>
          <w:szCs w:val="20"/>
          <w:color w:val="auto"/>
        </w:rPr>
      </w:pPr>
      <w:r>
        <w:rPr>
          <w:rFonts w:ascii="Times New Roman" w:cs="Times New Roman" w:eastAsia="Times New Roman" w:hAnsi="Times New Roman"/>
          <w:sz w:val="18"/>
          <w:szCs w:val="18"/>
          <w:color w:val="auto"/>
        </w:rPr>
        <w:t>The change in other, net is primarily due to the loss on extinguishment of debt incurred in conjunction with the January 2021 debt refinancing and included in the results for the nine months ended September 30, 2021. There was no comparable activity during the nine months ended September 30, 2022. There was also one-time non-operating income for the nine months ended September 30, 2022 related to income from a prior legacy acquisition.</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7"/>
        </w:trPr>
        <w:tc>
          <w:tcPr>
            <w:tcW w:w="44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r>
      <w:tr>
        <w:trPr>
          <w:trHeight w:val="244"/>
        </w:trPr>
        <w:tc>
          <w:tcPr>
            <w:tcW w:w="4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99"/>
              </w:rPr>
              <w:t>(in thousands, except for percentages)</w:t>
            </w:r>
          </w:p>
        </w:tc>
        <w:tc>
          <w:tcPr>
            <w:tcW w:w="820" w:type="dxa"/>
            <w:vAlign w:val="bottom"/>
          </w:tcPr>
          <w:p>
            <w:pPr>
              <w:spacing w:after="0"/>
              <w:rPr>
                <w:sz w:val="21"/>
                <w:szCs w:val="2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32,864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644.9 %</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firstLine="319"/>
        <w:spacing w:after="0" w:line="248" w:lineRule="auto"/>
        <w:rPr>
          <w:sz w:val="20"/>
          <w:szCs w:val="20"/>
          <w:color w:val="auto"/>
        </w:rPr>
      </w:pPr>
      <w:r>
        <w:rPr>
          <w:rFonts w:ascii="Times New Roman" w:cs="Times New Roman" w:eastAsia="Times New Roman" w:hAnsi="Times New Roman"/>
          <w:sz w:val="18"/>
          <w:szCs w:val="18"/>
          <w:color w:val="auto"/>
        </w:rPr>
        <w:t>The Company maintains a valuation allowance of $13.1 million against certain state NOLs. The Company’s tax expense for the nine months ended September 30, 2022, consists of quarterly tax liabilities attributable to state tax returns as well as recognized deferred federal and state tax expense. These tax expense items resulted in an effective tax rate of 26.9% during the nine months ended September 30, 2022. During the nine months ended September 30, 2021, the effective tax rate was 7.3%. The variance in the Company’s effective tax rate of 26.9% for the nine months ended September 30, 2022, compared to the federal statutory rate of 21% is primarily attributable to current and deferred state taxes as well as various non-deductible expenses. The variance in the Company’s effective tax rate of 7.3% for the nine months ended September 30, 2021, compared to the federal statutory rate of 21% is primarily attributable to the Company only recognizing certain deferred federal and state tax expense and current state tax expense while any tax benefits that would have otherwise been recognized were offset by the Company’s tax valuation allowance in effect during that period. The variance in the year-over-year effective tax rates is primarily attributable to the Company not recognizing any tax benefit for the period ended September 30, 2021, because it maintained a full tax valuation allowance reserve against such benefits. This reserve was subsequently reversed during the three months ended December 31, 2021, except for the $13.1 million allowance noted above. Therefore, the reserve was not applicable in computing tax expense for the nine months ended September 30, 2022, thus producing the effective tax rate variance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Income</w:t>
      </w:r>
    </w:p>
    <w:p>
      <w:pPr>
        <w:spacing w:after="0" w:line="291"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38,596</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59.9 %</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Changes in unrealized gains on cash flow hedges, net of income</w:t>
            </w:r>
          </w:p>
        </w:tc>
        <w:tc>
          <w:tcPr>
            <w:tcW w:w="1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24,962</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13,790</w:t>
            </w:r>
          </w:p>
        </w:tc>
        <w:tc>
          <w:tcPr>
            <w:tcW w:w="6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123.4 %</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24,962</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13,790</w:t>
            </w:r>
          </w:p>
        </w:tc>
        <w:tc>
          <w:tcPr>
            <w:tcW w:w="6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123.4 %</w:t>
            </w:r>
          </w:p>
        </w:tc>
        <w:tc>
          <w:tcPr>
            <w:tcW w:w="0" w:type="dxa"/>
            <w:vAlign w:val="bottom"/>
          </w:tcPr>
          <w:p>
            <w:pPr>
              <w:spacing w:after="0"/>
              <w:rPr>
                <w:sz w:val="1"/>
                <w:szCs w:val="1"/>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127,989</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52,386</w:t>
            </w:r>
          </w:p>
        </w:tc>
        <w:tc>
          <w:tcPr>
            <w:tcW w:w="6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net income was primarily attributable to organic growth from additional revenue related to the factors described in the above sections.</w:t>
      </w:r>
    </w:p>
    <w:p>
      <w:pPr>
        <w:spacing w:after="0" w:line="85" w:lineRule="exact"/>
        <w:rPr>
          <w:sz w:val="20"/>
          <w:szCs w:val="20"/>
          <w:color w:val="auto"/>
        </w:rPr>
      </w:pPr>
    </w:p>
    <w:p>
      <w:pPr>
        <w:ind w:right="240" w:firstLine="319"/>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2022, the change in unrealized gains on cash flow hedges, net of income taxes, was related to the increase in fair market value of the $300.0 million interest rate cap hedge executed in October 2021. For the nine months ended September 30, 2021, the change in unrealized gains on cash flow hedges, net of income taxes, primarily related to the increase in fair value on the $925.0 million notional swap; the swap expired in August 2021.</w:t>
      </w:r>
    </w:p>
    <w:p>
      <w:pPr>
        <w:spacing w:after="0" w:line="143" w:lineRule="exact"/>
        <w:rPr>
          <w:sz w:val="20"/>
          <w:szCs w:val="20"/>
          <w:color w:val="auto"/>
        </w:rPr>
      </w:pPr>
    </w:p>
    <w:p>
      <w:pPr>
        <w:jc w:val="both"/>
        <w:ind w:right="80" w:firstLine="319"/>
        <w:spacing w:after="0" w:line="260" w:lineRule="auto"/>
        <w:rPr>
          <w:sz w:val="20"/>
          <w:szCs w:val="20"/>
          <w:color w:val="auto"/>
        </w:rPr>
      </w:pPr>
      <w:r>
        <w:rPr>
          <w:rFonts w:ascii="Times New Roman" w:cs="Times New Roman" w:eastAsia="Times New Roman" w:hAnsi="Times New Roman"/>
          <w:sz w:val="18"/>
          <w:szCs w:val="18"/>
          <w:color w:val="auto"/>
        </w:rPr>
        <w:t>Net comprehensive income increased to $128.0 million for the nine months ended September 30, 2022, compared to net comprehensive income of $75.6 million for the nine months ended September 30, 2021, primarily as a result of the changes in net income, discussed above, further increased by the impact of the fair value of the interest rate cap hedge.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0" w:lineRule="exact"/>
        <w:rPr>
          <w:sz w:val="20"/>
          <w:szCs w:val="20"/>
          <w:color w:val="auto"/>
        </w:rPr>
      </w:pPr>
    </w:p>
    <w:p>
      <w:pPr>
        <w:ind w:right="100" w:firstLine="319"/>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2022 and the twelve months ended December 31, 2021, the Company’s primary sources of liquidity were cash on hand of $255.5 million and $119.4 million, respectively, as well as $168.3 million of borrowings available under its credit facilities (net of $6.7 million undrawn letters of credit issued and outstanding). During the nine months ended September 30, 2022 and the year ended December 31, 2021, the Company’s positive cash flows from operations enabled investments in pharmacy and information technology infrastructure to support growth and create additional capacity in the future, as well as to pursue acquisitions.</w:t>
      </w:r>
    </w:p>
    <w:p>
      <w:pPr>
        <w:spacing w:after="0" w:line="157" w:lineRule="exact"/>
        <w:rPr>
          <w:sz w:val="20"/>
          <w:szCs w:val="20"/>
          <w:color w:val="auto"/>
        </w:rPr>
      </w:pPr>
    </w:p>
    <w:p>
      <w:pPr>
        <w:ind w:right="80" w:firstLine="319"/>
        <w:spacing w:after="0" w:line="252" w:lineRule="auto"/>
        <w:rPr>
          <w:sz w:val="20"/>
          <w:szCs w:val="20"/>
          <w:color w:val="auto"/>
        </w:rPr>
      </w:pPr>
      <w:r>
        <w:rPr>
          <w:rFonts w:ascii="Times New Roman" w:cs="Times New Roman" w:eastAsia="Times New Roman" w:hAnsi="Times New Roman"/>
          <w:sz w:val="18"/>
          <w:szCs w:val="18"/>
          <w:color w:val="auto"/>
        </w:rPr>
        <w:t>The Company’s primary uses of cash include supporting our ongoing business activities, investment in capital expenditures in both facilities and technology, and the pursuit of acquisitions. Ongoing operating cash outflows are associated with procuring and dispensing drugs, personnel and other costs associated with servicing patients, as well as paying cash interest on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proceeds of warrant exercises, along with quarterly principal payments on our outstanding debt.</w:t>
      </w:r>
    </w:p>
    <w:p>
      <w:pPr>
        <w:spacing w:after="0" w:line="144" w:lineRule="exact"/>
        <w:rPr>
          <w:sz w:val="20"/>
          <w:szCs w:val="20"/>
          <w:color w:val="auto"/>
        </w:rPr>
      </w:pPr>
    </w:p>
    <w:p>
      <w:pPr>
        <w:ind w:firstLine="319"/>
        <w:spacing w:after="0" w:line="253" w:lineRule="auto"/>
        <w:rPr>
          <w:sz w:val="20"/>
          <w:szCs w:val="20"/>
          <w:color w:val="auto"/>
        </w:rPr>
      </w:pPr>
      <w:r>
        <w:rPr>
          <w:rFonts w:ascii="Times New Roman" w:cs="Times New Roman" w:eastAsia="Times New Roman" w:hAnsi="Times New Roman"/>
          <w:sz w:val="18"/>
          <w:szCs w:val="18"/>
          <w:color w:val="auto"/>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Liquidity Requirements</w:t>
      </w:r>
    </w:p>
    <w:p>
      <w:pPr>
        <w:spacing w:after="0" w:line="195" w:lineRule="exact"/>
        <w:rPr>
          <w:sz w:val="20"/>
          <w:szCs w:val="20"/>
          <w:color w:val="auto"/>
        </w:rPr>
      </w:pPr>
    </w:p>
    <w:p>
      <w:pPr>
        <w:ind w:right="220" w:firstLine="319"/>
        <w:spacing w:after="0" w:line="272" w:lineRule="auto"/>
        <w:rPr>
          <w:sz w:val="20"/>
          <w:szCs w:val="20"/>
          <w:color w:val="auto"/>
        </w:rPr>
      </w:pPr>
      <w:r>
        <w:rPr>
          <w:rFonts w:ascii="Times New Roman" w:cs="Times New Roman" w:eastAsia="Times New Roman" w:hAnsi="Times New Roman"/>
          <w:sz w:val="17"/>
          <w:szCs w:val="17"/>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82" w:lineRule="exact"/>
        <w:rPr>
          <w:sz w:val="20"/>
          <w:szCs w:val="20"/>
          <w:color w:val="auto"/>
        </w:rPr>
      </w:pPr>
    </w:p>
    <w:p>
      <w:pPr>
        <w:ind w:firstLine="319"/>
        <w:spacing w:after="0" w:line="251" w:lineRule="auto"/>
        <w:rPr>
          <w:sz w:val="20"/>
          <w:szCs w:val="20"/>
          <w:color w:val="auto"/>
        </w:rPr>
      </w:pPr>
      <w:r>
        <w:rPr>
          <w:rFonts w:ascii="Times New Roman" w:cs="Times New Roman" w:eastAsia="Times New Roman" w:hAnsi="Times New Roman"/>
          <w:sz w:val="18"/>
          <w:szCs w:val="18"/>
          <w:color w:val="auto"/>
        </w:rPr>
        <w:t>The Company’s asset-based-lending revolving credit facility provides for borrowings up to $175.0 million, which matures on October 27, 2026 (the “ABL Facility”). The ABL Facility bears interest at a rate equal to, at the Borrowers’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LIBOR (or a comparable successor rate, with a floor of 0.00% per annum) plus an applicable margin, which is equal to between 1.25% and 1.75% based on the historical excess availability as a percentage of the Line Cap. The Company had $6.7 million of undrawn letters of credit issued and outstanding, resulting in net borrowing availability under the ABL Facility of $168.3 million as of September 30, 2022.</w:t>
      </w:r>
    </w:p>
    <w:p>
      <w:pPr>
        <w:spacing w:after="0" w:line="211" w:lineRule="exact"/>
        <w:rPr>
          <w:sz w:val="20"/>
          <w:szCs w:val="20"/>
          <w:color w:val="auto"/>
        </w:rPr>
      </w:pPr>
    </w:p>
    <w:p>
      <w:pPr>
        <w:ind w:right="220" w:firstLine="319"/>
        <w:spacing w:after="0" w:line="275" w:lineRule="auto"/>
        <w:rPr>
          <w:sz w:val="20"/>
          <w:szCs w:val="20"/>
          <w:color w:val="auto"/>
        </w:rPr>
      </w:pPr>
      <w:r>
        <w:rPr>
          <w:rFonts w:ascii="Times New Roman" w:cs="Times New Roman" w:eastAsia="Times New Roman" w:hAnsi="Times New Roman"/>
          <w:sz w:val="17"/>
          <w:szCs w:val="17"/>
          <w:color w:val="auto"/>
        </w:rPr>
        <w:t>The principal balance of the First Lien Term Loan is repayable in quarterly installments of $1.5 million plus interest, with a final payment of all remaining outstanding principal due on October 27, 2028. The quarterly principal payments commenced in March of 2022. Interest on the First Lien Term Loan is payable monthly on either (i) LIBOR (or a comparable successor rate, with a floor of 0.50% per annum) plus an applicable margin of 2.75% for Eurocurrency Rate Loans and (ii) a base rate determined in accordance with the new First Lien Term Loan agreement, plus 1.75% for Base Rate Loans.</w:t>
      </w:r>
    </w:p>
    <w:p>
      <w:pPr>
        <w:spacing w:after="0" w:line="193" w:lineRule="exact"/>
        <w:rPr>
          <w:sz w:val="20"/>
          <w:szCs w:val="20"/>
          <w:color w:val="auto"/>
        </w:rPr>
      </w:pPr>
    </w:p>
    <w:p>
      <w:pPr>
        <w:ind w:right="120" w:firstLine="319"/>
        <w:spacing w:after="0" w:line="275" w:lineRule="auto"/>
        <w:rPr>
          <w:sz w:val="20"/>
          <w:szCs w:val="20"/>
          <w:color w:val="auto"/>
        </w:rPr>
      </w:pPr>
      <w:r>
        <w:rPr>
          <w:rFonts w:ascii="Times New Roman" w:cs="Times New Roman" w:eastAsia="Times New Roman" w:hAnsi="Times New Roman"/>
          <w:sz w:val="18"/>
          <w:szCs w:val="18"/>
          <w:color w:val="auto"/>
        </w:rPr>
        <w:t>The Senior Notes bear interest at a rate of 4.375% per annum, which are payable semi-annually in arrears on October 31 and April 30 of each year, and which began on April 30, 2022. The Senior Notes mature on October 31, 2029.</w:t>
      </w:r>
    </w:p>
    <w:p>
      <w:pPr>
        <w:spacing w:after="0" w:line="190" w:lineRule="exact"/>
        <w:rPr>
          <w:sz w:val="20"/>
          <w:szCs w:val="20"/>
          <w:color w:val="auto"/>
        </w:rPr>
      </w:pPr>
    </w:p>
    <w:p>
      <w:pPr>
        <w:jc w:val="both"/>
        <w:ind w:right="40" w:firstLine="319"/>
        <w:spacing w:after="0" w:line="260" w:lineRule="auto"/>
        <w:rPr>
          <w:sz w:val="20"/>
          <w:szCs w:val="20"/>
          <w:color w:val="auto"/>
        </w:rPr>
      </w:pPr>
      <w:r>
        <w:rPr>
          <w:rFonts w:ascii="Times New Roman" w:cs="Times New Roman" w:eastAsia="Times New Roman" w:hAnsi="Times New Roman"/>
          <w:sz w:val="18"/>
          <w:szCs w:val="18"/>
          <w:color w:val="auto"/>
        </w:rPr>
        <w:t>Interest payments over the course of long-term debt obligations total an estimated $344.7 million based on final maturity dates of the Company’s credit facilities. Interest payments are calculated based on the LIBOR rate as of September 30, 2022. Actual payments are based on changes in LIBOR and exclude the interest rate cap derivative instrument.</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selected data from Option Care Health’s unaudited condensed consolidated statements of cash flows:</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r>
      <w:tr>
        <w:trPr>
          <w:trHeight w:val="207"/>
        </w:trPr>
        <w:tc>
          <w:tcPr>
            <w:tcW w:w="6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44"/>
        </w:trPr>
        <w:tc>
          <w:tcPr>
            <w:tcW w:w="6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9"/>
              </w:rPr>
              <w:t>80,833</w:t>
            </w:r>
          </w:p>
        </w:tc>
      </w:tr>
      <w:tr>
        <w:trPr>
          <w:trHeight w:val="210"/>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w w:val="98"/>
              </w:rPr>
              <w:t>(73,830)</w:t>
            </w:r>
          </w:p>
        </w:tc>
      </w:tr>
      <w:tr>
        <w:trPr>
          <w:trHeight w:val="21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9"/>
              </w:rPr>
              <w:t>27,451</w:t>
            </w:r>
          </w:p>
        </w:tc>
      </w:tr>
      <w:tr>
        <w:trPr>
          <w:trHeight w:val="20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left="420"/>
              <w:spacing w:after="0"/>
              <w:rPr>
                <w:sz w:val="20"/>
                <w:szCs w:val="20"/>
                <w:color w:val="auto"/>
              </w:rPr>
            </w:pPr>
            <w:r>
              <w:rPr>
                <w:rFonts w:ascii="Times New Roman" w:cs="Times New Roman" w:eastAsia="Times New Roman" w:hAnsi="Times New Roman"/>
                <w:sz w:val="16"/>
                <w:szCs w:val="16"/>
                <w:color w:val="auto"/>
                <w:w w:val="99"/>
              </w:rPr>
              <w:t>34,454</w:t>
            </w:r>
          </w:p>
        </w:tc>
      </w:tr>
      <w:tr>
        <w:trPr>
          <w:trHeight w:val="21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9"/>
              </w:rPr>
              <w:t>20,158</w:t>
            </w:r>
          </w:p>
        </w:tc>
      </w:tr>
      <w:tr>
        <w:trPr>
          <w:trHeight w:val="208"/>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255,468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200,856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center"/>
              <w:ind w:left="420"/>
              <w:spacing w:after="0"/>
              <w:rPr>
                <w:sz w:val="20"/>
                <w:szCs w:val="20"/>
                <w:color w:val="auto"/>
              </w:rPr>
            </w:pPr>
            <w:r>
              <w:rPr>
                <w:rFonts w:ascii="Times New Roman" w:cs="Times New Roman" w:eastAsia="Times New Roman" w:hAnsi="Times New Roman"/>
                <w:sz w:val="16"/>
                <w:szCs w:val="16"/>
                <w:color w:val="auto"/>
                <w:w w:val="99"/>
              </w:rPr>
              <w:t>54,612</w:t>
            </w: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2" w:lineRule="exact"/>
        <w:rPr>
          <w:sz w:val="20"/>
          <w:szCs w:val="20"/>
          <w:color w:val="auto"/>
        </w:rPr>
      </w:pPr>
    </w:p>
    <w:p>
      <w:pPr>
        <w:ind w:right="160" w:firstLine="319"/>
        <w:spacing w:after="0" w:line="260" w:lineRule="auto"/>
        <w:rPr>
          <w:sz w:val="20"/>
          <w:szCs w:val="20"/>
          <w:color w:val="auto"/>
        </w:rPr>
      </w:pPr>
      <w:r>
        <w:rPr>
          <w:rFonts w:ascii="Times New Roman" w:cs="Times New Roman" w:eastAsia="Times New Roman" w:hAnsi="Times New Roman"/>
          <w:sz w:val="18"/>
          <w:szCs w:val="18"/>
          <w:color w:val="auto"/>
        </w:rPr>
        <w:t>The increase in cash flows provided by operating activities is primarily due to higher net income, decrease in interest expense due to the October 2021 debt refinancings, timing of vendor payments and deferred income taxes, which were partially offset by changes in inventory and certain accruals during the nine months ended September 30, 2022 as compared to the nine months ended September 30, 2021.</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95" w:lineRule="exact"/>
        <w:rPr>
          <w:sz w:val="20"/>
          <w:szCs w:val="20"/>
          <w:color w:val="auto"/>
        </w:rPr>
      </w:pPr>
    </w:p>
    <w:p>
      <w:pPr>
        <w:ind w:right="700" w:firstLine="319"/>
        <w:spacing w:after="0" w:line="275" w:lineRule="auto"/>
        <w:rPr>
          <w:sz w:val="20"/>
          <w:szCs w:val="20"/>
          <w:color w:val="auto"/>
        </w:rPr>
      </w:pPr>
      <w:r>
        <w:rPr>
          <w:rFonts w:ascii="Times New Roman" w:cs="Times New Roman" w:eastAsia="Times New Roman" w:hAnsi="Times New Roman"/>
          <w:sz w:val="18"/>
          <w:szCs w:val="18"/>
          <w:color w:val="auto"/>
        </w:rPr>
        <w:t>The increase in cash flows used in investing activities is primarily due to the acquisitions of SPNN and RHI made within the nine months ended September 30, 2022, as compared to the acquisition of Biocure made within the nine months ended September 30, 2021.</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increase in cash provided in financing activities is primarily related to the proceeds from warrant exercises during the nine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2022, with no comparable activity during the nine months ended September 30, 2021. Additionally, the cash used in financing activities for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2021 is related to the January 2021 debt refinancing, with no comparable activity during the nine months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93" w:lineRule="exact"/>
        <w:rPr>
          <w:sz w:val="20"/>
          <w:szCs w:val="20"/>
          <w:color w:val="auto"/>
        </w:rPr>
      </w:pPr>
    </w:p>
    <w:p>
      <w:pPr>
        <w:ind w:right="40" w:firstLine="319"/>
        <w:spacing w:after="0" w:line="252"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30" w:lineRule="exact"/>
        <w:rPr>
          <w:sz w:val="20"/>
          <w:szCs w:val="20"/>
          <w:color w:val="auto"/>
        </w:rPr>
      </w:pPr>
    </w:p>
    <w:p>
      <w:pPr>
        <w:ind w:right="520" w:firstLine="319"/>
        <w:spacing w:after="0" w:line="259" w:lineRule="auto"/>
        <w:rPr>
          <w:sz w:val="20"/>
          <w:szCs w:val="20"/>
          <w:color w:val="auto"/>
        </w:rPr>
      </w:pPr>
      <w:r>
        <w:rPr>
          <w:rFonts w:ascii="Times New Roman" w:cs="Times New Roman" w:eastAsia="Times New Roman" w:hAnsi="Times New Roman"/>
          <w:sz w:val="18"/>
          <w:szCs w:val="18"/>
          <w:color w:val="auto"/>
        </w:rPr>
        <w:t>There have been no material changes to the Company’s critical accounting policies and estimates as presented in our Form 10-K, which are hereby incorporated by reference.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3" w:lineRule="exact"/>
        <w:rPr>
          <w:sz w:val="20"/>
          <w:szCs w:val="20"/>
          <w:color w:val="auto"/>
        </w:rPr>
      </w:pPr>
    </w:p>
    <w:p>
      <w:pPr>
        <w:ind w:right="700" w:firstLine="319"/>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to our exposure to market risk from those included in our Annual Report on Form 10-K for the year ended December 31, 2021, which is hereby incorporated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0" w:lineRule="exact"/>
        <w:rPr>
          <w:sz w:val="20"/>
          <w:szCs w:val="20"/>
          <w:color w:val="auto"/>
        </w:rPr>
      </w:pPr>
    </w:p>
    <w:p>
      <w:pPr>
        <w:ind w:firstLine="319"/>
        <w:spacing w:after="0" w:line="250"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September 30, 2022. Based on that evaluation, the Company’s Chief Executive Officer and its Chief Financial Officer concluded that our disclosure controls and procedures were effective as of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80" w:lineRule="exact"/>
        <w:rPr>
          <w:sz w:val="20"/>
          <w:szCs w:val="20"/>
          <w:color w:val="auto"/>
        </w:rPr>
      </w:pPr>
    </w:p>
    <w:p>
      <w:pPr>
        <w:ind w:right="100" w:firstLine="319"/>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30,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2" w:lineRule="exact"/>
        <w:rPr>
          <w:sz w:val="20"/>
          <w:szCs w:val="20"/>
          <w:color w:val="auto"/>
        </w:rPr>
      </w:pPr>
    </w:p>
    <w:p>
      <w:pPr>
        <w:ind w:right="100" w:firstLine="336"/>
        <w:spacing w:after="0" w:line="277" w:lineRule="auto"/>
        <w:rPr>
          <w:sz w:val="20"/>
          <w:szCs w:val="20"/>
          <w:color w:val="auto"/>
        </w:rPr>
      </w:pPr>
      <w:r>
        <w:rPr>
          <w:rFonts w:ascii="Times New Roman" w:cs="Times New Roman" w:eastAsia="Times New Roman" w:hAnsi="Times New Roman"/>
          <w:sz w:val="18"/>
          <w:szCs w:val="18"/>
          <w:color w:val="auto"/>
        </w:rPr>
        <w:t xml:space="preserve">For a summary of legal proceedings, refer to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unaudited condensed consolidated financial statements included in Item 1 of this Quarterly Report on Form 10-Q.</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0" w:lineRule="exact"/>
        <w:rPr>
          <w:sz w:val="20"/>
          <w:szCs w:val="20"/>
          <w:color w:val="auto"/>
        </w:rPr>
      </w:pPr>
    </w:p>
    <w:p>
      <w:pPr>
        <w:ind w:right="100" w:firstLine="319"/>
        <w:spacing w:after="0" w:line="260"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financial condition or results of operations from those set forth in Part I, Item 1A. “Risk Factors” in our Annual Report on Form 10-K for the year ended December 31, 2021. Additional risks and uncertainties not currently known to us or that we currently deem to be immaterial may also materially adversely affect our business, financial condition and/or operating results.</w:t>
      </w:r>
    </w:p>
    <w:p>
      <w:pPr>
        <w:spacing w:after="0" w:line="1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20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gridSpan w:val="5"/>
          </w:tcPr>
          <w:p>
            <w:pPr>
              <w:ind w:left="22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7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9"/>
        </w:trPr>
        <w:tc>
          <w:tcPr>
            <w:tcW w:w="14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3.1</w:t>
            </w:r>
          </w:p>
        </w:tc>
        <w:tc>
          <w:tcPr>
            <w:tcW w:w="9560" w:type="dxa"/>
            <w:vAlign w:val="bottom"/>
            <w:tcBorders>
              <w:bottom w:val="single" w:sz="8" w:color="0000FF"/>
            </w:tcBorders>
            <w:gridSpan w:val="5"/>
          </w:tcPr>
          <w:p>
            <w:pPr>
              <w:spacing w:after="0" w:line="179" w:lineRule="exact"/>
              <w:rPr>
                <w:rFonts w:ascii="Times New Roman" w:cs="Times New Roman" w:eastAsia="Times New Roman" w:hAnsi="Times New Roman"/>
                <w:sz w:val="16"/>
                <w:szCs w:val="16"/>
                <w:color w:val="0000FF"/>
                <w:w w:val="99"/>
              </w:rPr>
            </w:pPr>
            <w:hyperlink r:id="rId47">
              <w:r>
                <w:rPr>
                  <w:rFonts w:ascii="Times New Roman" w:cs="Times New Roman" w:eastAsia="Times New Roman" w:hAnsi="Times New Roman"/>
                  <w:sz w:val="16"/>
                  <w:szCs w:val="16"/>
                  <w:color w:val="0000FF"/>
                  <w:w w:val="99"/>
                </w:rPr>
                <w:t>Third Amended and Restated Bylaws of Option Care Health, Inc. (incorporated by reference to Exhibit 3.1 to the Company's Current Report on Form</w:t>
              </w:r>
            </w:hyperlink>
          </w:p>
        </w:tc>
        <w:tc>
          <w:tcPr>
            <w:tcW w:w="160" w:type="dxa"/>
            <w:vAlign w:val="bottom"/>
          </w:tcPr>
          <w:p>
            <w:pPr>
              <w:spacing w:after="0"/>
              <w:rPr>
                <w:sz w:val="15"/>
                <w:szCs w:val="15"/>
                <w:color w:val="auto"/>
              </w:rPr>
            </w:pPr>
          </w:p>
        </w:tc>
      </w:tr>
      <w:tr>
        <w:trPr>
          <w:trHeight w:val="179"/>
        </w:trPr>
        <w:tc>
          <w:tcPr>
            <w:tcW w:w="1460" w:type="dxa"/>
            <w:vAlign w:val="bottom"/>
          </w:tcPr>
          <w:p>
            <w:pPr>
              <w:spacing w:after="0"/>
              <w:rPr>
                <w:sz w:val="15"/>
                <w:szCs w:val="15"/>
                <w:color w:val="auto"/>
              </w:rPr>
            </w:pPr>
          </w:p>
        </w:tc>
        <w:tc>
          <w:tcPr>
            <w:tcW w:w="2200" w:type="dxa"/>
            <w:vAlign w:val="bottom"/>
            <w:tcBorders>
              <w:bottom w:val="single" w:sz="8" w:color="0000FF"/>
            </w:tcBorders>
          </w:tcPr>
          <w:p>
            <w:pPr>
              <w:spacing w:after="0" w:line="179" w:lineRule="exact"/>
              <w:rPr>
                <w:rFonts w:ascii="Times New Roman" w:cs="Times New Roman" w:eastAsia="Times New Roman" w:hAnsi="Times New Roman"/>
                <w:sz w:val="16"/>
                <w:szCs w:val="16"/>
                <w:color w:val="0000FF"/>
                <w:w w:val="99"/>
              </w:rPr>
            </w:pPr>
            <w:hyperlink r:id="rId47">
              <w:r>
                <w:rPr>
                  <w:rFonts w:ascii="Times New Roman" w:cs="Times New Roman" w:eastAsia="Times New Roman" w:hAnsi="Times New Roman"/>
                  <w:sz w:val="16"/>
                  <w:szCs w:val="16"/>
                  <w:color w:val="0000FF"/>
                  <w:w w:val="99"/>
                </w:rPr>
                <w:t>8-K filed on September 30, 2022).</w:t>
              </w:r>
            </w:hyperlink>
          </w:p>
        </w:tc>
        <w:tc>
          <w:tcPr>
            <w:tcW w:w="7520" w:type="dxa"/>
            <w:vAlign w:val="bottom"/>
            <w:gridSpan w:val="5"/>
          </w:tcPr>
          <w:p>
            <w:pPr>
              <w:spacing w:after="0"/>
              <w:rPr>
                <w:sz w:val="15"/>
                <w:szCs w:val="15"/>
                <w:color w:val="auto"/>
              </w:rPr>
            </w:pPr>
          </w:p>
        </w:tc>
      </w:tr>
      <w:tr>
        <w:trPr>
          <w:trHeight w:val="21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302 of the Sarbanes-Oxley Act of 2002.</w:t>
            </w:r>
          </w:p>
        </w:tc>
      </w:tr>
      <w:tr>
        <w:trPr>
          <w:trHeight w:val="20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18 U.S.C. Section 1350, as adopted pursuant to Section 302 of the Sarbanes-Oxley Act of 2002.</w:t>
            </w:r>
          </w:p>
        </w:tc>
        <w:tc>
          <w:tcPr>
            <w:tcW w:w="20" w:type="dxa"/>
            <w:vAlign w:val="bottom"/>
            <w:tcBorders>
              <w:top w:val="single" w:sz="8" w:color="0000FF"/>
            </w:tcBorders>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19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p>
        </w:tc>
      </w:tr>
      <w:tr>
        <w:trPr>
          <w:trHeight w:val="19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9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18 U.S.C. Section 1350, as adopted pursuant to Section 906 of the Sarbanes-Oxley Act of 2002.</w:t>
            </w:r>
          </w:p>
        </w:tc>
        <w:tc>
          <w:tcPr>
            <w:tcW w:w="40" w:type="dxa"/>
            <w:vAlign w:val="bottom"/>
            <w:tcBorders>
              <w:top w:val="single" w:sz="8" w:color="0000FF"/>
            </w:tcBorders>
            <w:gridSpan w:val="2"/>
          </w:tcPr>
          <w:p>
            <w:pPr>
              <w:spacing w:after="0"/>
              <w:rPr>
                <w:sz w:val="16"/>
                <w:szCs w:val="16"/>
                <w:color w:val="auto"/>
              </w:rPr>
            </w:pPr>
          </w:p>
        </w:tc>
        <w:tc>
          <w:tcPr>
            <w:tcW w:w="260" w:type="dxa"/>
            <w:vAlign w:val="bottom"/>
            <w:gridSpan w:val="2"/>
          </w:tcPr>
          <w:p>
            <w:pPr>
              <w:spacing w:after="0"/>
              <w:rPr>
                <w:sz w:val="16"/>
                <w:szCs w:val="16"/>
                <w:color w:val="auto"/>
              </w:rPr>
            </w:pPr>
          </w:p>
        </w:tc>
      </w:tr>
      <w:tr>
        <w:trPr>
          <w:trHeight w:val="227"/>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1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r>
      <w:tr>
        <w:trPr>
          <w:trHeight w:val="21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Formatted Cover Page</w:t>
            </w:r>
          </w:p>
        </w:tc>
      </w:tr>
    </w:tbl>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3" w:lineRule="exact"/>
        <w:rPr>
          <w:sz w:val="20"/>
          <w:szCs w:val="20"/>
          <w:color w:val="auto"/>
        </w:rPr>
      </w:pPr>
    </w:p>
    <w:p>
      <w:pPr>
        <w:ind w:right="900"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OPTION CARE HEALTH, IN</w:t>
            </w:r>
          </w:p>
        </w:tc>
      </w:tr>
      <w:tr>
        <w:trPr>
          <w:trHeight w:val="411"/>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2022</w:t>
            </w:r>
          </w:p>
        </w:tc>
        <w:tc>
          <w:tcPr>
            <w:tcW w:w="63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/s/Michael Shap</w:t>
            </w:r>
          </w:p>
        </w:tc>
      </w:tr>
      <w:tr>
        <w:trPr>
          <w:trHeight w:val="246"/>
        </w:trPr>
        <w:tc>
          <w:tcPr>
            <w:tcW w:w="34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Michael Shap</w:t>
            </w:r>
          </w:p>
        </w:tc>
      </w:tr>
      <w:tr>
        <w:trPr>
          <w:trHeight w:val="372"/>
        </w:trPr>
        <w:tc>
          <w:tcPr>
            <w:tcW w:w="3420" w:type="dxa"/>
            <w:vAlign w:val="bottom"/>
          </w:tcPr>
          <w:p>
            <w:pPr>
              <w:spacing w:after="0"/>
              <w:rPr>
                <w:sz w:val="24"/>
                <w:szCs w:val="24"/>
                <w:color w:val="auto"/>
              </w:rPr>
            </w:pPr>
          </w:p>
        </w:tc>
        <w:tc>
          <w:tcPr>
            <w:tcW w:w="7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Duly Authorized Offic</w:t>
            </w:r>
          </w:p>
        </w:tc>
      </w:tr>
      <w:tr>
        <w:trPr>
          <w:trHeight w:val="850"/>
        </w:trPr>
        <w:tc>
          <w:tcPr>
            <w:tcW w:w="3420" w:type="dxa"/>
            <w:vAlign w:val="bottom"/>
          </w:tcPr>
          <w:p>
            <w:pPr>
              <w:spacing w:after="0"/>
              <w:rPr>
                <w:sz w:val="24"/>
                <w:szCs w:val="24"/>
                <w:color w:val="auto"/>
              </w:rPr>
            </w:pPr>
          </w:p>
        </w:tc>
        <w:tc>
          <w:tcPr>
            <w:tcW w:w="6380" w:type="dxa"/>
            <w:vAlign w:val="bottom"/>
          </w:tcPr>
          <w:p>
            <w:pPr>
              <w:jc w:val="right"/>
              <w:ind w:right="4331"/>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tcPr>
          <w:p>
            <w:pPr>
              <w:spacing w:after="0"/>
              <w:rPr>
                <w:sz w:val="24"/>
                <w:szCs w:val="24"/>
                <w:color w:val="auto"/>
              </w:rPr>
            </w:pPr>
          </w:p>
        </w:tc>
      </w:tr>
    </w:tbl>
    <w:p>
      <w:pPr>
        <w:sectPr>
          <w:pgSz w:w="11900" w:h="16838" w:orient="portrait"/>
          <w:cols w:equalWidth="0" w:num="1">
            <w:col w:w="11340"/>
          </w:cols>
          <w:pgMar w:left="320" w:top="118" w:right="239" w:bottom="1440" w:gutter="0" w:footer="0" w:header="0"/>
        </w:sectPr>
      </w:pPr>
    </w:p>
    <w:bookmarkStart w:id="36" w:name="page37"/>
    <w:bookmarkEnd w:id="36"/>
    <w:p>
      <w:pPr>
        <w:ind w:left="1020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Rademacher, certify that:</w:t>
      </w:r>
    </w:p>
    <w:p>
      <w:pPr>
        <w:spacing w:after="0" w:line="98" w:lineRule="exact"/>
        <w:rPr>
          <w:sz w:val="20"/>
          <w:szCs w:val="20"/>
          <w:color w:val="auto"/>
        </w:rPr>
      </w:pPr>
    </w:p>
    <w:p>
      <w:pPr>
        <w:ind w:left="360" w:hanging="354"/>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Option Care Health, Inc.;</w:t>
      </w:r>
    </w:p>
    <w:p>
      <w:pPr>
        <w:spacing w:after="0" w:line="98" w:lineRule="exact"/>
        <w:rPr>
          <w:rFonts w:ascii="Times New Roman" w:cs="Times New Roman" w:eastAsia="Times New Roman" w:hAnsi="Times New Roman"/>
          <w:sz w:val="18"/>
          <w:szCs w:val="18"/>
          <w:color w:val="auto"/>
        </w:rPr>
      </w:pPr>
    </w:p>
    <w:p>
      <w:pPr>
        <w:ind w:left="640" w:hanging="634"/>
        <w:spacing w:after="0" w:line="260"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left="640" w:hanging="634"/>
        <w:spacing w:after="0" w:line="275" w:lineRule="auto"/>
        <w:tabs>
          <w:tab w:leader="none" w:pos="4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ind w:left="640" w:hanging="634"/>
        <w:spacing w:after="0" w:line="260" w:lineRule="auto"/>
        <w:tabs>
          <w:tab w:leader="none" w:pos="4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8"/>
          <w:szCs w:val="18"/>
          <w:color w:val="auto"/>
        </w:rPr>
      </w:pPr>
    </w:p>
    <w:p>
      <w:pPr>
        <w:ind w:left="1280" w:hanging="636"/>
        <w:spacing w:after="0" w:line="260" w:lineRule="auto"/>
        <w:tabs>
          <w:tab w:leader="none" w:pos="10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1280" w:hanging="636"/>
        <w:spacing w:after="0" w:line="260" w:lineRule="auto"/>
        <w:tabs>
          <w:tab w:leader="none" w:pos="117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8"/>
          <w:szCs w:val="18"/>
          <w:color w:val="auto"/>
        </w:rPr>
      </w:pPr>
    </w:p>
    <w:p>
      <w:pPr>
        <w:ind w:left="1280" w:hanging="636"/>
        <w:spacing w:after="0" w:line="275" w:lineRule="auto"/>
        <w:tabs>
          <w:tab w:leader="none" w:pos="120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3" w:lineRule="exact"/>
        <w:rPr>
          <w:rFonts w:ascii="Times New Roman" w:cs="Times New Roman" w:eastAsia="Times New Roman" w:hAnsi="Times New Roman"/>
          <w:sz w:val="18"/>
          <w:szCs w:val="18"/>
          <w:color w:val="auto"/>
        </w:rPr>
      </w:pPr>
    </w:p>
    <w:p>
      <w:pPr>
        <w:ind w:left="1280" w:hanging="636"/>
        <w:spacing w:after="0" w:line="260" w:lineRule="auto"/>
        <w:tabs>
          <w:tab w:leader="none" w:pos="109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Times New Roman" w:cs="Times New Roman" w:eastAsia="Times New Roman" w:hAnsi="Times New Roman"/>
          <w:sz w:val="18"/>
          <w:szCs w:val="18"/>
          <w:color w:val="auto"/>
        </w:rPr>
      </w:pPr>
    </w:p>
    <w:p>
      <w:pPr>
        <w:ind w:left="640" w:hanging="634"/>
        <w:spacing w:after="0" w:line="275" w:lineRule="auto"/>
        <w:tabs>
          <w:tab w:leader="none" w:pos="4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left="1280" w:hanging="636"/>
        <w:spacing w:after="0" w:line="275" w:lineRule="auto"/>
        <w:tabs>
          <w:tab w:leader="none" w:pos="10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1280" w:hanging="636"/>
        <w:spacing w:after="0" w:line="275" w:lineRule="auto"/>
        <w:tabs>
          <w:tab w:leader="none" w:pos="106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Shapiro, certify that:</w:t>
      </w:r>
    </w:p>
    <w:p>
      <w:pPr>
        <w:spacing w:after="0" w:line="98" w:lineRule="exact"/>
        <w:rPr>
          <w:sz w:val="20"/>
          <w:szCs w:val="20"/>
          <w:color w:val="auto"/>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Option Care Health, Inc.;</w:t>
      </w:r>
    </w:p>
    <w:p>
      <w:pPr>
        <w:spacing w:after="0" w:line="98" w:lineRule="exact"/>
        <w:rPr>
          <w:rFonts w:ascii="Times New Roman" w:cs="Times New Roman" w:eastAsia="Times New Roman" w:hAnsi="Times New Roman"/>
          <w:sz w:val="18"/>
          <w:szCs w:val="18"/>
          <w:color w:val="auto"/>
        </w:rPr>
      </w:pPr>
    </w:p>
    <w:p>
      <w:pPr>
        <w:ind w:left="640" w:hanging="634"/>
        <w:spacing w:after="0" w:line="260" w:lineRule="auto"/>
        <w:tabs>
          <w:tab w:leader="none" w:pos="4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left="640" w:hanging="634"/>
        <w:spacing w:after="0" w:line="275" w:lineRule="auto"/>
        <w:tabs>
          <w:tab w:leader="none" w:pos="4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ind w:left="640" w:hanging="634"/>
        <w:spacing w:after="0" w:line="260" w:lineRule="auto"/>
        <w:tabs>
          <w:tab w:leader="none" w:pos="4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8"/>
          <w:szCs w:val="18"/>
          <w:color w:val="auto"/>
        </w:rPr>
      </w:pPr>
    </w:p>
    <w:p>
      <w:pPr>
        <w:ind w:left="1280" w:hanging="636"/>
        <w:spacing w:after="0" w:line="260" w:lineRule="auto"/>
        <w:tabs>
          <w:tab w:leader="none" w:pos="10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1280" w:hanging="636"/>
        <w:spacing w:after="0" w:line="260" w:lineRule="auto"/>
        <w:tabs>
          <w:tab w:leader="none" w:pos="11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8"/>
          <w:szCs w:val="18"/>
          <w:color w:val="auto"/>
        </w:rPr>
      </w:pPr>
    </w:p>
    <w:p>
      <w:pPr>
        <w:ind w:left="1280" w:hanging="636"/>
        <w:spacing w:after="0" w:line="275" w:lineRule="auto"/>
        <w:tabs>
          <w:tab w:leader="none" w:pos="120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3" w:lineRule="exact"/>
        <w:rPr>
          <w:rFonts w:ascii="Times New Roman" w:cs="Times New Roman" w:eastAsia="Times New Roman" w:hAnsi="Times New Roman"/>
          <w:sz w:val="18"/>
          <w:szCs w:val="18"/>
          <w:color w:val="auto"/>
        </w:rPr>
      </w:pPr>
    </w:p>
    <w:p>
      <w:pPr>
        <w:ind w:left="1280" w:hanging="636"/>
        <w:spacing w:after="0" w:line="260" w:lineRule="auto"/>
        <w:tabs>
          <w:tab w:leader="none" w:pos="10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Times New Roman" w:cs="Times New Roman" w:eastAsia="Times New Roman" w:hAnsi="Times New Roman"/>
          <w:sz w:val="18"/>
          <w:szCs w:val="18"/>
          <w:color w:val="auto"/>
        </w:rPr>
      </w:pPr>
    </w:p>
    <w:p>
      <w:pPr>
        <w:ind w:left="640" w:hanging="634"/>
        <w:spacing w:after="0" w:line="275" w:lineRule="auto"/>
        <w:tabs>
          <w:tab w:leader="none" w:pos="4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left="1280" w:hanging="636"/>
        <w:spacing w:after="0" w:line="275" w:lineRule="auto"/>
        <w:tabs>
          <w:tab w:leader="none" w:pos="10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1280" w:hanging="636"/>
        <w:spacing w:after="0" w:line="275" w:lineRule="auto"/>
        <w:tabs>
          <w:tab w:leader="none" w:pos="106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0" w:lineRule="exact"/>
        <w:rPr>
          <w:sz w:val="20"/>
          <w:szCs w:val="20"/>
          <w:color w:val="auto"/>
        </w:rPr>
      </w:pPr>
    </w:p>
    <w:p>
      <w:pPr>
        <w:jc w:val="both"/>
        <w:ind w:firstLine="223"/>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Option Care Health, Inc. (the “Company”) on Form 10-Q for the quarter ended September 30, 2022,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4" w:lineRule="exact"/>
        <w:rPr>
          <w:sz w:val="20"/>
          <w:szCs w:val="20"/>
          <w:color w:val="auto"/>
        </w:rPr>
      </w:pPr>
    </w:p>
    <w:p>
      <w:pPr>
        <w:ind w:left="440" w:hanging="43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8"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7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0" w:lineRule="exact"/>
        <w:rPr>
          <w:sz w:val="20"/>
          <w:szCs w:val="20"/>
          <w:color w:val="auto"/>
        </w:rPr>
      </w:pPr>
    </w:p>
    <w:p>
      <w:pPr>
        <w:jc w:val="both"/>
        <w:ind w:firstLine="223"/>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Option Care Health, Inc. (the “Company”) on Form 10-Q for the quarter ended September 30, 2022,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44" w:lineRule="exact"/>
        <w:rPr>
          <w:sz w:val="20"/>
          <w:szCs w:val="20"/>
          <w:color w:val="auto"/>
        </w:rPr>
      </w:pPr>
    </w:p>
    <w:p>
      <w:pPr>
        <w:ind w:left="440" w:hanging="434"/>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8"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hyperlink" Target="https://www.sec.gov/Archives/edgar/data/1014739/000101473922000040/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2022-10-27T15:15:48Z</dcterms:created>
  <dcterms:modified xsi:type="dcterms:W3CDTF">2022-10-27T15:15:48Z</dcterms:modified>
</cp:coreProperties>
</file>