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Option Care Health,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Amedisys, Inc.</w:t>
      </w:r>
    </w:p>
    <w:p>
      <w:pPr>
        <w:spacing w:after="0" w:line="9"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Commission File No.: 000-24260</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 The following LinkedIn and Facebook posts were issued by Option Care Health, Inc. on May 3,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LinkedIn Post 05.03.2023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240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auto"/>
        </w:rPr>
        <w:t>Facebook Post 05.03.2023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4894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communication relates to the proposed merger (the “proposed transaction”) between Option Care Health, Inc. (“Option Care Health”) and Amedisys, Inc. (“Amedisys”). This communication is not intended to and does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proposed transaction, Option Care Health and Amedisys will file relevant materials with the United States Securities and Exchange Commission (the “SEC”), including an Option Care Health registration statement on Form S-4 that will include a joint proxy statement of Option Care Health and Amedisys that also constitutes a prospectus of Option Care Health, and a definitive joint proxy statement/prospectus will be mailed to stockholders of Option Care Health and Amedisys. INVESTORS AND SECURITY HOLDERS OF OPTION CARE HEALTH AND AMEDISYS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Option Care Health or Amedisys through the website maintained by the SEC at http://www.sec.gov. Copies of the documents filed with the SEC by Option Care Health will be available free of charge on Option Care Health’s internet website at https://investors.optioncarehealth.com or by contacting Option Care Health’s investor relations department at investor.relations@optioncare.com. Copies of the documents filed with the SEC by Amedisys will be available free of charge on Amedisys’s internet website at https://investors.amedisys.com or by contacting Amedisys’s investor relations department at IR@amedisys.com.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Option Care Health, Amedisys and their respective directors and executive officers may be considered participants in the solicitation of proxies in connection with the proposed transaction. Information about the directors and executive officers of Option Care Health is set forth in its proxy statement for its 2023 annual meeting of stockholders, which was filed with the SEC on April 7, 2023. Information about the directors and executive officers of Amedisys is set forth in its proxy statement for its 2023 annual meeting of stockholders, which was filed with the SEC on April 27, 2023.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they become available. You may obtain these documents (when they become available) free of charge through the website maintained by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and from the investor relations departments at Option Care Health or Amedisys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impact of the proposed transaction on Option Care Health’s and Amedisys’s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83" w:lineRule="auto"/>
        <w:rPr>
          <w:sz w:val="20"/>
          <w:szCs w:val="20"/>
          <w:color w:val="auto"/>
        </w:rPr>
      </w:pPr>
      <w:r>
        <w:rPr>
          <w:rFonts w:ascii="Arial" w:cs="Arial" w:eastAsia="Arial" w:hAnsi="Arial"/>
          <w:sz w:val="16"/>
          <w:szCs w:val="16"/>
          <w:color w:val="auto"/>
        </w:rPr>
        <w:t>Forward-looking statements are neither historical facts nor assurances of future performance. Instead, they are based only on management’s current beliefs, expectations and assumptions regarding the future of Option Care Health’s and Amedisys’s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Option Care Health’s and Amedisys’s control. Option Care Health’s, Amedisys’s and the combined company’s actual results and financial condition may differ materially from those indicated in the forward-looking statements as a result of various factors. These factors include, among other things, (1) the termination of or occurrence of any event, change or other circumstances that could give rise to the termination of the merger agreement or the inability to complete the proposed transaction on the anticipated terms and timetable, (2) the inability to complete the proposed transaction due to the failure to obtain approval of the stockholders of Option Care Health or Amedisys or to satisfy any other condition to closing in a timely manner or at all, or the risk that a regulatory approval that may be required for the proposed transaction is delayed, is not obtained or is obtained subject to conditions that are not anticipated, (3) the ability to recognize the anticipated benefits of the proposed transaction, which may be affected by, among other things, the ability of the combined company to maintain relationships with its patients, payers and providers and retain its management and key employees, (4) the ability of the combined company to achieve the synergies contemplated by the proposed transaction or such synergies taking longer to realize than expected, (5) costs related to the proposed transaction,</w:t>
      </w:r>
    </w:p>
    <w:p>
      <w:pPr>
        <w:spacing w:after="0" w:line="2" w:lineRule="exact"/>
        <w:rPr>
          <w:sz w:val="20"/>
          <w:szCs w:val="20"/>
          <w:color w:val="auto"/>
        </w:rPr>
      </w:pPr>
    </w:p>
    <w:p>
      <w:pPr>
        <w:jc w:val="both"/>
        <w:ind w:firstLine="8"/>
        <w:spacing w:after="0" w:line="252" w:lineRule="auto"/>
        <w:tabs>
          <w:tab w:leader="none" w:pos="26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the combined company to execute successfully its strategic plans, (7) the ability of the combined company to promptly and effectively integrate the Option Care Health and Amedisys businesses and (8) the diversion of management’s time and attention from ordinary course business operations to completion of the proposed transaction and integration matters.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and Amedisys’s respective filings with the SEC, including the risk factors discussed in Option Care Health’s and Amedisys’s most recent Annual Reports on Form 10-K, as updated by their Quarterly Reports on Form 10-Q and future filings with the SEC.</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communication is based only on information currently available to Option Care Health and Amedisys and speaks only as of the date on which it is made. Option Care Health and Amedisys undertake no obligation to publicly update any forward-looking statement, whether written or oral, that may be made from time to time, whether as a result of new information, future developments or otherwise. You are cautioned not to rely on Option Care Health’s and Amedisys’s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2023-05-04T05:20:22Z</dcterms:created>
  <dcterms:modified xsi:type="dcterms:W3CDTF">2023-05-04T05:20:22Z</dcterms:modified>
</cp:coreProperties>
</file>