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800735</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73" w:lineRule="exact"/>
        <w:rPr>
          <w:sz w:val="24"/>
          <w:szCs w:val="24"/>
          <w:color w:val="auto"/>
        </w:rPr>
      </w:pPr>
    </w:p>
    <w:p>
      <w:pPr>
        <w:ind w:left="1120" w:right="1880" w:hanging="640"/>
        <w:spacing w:after="0" w:line="334" w:lineRule="auto"/>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120" w:hanging="640"/>
        <w:spacing w:after="0"/>
        <w:tabs>
          <w:tab w:leader="none" w:pos="11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120"/>
        <w:spacing w:after="0"/>
        <w:tabs>
          <w:tab w:leader="none" w:pos="34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12065</wp:posOffset>
            </wp:positionV>
            <wp:extent cx="17145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22"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3"/>
              </w:rPr>
              <w:t>Delaware</w:t>
            </w: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360" w:type="dxa"/>
            <w:vAlign w:val="bottom"/>
          </w:tcPr>
          <w:p>
            <w:pPr>
              <w:jc w:val="right"/>
              <w:ind w:right="2099"/>
              <w:spacing w:after="0"/>
              <w:rPr>
                <w:sz w:val="20"/>
                <w:szCs w:val="20"/>
                <w:color w:val="auto"/>
              </w:rPr>
            </w:pPr>
            <w:r>
              <w:rPr>
                <w:rFonts w:ascii="Arial" w:cs="Arial" w:eastAsia="Arial" w:hAnsi="Arial"/>
                <w:sz w:val="16"/>
                <w:szCs w:val="16"/>
                <w:b w:val="1"/>
                <w:bCs w:val="1"/>
                <w:color w:val="auto"/>
              </w:rPr>
              <w:t>05-0489664</w:t>
            </w:r>
          </w:p>
        </w:tc>
      </w:tr>
      <w:tr>
        <w:trPr>
          <w:trHeight w:val="256"/>
        </w:trPr>
        <w:tc>
          <w:tcPr>
            <w:tcW w:w="6360" w:type="dxa"/>
            <w:vAlign w:val="bottom"/>
            <w:gridSpan w:val="3"/>
          </w:tcPr>
          <w:p>
            <w:pPr>
              <w:jc w:val="center"/>
              <w:ind w:left="179"/>
              <w:spacing w:after="0"/>
              <w:rPr>
                <w:sz w:val="20"/>
                <w:szCs w:val="20"/>
                <w:color w:val="auto"/>
              </w:rPr>
            </w:pPr>
            <w:r>
              <w:rPr>
                <w:rFonts w:ascii="Arial" w:cs="Arial" w:eastAsia="Arial" w:hAnsi="Arial"/>
                <w:sz w:val="16"/>
                <w:szCs w:val="16"/>
                <w:i w:val="1"/>
                <w:iCs w:val="1"/>
                <w:color w:val="auto"/>
                <w:w w:val="94"/>
              </w:rPr>
              <w:t>(State of incorporation)</w:t>
            </w:r>
          </w:p>
        </w:tc>
        <w:tc>
          <w:tcPr>
            <w:tcW w:w="4860" w:type="dxa"/>
            <w:vAlign w:val="bottom"/>
            <w:gridSpan w:val="2"/>
          </w:tcPr>
          <w:p>
            <w:pPr>
              <w:jc w:val="center"/>
              <w:ind w:right="17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57"/>
        </w:trPr>
        <w:tc>
          <w:tcPr>
            <w:tcW w:w="2720" w:type="dxa"/>
            <w:vAlign w:val="bottom"/>
          </w:tcPr>
          <w:p>
            <w:pPr>
              <w:ind w:left="1340"/>
              <w:spacing w:after="0"/>
              <w:rPr>
                <w:sz w:val="20"/>
                <w:szCs w:val="20"/>
                <w:color w:val="auto"/>
              </w:rPr>
            </w:pPr>
            <w:r>
              <w:rPr>
                <w:rFonts w:ascii="Arial" w:cs="Arial" w:eastAsia="Arial" w:hAnsi="Arial"/>
                <w:sz w:val="16"/>
                <w:szCs w:val="16"/>
                <w:b w:val="1"/>
                <w:bCs w:val="1"/>
                <w:color w:val="auto"/>
              </w:rPr>
              <w:t>3000 Lakeside Dr.</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Suite 300N,</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Bannockburn,   IL</w:t>
            </w:r>
          </w:p>
        </w:tc>
        <w:tc>
          <w:tcPr>
            <w:tcW w:w="1500" w:type="dxa"/>
            <w:vAlign w:val="bottom"/>
          </w:tcPr>
          <w:p>
            <w:pPr>
              <w:spacing w:after="0"/>
              <w:rPr>
                <w:sz w:val="22"/>
                <w:szCs w:val="22"/>
                <w:color w:val="auto"/>
              </w:rPr>
            </w:pPr>
          </w:p>
        </w:tc>
        <w:tc>
          <w:tcPr>
            <w:tcW w:w="3360" w:type="dxa"/>
            <w:vAlign w:val="bottom"/>
          </w:tcPr>
          <w:p>
            <w:pPr>
              <w:jc w:val="right"/>
              <w:ind w:right="2279"/>
              <w:spacing w:after="0"/>
              <w:rPr>
                <w:sz w:val="20"/>
                <w:szCs w:val="20"/>
                <w:color w:val="auto"/>
              </w:rPr>
            </w:pPr>
            <w:r>
              <w:rPr>
                <w:rFonts w:ascii="Arial" w:cs="Arial" w:eastAsia="Arial" w:hAnsi="Arial"/>
                <w:sz w:val="16"/>
                <w:szCs w:val="16"/>
                <w:b w:val="1"/>
                <w:bCs w:val="1"/>
                <w:color w:val="auto"/>
              </w:rPr>
              <w:t>60015</w:t>
            </w:r>
          </w:p>
        </w:tc>
      </w:tr>
      <w:tr>
        <w:trPr>
          <w:trHeight w:val="257"/>
        </w:trPr>
        <w:tc>
          <w:tcPr>
            <w:tcW w:w="6360" w:type="dxa"/>
            <w:vAlign w:val="bottom"/>
            <w:gridSpan w:val="3"/>
          </w:tcPr>
          <w:p>
            <w:pPr>
              <w:jc w:val="center"/>
              <w:ind w:left="17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500" w:type="dxa"/>
            <w:vAlign w:val="bottom"/>
          </w:tcPr>
          <w:p>
            <w:pPr>
              <w:spacing w:after="0"/>
              <w:rPr>
                <w:sz w:val="22"/>
                <w:szCs w:val="22"/>
                <w:color w:val="auto"/>
              </w:rPr>
            </w:pPr>
          </w:p>
        </w:tc>
        <w:tc>
          <w:tcPr>
            <w:tcW w:w="3360" w:type="dxa"/>
            <w:vAlign w:val="bottom"/>
          </w:tcPr>
          <w:p>
            <w:pPr>
              <w:jc w:val="center"/>
              <w:ind w:right="1699"/>
              <w:spacing w:after="0"/>
              <w:rPr>
                <w:sz w:val="20"/>
                <w:szCs w:val="20"/>
                <w:color w:val="auto"/>
              </w:rPr>
            </w:pPr>
            <w:r>
              <w:rPr>
                <w:rFonts w:ascii="Arial" w:cs="Arial" w:eastAsia="Arial" w:hAnsi="Arial"/>
                <w:sz w:val="16"/>
                <w:szCs w:val="16"/>
                <w:i w:val="1"/>
                <w:iCs w:val="1"/>
                <w:color w:val="auto"/>
                <w:w w:val="92"/>
              </w:rPr>
              <w:t>(Zip Code)</w:t>
            </w:r>
          </w:p>
        </w:tc>
      </w:tr>
      <w:tr>
        <w:trPr>
          <w:trHeight w:val="303"/>
        </w:trPr>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Registrant’s telephone number, including area code:</w:t>
            </w:r>
          </w:p>
        </w:tc>
        <w:tc>
          <w:tcPr>
            <w:tcW w:w="3360" w:type="dxa"/>
            <w:vAlign w:val="bottom"/>
          </w:tcPr>
          <w:p>
            <w:pPr>
              <w:spacing w:after="0"/>
              <w:rPr>
                <w:sz w:val="24"/>
                <w:szCs w:val="24"/>
                <w:color w:val="auto"/>
              </w:rPr>
            </w:pPr>
          </w:p>
        </w:tc>
      </w:tr>
      <w:tr>
        <w:trPr>
          <w:trHeight w:val="210"/>
        </w:trPr>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tcPr>
          <w:p>
            <w:pPr>
              <w:jc w:val="right"/>
              <w:ind w:right="219"/>
              <w:spacing w:after="0"/>
              <w:rPr>
                <w:sz w:val="20"/>
                <w:szCs w:val="20"/>
                <w:color w:val="auto"/>
              </w:rPr>
            </w:pPr>
            <w:r>
              <w:rPr>
                <w:rFonts w:ascii="Arial" w:cs="Arial" w:eastAsia="Arial" w:hAnsi="Arial"/>
                <w:sz w:val="16"/>
                <w:szCs w:val="16"/>
                <w:b w:val="1"/>
                <w:bCs w:val="1"/>
                <w:color w:val="auto"/>
              </w:rPr>
              <w:t>312-940-2443</w:t>
            </w:r>
          </w:p>
        </w:tc>
        <w:tc>
          <w:tcPr>
            <w:tcW w:w="15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9"/>
        </w:trPr>
        <w:tc>
          <w:tcPr>
            <w:tcW w:w="2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80" w:type="dxa"/>
            <w:vAlign w:val="bottom"/>
            <w:gridSpan w:val="2"/>
          </w:tcPr>
          <w:p>
            <w:pPr>
              <w:ind w:left="40"/>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360" w:type="dxa"/>
            <w:vAlign w:val="bottom"/>
          </w:tcPr>
          <w:p>
            <w:pPr>
              <w:spacing w:after="0"/>
              <w:rPr>
                <w:sz w:val="19"/>
                <w:szCs w:val="19"/>
                <w:color w:val="auto"/>
              </w:rPr>
            </w:pPr>
          </w:p>
        </w:tc>
      </w:tr>
      <w:tr>
        <w:trPr>
          <w:trHeight w:val="154"/>
        </w:trPr>
        <w:tc>
          <w:tcPr>
            <w:tcW w:w="3780" w:type="dxa"/>
            <w:vAlign w:val="bottom"/>
            <w:tcBorders>
              <w:bottom w:val="single" w:sz="8" w:color="auto"/>
            </w:tcBorders>
            <w:gridSpan w:val="2"/>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r>
      <w:tr>
        <w:trPr>
          <w:trHeight w:val="217"/>
        </w:trPr>
        <w:tc>
          <w:tcPr>
            <w:tcW w:w="3780" w:type="dxa"/>
            <w:vAlign w:val="bottom"/>
            <w:tcBorders>
              <w:left w:val="single" w:sz="8" w:color="auto"/>
            </w:tcBorders>
            <w:gridSpan w:val="2"/>
          </w:tcPr>
          <w:p>
            <w:pPr>
              <w:jc w:val="center"/>
              <w:ind w:left="2499"/>
              <w:spacing w:after="0"/>
              <w:rPr>
                <w:sz w:val="20"/>
                <w:szCs w:val="20"/>
                <w:color w:val="auto"/>
              </w:rPr>
            </w:pPr>
            <w:r>
              <w:rPr>
                <w:rFonts w:ascii="Arial" w:cs="Arial" w:eastAsia="Arial" w:hAnsi="Arial"/>
                <w:sz w:val="16"/>
                <w:szCs w:val="16"/>
                <w:color w:val="auto"/>
                <w:w w:val="91"/>
              </w:rPr>
              <w:t>Title of each Class</w:t>
            </w:r>
          </w:p>
        </w:tc>
        <w:tc>
          <w:tcPr>
            <w:tcW w:w="25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6360" w:type="dxa"/>
            <w:vAlign w:val="bottom"/>
            <w:tcBorders>
              <w:left w:val="single" w:sz="8" w:color="auto"/>
              <w:bottom w:val="single" w:sz="8" w:color="auto"/>
              <w:right w:val="single" w:sz="8" w:color="auto"/>
            </w:tcBorders>
            <w:gridSpan w:val="3"/>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217"/>
        </w:trPr>
        <w:tc>
          <w:tcPr>
            <w:tcW w:w="6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72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0"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78"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ind w:left="180"/>
        <w:spacing w:after="0" w:line="173" w:lineRule="exact"/>
        <w:tabs>
          <w:tab w:leader="none" w:pos="82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9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July 31, 2020, there were 186,716,364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76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567"/>
        </w:trPr>
        <w:tc>
          <w:tcPr>
            <w:tcW w:w="13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80" w:type="dxa"/>
            <w:vAlign w:val="bottom"/>
          </w:tcPr>
          <w:p>
            <w:pPr>
              <w:jc w:val="center"/>
              <w:ind w:left="1419"/>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130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80" w:type="dxa"/>
            <w:vAlign w:val="bottom"/>
          </w:tcPr>
          <w:p>
            <w:pPr>
              <w:jc w:val="center"/>
              <w:ind w:left="1419"/>
              <w:spacing w:after="0"/>
              <w:rPr>
                <w:sz w:val="20"/>
                <w:szCs w:val="20"/>
                <w:color w:val="auto"/>
              </w:rPr>
            </w:pPr>
            <w:r>
              <w:rPr>
                <w:rFonts w:ascii="Arial" w:cs="Arial" w:eastAsia="Arial" w:hAnsi="Arial"/>
                <w:sz w:val="16"/>
                <w:szCs w:val="16"/>
                <w:b w:val="1"/>
                <w:bCs w:val="1"/>
                <w:color w:val="auto"/>
                <w:w w:val="95"/>
              </w:rPr>
              <w:t>Number</w:t>
            </w:r>
          </w:p>
        </w:tc>
      </w:tr>
      <w:tr>
        <w:trPr>
          <w:trHeight w:val="257"/>
        </w:trPr>
        <w:tc>
          <w:tcPr>
            <w:tcW w:w="1300" w:type="dxa"/>
            <w:vAlign w:val="bottom"/>
          </w:tcPr>
          <w:p>
            <w:pPr>
              <w:spacing w:after="0"/>
              <w:rPr>
                <w:sz w:val="22"/>
                <w:szCs w:val="22"/>
                <w:color w:val="auto"/>
              </w:rPr>
            </w:pPr>
          </w:p>
        </w:tc>
        <w:tc>
          <w:tcPr>
            <w:tcW w:w="7620" w:type="dxa"/>
            <w:vAlign w:val="bottom"/>
          </w:tcPr>
          <w:p>
            <w:pPr>
              <w:ind w:left="4020"/>
              <w:spacing w:after="0"/>
              <w:rPr>
                <w:sz w:val="20"/>
                <w:szCs w:val="20"/>
                <w:color w:val="auto"/>
              </w:rPr>
            </w:pPr>
            <w:r>
              <w:rPr>
                <w:rFonts w:ascii="Arial" w:cs="Arial" w:eastAsia="Arial" w:hAnsi="Arial"/>
                <w:sz w:val="16"/>
                <w:szCs w:val="16"/>
                <w:b w:val="1"/>
                <w:bCs w:val="1"/>
                <w:color w:val="auto"/>
              </w:rPr>
              <w:t>PART I</w:t>
            </w:r>
          </w:p>
        </w:tc>
        <w:tc>
          <w:tcPr>
            <w:tcW w:w="2080" w:type="dxa"/>
            <w:vAlign w:val="bottom"/>
          </w:tcPr>
          <w:p>
            <w:pPr>
              <w:spacing w:after="0"/>
              <w:rPr>
                <w:sz w:val="22"/>
                <w:szCs w:val="22"/>
                <w:color w:val="auto"/>
              </w:rPr>
            </w:pPr>
          </w:p>
        </w:tc>
      </w:tr>
      <w:tr>
        <w:trPr>
          <w:trHeight w:val="405"/>
        </w:trPr>
        <w:tc>
          <w:tcPr>
            <w:tcW w:w="1300" w:type="dxa"/>
            <w:vAlign w:val="bottom"/>
          </w:tcPr>
          <w:p>
            <w:pPr>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Financial Statements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3</w:t>
              </w:r>
            </w:hyperlink>
          </w:p>
        </w:tc>
      </w:tr>
      <w:tr>
        <w:trPr>
          <w:trHeight w:val="216"/>
        </w:trPr>
        <w:tc>
          <w:tcPr>
            <w:tcW w:w="1300" w:type="dxa"/>
            <w:vAlign w:val="bottom"/>
          </w:tcPr>
          <w:p>
            <w:pPr>
              <w:spacing w:after="0"/>
              <w:rPr>
                <w:sz w:val="18"/>
                <w:szCs w:val="18"/>
                <w:color w:val="auto"/>
              </w:rPr>
            </w:pPr>
          </w:p>
        </w:tc>
        <w:tc>
          <w:tcPr>
            <w:tcW w:w="7620" w:type="dxa"/>
            <w:vAlign w:val="bottom"/>
          </w:tcPr>
          <w:p>
            <w:pPr>
              <w:ind w:left="32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Balance Sheets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4</w:t>
              </w:r>
            </w:hyperlink>
          </w:p>
        </w:tc>
      </w:tr>
      <w:tr>
        <w:trPr>
          <w:trHeight w:val="216"/>
        </w:trPr>
        <w:tc>
          <w:tcPr>
            <w:tcW w:w="1300" w:type="dxa"/>
            <w:vAlign w:val="bottom"/>
          </w:tcPr>
          <w:p>
            <w:pPr>
              <w:spacing w:after="0"/>
              <w:rPr>
                <w:sz w:val="18"/>
                <w:szCs w:val="18"/>
                <w:color w:val="auto"/>
              </w:rPr>
            </w:pPr>
          </w:p>
        </w:tc>
        <w:tc>
          <w:tcPr>
            <w:tcW w:w="7620" w:type="dxa"/>
            <w:vAlign w:val="bottom"/>
          </w:tcPr>
          <w:p>
            <w:pPr>
              <w:ind w:left="3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Unaudited Condensed Consolidated Statements of Comprehensive Income (Loss)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5</w:t>
              </w:r>
            </w:hyperlink>
          </w:p>
        </w:tc>
      </w:tr>
      <w:tr>
        <w:trPr>
          <w:trHeight w:val="216"/>
        </w:trPr>
        <w:tc>
          <w:tcPr>
            <w:tcW w:w="1300" w:type="dxa"/>
            <w:vAlign w:val="bottom"/>
          </w:tcPr>
          <w:p>
            <w:pPr>
              <w:spacing w:after="0"/>
              <w:rPr>
                <w:sz w:val="18"/>
                <w:szCs w:val="18"/>
                <w:color w:val="auto"/>
              </w:rPr>
            </w:pPr>
          </w:p>
        </w:tc>
        <w:tc>
          <w:tcPr>
            <w:tcW w:w="7620" w:type="dxa"/>
            <w:vAlign w:val="bottom"/>
          </w:tcPr>
          <w:p>
            <w:pPr>
              <w:ind w:left="3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Unaudited Condensed Consolidated Statements of Cash Flows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6</w:t>
              </w:r>
            </w:hyperlink>
          </w:p>
        </w:tc>
      </w:tr>
      <w:tr>
        <w:trPr>
          <w:trHeight w:val="216"/>
        </w:trPr>
        <w:tc>
          <w:tcPr>
            <w:tcW w:w="1300" w:type="dxa"/>
            <w:vAlign w:val="bottom"/>
          </w:tcPr>
          <w:p>
            <w:pPr>
              <w:spacing w:after="0"/>
              <w:rPr>
                <w:sz w:val="18"/>
                <w:szCs w:val="18"/>
                <w:color w:val="auto"/>
              </w:rPr>
            </w:pPr>
          </w:p>
        </w:tc>
        <w:tc>
          <w:tcPr>
            <w:tcW w:w="7620" w:type="dxa"/>
            <w:vAlign w:val="bottom"/>
          </w:tcPr>
          <w:p>
            <w:pPr>
              <w:ind w:left="3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Unaudited Condensed Consolidated Statements of Stockholders’ Equity</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6">
              <w:r>
                <w:rPr>
                  <w:rFonts w:ascii="Arial" w:cs="Arial" w:eastAsia="Arial" w:hAnsi="Arial"/>
                  <w:sz w:val="16"/>
                  <w:szCs w:val="16"/>
                  <w:u w:val="single" w:color="auto"/>
                  <w:color w:val="0000FF"/>
                  <w:w w:val="89"/>
                </w:rPr>
                <w:t>7</w:t>
              </w:r>
            </w:hyperlink>
          </w:p>
        </w:tc>
      </w:tr>
      <w:tr>
        <w:trPr>
          <w:trHeight w:val="216"/>
        </w:trPr>
        <w:tc>
          <w:tcPr>
            <w:tcW w:w="1300" w:type="dxa"/>
            <w:vAlign w:val="bottom"/>
          </w:tcPr>
          <w:p>
            <w:pPr>
              <w:spacing w:after="0"/>
              <w:rPr>
                <w:sz w:val="18"/>
                <w:szCs w:val="18"/>
                <w:color w:val="auto"/>
              </w:rPr>
            </w:pPr>
          </w:p>
        </w:tc>
        <w:tc>
          <w:tcPr>
            <w:tcW w:w="7620" w:type="dxa"/>
            <w:vAlign w:val="bottom"/>
          </w:tcPr>
          <w:p>
            <w:pPr>
              <w:ind w:left="32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Unaudited Condensed Consolidated Financial Statements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8">
              <w:r>
                <w:rPr>
                  <w:rFonts w:ascii="Arial" w:cs="Arial" w:eastAsia="Arial" w:hAnsi="Arial"/>
                  <w:sz w:val="16"/>
                  <w:szCs w:val="16"/>
                  <w:u w:val="single" w:color="auto"/>
                  <w:color w:val="0000FF"/>
                  <w:w w:val="89"/>
                </w:rPr>
                <w:t>9</w:t>
              </w:r>
            </w:hyperlink>
          </w:p>
        </w:tc>
      </w:tr>
      <w:tr>
        <w:trPr>
          <w:trHeight w:val="216"/>
        </w:trPr>
        <w:tc>
          <w:tcPr>
            <w:tcW w:w="1300" w:type="dxa"/>
            <w:vAlign w:val="bottom"/>
          </w:tcPr>
          <w:p>
            <w:pPr>
              <w:spacing w:after="0"/>
              <w:rPr>
                <w:rFonts w:ascii="Arial" w:cs="Arial" w:eastAsia="Arial" w:hAnsi="Arial"/>
                <w:sz w:val="16"/>
                <w:szCs w:val="16"/>
                <w:color w:val="0000FF"/>
              </w:rPr>
            </w:pPr>
            <w:hyperlink w:anchor="page24">
              <w:r>
                <w:rPr>
                  <w:rFonts w:ascii="Arial" w:cs="Arial" w:eastAsia="Arial" w:hAnsi="Arial"/>
                  <w:sz w:val="16"/>
                  <w:szCs w:val="16"/>
                  <w:u w:val="single" w:color="auto"/>
                  <w:color w:val="0000FF"/>
                </w:rPr>
                <w:t>Item 2</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Management’s Discussion and Analysis of Financial Condition and Results of Operations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24">
              <w:r>
                <w:rPr>
                  <w:rFonts w:ascii="Arial" w:cs="Arial" w:eastAsia="Arial" w:hAnsi="Arial"/>
                  <w:sz w:val="16"/>
                  <w:szCs w:val="16"/>
                  <w:u w:val="single" w:color="auto"/>
                  <w:color w:val="0000FF"/>
                  <w:w w:val="89"/>
                </w:rPr>
                <w:t>25</w:t>
              </w:r>
            </w:hyperlink>
          </w:p>
        </w:tc>
      </w:tr>
      <w:tr>
        <w:trPr>
          <w:trHeight w:val="216"/>
        </w:trPr>
        <w:tc>
          <w:tcPr>
            <w:tcW w:w="1300" w:type="dxa"/>
            <w:vAlign w:val="bottom"/>
          </w:tcPr>
          <w:p>
            <w:pPr>
              <w:spacing w:after="0"/>
              <w:rPr>
                <w:rFonts w:ascii="Arial" w:cs="Arial" w:eastAsia="Arial" w:hAnsi="Arial"/>
                <w:sz w:val="16"/>
                <w:szCs w:val="16"/>
                <w:color w:val="0000FF"/>
              </w:rPr>
            </w:pPr>
            <w:hyperlink w:anchor="page35">
              <w:r>
                <w:rPr>
                  <w:rFonts w:ascii="Arial" w:cs="Arial" w:eastAsia="Arial" w:hAnsi="Arial"/>
                  <w:sz w:val="16"/>
                  <w:szCs w:val="16"/>
                  <w:u w:val="single" w:color="auto"/>
                  <w:color w:val="0000FF"/>
                </w:rPr>
                <w:t>Item 3</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Quantitative and Qualitative Disclosures About Market Risk</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5">
              <w:r>
                <w:rPr>
                  <w:rFonts w:ascii="Arial" w:cs="Arial" w:eastAsia="Arial" w:hAnsi="Arial"/>
                  <w:sz w:val="16"/>
                  <w:szCs w:val="16"/>
                  <w:u w:val="single" w:color="auto"/>
                  <w:color w:val="0000FF"/>
                  <w:w w:val="89"/>
                </w:rPr>
                <w:t>36</w:t>
              </w:r>
            </w:hyperlink>
          </w:p>
        </w:tc>
      </w:tr>
      <w:tr>
        <w:trPr>
          <w:trHeight w:val="216"/>
        </w:trPr>
        <w:tc>
          <w:tcPr>
            <w:tcW w:w="1300" w:type="dxa"/>
            <w:vAlign w:val="bottom"/>
          </w:tcPr>
          <w:p>
            <w:pPr>
              <w:spacing w:after="0"/>
              <w:rPr>
                <w:rFonts w:ascii="Arial" w:cs="Arial" w:eastAsia="Arial" w:hAnsi="Arial"/>
                <w:sz w:val="16"/>
                <w:szCs w:val="16"/>
                <w:color w:val="0000FF"/>
              </w:rPr>
            </w:pPr>
            <w:hyperlink w:anchor="page36">
              <w:r>
                <w:rPr>
                  <w:rFonts w:ascii="Arial" w:cs="Arial" w:eastAsia="Arial" w:hAnsi="Arial"/>
                  <w:sz w:val="16"/>
                  <w:szCs w:val="16"/>
                  <w:u w:val="single" w:color="auto"/>
                  <w:color w:val="0000FF"/>
                </w:rPr>
                <w:t>Item 4</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Controls and Procedures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6">
              <w:r>
                <w:rPr>
                  <w:rFonts w:ascii="Arial" w:cs="Arial" w:eastAsia="Arial" w:hAnsi="Arial"/>
                  <w:sz w:val="16"/>
                  <w:szCs w:val="16"/>
                  <w:u w:val="single" w:color="auto"/>
                  <w:color w:val="0000FF"/>
                  <w:w w:val="89"/>
                </w:rPr>
                <w:t>36</w:t>
              </w:r>
            </w:hyperlink>
          </w:p>
        </w:tc>
      </w:tr>
      <w:tr>
        <w:trPr>
          <w:trHeight w:val="378"/>
        </w:trPr>
        <w:tc>
          <w:tcPr>
            <w:tcW w:w="1300" w:type="dxa"/>
            <w:vAlign w:val="bottom"/>
          </w:tcPr>
          <w:p>
            <w:pPr>
              <w:spacing w:after="0"/>
              <w:rPr>
                <w:sz w:val="24"/>
                <w:szCs w:val="24"/>
                <w:color w:val="auto"/>
              </w:rPr>
            </w:pPr>
          </w:p>
        </w:tc>
        <w:tc>
          <w:tcPr>
            <w:tcW w:w="7620" w:type="dxa"/>
            <w:vAlign w:val="bottom"/>
          </w:tcPr>
          <w:p>
            <w:pPr>
              <w:ind w:left="3980"/>
              <w:spacing w:after="0"/>
              <w:rPr>
                <w:sz w:val="20"/>
                <w:szCs w:val="20"/>
                <w:color w:val="auto"/>
              </w:rPr>
            </w:pPr>
            <w:r>
              <w:rPr>
                <w:rFonts w:ascii="Arial" w:cs="Arial" w:eastAsia="Arial" w:hAnsi="Arial"/>
                <w:sz w:val="16"/>
                <w:szCs w:val="16"/>
                <w:b w:val="1"/>
                <w:bCs w:val="1"/>
                <w:color w:val="auto"/>
              </w:rPr>
              <w:t>PART II</w:t>
            </w:r>
          </w:p>
        </w:tc>
        <w:tc>
          <w:tcPr>
            <w:tcW w:w="2080" w:type="dxa"/>
            <w:vAlign w:val="bottom"/>
          </w:tcPr>
          <w:p>
            <w:pPr>
              <w:spacing w:after="0"/>
              <w:rPr>
                <w:sz w:val="24"/>
                <w:szCs w:val="24"/>
                <w:color w:val="auto"/>
              </w:rPr>
            </w:pPr>
          </w:p>
        </w:tc>
      </w:tr>
      <w:tr>
        <w:trPr>
          <w:trHeight w:val="378"/>
        </w:trPr>
        <w:tc>
          <w:tcPr>
            <w:tcW w:w="1300" w:type="dxa"/>
            <w:vAlign w:val="bottom"/>
          </w:tcPr>
          <w:p>
            <w:pPr>
              <w:spacing w:after="0"/>
              <w:rPr>
                <w:rFonts w:ascii="Arial" w:cs="Arial" w:eastAsia="Arial" w:hAnsi="Arial"/>
                <w:sz w:val="16"/>
                <w:szCs w:val="16"/>
                <w:color w:val="0000FF"/>
              </w:rPr>
            </w:pPr>
            <w:hyperlink w:anchor="page37">
              <w:r>
                <w:rPr>
                  <w:rFonts w:ascii="Arial" w:cs="Arial" w:eastAsia="Arial" w:hAnsi="Arial"/>
                  <w:sz w:val="16"/>
                  <w:szCs w:val="16"/>
                  <w:u w:val="single" w:color="auto"/>
                  <w:color w:val="0000FF"/>
                </w:rPr>
                <w:t>Item 1</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Legal Proceedings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7">
              <w:r>
                <w:rPr>
                  <w:rFonts w:ascii="Arial" w:cs="Arial" w:eastAsia="Arial" w:hAnsi="Arial"/>
                  <w:sz w:val="16"/>
                  <w:szCs w:val="16"/>
                  <w:u w:val="single" w:color="auto"/>
                  <w:color w:val="0000FF"/>
                  <w:w w:val="89"/>
                </w:rPr>
                <w:t>37</w:t>
              </w:r>
            </w:hyperlink>
          </w:p>
        </w:tc>
      </w:tr>
      <w:tr>
        <w:trPr>
          <w:trHeight w:val="216"/>
        </w:trPr>
        <w:tc>
          <w:tcPr>
            <w:tcW w:w="1300" w:type="dxa"/>
            <w:vAlign w:val="bottom"/>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Item 1A.</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Risk Factors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7">
              <w:r>
                <w:rPr>
                  <w:rFonts w:ascii="Arial" w:cs="Arial" w:eastAsia="Arial" w:hAnsi="Arial"/>
                  <w:sz w:val="16"/>
                  <w:szCs w:val="16"/>
                  <w:u w:val="single" w:color="auto"/>
                  <w:color w:val="0000FF"/>
                  <w:w w:val="89"/>
                </w:rPr>
                <w:t>37</w:t>
              </w:r>
            </w:hyperlink>
          </w:p>
        </w:tc>
      </w:tr>
      <w:tr>
        <w:trPr>
          <w:trHeight w:val="216"/>
        </w:trPr>
        <w:tc>
          <w:tcPr>
            <w:tcW w:w="1300" w:type="dxa"/>
            <w:vAlign w:val="bottom"/>
          </w:tcPr>
          <w:p>
            <w:pPr>
              <w:spacing w:after="0"/>
              <w:rPr>
                <w:rFonts w:ascii="Arial" w:cs="Arial" w:eastAsia="Arial" w:hAnsi="Arial"/>
                <w:sz w:val="16"/>
                <w:szCs w:val="16"/>
                <w:color w:val="0000FF"/>
              </w:rPr>
            </w:pPr>
            <w:hyperlink w:anchor="page37">
              <w:r>
                <w:rPr>
                  <w:rFonts w:ascii="Arial" w:cs="Arial" w:eastAsia="Arial" w:hAnsi="Arial"/>
                  <w:sz w:val="16"/>
                  <w:szCs w:val="16"/>
                  <w:u w:val="single" w:color="auto"/>
                  <w:color w:val="0000FF"/>
                </w:rPr>
                <w:t>Item 6</w:t>
              </w:r>
              <w:r>
                <w:rPr>
                  <w:rFonts w:ascii="Arial" w:cs="Arial" w:eastAsia="Arial" w:hAnsi="Arial"/>
                  <w:sz w:val="16"/>
                  <w:szCs w:val="16"/>
                  <w:color w:val="0000FF"/>
                </w:rPr>
                <w:t>.</w:t>
              </w:r>
            </w:hyperlink>
          </w:p>
        </w:tc>
        <w:tc>
          <w:tcPr>
            <w:tcW w:w="7620" w:type="dxa"/>
            <w:vAlign w:val="bottom"/>
          </w:tcPr>
          <w:p>
            <w:pPr>
              <w:ind w:left="3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Exhibits</w:t>
              </w:r>
            </w:hyperlink>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7">
              <w:r>
                <w:rPr>
                  <w:rFonts w:ascii="Arial" w:cs="Arial" w:eastAsia="Arial" w:hAnsi="Arial"/>
                  <w:sz w:val="16"/>
                  <w:szCs w:val="16"/>
                  <w:u w:val="single" w:color="auto"/>
                  <w:color w:val="0000FF"/>
                  <w:w w:val="89"/>
                </w:rPr>
                <w:t>38</w:t>
              </w:r>
            </w:hyperlink>
          </w:p>
        </w:tc>
      </w:tr>
      <w:tr>
        <w:trPr>
          <w:trHeight w:val="418"/>
        </w:trPr>
        <w:tc>
          <w:tcPr>
            <w:tcW w:w="1300" w:type="dxa"/>
            <w:vAlign w:val="bottom"/>
          </w:tcPr>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SIGNATURES</w:t>
              </w:r>
            </w:hyperlink>
          </w:p>
        </w:tc>
        <w:tc>
          <w:tcPr>
            <w:tcW w:w="7620" w:type="dxa"/>
            <w:vAlign w:val="bottom"/>
          </w:tcPr>
          <w:p>
            <w:pPr>
              <w:spacing w:after="0"/>
              <w:rPr>
                <w:sz w:val="24"/>
                <w:szCs w:val="24"/>
                <w:color w:val="auto"/>
              </w:rPr>
            </w:pPr>
          </w:p>
        </w:tc>
        <w:tc>
          <w:tcPr>
            <w:tcW w:w="2080" w:type="dxa"/>
            <w:vAlign w:val="bottom"/>
          </w:tcPr>
          <w:p>
            <w:pPr>
              <w:jc w:val="center"/>
              <w:ind w:left="1399"/>
              <w:spacing w:after="0"/>
              <w:rPr>
                <w:rFonts w:ascii="Arial" w:cs="Arial" w:eastAsia="Arial" w:hAnsi="Arial"/>
                <w:sz w:val="16"/>
                <w:szCs w:val="16"/>
                <w:u w:val="single" w:color="auto"/>
                <w:color w:val="0000FF"/>
                <w:w w:val="89"/>
              </w:rPr>
            </w:pPr>
            <w:hyperlink w:anchor="page38">
              <w:r>
                <w:rPr>
                  <w:rFonts w:ascii="Arial" w:cs="Arial" w:eastAsia="Arial" w:hAnsi="Arial"/>
                  <w:sz w:val="16"/>
                  <w:szCs w:val="16"/>
                  <w:u w:val="single" w:color="auto"/>
                  <w:color w:val="0000FF"/>
                  <w:w w:val="89"/>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40" w:top="1188" w:right="5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(unaudited)</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7"/>
        </w:trPr>
        <w:tc>
          <w:tcPr>
            <w:tcW w:w="7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22"/>
                <w:szCs w:val="22"/>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24"/>
        </w:trPr>
        <w:tc>
          <w:tcPr>
            <w:tcW w:w="7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118,099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67,056</w:t>
            </w:r>
          </w:p>
        </w:tc>
      </w:tr>
      <w:tr>
        <w:trPr>
          <w:trHeight w:val="223"/>
        </w:trPr>
        <w:tc>
          <w:tcPr>
            <w:tcW w:w="74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320,222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324,416</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115,876</w:t>
            </w:r>
          </w:p>
        </w:tc>
      </w:tr>
      <w:tr>
        <w:trPr>
          <w:trHeight w:val="224"/>
        </w:trPr>
        <w:tc>
          <w:tcPr>
            <w:tcW w:w="74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50,107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51,306</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637,543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558,654</w:t>
            </w:r>
          </w:p>
        </w:tc>
      </w:tr>
      <w:tr>
        <w:trPr>
          <w:trHeight w:val="34"/>
        </w:trPr>
        <w:tc>
          <w:tcPr>
            <w:tcW w:w="74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3"/>
        </w:trPr>
        <w:tc>
          <w:tcPr>
            <w:tcW w:w="74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117,629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133,198</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52,126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63,502</w:t>
            </w:r>
          </w:p>
        </w:tc>
      </w:tr>
      <w:tr>
        <w:trPr>
          <w:trHeight w:val="224"/>
        </w:trPr>
        <w:tc>
          <w:tcPr>
            <w:tcW w:w="74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368,481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385,910</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1,428,610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1,425,542</w:t>
            </w:r>
          </w:p>
        </w:tc>
      </w:tr>
      <w:tr>
        <w:trPr>
          <w:trHeight w:val="224"/>
        </w:trPr>
        <w:tc>
          <w:tcPr>
            <w:tcW w:w="7420" w:type="dxa"/>
            <w:vAlign w:val="bottom"/>
          </w:tcPr>
          <w:p>
            <w:pPr>
              <w:ind w:left="140"/>
              <w:spacing w:after="0"/>
              <w:rPr>
                <w:sz w:val="20"/>
                <w:szCs w:val="20"/>
                <w:color w:val="auto"/>
              </w:rPr>
            </w:pPr>
            <w:r>
              <w:rPr>
                <w:rFonts w:ascii="Arial" w:cs="Arial" w:eastAsia="Arial" w:hAnsi="Arial"/>
                <w:sz w:val="16"/>
                <w:szCs w:val="16"/>
                <w:color w:val="auto"/>
              </w:rPr>
              <w:t>Other noncurrent assets</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21,876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22,741</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1,988,722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2,030,893</w:t>
            </w:r>
          </w:p>
        </w:tc>
      </w:tr>
      <w:tr>
        <w:trPr>
          <w:trHeight w:val="247"/>
        </w:trPr>
        <w:tc>
          <w:tcPr>
            <w:tcW w:w="74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2,626,265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2,589,547</w:t>
            </w:r>
          </w:p>
        </w:tc>
      </w:tr>
      <w:tr>
        <w:trPr>
          <w:trHeight w:val="4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3"/>
        </w:trPr>
        <w:tc>
          <w:tcPr>
            <w:tcW w:w="74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24"/>
        </w:trPr>
        <w:tc>
          <w:tcPr>
            <w:tcW w:w="74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260,120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221,060</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47,742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45,765</w:t>
            </w:r>
          </w:p>
        </w:tc>
      </w:tr>
      <w:tr>
        <w:trPr>
          <w:trHeight w:val="223"/>
        </w:trPr>
        <w:tc>
          <w:tcPr>
            <w:tcW w:w="742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59,027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33,538</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operating lease liability</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20,391</w:t>
            </w:r>
          </w:p>
        </w:tc>
      </w:tr>
      <w:tr>
        <w:trPr>
          <w:trHeight w:val="223"/>
        </w:trPr>
        <w:tc>
          <w:tcPr>
            <w:tcW w:w="74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9,250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9,250</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330,004</w:t>
            </w:r>
          </w:p>
        </w:tc>
      </w:tr>
      <w:tr>
        <w:trPr>
          <w:trHeight w:val="34"/>
        </w:trPr>
        <w:tc>
          <w:tcPr>
            <w:tcW w:w="74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23"/>
        </w:trPr>
        <w:tc>
          <w:tcPr>
            <w:tcW w:w="7420" w:type="dxa"/>
            <w:vAlign w:val="bottom"/>
          </w:tcPr>
          <w:p>
            <w:pPr>
              <w:ind w:left="12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1,275,385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1,277,246</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lease liability, net of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58,242</w:t>
            </w:r>
          </w:p>
        </w:tc>
      </w:tr>
      <w:tr>
        <w:trPr>
          <w:trHeight w:val="223"/>
        </w:trPr>
        <w:tc>
          <w:tcPr>
            <w:tcW w:w="742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2,143</w:t>
            </w:r>
          </w:p>
        </w:tc>
      </w:tr>
      <w:tr>
        <w:trPr>
          <w:trHeight w:val="33"/>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15,085</w:t>
            </w:r>
          </w:p>
        </w:tc>
      </w:tr>
      <w:tr>
        <w:trPr>
          <w:trHeight w:val="217"/>
        </w:trPr>
        <w:tc>
          <w:tcPr>
            <w:tcW w:w="74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1,363,688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1,352,716</w:t>
            </w:r>
          </w:p>
        </w:tc>
      </w:tr>
      <w:tr>
        <w:trPr>
          <w:trHeight w:val="33"/>
        </w:trPr>
        <w:tc>
          <w:tcPr>
            <w:tcW w:w="7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1,758,299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1,682,720</w:t>
            </w:r>
          </w:p>
        </w:tc>
      </w:tr>
      <w:tr>
        <w:trPr>
          <w:trHeight w:val="20"/>
        </w:trPr>
        <w:tc>
          <w:tcPr>
            <w:tcW w:w="7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0628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w:t>
      </w:r>
    </w:p>
    <w:p>
      <w:pPr>
        <w:spacing w:after="0" w:line="59" w:lineRule="exact"/>
        <w:rPr>
          <w:sz w:val="20"/>
          <w:szCs w:val="20"/>
          <w:color w:val="auto"/>
        </w:rPr>
      </w:pPr>
    </w:p>
    <w:p>
      <w:pPr>
        <w:ind w:left="140" w:right="600"/>
        <w:spacing w:after="0"/>
        <w:rPr>
          <w:sz w:val="20"/>
          <w:szCs w:val="20"/>
          <w:color w:val="auto"/>
        </w:rPr>
      </w:pPr>
      <w:r>
        <w:rPr>
          <w:rFonts w:ascii="Arial" w:cs="Arial" w:eastAsia="Arial" w:hAnsi="Arial"/>
          <w:sz w:val="16"/>
          <w:szCs w:val="16"/>
          <w:color w:val="auto"/>
        </w:rPr>
        <w:t>Preferred stock; $0.0001 par value; 12,500,000 shares authorized, no shares outstanding as of June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ind w:left="140" w:right="380"/>
        <w:spacing w:after="0" w:line="230" w:lineRule="auto"/>
        <w:rPr>
          <w:sz w:val="20"/>
          <w:szCs w:val="20"/>
          <w:color w:val="auto"/>
        </w:rPr>
      </w:pPr>
      <w:r>
        <w:rPr>
          <w:rFonts w:ascii="Arial" w:cs="Arial" w:eastAsia="Arial" w:hAnsi="Arial"/>
          <w:sz w:val="16"/>
          <w:szCs w:val="16"/>
          <w:color w:val="auto"/>
        </w:rPr>
        <w:t>Common stock; $0.0001 par value: 250,000,000 shares authorized, 177,098,513 shares issued and 176,714,791 shares outstanding as of June 30, 2020; 176,975,628 shares issued and 176,591,907 shares outstanding as of December 31, 2019</w:t>
      </w:r>
    </w:p>
    <w:p>
      <w:pPr>
        <w:spacing w:after="0" w:line="52" w:lineRule="exact"/>
        <w:rPr>
          <w:sz w:val="20"/>
          <w:szCs w:val="20"/>
          <w:color w:val="auto"/>
        </w:rPr>
      </w:pPr>
    </w:p>
    <w:p>
      <w:pPr>
        <w:ind w:left="120" w:right="500" w:firstLine="18"/>
        <w:spacing w:after="0" w:line="316" w:lineRule="auto"/>
        <w:rPr>
          <w:sz w:val="20"/>
          <w:szCs w:val="20"/>
          <w:color w:val="auto"/>
        </w:rPr>
      </w:pPr>
      <w:r>
        <w:rPr>
          <w:rFonts w:ascii="Arial" w:cs="Arial" w:eastAsia="Arial" w:hAnsi="Arial"/>
          <w:sz w:val="16"/>
          <w:szCs w:val="16"/>
          <w:color w:val="auto"/>
        </w:rPr>
        <w:t>Treasury stock; 383,722 shares outstanding, at cost, as of June 30, 2020 and December 31, 2019, respectively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0628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742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notes to unaudited condensed consolidated financial statements are an integral part of these statements.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480"/>
        <w:spacing w:after="0"/>
        <w:tabs>
          <w:tab w:leader="none" w:pos="2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ind w:left="480"/>
        <w:spacing w:after="0"/>
        <w:tabs>
          <w:tab w:leader="none" w:pos="240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18</w:t>
      </w:r>
    </w:p>
    <w:p>
      <w:pPr>
        <w:spacing w:after="0" w:line="73"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5"/>
          <w:szCs w:val="15"/>
          <w:color w:val="auto"/>
        </w:rPr>
        <w:t>(2,403)</w:t>
      </w:r>
      <w:r>
        <w:rPr>
          <w:sz w:val="20"/>
          <w:szCs w:val="20"/>
          <w:color w:val="auto"/>
        </w:rPr>
        <w:tab/>
      </w:r>
      <w:r>
        <w:rPr>
          <w:rFonts w:ascii="Arial" w:cs="Arial" w:eastAsia="Arial" w:hAnsi="Arial"/>
          <w:sz w:val="15"/>
          <w:szCs w:val="15"/>
          <w:color w:val="auto"/>
        </w:rPr>
        <w:t>(2,403)</w:t>
      </w:r>
    </w:p>
    <w:p>
      <w:pPr>
        <w:spacing w:after="0" w:line="84"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1,009,135</w:t>
      </w:r>
      <w:r>
        <w:rPr>
          <w:sz w:val="20"/>
          <w:szCs w:val="20"/>
          <w:color w:val="auto"/>
        </w:rPr>
        <w:tab/>
      </w:r>
      <w:r>
        <w:rPr>
          <w:rFonts w:ascii="Arial" w:cs="Arial" w:eastAsia="Arial" w:hAnsi="Arial"/>
          <w:sz w:val="15"/>
          <w:szCs w:val="15"/>
          <w:color w:val="auto"/>
        </w:rPr>
        <w:t>1,008,362</w:t>
      </w:r>
    </w:p>
    <w:p>
      <w:pPr>
        <w:spacing w:after="0" w:line="84"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5"/>
          <w:szCs w:val="15"/>
          <w:color w:val="auto"/>
        </w:rPr>
        <w:t>(119,533)</w:t>
      </w:r>
      <w:r>
        <w:rPr>
          <w:sz w:val="20"/>
          <w:szCs w:val="20"/>
          <w:color w:val="auto"/>
        </w:rPr>
        <w:tab/>
      </w:r>
      <w:r>
        <w:rPr>
          <w:rFonts w:ascii="Arial" w:cs="Arial" w:eastAsia="Arial" w:hAnsi="Arial"/>
          <w:sz w:val="15"/>
          <w:szCs w:val="15"/>
          <w:color w:val="auto"/>
        </w:rPr>
        <w:t>(91,955)</w:t>
      </w:r>
    </w:p>
    <w:p>
      <w:pPr>
        <w:spacing w:after="0" w:line="84" w:lineRule="exact"/>
        <w:rPr>
          <w:sz w:val="20"/>
          <w:szCs w:val="20"/>
          <w:color w:val="auto"/>
        </w:rPr>
      </w:pPr>
    </w:p>
    <w:p>
      <w:pPr>
        <w:ind w:left="140"/>
        <w:spacing w:after="0"/>
        <w:tabs>
          <w:tab w:leader="none" w:pos="2140" w:val="left"/>
        </w:tabs>
        <w:rPr>
          <w:sz w:val="20"/>
          <w:szCs w:val="20"/>
          <w:color w:val="auto"/>
        </w:rPr>
      </w:pPr>
      <w:r>
        <w:rPr>
          <w:rFonts w:ascii="Arial" w:cs="Arial" w:eastAsia="Arial" w:hAnsi="Arial"/>
          <w:sz w:val="15"/>
          <w:szCs w:val="15"/>
          <w:color w:val="auto"/>
        </w:rPr>
        <w:t>(19,251)</w:t>
      </w:r>
      <w:r>
        <w:rPr>
          <w:sz w:val="20"/>
          <w:szCs w:val="20"/>
          <w:color w:val="auto"/>
        </w:rPr>
        <w:tab/>
      </w:r>
      <w:r>
        <w:rPr>
          <w:rFonts w:ascii="Arial" w:cs="Arial" w:eastAsia="Arial" w:hAnsi="Arial"/>
          <w:sz w:val="15"/>
          <w:szCs w:val="15"/>
          <w:color w:val="auto"/>
        </w:rPr>
        <w:t>(7,195)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42545</wp:posOffset>
            </wp:positionV>
            <wp:extent cx="2400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78" w:lineRule="exact"/>
        <w:rPr>
          <w:sz w:val="20"/>
          <w:szCs w:val="20"/>
          <w:color w:val="auto"/>
        </w:rPr>
      </w:pPr>
    </w:p>
    <w:p>
      <w:pPr>
        <w:ind w:left="120"/>
        <w:spacing w:after="0"/>
        <w:tabs>
          <w:tab w:leader="none" w:pos="2040" w:val="left"/>
        </w:tabs>
        <w:rPr>
          <w:sz w:val="20"/>
          <w:szCs w:val="20"/>
          <w:color w:val="auto"/>
        </w:rPr>
      </w:pPr>
      <w:r>
        <w:rPr>
          <w:rFonts w:ascii="Arial" w:cs="Arial" w:eastAsia="Arial" w:hAnsi="Arial"/>
          <w:sz w:val="16"/>
          <w:szCs w:val="16"/>
          <w:color w:val="auto"/>
        </w:rPr>
        <w:t>867,966</w:t>
      </w:r>
      <w:r>
        <w:rPr>
          <w:sz w:val="20"/>
          <w:szCs w:val="20"/>
          <w:color w:val="auto"/>
        </w:rPr>
        <w:tab/>
      </w:r>
      <w:r>
        <w:rPr>
          <w:rFonts w:ascii="Arial" w:cs="Arial" w:eastAsia="Arial" w:hAnsi="Arial"/>
          <w:sz w:val="16"/>
          <w:szCs w:val="16"/>
          <w:color w:val="auto"/>
        </w:rPr>
        <w:t>906,827</w:t>
      </w:r>
    </w:p>
    <w:p>
      <w:pPr>
        <w:spacing w:after="0" w:line="86" w:lineRule="exact"/>
        <w:rPr>
          <w:sz w:val="20"/>
          <w:szCs w:val="20"/>
          <w:color w:val="auto"/>
        </w:rPr>
      </w:pPr>
    </w:p>
    <w:p>
      <w:pPr>
        <w:spacing w:after="0"/>
        <w:tabs>
          <w:tab w:leader="none" w:pos="900" w:val="left"/>
          <w:tab w:leader="none" w:pos="1920" w:val="left"/>
        </w:tabs>
        <w:rPr>
          <w:sz w:val="20"/>
          <w:szCs w:val="20"/>
          <w:color w:val="auto"/>
        </w:rPr>
      </w:pPr>
      <w:r>
        <w:rPr>
          <w:rFonts w:ascii="Arial" w:cs="Arial" w:eastAsia="Arial" w:hAnsi="Arial"/>
          <w:sz w:val="16"/>
          <w:szCs w:val="16"/>
          <w:color w:val="auto"/>
        </w:rPr>
        <w:t>2,626,265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2,589,547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60960</wp:posOffset>
            </wp:positionV>
            <wp:extent cx="2400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7740" w:space="720"/>
            <w:col w:w="2740"/>
          </w:cols>
          <w:pgMar w:left="320" w:top="122" w:right="379" w:bottom="1440" w:gutter="0" w:footer="0" w:header="0"/>
          <w:type w:val="continuous"/>
        </w:sect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740,848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497,266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1,446,288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973,758</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574,528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395,876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1,121,939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774,174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166,320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101,390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324,349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199,584</w:t>
            </w:r>
          </w:p>
        </w:tc>
        <w:tc>
          <w:tcPr>
            <w:tcW w:w="0" w:type="dxa"/>
            <w:vAlign w:val="bottom"/>
          </w:tcPr>
          <w:p>
            <w:pPr>
              <w:spacing w:after="0"/>
              <w:rPr>
                <w:sz w:val="1"/>
                <w:szCs w:val="1"/>
                <w:color w:val="auto"/>
              </w:rPr>
            </w:pPr>
          </w:p>
        </w:tc>
      </w:tr>
      <w:tr>
        <w:trPr>
          <w:trHeight w:val="257"/>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124,918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99,245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254,198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182,032</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20,119</w:t>
            </w:r>
          </w:p>
        </w:tc>
        <w:tc>
          <w:tcPr>
            <w:tcW w:w="0" w:type="dxa"/>
            <w:vAlign w:val="bottom"/>
          </w:tcPr>
          <w:p>
            <w:pPr>
              <w:spacing w:after="0"/>
              <w:rPr>
                <w:sz w:val="1"/>
                <w:szCs w:val="1"/>
                <w:color w:val="auto"/>
              </w:rPr>
            </w:pPr>
          </w:p>
        </w:tc>
      </w:tr>
      <w:tr>
        <w:trPr>
          <w:trHeight w:val="217"/>
        </w:trPr>
        <w:tc>
          <w:tcPr>
            <w:tcW w:w="570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143,112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109,395</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292,493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202,151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(11,563)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224"/>
        </w:trPr>
        <w:tc>
          <w:tcPr>
            <w:tcW w:w="57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(24,160)</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(6,845)</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(7,668)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(13,603)</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(27,578)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(17,315)</w:t>
            </w:r>
          </w:p>
        </w:tc>
        <w:tc>
          <w:tcPr>
            <w:tcW w:w="0" w:type="dxa"/>
            <w:vAlign w:val="bottom"/>
          </w:tcPr>
          <w:p>
            <w:pPr>
              <w:spacing w:after="0"/>
              <w:rPr>
                <w:sz w:val="1"/>
                <w:szCs w:val="1"/>
                <w:color w:val="auto"/>
              </w:rPr>
            </w:pPr>
          </w:p>
        </w:tc>
      </w:tr>
      <w:tr>
        <w:trPr>
          <w:trHeight w:val="49"/>
        </w:trPr>
        <w:tc>
          <w:tcPr>
            <w:tcW w:w="5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OTHER COMPREHENSIVE GAIN ( LOSS), NET OF TAX:</w:t>
            </w: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4"/>
              </w:rPr>
              <w:t>Change in unrealized gains (losses) on cash flow hedges, net of income tax expense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4,576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(12,056)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of $0, $(15), $0 and $227,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00" w:type="dxa"/>
            <w:vAlign w:val="bottom"/>
          </w:tcPr>
          <w:p>
            <w:pPr>
              <w:ind w:left="120"/>
              <w:spacing w:after="0"/>
              <w:rPr>
                <w:sz w:val="20"/>
                <w:szCs w:val="20"/>
                <w:color w:val="auto"/>
              </w:rPr>
            </w:pPr>
            <w:r>
              <w:rPr>
                <w:rFonts w:ascii="Arial" w:cs="Arial" w:eastAsia="Arial" w:hAnsi="Arial"/>
                <w:sz w:val="16"/>
                <w:szCs w:val="16"/>
                <w:color w:val="auto"/>
              </w:rPr>
              <w:t>OTHER COMPREHENSIVE GAIN (LOSS)</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(13,576)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(17,793)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00" w:type="dxa"/>
            <w:vAlign w:val="bottom"/>
          </w:tcPr>
          <w:p>
            <w:pPr>
              <w:ind w:left="120"/>
              <w:spacing w:after="0"/>
              <w:rPr>
                <w:sz w:val="20"/>
                <w:szCs w:val="20"/>
                <w:color w:val="auto"/>
              </w:rPr>
            </w:pPr>
            <w:r>
              <w:rPr>
                <w:rFonts w:ascii="Arial" w:cs="Arial" w:eastAsia="Arial" w:hAnsi="Arial"/>
                <w:sz w:val="16"/>
                <w:szCs w:val="16"/>
                <w:color w:val="auto"/>
              </w:rPr>
              <w:t>Net loss per share, 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7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176,711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142,614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176,686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68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24"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520" w:type="dxa"/>
            <w:vAlign w:val="bottom"/>
            <w:vMerge w:val="restart"/>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(17,315)</w:t>
            </w:r>
          </w:p>
        </w:tc>
        <w:tc>
          <w:tcPr>
            <w:tcW w:w="0" w:type="dxa"/>
            <w:vAlign w:val="bottom"/>
          </w:tcPr>
          <w:p>
            <w:pPr>
              <w:spacing w:after="0"/>
              <w:rPr>
                <w:sz w:val="1"/>
                <w:szCs w:val="1"/>
                <w:color w:val="auto"/>
              </w:rPr>
            </w:pPr>
          </w:p>
        </w:tc>
      </w:tr>
      <w:tr>
        <w:trPr>
          <w:trHeight w:val="224"/>
        </w:trPr>
        <w:tc>
          <w:tcPr>
            <w:tcW w:w="8520" w:type="dxa"/>
            <w:vAlign w:val="bottom"/>
          </w:tcPr>
          <w:p>
            <w:pPr>
              <w:ind w:left="12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21,591</w:t>
            </w:r>
          </w:p>
        </w:tc>
        <w:tc>
          <w:tcPr>
            <w:tcW w:w="0" w:type="dxa"/>
            <w:vAlign w:val="bottom"/>
          </w:tcPr>
          <w:p>
            <w:pPr>
              <w:spacing w:after="0"/>
              <w:rPr>
                <w:sz w:val="1"/>
                <w:szCs w:val="1"/>
                <w:color w:val="auto"/>
              </w:rPr>
            </w:pP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6,182</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(7,912)</w:t>
            </w:r>
          </w:p>
        </w:tc>
        <w:tc>
          <w:tcPr>
            <w:tcW w:w="0" w:type="dxa"/>
            <w:vAlign w:val="bottom"/>
          </w:tcPr>
          <w:p>
            <w:pPr>
              <w:spacing w:after="0"/>
              <w:rPr>
                <w:sz w:val="1"/>
                <w:szCs w:val="1"/>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4,194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26,050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8,321</w:t>
            </w:r>
          </w:p>
        </w:tc>
        <w:tc>
          <w:tcPr>
            <w:tcW w:w="0" w:type="dxa"/>
            <w:vAlign w:val="bottom"/>
          </w:tcPr>
          <w:p>
            <w:pPr>
              <w:spacing w:after="0"/>
              <w:rPr>
                <w:sz w:val="1"/>
                <w:szCs w:val="1"/>
                <w:color w:val="auto"/>
              </w:rPr>
            </w:pPr>
          </w:p>
        </w:tc>
      </w:tr>
      <w:tr>
        <w:trPr>
          <w:trHeight w:val="223"/>
        </w:trPr>
        <w:tc>
          <w:tcPr>
            <w:tcW w:w="85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(18,692)</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(7,338)</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7,609</w:t>
            </w:r>
          </w:p>
        </w:tc>
        <w:tc>
          <w:tcPr>
            <w:tcW w:w="0" w:type="dxa"/>
            <w:vAlign w:val="bottom"/>
          </w:tcPr>
          <w:p>
            <w:pPr>
              <w:spacing w:after="0"/>
              <w:rPr>
                <w:sz w:val="1"/>
                <w:szCs w:val="1"/>
                <w:color w:val="auto"/>
              </w:rPr>
            </w:pPr>
          </w:p>
        </w:tc>
      </w:tr>
      <w:tr>
        <w:trPr>
          <w:trHeight w:val="223"/>
        </w:trPr>
        <w:tc>
          <w:tcPr>
            <w:tcW w:w="852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(5,442)</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7"/>
        </w:trPr>
        <w:tc>
          <w:tcPr>
            <w:tcW w:w="852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53,390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22,406</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Acquisition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(8,502)</w:t>
            </w:r>
          </w:p>
        </w:tc>
        <w:tc>
          <w:tcPr>
            <w:tcW w:w="0" w:type="dxa"/>
            <w:vAlign w:val="bottom"/>
          </w:tcPr>
          <w:p>
            <w:pPr>
              <w:spacing w:after="0"/>
              <w:rPr>
                <w:sz w:val="1"/>
                <w:szCs w:val="1"/>
                <w:color w:val="auto"/>
              </w:rPr>
            </w:pPr>
          </w:p>
        </w:tc>
      </w:tr>
      <w:tr>
        <w:trPr>
          <w:trHeight w:val="224"/>
        </w:trPr>
        <w:tc>
          <w:tcPr>
            <w:tcW w:w="8520" w:type="dxa"/>
            <w:vAlign w:val="bottom"/>
          </w:tcPr>
          <w:p>
            <w:pPr>
              <w:ind w:left="120"/>
              <w:spacing w:after="0"/>
              <w:rPr>
                <w:sz w:val="20"/>
                <w:szCs w:val="20"/>
                <w:color w:val="auto"/>
              </w:rPr>
            </w:pPr>
            <w:r>
              <w:rPr>
                <w:rFonts w:ascii="Arial" w:cs="Arial" w:eastAsia="Arial" w:hAnsi="Arial"/>
                <w:sz w:val="16"/>
                <w:szCs w:val="16"/>
                <w:color w:val="auto"/>
              </w:rPr>
              <w:t>Other investing cash flows</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(7,866)</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Redemptions to related parties</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Repayments of debt principal</w:t>
            </w:r>
          </w:p>
        </w:tc>
        <w:tc>
          <w:tcPr>
            <w:tcW w:w="2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financing cash flows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20" w:type="dxa"/>
            <w:vAlign w:val="bottom"/>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(4,076)</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51,043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10,464</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67,056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36,391</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118,099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46,855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53,199</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15,156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23"/>
        </w:trPr>
        <w:tc>
          <w:tcPr>
            <w:tcW w:w="8520" w:type="dxa"/>
            <w:vAlign w:val="bottom"/>
          </w:tcPr>
          <w:p>
            <w:pPr>
              <w:ind w:left="120"/>
              <w:spacing w:after="0"/>
              <w:rPr>
                <w:sz w:val="20"/>
                <w:szCs w:val="20"/>
                <w:color w:val="auto"/>
              </w:rPr>
            </w:pPr>
            <w:r>
              <w:rPr>
                <w:rFonts w:ascii="Arial" w:cs="Arial" w:eastAsia="Arial" w:hAnsi="Arial"/>
                <w:sz w:val="16"/>
                <w:szCs w:val="16"/>
                <w:color w:val="auto"/>
              </w:rPr>
              <w:t>Cash paid for operating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13,388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9,299</w:t>
            </w:r>
          </w:p>
        </w:tc>
        <w:tc>
          <w:tcPr>
            <w:tcW w:w="0" w:type="dxa"/>
            <w:vAlign w:val="bottom"/>
          </w:tcPr>
          <w:p>
            <w:pPr>
              <w:spacing w:after="0"/>
              <w:rPr>
                <w:sz w:val="1"/>
                <w:szCs w:val="1"/>
                <w:color w:val="auto"/>
              </w:rPr>
            </w:pPr>
          </w:p>
        </w:tc>
      </w:tr>
      <w:tr>
        <w:trPr>
          <w:trHeight w:val="297"/>
        </w:trPr>
        <w:tc>
          <w:tcPr>
            <w:tcW w:w="8520" w:type="dxa"/>
            <w:vAlign w:val="bottom"/>
          </w:tcPr>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50" w:right="3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2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Management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Accumulated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12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Capital</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Notes Receivable</w:t>
            </w:r>
          </w:p>
        </w:tc>
        <w:tc>
          <w:tcPr>
            <w:tcW w:w="1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619,621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Interest on</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redemption</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31,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618,205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597,171</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Interest on</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redemption</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(13,603)</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618,403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(33,350)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584,146</w:t>
            </w: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1,008,362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Exercise of stock</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options, vesting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w w:val="99"/>
              </w:rPr>
              <w:t>restricted stock and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related tax</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incentive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23"/>
        </w:trPr>
        <w:tc>
          <w:tcPr>
            <w:tcW w:w="15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00"/>
        </w:trPr>
        <w:tc>
          <w:tcPr>
            <w:tcW w:w="1520" w:type="dxa"/>
            <w:vAlign w:val="bottom"/>
          </w:tcPr>
          <w:p>
            <w:pPr>
              <w:ind w:left="20"/>
              <w:spacing w:after="0"/>
              <w:rPr>
                <w:sz w:val="20"/>
                <w:szCs w:val="20"/>
                <w:color w:val="auto"/>
              </w:rPr>
            </w:pPr>
            <w:r>
              <w:rPr>
                <w:rFonts w:ascii="Arial" w:cs="Arial" w:eastAsia="Arial" w:hAnsi="Arial"/>
                <w:sz w:val="16"/>
                <w:szCs w:val="16"/>
                <w:color w:val="auto"/>
              </w:rPr>
              <w:t>Balance - March 31,</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1,008,570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(111,865)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(23,827)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options, vesting of</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restricted stock and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tax</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(7,668)</w:t>
            </w: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120"/>
              <w:spacing w:after="0"/>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tcPr>
          <w:p>
            <w:pPr>
              <w:ind w:left="12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33"/>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95"/>
              </w:rPr>
              <w:t>1,009,135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(119,533)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(19,251)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867,966</w:t>
            </w: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200"/>
          </w:cols>
          <w:pgMar w:left="320" w:top="121" w:right="37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Under the terms of the Merger Agreement, shares of HC II common stock issued and outstanding immediately prior to the Merger Date were converted into 135,565,392 shares of BioScrip common stock, par value $0.0001 (the “BioScrip common stock”). BioScrip also issued an additional 7,048,357 shares to HC I in respect of certain outstanding unvested contingent restricted stock units of BioScrip, which are held in escrow to prevent dilution related to potential additional vesting on certain share-based instruments. See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discussion of these shares held in escrow. In conjunction with the Merger, holders of BioScrip preferred shares and certain warrants received 864,603 additional shares of BioScrip common stock and preferred shares were repurchased for $125.8 million of cash. In addition, all legacy BioScrip debt was settled for $575.0 million. As a result of the Merger, BioScrip’s stockholders hold approximately 19.3% of the combined company, and HC I holds approximately 80.7% of the combined company. Following the close of the transaction, BioScrip was rebranded as Option Care Health, Inc. (“Option Care Health”, or the “Company”). The combined company’s stock is listed on the Nasdaq Global Select Market as of June 30, 2020.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for further discussion on the Merger.</w:t>
      </w:r>
    </w:p>
    <w:p>
      <w:pPr>
        <w:spacing w:after="0" w:line="12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104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conformity with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2019 audited consolidated financial statements, including the notes thereto, as presented in the Annual Report on Form 10-K filed with the Securities and Exchange Commission on March 5, 2020.</w:t>
      </w:r>
    </w:p>
    <w:p>
      <w:pPr>
        <w:spacing w:after="0" w:line="162"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The BioScrip results have been included in the consolidated financial results since the Merger Date. All intercompany transactions and balances are eliminated in consolidation.</w:t>
      </w:r>
    </w:p>
    <w:p>
      <w:pPr>
        <w:spacing w:after="0" w:line="139" w:lineRule="exact"/>
        <w:rPr>
          <w:sz w:val="20"/>
          <w:szCs w:val="20"/>
          <w:color w:val="auto"/>
        </w:rPr>
      </w:pPr>
    </w:p>
    <w:p>
      <w:pPr>
        <w:ind w:right="560" w:firstLine="324"/>
        <w:spacing w:after="0" w:line="311" w:lineRule="auto"/>
        <w:rPr>
          <w:sz w:val="20"/>
          <w:szCs w:val="20"/>
          <w:color w:val="auto"/>
        </w:rPr>
      </w:pPr>
      <w:r>
        <w:rPr>
          <w:rFonts w:ascii="Arial" w:cs="Arial" w:eastAsia="Arial" w:hAnsi="Arial"/>
          <w:sz w:val="16"/>
          <w:szCs w:val="16"/>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Note 10, </w:t>
      </w:r>
      <w:r>
        <w:rPr>
          <w:rFonts w:ascii="Arial" w:cs="Arial" w:eastAsia="Arial" w:hAnsi="Arial"/>
          <w:sz w:val="16"/>
          <w:szCs w:val="16"/>
          <w:i w:val="1"/>
          <w:iCs w:val="1"/>
          <w:color w:val="auto"/>
        </w:rPr>
        <w:t>Equity-Method Investments</w:t>
      </w:r>
      <w:r>
        <w:rPr>
          <w:rFonts w:ascii="Arial" w:cs="Arial" w:eastAsia="Arial" w:hAnsi="Arial"/>
          <w:sz w:val="16"/>
          <w:szCs w:val="16"/>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April 2020, the Company received $11.7 million in Coronavirus Aid, Relief, and Economic Security Act (“CARES Act”) grant funds from the federal government, which are included in cash and cash equivalents in the Company’s unaudited condensed consolidated balance sheet as of June 30, 2020. The $11.7 million is reflected in the second quarter as a cash inflow from financing activities within other financing cash flows in the unaudited condensed consolidated statements of cash flows. The $11.7 million has been recorded as a component of accrued expenses and other current liabilities in the Company’s unaudited condensed consolidated balance sheet as of June 30, 2020 as the Company intends to return these funds as unused to the federal government.</w:t>
      </w:r>
    </w:p>
    <w:p>
      <w:pPr>
        <w:spacing w:after="0" w:line="14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color w:val="auto"/>
        </w:rPr>
        <w:t xml:space="preserve">Concentrations of Business Risk </w:t>
      </w:r>
      <w:r>
        <w:rPr>
          <w:rFonts w:ascii="Arial" w:cs="Arial" w:eastAsia="Arial" w:hAnsi="Arial"/>
          <w:sz w:val="16"/>
          <w:szCs w:val="16"/>
          <w:color w:val="auto"/>
        </w:rPr>
        <w:t>— The Company generates revenue from managed care contracts and other agreements with commercial third-party</w:t>
      </w:r>
      <w:r>
        <w:rPr>
          <w:rFonts w:ascii="Arial" w:cs="Arial" w:eastAsia="Arial" w:hAnsi="Arial"/>
          <w:sz w:val="16"/>
          <w:szCs w:val="16"/>
          <w:b w:val="1"/>
          <w:bCs w:val="1"/>
          <w:color w:val="auto"/>
        </w:rPr>
        <w:t xml:space="preserve"> </w:t>
      </w:r>
      <w:r>
        <w:rPr>
          <w:rFonts w:ascii="Arial" w:cs="Arial" w:eastAsia="Arial" w:hAnsi="Arial"/>
          <w:sz w:val="16"/>
          <w:szCs w:val="16"/>
          <w:color w:val="auto"/>
        </w:rPr>
        <w:t>payers. Revenue related to the Company’s largest payer was approximately 16% and 15% for the three and six months ended June 30, 2020. Revenue related to the Company’s largest payer was approximately 18% and 21% for the three and six months ended June 30, 2019, respectively. In December 2019, the Company renewed and expanded its multi-year contract with this payer. The contract renewal was effective in February 2020 for a two-year term and auto-renews at the end of that term. There were no other managed care contracts that represent greater than 10% of revenue for the periods presented.</w:t>
      </w:r>
    </w:p>
    <w:p>
      <w:pPr>
        <w:spacing w:after="0" w:line="13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For the three and six months ended June 30, 2020, approximately 12% and 12%, respectively, of the Company’s revenue was reimbursable through direct government healthcare programs, such as Medicare and Medicaid. For the three and six months ended June 30, 2019, approximately 13% and 13%, respectively, of the Company’s revenue was reimbursable through direct government healthcare programs, such as Medicare and Medicaid. As of June 30, 2020 and December 31, 2019, respectively, approximately 13%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3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w:t>
      </w:r>
    </w:p>
    <w:p>
      <w:pPr>
        <w:spacing w:after="0" w:line="14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For the three and six months ended June 30, 2020, approximately 72% and 72%, respectively, of the Company’s pharmaceutical and medical supply purchases were from three vendors. For the three and six months ended June 30, 2019, approximately 73% and 74%,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June 30, 2020 the Company has been able to maintain adequate levels of supplies and pharmaceuticals to support its operations.</w:t>
      </w:r>
    </w:p>
    <w:p>
      <w:pPr>
        <w:spacing w:after="0" w:line="133"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b w:val="1"/>
          <w:bCs w:val="1"/>
          <w:color w:val="auto"/>
        </w:rPr>
        <w:t xml:space="preserve">Recently-Adopted Accounting Pronouncements </w:t>
      </w:r>
      <w:r>
        <w:rPr>
          <w:rFonts w:ascii="Arial" w:cs="Arial" w:eastAsia="Arial" w:hAnsi="Arial"/>
          <w:sz w:val="17"/>
          <w:szCs w:val="17"/>
          <w:color w:val="auto"/>
        </w:rPr>
        <w:t>— 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326): Measurement of Credit Losses on Financial Instruments</w:t>
      </w:r>
      <w:r>
        <w:rPr>
          <w:rFonts w:ascii="Arial" w:cs="Arial" w:eastAsia="Arial" w:hAnsi="Arial"/>
          <w:sz w:val="17"/>
          <w:szCs w:val="17"/>
          <w:color w:val="auto"/>
        </w:rPr>
        <w:t>, which requires measurement and recognition of expected credit losses for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held. The 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The Company adopted the standard as of January 1, 2020.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19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creates an expanded national platform and the opportunity to drive economies of scale through procurement savings, facility rationalization and other operating cost savings.</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Amount</w:t>
            </w:r>
          </w:p>
        </w:tc>
      </w:tr>
      <w:tr>
        <w:trPr>
          <w:trHeight w:val="202"/>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BioScrip common shares outstanding at time of the Merger (1)</w:t>
            </w:r>
          </w:p>
        </w:tc>
        <w:tc>
          <w:tcPr>
            <w:tcW w:w="4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129,181</w:t>
            </w:r>
          </w:p>
        </w:tc>
      </w:tr>
      <w:tr>
        <w:trPr>
          <w:trHeight w:val="197"/>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shares issued to warrant and preferred stockholders at time of the Merger (1)</w:t>
            </w: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3,458</w:t>
            </w:r>
          </w:p>
        </w:tc>
      </w:tr>
      <w:tr>
        <w:trPr>
          <w:trHeight w:val="202"/>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shares of BioScrip common stock outstanding at time of the Merger (1)</w:t>
            </w:r>
          </w:p>
        </w:tc>
        <w:tc>
          <w:tcPr>
            <w:tcW w:w="4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132,639</w:t>
            </w:r>
          </w:p>
        </w:tc>
      </w:tr>
      <w:tr>
        <w:trPr>
          <w:trHeight w:val="196"/>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w:t>
            </w:r>
          </w:p>
        </w:tc>
      </w:tr>
      <w:tr>
        <w:trPr>
          <w:trHeight w:val="202"/>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354,146</w:t>
            </w:r>
          </w:p>
        </w:tc>
      </w:tr>
      <w:tr>
        <w:trPr>
          <w:trHeight w:val="197"/>
        </w:trPr>
        <w:tc>
          <w:tcPr>
            <w:tcW w:w="9080" w:type="dxa"/>
            <w:vAlign w:val="bottom"/>
          </w:tcPr>
          <w:p>
            <w:pPr>
              <w:ind w:left="2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32,898</w:t>
            </w:r>
          </w:p>
        </w:tc>
      </w:tr>
      <w:tr>
        <w:trPr>
          <w:trHeight w:val="203"/>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714,957</w:t>
            </w:r>
          </w:p>
        </w:tc>
      </w:tr>
      <w:tr>
        <w:trPr>
          <w:trHeight w:val="196"/>
        </w:trPr>
        <w:tc>
          <w:tcPr>
            <w:tcW w:w="9080" w:type="dxa"/>
            <w:vAlign w:val="bottom"/>
          </w:tcPr>
          <w:p>
            <w:pPr>
              <w:ind w:left="2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1,102,001</w:t>
            </w:r>
          </w:p>
        </w:tc>
      </w:tr>
      <w:tr>
        <w:trPr>
          <w:trHeight w:val="203"/>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14,787</w:t>
            </w:r>
          </w:p>
        </w:tc>
      </w:tr>
      <w:tr>
        <w:trPr>
          <w:trHeight w:val="202"/>
        </w:trPr>
        <w:tc>
          <w:tcPr>
            <w:tcW w:w="9080" w:type="dxa"/>
            <w:vAlign w:val="bottom"/>
          </w:tcPr>
          <w:p>
            <w:pPr>
              <w:ind w:left="2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1,087,214</w:t>
            </w:r>
          </w:p>
        </w:tc>
      </w:tr>
      <w:tr>
        <w:trPr>
          <w:trHeight w:val="21"/>
        </w:trPr>
        <w:tc>
          <w:tcPr>
            <w:tcW w:w="9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32"/>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These shares were not adjusted for the one share for four share reverse stock split effective on February 3, 2020. See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discussion on the one share for four share reverse stock split.</w:t>
      </w:r>
    </w:p>
    <w:p>
      <w:pPr>
        <w:spacing w:after="0" w:line="13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w:t>
      </w:r>
    </w:p>
    <w:p>
      <w:pPr>
        <w:spacing w:after="0" w:line="14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in the Merger is based on estimated fair values as of the Merger Date. As of June 30, 2020 the Company has finalized the valuation of the acquisition. The following is an allocation of the consideration transferred to acquired identifiable assets and assumed liabilities, net of cash acquired, in the Merger as of August 6, 2019 (in thousands):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8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Amount</w:t>
            </w:r>
          </w:p>
        </w:tc>
      </w:t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 (1)</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96,532</w:t>
            </w:r>
          </w:p>
        </w:tc>
      </w:tr>
      <w:tr>
        <w:trPr>
          <w:trHeight w:val="197"/>
        </w:trPr>
        <w:tc>
          <w:tcPr>
            <w:tcW w:w="5800" w:type="dxa"/>
            <w:vAlign w:val="bottom"/>
          </w:tcPr>
          <w:p>
            <w:pPr>
              <w:ind w:left="20"/>
              <w:spacing w:after="0"/>
              <w:rPr>
                <w:sz w:val="20"/>
                <w:szCs w:val="20"/>
                <w:color w:val="auto"/>
              </w:rPr>
            </w:pPr>
            <w:r>
              <w:rPr>
                <w:rFonts w:ascii="Arial" w:cs="Arial" w:eastAsia="Arial" w:hAnsi="Arial"/>
                <w:sz w:val="14"/>
                <w:szCs w:val="14"/>
                <w:color w:val="auto"/>
              </w:rPr>
              <w:t>Inventories (2)</w:t>
            </w:r>
          </w:p>
        </w:tc>
        <w:tc>
          <w:tcPr>
            <w:tcW w:w="440" w:type="dxa"/>
            <w:vAlign w:val="bottom"/>
          </w:tcPr>
          <w:p>
            <w:pPr>
              <w:spacing w:after="0"/>
              <w:rPr>
                <w:sz w:val="17"/>
                <w:szCs w:val="17"/>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19,683</w:t>
            </w: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 (3)</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48,732</w:t>
            </w:r>
          </w:p>
        </w:tc>
      </w:tr>
      <w:tr>
        <w:trPr>
          <w:trHeight w:val="197"/>
        </w:trPr>
        <w:tc>
          <w:tcPr>
            <w:tcW w:w="5800" w:type="dxa"/>
            <w:vAlign w:val="bottom"/>
          </w:tcPr>
          <w:p>
            <w:pPr>
              <w:ind w:left="20"/>
              <w:spacing w:after="0"/>
              <w:rPr>
                <w:sz w:val="20"/>
                <w:szCs w:val="20"/>
                <w:color w:val="auto"/>
              </w:rPr>
            </w:pPr>
            <w:r>
              <w:rPr>
                <w:rFonts w:ascii="Arial" w:cs="Arial" w:eastAsia="Arial" w:hAnsi="Arial"/>
                <w:sz w:val="14"/>
                <w:szCs w:val="14"/>
                <w:color w:val="auto"/>
              </w:rPr>
              <w:t>Intangible assets, net (4)</w:t>
            </w:r>
          </w:p>
        </w:tc>
        <w:tc>
          <w:tcPr>
            <w:tcW w:w="440" w:type="dxa"/>
            <w:vAlign w:val="bottom"/>
          </w:tcPr>
          <w:p>
            <w:pPr>
              <w:spacing w:after="0"/>
              <w:rPr>
                <w:sz w:val="17"/>
                <w:szCs w:val="17"/>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193,245</w:t>
            </w: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 of deferred tax liabilities (5)</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26,731</w:t>
            </w:r>
          </w:p>
        </w:tc>
      </w:tr>
      <w:tr>
        <w:trPr>
          <w:trHeight w:val="197"/>
        </w:trPr>
        <w:tc>
          <w:tcPr>
            <w:tcW w:w="5800" w:type="dxa"/>
            <w:vAlign w:val="bottom"/>
          </w:tcPr>
          <w:p>
            <w:pPr>
              <w:ind w:left="20"/>
              <w:spacing w:after="0"/>
              <w:rPr>
                <w:sz w:val="20"/>
                <w:szCs w:val="20"/>
                <w:color w:val="auto"/>
              </w:rPr>
            </w:pPr>
            <w:r>
              <w:rPr>
                <w:rFonts w:ascii="Arial" w:cs="Arial" w:eastAsia="Arial" w:hAnsi="Arial"/>
                <w:sz w:val="14"/>
                <w:szCs w:val="14"/>
                <w:color w:val="auto"/>
              </w:rPr>
              <w:t>Operating lease right-of-use asset (6)</w:t>
            </w:r>
          </w:p>
        </w:tc>
        <w:tc>
          <w:tcPr>
            <w:tcW w:w="440" w:type="dxa"/>
            <w:vAlign w:val="bottom"/>
          </w:tcPr>
          <w:p>
            <w:pPr>
              <w:spacing w:after="0"/>
              <w:rPr>
                <w:sz w:val="17"/>
                <w:szCs w:val="17"/>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22,378</w:t>
            </w: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(6)</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197"/>
        </w:trPr>
        <w:tc>
          <w:tcPr>
            <w:tcW w:w="5800" w:type="dxa"/>
            <w:vAlign w:val="bottom"/>
          </w:tcPr>
          <w:p>
            <w:pPr>
              <w:ind w:left="20"/>
              <w:spacing w:after="0"/>
              <w:rPr>
                <w:sz w:val="20"/>
                <w:szCs w:val="20"/>
                <w:color w:val="auto"/>
              </w:rPr>
            </w:pPr>
            <w:r>
              <w:rPr>
                <w:rFonts w:ascii="Arial" w:cs="Arial" w:eastAsia="Arial" w:hAnsi="Arial"/>
                <w:sz w:val="14"/>
                <w:szCs w:val="14"/>
                <w:color w:val="auto"/>
              </w:rPr>
              <w:t>Accounts payable (7)</w:t>
            </w:r>
          </w:p>
        </w:tc>
        <w:tc>
          <w:tcPr>
            <w:tcW w:w="4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(66,668)</w:t>
            </w: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assumed liabilities, net of other acquired assets (7)</w:t>
            </w: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(20,663)</w:t>
            </w:r>
          </w:p>
        </w:tc>
      </w:tr>
      <w:tr>
        <w:trPr>
          <w:trHeight w:val="196"/>
        </w:trPr>
        <w:tc>
          <w:tcPr>
            <w:tcW w:w="5800" w:type="dxa"/>
            <w:vAlign w:val="bottom"/>
          </w:tcPr>
          <w:p>
            <w:pPr>
              <w:ind w:left="200"/>
              <w:spacing w:after="0"/>
              <w:rPr>
                <w:sz w:val="20"/>
                <w:szCs w:val="20"/>
                <w:color w:val="auto"/>
              </w:rPr>
            </w:pPr>
            <w:r>
              <w:rPr>
                <w:rFonts w:ascii="Arial" w:cs="Arial" w:eastAsia="Arial" w:hAnsi="Arial"/>
                <w:sz w:val="14"/>
                <w:szCs w:val="14"/>
                <w:color w:val="auto"/>
              </w:rPr>
              <w:t>Total acquired identifiable assets and liabilities</w:t>
            </w:r>
          </w:p>
        </w:tc>
        <w:tc>
          <w:tcPr>
            <w:tcW w:w="440" w:type="dxa"/>
            <w:vAlign w:val="bottom"/>
          </w:tcPr>
          <w:p>
            <w:pPr>
              <w:spacing w:after="0"/>
              <w:rPr>
                <w:sz w:val="17"/>
                <w:szCs w:val="17"/>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291,073</w:t>
            </w: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(8)</w:t>
            </w: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796,141</w:t>
            </w:r>
          </w:p>
        </w:tc>
      </w:tr>
      <w:tr>
        <w:trPr>
          <w:trHeight w:val="202"/>
        </w:trPr>
        <w:tc>
          <w:tcPr>
            <w:tcW w:w="5800" w:type="dxa"/>
            <w:vAlign w:val="bottom"/>
          </w:tcPr>
          <w:p>
            <w:pPr>
              <w:ind w:left="200"/>
              <w:spacing w:after="0"/>
              <w:rPr>
                <w:sz w:val="20"/>
                <w:szCs w:val="20"/>
                <w:color w:val="auto"/>
              </w:rPr>
            </w:pPr>
            <w:r>
              <w:rPr>
                <w:rFonts w:ascii="Arial" w:cs="Arial" w:eastAsia="Arial" w:hAnsi="Arial"/>
                <w:sz w:val="14"/>
                <w:szCs w:val="14"/>
                <w:color w:val="auto"/>
              </w:rPr>
              <w:t>Total consideration transferred</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1,087,214</w:t>
            </w:r>
          </w:p>
        </w:tc>
      </w:tr>
      <w:tr>
        <w:trPr>
          <w:trHeight w:val="21"/>
        </w:trPr>
        <w:tc>
          <w:tcPr>
            <w:tcW w:w="5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260" w:hanging="327"/>
        <w:spacing w:after="0" w:line="265" w:lineRule="auto"/>
        <w:tabs>
          <w:tab w:leader="none" w:pos="73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allocation of consideration exchanged to intangible assets acquired is as follows (in thousands):</w:t>
      </w:r>
    </w:p>
    <w:p>
      <w:pPr>
        <w:spacing w:after="0" w:line="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Weighted Average Estimated</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Trademarks/Names</w:t>
            </w:r>
          </w:p>
        </w:tc>
        <w:tc>
          <w:tcPr>
            <w:tcW w:w="136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color w:val="auto"/>
              </w:rPr>
              <w:t>Patient referral sources</w:t>
            </w:r>
          </w:p>
        </w:tc>
        <w:tc>
          <w:tcPr>
            <w:tcW w:w="13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180,329</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Licenses</w:t>
            </w:r>
          </w:p>
        </w:tc>
        <w:tc>
          <w:tcPr>
            <w:tcW w:w="1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13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193,245</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right="540"/>
        <w:spacing w:after="0" w:line="258" w:lineRule="auto"/>
        <w:rPr>
          <w:sz w:val="20"/>
          <w:szCs w:val="20"/>
          <w:color w:val="auto"/>
        </w:rPr>
      </w:pPr>
      <w:r>
        <w:rPr>
          <w:rFonts w:ascii="Arial" w:cs="Arial" w:eastAsia="Arial" w:hAnsi="Arial"/>
          <w:sz w:val="18"/>
          <w:szCs w:val="18"/>
          <w:color w:val="auto"/>
        </w:rPr>
        <w:t>The Company valued trademarks/names utilizing the relief of royalty method and patient referral sources utilizing the multi-period excess earnings method, a form of the income approach.</w:t>
      </w:r>
    </w:p>
    <w:p>
      <w:pPr>
        <w:spacing w:after="0" w:line="1" w:lineRule="exact"/>
        <w:rPr>
          <w:sz w:val="20"/>
          <w:szCs w:val="20"/>
          <w:color w:val="auto"/>
        </w:rPr>
      </w:pPr>
    </w:p>
    <w:p>
      <w:pPr>
        <w:jc w:val="both"/>
        <w:ind w:left="740" w:right="120" w:hanging="327"/>
        <w:spacing w:after="0" w:line="250"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deferred tax assets represented the expected future tax consequences of temporary differences between the fair values of the assets acquired and liabilities assumed and their tax bases. See Note 5,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discussion of the Company’s combined income tax position subsequent to the Merger.</w:t>
      </w:r>
    </w:p>
    <w:p>
      <w:pPr>
        <w:spacing w:after="0" w:line="1" w:lineRule="exact"/>
        <w:rPr>
          <w:rFonts w:ascii="Arial" w:cs="Arial" w:eastAsia="Arial" w:hAnsi="Arial"/>
          <w:sz w:val="18"/>
          <w:szCs w:val="18"/>
          <w:color w:val="auto"/>
        </w:rPr>
      </w:pPr>
    </w:p>
    <w:p>
      <w:pPr>
        <w:ind w:left="740" w:right="400" w:hanging="327"/>
        <w:spacing w:after="0" w:line="250"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payable as well as certain other current and non-current assets and liabilities are stated at fair value as of the Merger Date.</w:t>
      </w:r>
    </w:p>
    <w:p>
      <w:pPr>
        <w:spacing w:after="0" w:line="20" w:lineRule="exact"/>
        <w:rPr>
          <w:rFonts w:ascii="Arial" w:cs="Arial" w:eastAsia="Arial" w:hAnsi="Arial"/>
          <w:sz w:val="17"/>
          <w:szCs w:val="17"/>
          <w:color w:val="auto"/>
        </w:rPr>
      </w:pPr>
    </w:p>
    <w:p>
      <w:pPr>
        <w:ind w:left="740" w:hanging="327"/>
        <w:spacing w:after="0" w:line="323" w:lineRule="auto"/>
        <w:tabs>
          <w:tab w:leader="none" w:pos="73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Merger resulted in $796.1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9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Assuming BioScrip had been acquired as of January 1, 2018, and the results of BioScrip had been included in operations beginning on January 1, 2018, the unaudited pro forma results of operations for the three and six months ended June 30, 2019 were net revenue of $688.8 million and $1,344.2 million, respectively, and net loss of $13.5 million and $35.5 million, respectively. The pro forma net loss adjusts for the effect of fair value adjustments related to the Merger, transaction costs and other non-recurring costs directly attributable to the Merger and the impact of the additional debt to finance the Merger. Unaudited pro forma information is not necessarily indicative of the results that actually would have occurred had the Merger been completed on the date indicated or the future operating results.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net revenue earned by category of payer for the three and six months ended June 30, 2020 and 2019 (in thousands):</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642,726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1,248,720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847,554</w:t>
            </w:r>
          </w:p>
        </w:tc>
      </w:tr>
      <w:tr>
        <w:trPr>
          <w:trHeight w:val="224"/>
        </w:trPr>
        <w:tc>
          <w:tcPr>
            <w:tcW w:w="396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52,062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181,395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114,595</w:t>
            </w:r>
          </w:p>
        </w:tc>
      </w:tr>
      <w:tr>
        <w:trPr>
          <w:trHeight w:val="3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11,609</w:t>
            </w:r>
          </w:p>
        </w:tc>
      </w:tr>
      <w:tr>
        <w:trPr>
          <w:trHeight w:val="247"/>
        </w:trPr>
        <w:tc>
          <w:tcPr>
            <w:tcW w:w="396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740,848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497,266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1,446,288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973,758</w:t>
            </w:r>
          </w:p>
        </w:tc>
      </w:tr>
      <w:tr>
        <w:trPr>
          <w:trHeight w:val="2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02"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During the three and six months ended June 30, 2020, the Company recorded tax expense of $0.5 million and $1.5 million, respectively, which represents an effective tax rate of (6.5)% and (5.8)%, respectively. During the three and six months ended June 30, 2019 the Company recorded a tax benefit of $5.4 million and $6.8 million, respectively, which represents an effective tax rate of 28.5% and 28.3%, respectively.</w:t>
      </w:r>
    </w:p>
    <w:p>
      <w:pPr>
        <w:spacing w:after="0" w:line="1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continues to maintain a full valuation allowance against all of its net U.S. federal and state deferred tax assets with the exception of $0.7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4"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Based on the Company’s full valuation allowance, as noted above, the Company’s tax expense for the three and six months ended June 30, 2020 of $0.5 million and $1.5 million consists of quarterly tax liabilities attributable to specific state tax returns as well as recognized deferred tax expense.</w:t>
      </w:r>
    </w:p>
    <w:p>
      <w:pPr>
        <w:spacing w:after="0" w:line="8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recorded no income tax expense or benefit for the three or six months ended June 30, 2020 and 2019 associated with the tax provisions of the CARES Act.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EARNINGS PER SHARE</w:t>
      </w:r>
    </w:p>
    <w:p>
      <w:pPr>
        <w:spacing w:after="0" w:line="20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dilutive potential common shares.</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a result of the Merger, which has been accounted for as a reverse merger, all historical per share data and number of shares and equity awards were retroactively adjusted. The (loss) earnings is used as the basis of determining whether the inclusion of common stock equivalents would be anti-dilutive. Accordingly, the computation of diluted shares for the three and six months ended June 30, 2020 excludes the effect of shares that would be issued in connection with stock options and restricted stock awards, as their inclusion would be anti-dilutive to the loss per share. As of June 30, 2020 there were 2,328,120 warrants, 497,517 stock options and 562,575 restricted stock awards outstanding that were excluded from the calculation as they would be anti-dilutive. There are no dilutive potential common shares for the three and six months ended June 30, 2019.</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(13,603)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(17,315)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142,614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176,686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per common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During the three and six months ended June 30, 2020, the Company incurred operating lease expenses of $7.6 million and $15.3 million, respectively, including short-term lease expense, which were included as a component of selling, general and administrative expense in the unaudited condensed consolidated statements of comprehensive income (loss). During the three and six months ended June 30, 2019, the Company incurred operating lease expense of $5.6 million and $10.8 million, respectively, including short-term lease expenses, which were included as a component of selling, general and administrative expenses in the unaudited condensed consolidated statements of comprehensive income (loss). As of June 30, 2020, the weighted-average remaining lease term was 5.2 years and the weighted-average discount rate was 5.48%.</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40" w:type="dxa"/>
            <w:vAlign w:val="bottom"/>
            <w:gridSpan w:val="2"/>
          </w:tcPr>
          <w:p>
            <w:pPr>
              <w:ind w:left="86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8"/>
                <w:szCs w:val="18"/>
                <w:color w:val="auto"/>
              </w:rPr>
            </w:pP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4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11,895</w:t>
            </w: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19,591</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14,192</w:t>
            </w: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10,774</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8,009</w:t>
            </w: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18,328</w:t>
            </w:r>
          </w:p>
        </w:tc>
      </w:tr>
      <w:tr>
        <w:trPr>
          <w:trHeight w:val="21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82,789</w:t>
            </w: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13,538</w:t>
            </w:r>
          </w:p>
        </w:tc>
      </w:tr>
      <w:tr>
        <w:trPr>
          <w:trHeight w:val="24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69,251</w:t>
            </w:r>
          </w:p>
        </w:tc>
      </w:tr>
      <w:tr>
        <w:trPr>
          <w:trHeight w:val="2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the three and six months ended June 30, 2020, the Company did not enter into any significant new operating or financing leases. As of June 30, 2020, the Company has entered into one build-to-suit lease agreement for a term of 15 years that has not yet commenced. The lease will require minimum lease payments over its life of approximately $22.9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June 30, 2020 and December 31, 2019 (in thousands):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8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30,416</w:t>
            </w: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6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48,177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51,454</w:t>
            </w:r>
          </w:p>
        </w:tc>
      </w:tr>
      <w:tr>
        <w:trPr>
          <w:trHeight w:val="33"/>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80,916</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6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35,079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34,884</w:t>
            </w:r>
          </w:p>
        </w:tc>
      </w:tr>
      <w:tr>
        <w:trPr>
          <w:trHeight w:val="33"/>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14,150</w:t>
            </w:r>
          </w:p>
        </w:tc>
      </w:tr>
      <w:tr>
        <w:trPr>
          <w:trHeight w:val="217"/>
        </w:trPr>
        <w:tc>
          <w:tcPr>
            <w:tcW w:w="4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202,912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211,820</w:t>
            </w:r>
          </w:p>
        </w:tc>
      </w:tr>
      <w:tr>
        <w:trPr>
          <w:trHeight w:val="33"/>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78,622</w:t>
            </w:r>
          </w:p>
        </w:tc>
      </w:tr>
      <w:tr>
        <w:trPr>
          <w:trHeight w:val="247"/>
        </w:trPr>
        <w:tc>
          <w:tcPr>
            <w:tcW w:w="4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117,629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133,198</w:t>
            </w:r>
          </w:p>
        </w:tc>
      </w:tr>
      <w:tr>
        <w:trPr>
          <w:trHeight w:val="24"/>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2020 and 2019 (in thousands):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14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3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1,471</w:t>
            </w:r>
          </w:p>
        </w:tc>
      </w:tr>
      <w:tr>
        <w:trPr>
          <w:trHeight w:val="223"/>
        </w:trPr>
        <w:tc>
          <w:tcPr>
            <w:tcW w:w="3700" w:type="dxa"/>
            <w:vAlign w:val="bottom"/>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90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5,255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10,328</w:t>
            </w:r>
          </w:p>
        </w:tc>
      </w:tr>
      <w:tr>
        <w:trPr>
          <w:trHeight w:val="33"/>
        </w:trPr>
        <w:tc>
          <w:tcPr>
            <w:tcW w:w="3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5"/>
              </w:rPr>
              <w:t>11,159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5,946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24,220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11,799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consists of the following activity for the three and six months ended June 30, 2020 (in thousands):</w:t>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1,425,542</w:t>
            </w:r>
          </w:p>
        </w:tc>
      </w:tr>
      <w:tr>
        <w:trPr>
          <w:trHeight w:val="33"/>
        </w:trPr>
        <w:tc>
          <w:tcPr>
            <w:tcW w:w="3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 accounting adjustments</w:t>
            </w:r>
          </w:p>
        </w:tc>
        <w:tc>
          <w:tcPr>
            <w:tcW w:w="5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w:t>
            </w:r>
          </w:p>
        </w:tc>
      </w:tr>
      <w:tr>
        <w:trPr>
          <w:trHeight w:val="21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1,427,883</w:t>
            </w:r>
          </w:p>
        </w:tc>
      </w:tr>
      <w:tr>
        <w:trPr>
          <w:trHeight w:val="33"/>
        </w:trPr>
        <w:tc>
          <w:tcPr>
            <w:tcW w:w="3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 accounting adjustments</w:t>
            </w:r>
          </w:p>
        </w:tc>
        <w:tc>
          <w:tcPr>
            <w:tcW w:w="5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4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1,428,610</w:t>
            </w:r>
          </w:p>
        </w:tc>
      </w:tr>
      <w:tr>
        <w:trPr>
          <w:trHeight w:val="24"/>
        </w:trPr>
        <w:tc>
          <w:tcPr>
            <w:tcW w:w="3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change in the carrying amount of goodwill for the three or six months ended June 30, 2019.</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June 30, 2020 and December 31, 2019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33"/>
        </w:trPr>
        <w:tc>
          <w:tcPr>
            <w:tcW w:w="3880" w:type="dxa"/>
            <w:vAlign w:val="bottom"/>
            <w:vMerge w:val="restart"/>
          </w:tcPr>
          <w:p>
            <w:pPr>
              <w:ind w:left="20"/>
              <w:spacing w:after="0"/>
              <w:rPr>
                <w:sz w:val="20"/>
                <w:szCs w:val="20"/>
                <w:color w:val="auto"/>
              </w:rPr>
            </w:pPr>
            <w:r>
              <w:rPr>
                <w:rFonts w:ascii="Arial" w:cs="Arial" w:eastAsia="Arial" w:hAnsi="Arial"/>
                <w:sz w:val="16"/>
                <w:szCs w:val="16"/>
                <w:color w:val="auto"/>
              </w:rPr>
              <w:t>Gross intangible assets:</w:t>
            </w: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438,121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438,121</w:t>
            </w:r>
          </w:p>
        </w:tc>
        <w:tc>
          <w:tcPr>
            <w:tcW w:w="0" w:type="dxa"/>
            <w:vAlign w:val="bottom"/>
          </w:tcPr>
          <w:p>
            <w:pPr>
              <w:spacing w:after="0"/>
              <w:rPr>
                <w:sz w:val="1"/>
                <w:szCs w:val="1"/>
                <w:color w:val="auto"/>
              </w:rPr>
            </w:pPr>
          </w:p>
        </w:tc>
      </w:tr>
      <w:tr>
        <w:trPr>
          <w:trHeight w:val="224"/>
        </w:trPr>
        <w:tc>
          <w:tcPr>
            <w:tcW w:w="388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32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44,536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44,536</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3880" w:type="dxa"/>
            <w:vAlign w:val="bottom"/>
          </w:tcPr>
          <w:p>
            <w:pPr>
              <w:ind w:left="200"/>
              <w:spacing w:after="0"/>
              <w:rPr>
                <w:sz w:val="20"/>
                <w:szCs w:val="20"/>
                <w:color w:val="auto"/>
              </w:rPr>
            </w:pPr>
            <w:r>
              <w:rPr>
                <w:rFonts w:ascii="Arial" w:cs="Arial" w:eastAsia="Arial" w:hAnsi="Arial"/>
                <w:sz w:val="16"/>
                <w:szCs w:val="16"/>
                <w:color w:val="auto"/>
              </w:rPr>
              <w:t>Total gross intangible assets</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483,059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483,059</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(84,295)</w:t>
            </w:r>
          </w:p>
        </w:tc>
        <w:tc>
          <w:tcPr>
            <w:tcW w:w="0" w:type="dxa"/>
            <w:vAlign w:val="bottom"/>
          </w:tcPr>
          <w:p>
            <w:pPr>
              <w:spacing w:after="0"/>
              <w:rPr>
                <w:sz w:val="1"/>
                <w:szCs w:val="1"/>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(12,748)</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3880" w:type="dxa"/>
            <w:vAlign w:val="bottom"/>
          </w:tcPr>
          <w:p>
            <w:pPr>
              <w:ind w:left="200"/>
              <w:spacing w:after="0"/>
              <w:rPr>
                <w:sz w:val="20"/>
                <w:szCs w:val="20"/>
                <w:color w:val="auto"/>
              </w:rPr>
            </w:pPr>
            <w:r>
              <w:rPr>
                <w:rFonts w:ascii="Arial" w:cs="Arial" w:eastAsia="Arial" w:hAnsi="Arial"/>
                <w:sz w:val="16"/>
                <w:szCs w:val="16"/>
                <w:color w:val="auto"/>
              </w:rPr>
              <w:t>Total accumulated amortization</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(114,578)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(97,149)</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385,910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$8.8 million and $17.6 million for the three and six months ended June 30,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$4.9 million and $9.8 million for the three and six months ended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22" w:right="8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EQUITY-METHOD INVESTMENTS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two equity-method investments totaled $18.0 million and $17.0 million as of June 30, 2020 and December 31, 2019, respectively, and are included in other noncurrent assets in the accompanying condensed consolidated balance sheets. The Company’s related proportionate share of earnings is recorded in equity in earnings of joint ventures in the accompanying unaudited condensed consolidated statements of comprehensive income (loss). For the three and six months ended June 30, 2020, the Company’s proportionate share of earnings in its investments was $1.0 million and $1.6 million, respectively. For the three and six months ended June 30, 2019, the Company’s proportionate share of earnings in its investment was $0.6 million and $1.2 million, respectively.</w:t>
      </w:r>
    </w:p>
    <w:p>
      <w:pPr>
        <w:spacing w:after="0" w:line="18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b w:val="1"/>
          <w:bCs w:val="1"/>
          <w:color w:val="auto"/>
        </w:rPr>
        <w:t xml:space="preserve">Legacy Health Systems </w:t>
      </w:r>
      <w:r>
        <w:rPr>
          <w:rFonts w:ascii="Arial" w:cs="Arial" w:eastAsia="Arial" w:hAnsi="Arial"/>
          <w:sz w:val="16"/>
          <w:szCs w:val="16"/>
          <w:color w:val="auto"/>
        </w:rPr>
        <w:t>— The Company’s 50% ownership interest in this limited liability company, which provides infusion pharmacy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expands the Company’s presence in the Portland, Oregon market. In 2005, Option Care’s initial cash investment in this joint venture was $1.3 million. The Company received a capital distribution from this investment of $0 and $0.5 million for the three and six months ended June 30, 2020. The Company did not receive a capital distribution from this investment for the three or six months ended June 30, 2019. The following presents condensed financial information as of June 30, 2020 and December 31, 2019 and for the three and six months ended June 30, 2020 and 2019 (in thousands).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26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2019</w:t>
            </w:r>
          </w:p>
        </w:tc>
      </w:tr>
      <w:tr>
        <w:trPr>
          <w:trHeight w:val="33"/>
        </w:trPr>
        <w:tc>
          <w:tcPr>
            <w:tcW w:w="2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6,520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9,396</w:t>
            </w:r>
          </w:p>
        </w:tc>
      </w:tr>
      <w:tr>
        <w:trPr>
          <w:trHeight w:val="224"/>
        </w:trPr>
        <w:tc>
          <w:tcPr>
            <w:tcW w:w="29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2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8,712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6,799</w:t>
            </w:r>
          </w:p>
        </w:tc>
      </w:tr>
      <w:tr>
        <w:trPr>
          <w:trHeight w:val="33"/>
        </w:trPr>
        <w:tc>
          <w:tcPr>
            <w:tcW w:w="2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2,597</w:t>
            </w:r>
          </w:p>
        </w:tc>
      </w:tr>
      <w:tr>
        <w:trPr>
          <w:trHeight w:val="223"/>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507</w:t>
            </w:r>
          </w:p>
        </w:tc>
      </w:tr>
      <w:tr>
        <w:trPr>
          <w:trHeight w:val="33"/>
        </w:trPr>
        <w:tc>
          <w:tcPr>
            <w:tcW w:w="2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w:t>
            </w:r>
          </w:p>
        </w:tc>
      </w:tr>
      <w:tr>
        <w:trPr>
          <w:trHeight w:val="33"/>
        </w:trPr>
        <w:tc>
          <w:tcPr>
            <w:tcW w:w="2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balance sheet data:</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89"/>
              </w:rPr>
              <w:t>As of</w:t>
            </w:r>
          </w:p>
        </w:tc>
        <w:tc>
          <w:tcPr>
            <w:tcW w:w="1700" w:type="dxa"/>
            <w:vAlign w:val="bottom"/>
          </w:tcPr>
          <w:p>
            <w:pPr>
              <w:spacing w:after="0"/>
              <w:rPr>
                <w:sz w:val="18"/>
                <w:szCs w:val="18"/>
                <w:color w:val="auto"/>
              </w:rPr>
            </w:pPr>
          </w:p>
        </w:tc>
      </w:tr>
      <w:tr>
        <w:trPr>
          <w:trHeight w:val="33"/>
        </w:trPr>
        <w:tc>
          <w:tcPr>
            <w:tcW w:w="6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7,643</w:t>
            </w:r>
          </w:p>
        </w:tc>
      </w:tr>
      <w:tr>
        <w:trPr>
          <w:trHeight w:val="223"/>
        </w:trPr>
        <w:tc>
          <w:tcPr>
            <w:tcW w:w="692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3,846</w:t>
            </w:r>
          </w:p>
        </w:tc>
      </w:tr>
      <w:tr>
        <w:trPr>
          <w:trHeight w:val="33"/>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903</w:t>
            </w:r>
          </w:p>
        </w:tc>
      </w:tr>
      <w:tr>
        <w:trPr>
          <w:trHeight w:val="223"/>
        </w:trPr>
        <w:tc>
          <w:tcPr>
            <w:tcW w:w="69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659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Vanderbilt Health Services </w:t>
      </w:r>
      <w:r>
        <w:rPr>
          <w:rFonts w:ascii="Arial" w:cs="Arial" w:eastAsia="Arial" w:hAnsi="Arial"/>
          <w:sz w:val="18"/>
          <w:szCs w:val="18"/>
          <w:color w:val="auto"/>
        </w:rPr>
        <w:t>— The Company’s 50% ownership interest in this limited liability company, which provides infusion pharmacy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Company’s presence in the Nashville, Tennessee market. In 2009, Option Care contributed both cash and certain operating assets into the joint venture for a total initial investment of $1.1 million. The following presents condensed financial information as of June 30, 2020 and December 31, 2019 and for the three and six months ended June 30, 2020 and 2019 (in thousands).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280" w:type="dxa"/>
            <w:vAlign w:val="bottom"/>
            <w:gridSpan w:val="4"/>
          </w:tcPr>
          <w:p>
            <w:pPr>
              <w:jc w:val="right"/>
              <w:ind w:right="175"/>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jc w:val="right"/>
              <w:ind w:right="93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712"/>
              <w:spacing w:after="0"/>
              <w:rPr>
                <w:sz w:val="20"/>
                <w:szCs w:val="20"/>
                <w:color w:val="auto"/>
              </w:rPr>
            </w:pPr>
            <w:r>
              <w:rPr>
                <w:rFonts w:ascii="Arial" w:cs="Arial" w:eastAsia="Arial" w:hAnsi="Arial"/>
                <w:sz w:val="16"/>
                <w:szCs w:val="16"/>
                <w:b w:val="1"/>
                <w:bCs w:val="1"/>
                <w:color w:val="auto"/>
              </w:rPr>
              <w:t>2019</w:t>
            </w:r>
          </w:p>
        </w:tc>
      </w:tr>
      <w:tr>
        <w:trPr>
          <w:trHeight w:val="33"/>
        </w:trPr>
        <w:tc>
          <w:tcPr>
            <w:tcW w:w="29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11,972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22,480</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19,163</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18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9,341</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17,981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14,517</w:t>
            </w:r>
          </w:p>
        </w:tc>
      </w:tr>
      <w:tr>
        <w:trPr>
          <w:trHeight w:val="27"/>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4,646</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1,876</w:t>
            </w:r>
          </w:p>
        </w:tc>
      </w:tr>
      <w:tr>
        <w:trPr>
          <w:trHeight w:val="27"/>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w:t>
            </w: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938</w:t>
            </w:r>
          </w:p>
        </w:tc>
      </w:tr>
      <w:tr>
        <w:trPr>
          <w:trHeight w:val="513"/>
        </w:trPr>
        <w:tc>
          <w:tcPr>
            <w:tcW w:w="2920" w:type="dxa"/>
            <w:vAlign w:val="bottom"/>
          </w:tcPr>
          <w:p>
            <w:pPr>
              <w:ind w:left="20"/>
              <w:spacing w:after="0"/>
              <w:rPr>
                <w:sz w:val="20"/>
                <w:szCs w:val="20"/>
                <w:color w:val="auto"/>
              </w:rPr>
            </w:pPr>
            <w:r>
              <w:rPr>
                <w:rFonts w:ascii="Arial" w:cs="Arial" w:eastAsia="Arial" w:hAnsi="Arial"/>
                <w:sz w:val="18"/>
                <w:szCs w:val="18"/>
                <w:color w:val="auto"/>
              </w:rPr>
              <w:t>Consolidated balance sheet data:</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1"/>
        </w:trPr>
        <w:tc>
          <w:tcPr>
            <w:tcW w:w="2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89"/>
              </w:rPr>
              <w:t>As of</w:t>
            </w:r>
          </w:p>
        </w:tc>
        <w:tc>
          <w:tcPr>
            <w:tcW w:w="1700" w:type="dxa"/>
            <w:vAlign w:val="bottom"/>
          </w:tcPr>
          <w:p>
            <w:pPr>
              <w:spacing w:after="0"/>
              <w:rPr>
                <w:sz w:val="21"/>
                <w:szCs w:val="21"/>
                <w:color w:val="auto"/>
              </w:rPr>
            </w:pPr>
          </w:p>
        </w:tc>
      </w:tr>
      <w:tr>
        <w:trPr>
          <w:trHeight w:val="33"/>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252"/>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11,111</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2,033</w:t>
            </w:r>
          </w:p>
        </w:tc>
      </w:tr>
      <w:tr>
        <w:trPr>
          <w:trHeight w:val="27"/>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1,228</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956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June 30, 2020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2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Discount</w:t>
            </w:r>
          </w:p>
        </w:tc>
        <w:tc>
          <w:tcPr>
            <w:tcW w:w="14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Debt Issuance Costs</w:t>
            </w:r>
          </w:p>
        </w:tc>
        <w:tc>
          <w:tcPr>
            <w:tcW w:w="26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920,375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(21,295)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891,244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412,256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393,391</w:t>
            </w:r>
          </w:p>
        </w:tc>
      </w:tr>
      <w:tr>
        <w:trPr>
          <w:trHeight w:val="247"/>
        </w:trPr>
        <w:tc>
          <w:tcPr>
            <w:tcW w:w="34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1,332,631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(19,105)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(28,891)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1,284,635</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2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r>
      <w:tr>
        <w:trPr>
          <w:trHeight w:val="247"/>
        </w:trPr>
        <w:tc>
          <w:tcPr>
            <w:tcW w:w="340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1,275,385</w:t>
            </w:r>
          </w:p>
        </w:tc>
      </w:tr>
      <w:tr>
        <w:trPr>
          <w:trHeight w:val="24"/>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2019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2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Discount</w:t>
            </w:r>
          </w:p>
        </w:tc>
        <w:tc>
          <w:tcPr>
            <w:tcW w:w="14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Debt Issuance Costs</w:t>
            </w:r>
          </w:p>
        </w:tc>
        <w:tc>
          <w:tcPr>
            <w:tcW w:w="26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925,000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893,776</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412,256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392,720</w:t>
            </w:r>
          </w:p>
        </w:tc>
      </w:tr>
      <w:tr>
        <w:trPr>
          <w:trHeight w:val="247"/>
        </w:trPr>
        <w:tc>
          <w:tcPr>
            <w:tcW w:w="34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1,337,256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1,286,496</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2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r>
      <w:tr>
        <w:trPr>
          <w:trHeight w:val="247"/>
        </w:trPr>
        <w:tc>
          <w:tcPr>
            <w:tcW w:w="340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1,277,246</w:t>
            </w:r>
          </w:p>
        </w:tc>
      </w:tr>
      <w:tr>
        <w:trPr>
          <w:trHeight w:val="2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interest rate on the first lien term loan was 4.68% and 6.20% as of June 30, 2020 and December 31, 2019, respectively. The weighted average interest rate incurred on the first lien term loan was 5.02% and 5.60% for the three and six months ended June 30, 2020. The weighted average interest rate incurred on the previous first lien term loan was 6.22% and 6.24% for the three and six months ended June 30, 2019. The interest rate on the second lien notes was 10.25% and 10.66% as of June 30, 2020 and December 31, 2019, respectively. The weighted average interest incurred on the second lien notes was 10.33% and 10.44% for the three and six months ended June 30, 2020. The weighted average interest incurred on the previous second lien term loan was 11.34% and 11.45% for the three and six months ended June 30, 2019.</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elected to pay-in-kind (“PIK”) the quarterly interest payment due in August 2020, which will result in the Company capitalizing $10.8 million in interest expense to the principal balance of the second lien term loan on the interest payment date. In connection with the PIK election, the Company was charged an additional 1.00% in interest expense during the quarterly interest period.</w:t>
      </w:r>
    </w:p>
    <w:p>
      <w:pPr>
        <w:spacing w:after="0" w:line="15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 xml:space="preserve">Subsequent to June 30, 2020, the Company completed a public offering of stock for net proceeds of approximately $118 million. Those proceeds and available cash will be used to prepay $125.0 million of the second lien notes. See Note 18,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discussion.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4,625</w:t>
            </w:r>
          </w:p>
        </w:tc>
      </w:tr>
      <w:tr>
        <w:trPr>
          <w:trHeight w:val="223"/>
        </w:trPr>
        <w:tc>
          <w:tcPr>
            <w:tcW w:w="300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9,250</w:t>
            </w: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9,250</w:t>
            </w:r>
          </w:p>
        </w:tc>
      </w:tr>
      <w:tr>
        <w:trPr>
          <w:trHeight w:val="224"/>
        </w:trPr>
        <w:tc>
          <w:tcPr>
            <w:tcW w:w="30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9,250</w:t>
            </w:r>
          </w:p>
        </w:tc>
      </w:tr>
      <w:tr>
        <w:trPr>
          <w:trHeight w:val="33"/>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9,250</w:t>
            </w:r>
          </w:p>
        </w:tc>
      </w:tr>
      <w:tr>
        <w:trPr>
          <w:trHeight w:val="223"/>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1,291,006</w:t>
            </w:r>
          </w:p>
        </w:tc>
      </w:tr>
      <w:tr>
        <w:trPr>
          <w:trHeight w:val="3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1,332,631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During the three and six months ended June 30, 2020 and 2019, the Company engaged in hedging activities to limit its exposure to changes in interest rates.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June 30, 2020 (in thousands):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7"/>
                <w:szCs w:val="17"/>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Carrying Value as of</w:t>
            </w: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Observable Inputs</w:t>
            </w:r>
          </w:p>
        </w:tc>
        <w:tc>
          <w:tcPr>
            <w:tcW w:w="140" w:type="dxa"/>
            <w:vAlign w:val="bottom"/>
          </w:tcPr>
          <w:p>
            <w:pPr>
              <w:spacing w:after="0"/>
              <w:rPr>
                <w:sz w:val="17"/>
                <w:szCs w:val="17"/>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Unobservable Inputs</w:t>
            </w:r>
          </w:p>
        </w:tc>
      </w:tr>
      <w:tr>
        <w:trPr>
          <w:trHeight w:val="210"/>
        </w:trPr>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120" w:type="dxa"/>
            <w:vAlign w:val="bottom"/>
          </w:tcPr>
          <w:p>
            <w:pPr>
              <w:spacing w:after="0"/>
              <w:rPr>
                <w:sz w:val="18"/>
                <w:szCs w:val="18"/>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Item (Level 1)</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891,244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892,764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Second lien notes</w:t>
            </w:r>
          </w:p>
        </w:tc>
        <w:tc>
          <w:tcPr>
            <w:tcW w:w="12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393,391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417,910</w:t>
            </w:r>
          </w:p>
        </w:tc>
      </w:tr>
      <w:tr>
        <w:trPr>
          <w:trHeight w:val="33"/>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7"/>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1,284,635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892,764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417,910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three and six months ended June 30, 2020 (in thousands):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Level 3 Measurements</w:t>
            </w: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411,119</w:t>
            </w: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(71,748)</w:t>
            </w: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March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339,371</w:t>
            </w:r>
          </w:p>
        </w:tc>
      </w:tr>
      <w:tr>
        <w:trPr>
          <w:trHeight w:val="223"/>
        </w:trPr>
        <w:tc>
          <w:tcPr>
            <w:tcW w:w="526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200" w:type="dxa"/>
            <w:vAlign w:val="bottom"/>
          </w:tcPr>
          <w:p>
            <w:pPr>
              <w:spacing w:after="0"/>
              <w:rPr>
                <w:sz w:val="19"/>
                <w:szCs w:val="19"/>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78,539</w:t>
            </w: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72"/>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June 30, 2020</w:t>
            </w:r>
          </w:p>
        </w:tc>
        <w:tc>
          <w:tcPr>
            <w:tcW w:w="20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$417,910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0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During 2017, Option Care entered into interest rate caps that reduce the risk of increased interest payments due to interest rates rising.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w:t>
      </w:r>
    </w:p>
    <w:p>
      <w:pPr>
        <w:spacing w:after="0" w:line="13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August 2019, the Company entered into interest rate swap agreements that reduce the variability in the interest rates on the newly-issued debt obligations.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The remaining $13.9 million notional amount of the interest rate swap is not designated as a hedging instrument. The second interest rate swap of $400.0 million notional was effective in November 2019 and is designated as a cash flow hedge against the underlying interest rate on the second lien notes interest payments indexed to three-month LIBOR through November 2020.</w:t>
      </w:r>
    </w:p>
    <w:p>
      <w:pPr>
        <w:spacing w:after="0" w:line="137"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 xml:space="preserve">In May 2020, the Company elected to PIK the second lien note’s quarterly interest payment due in August 2020. Upon making the PIK election, the Company determined that the hedged interest payment would no longer occur, resulting in an ineffective hedge, so the Company discontinued hedge accounting on its $400.0 million notional interest rate swap. As a result, the Company reclassified accumulated comprehensive loss of $3.7 million to interest expense, net in the unaudited condensed consolidated statements of comprehensive income (loss). The gains and losses associated with the $400.0 million notional swap will be recognized in net income (loss) through interest expense until the swap expires in November 2020.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PIK. In accordance with ASU 2017-12,</w:t>
      </w:r>
      <w:r>
        <w:rPr>
          <w:rFonts w:ascii="Arial" w:cs="Arial" w:eastAsia="Arial" w:hAnsi="Arial"/>
          <w:sz w:val="17"/>
          <w:szCs w:val="17"/>
          <w:i w:val="1"/>
          <w:iCs w:val="1"/>
          <w:color w:val="auto"/>
        </w:rPr>
        <w:t xml:space="preserve"> Targeted Improvements to Accounting for Hedges</w:t>
      </w:r>
      <w:r>
        <w:rPr>
          <w:rFonts w:ascii="Arial" w:cs="Arial" w:eastAsia="Arial" w:hAnsi="Arial"/>
          <w:sz w:val="17"/>
          <w:szCs w:val="17"/>
          <w:color w:val="auto"/>
        </w:rPr>
        <w:t>,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that the $911.1 million designated cash flow hedge is perfectly effective.</w:t>
      </w:r>
    </w:p>
    <w:p>
      <w:pPr>
        <w:spacing w:after="0" w:line="15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4960" w:type="dxa"/>
            <w:vAlign w:val="bottom"/>
            <w:gridSpan w:val="5"/>
          </w:tcPr>
          <w:p>
            <w:pPr>
              <w:ind w:left="1880"/>
              <w:spacing w:after="0"/>
              <w:rPr>
                <w:sz w:val="20"/>
                <w:szCs w:val="20"/>
                <w:color w:val="auto"/>
              </w:rPr>
            </w:pPr>
            <w:r>
              <w:rPr>
                <w:rFonts w:ascii="Arial" w:cs="Arial" w:eastAsia="Arial" w:hAnsi="Arial"/>
                <w:sz w:val="16"/>
                <w:szCs w:val="16"/>
                <w:b w:val="1"/>
                <w:bCs w:val="1"/>
                <w:color w:val="auto"/>
                <w:w w:val="95"/>
              </w:rPr>
              <w:t>Fair value - Derivatives in liability position</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3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Derivative</w:t>
            </w:r>
          </w:p>
        </w:tc>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45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3"/>
        </w:trPr>
        <w:tc>
          <w:tcPr>
            <w:tcW w:w="45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1,275</w:t>
            </w:r>
          </w:p>
        </w:tc>
      </w:tr>
      <w:tr>
        <w:trPr>
          <w:trHeight w:val="220"/>
        </w:trPr>
        <w:tc>
          <w:tcPr>
            <w:tcW w:w="452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Accrued expenses and other current</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5,920</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90</w:t>
            </w:r>
          </w:p>
        </w:tc>
      </w:tr>
      <w:tr>
        <w:trPr>
          <w:trHeight w:val="33"/>
        </w:trPr>
        <w:tc>
          <w:tcPr>
            <w:tcW w:w="45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2"/>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3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23,018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7,285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gain and loss associated with the changes in the fair value of the effective portion of the hedging instrument are recorded into other comprehensive (loss) income. The gain and loss associated with the changes in the fair value of the $400.0 million notional swap and the $13.9 million notional amount not designated as a hedging instrument are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32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7"/>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(12,056)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w:t>
            </w:r>
          </w:p>
        </w:tc>
      </w:tr>
      <w:tr>
        <w:trPr>
          <w:trHeight w:val="3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8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960" w:type="dxa"/>
            <w:vAlign w:val="bottom"/>
            <w:gridSpan w:val="2"/>
          </w:tcPr>
          <w:p>
            <w:pPr>
              <w:spacing w:after="0"/>
              <w:rPr>
                <w:sz w:val="2"/>
                <w:szCs w:val="2"/>
                <w:color w:val="auto"/>
              </w:rPr>
            </w:pPr>
          </w:p>
        </w:tc>
        <w:tc>
          <w:tcPr>
            <w:tcW w:w="24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2480" w:type="dxa"/>
            <w:vAlign w:val="bottom"/>
            <w:gridSpan w:val="2"/>
          </w:tcPr>
          <w:p>
            <w:pPr>
              <w:ind w:left="260"/>
              <w:spacing w:after="0"/>
              <w:rPr>
                <w:sz w:val="20"/>
                <w:szCs w:val="20"/>
                <w:color w:val="auto"/>
              </w:rPr>
            </w:pPr>
            <w:r>
              <w:rPr>
                <w:rFonts w:ascii="Arial" w:cs="Arial" w:eastAsia="Arial" w:hAnsi="Arial"/>
                <w:sz w:val="16"/>
                <w:szCs w:val="16"/>
                <w:b w:val="1"/>
                <w:bCs w:val="1"/>
                <w:color w:val="auto"/>
              </w:rPr>
              <w:t>Income Statement Caption</w:t>
            </w: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designated as cash flow</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designated as cash flow</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hedges</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33"/>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not</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designated as hedges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Interest rate swaps that</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discontinued hedge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accounting</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33"/>
        </w:trPr>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5"/>
        </w:trPr>
        <w:tc>
          <w:tcPr>
            <w:tcW w:w="1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expects to reclassify $16.6 million of total interest rate costs from accumulated other comprehensive loss against interest expense during the next 12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89"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08" w:lineRule="exact"/>
        <w:rPr>
          <w:sz w:val="20"/>
          <w:szCs w:val="20"/>
          <w:color w:val="auto"/>
        </w:rPr>
      </w:pPr>
    </w:p>
    <w:p>
      <w:pPr>
        <w:ind w:left="900" w:hanging="16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900" w:right="360" w:hanging="163"/>
        <w:spacing w:after="0" w:line="250"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900" w:hanging="16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84"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on the carrying amount and fair value of the first lien term loan.</w:t>
      </w:r>
    </w:p>
    <w:p>
      <w:pPr>
        <w:spacing w:after="0" w:line="130" w:lineRule="exact"/>
        <w:rPr>
          <w:sz w:val="20"/>
          <w:szCs w:val="20"/>
          <w:color w:val="auto"/>
        </w:rPr>
      </w:pPr>
    </w:p>
    <w:p>
      <w:pPr>
        <w:jc w:val="both"/>
        <w:ind w:right="28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on the carrying amount and fair value of the second lien notes.</w:t>
      </w:r>
    </w:p>
    <w:p>
      <w:pPr>
        <w:spacing w:after="0" w:line="11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on the fair value of interest rate swaps.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June 30, 2020 and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8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color w:val="auto"/>
        </w:rPr>
        <w:t>— Under the Company’s 2018 Equity Incentive Plan (the “2018 Plan”), approved at the annual meeting by the BioScrip</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The Company had stock options and restricted stock outstanding related to the 2018 Plan as of June 30, 2020. As of June 30, 2020, the Company also had incentive units outstanding related to the HC I equity incentive plan, which was implemented in October 2015, for certain officers and employees of the Company. During the three and six months ended June 30, 2020, total stock-based incentive compensation expense recognized by the Company related to these plans was $0.7 million and $1.4 million, respectively. During the three and six months ended June 30, 2019, total stock-based incentive compensation expense recognized by the Company related to these plans was $0.6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02"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 xml:space="preserve">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unaudited condensed consolidated financial statements, which was retrospectively applied to all periods presented in the unaudited condensed consolidated financial statements. All common shares, warrants and stock awards presented in the unaudited condensed consolidated financial statements have been retrospectively adjusted for the reverse stock split. Subsequent to June 30, 2020, the Company completed a public offering of 10,000,000 shares of common stock for net proceeds of approximately $118 million. Those proceeds will be used to prepay a portion of the second lien notes. See Note 18, </w:t>
      </w:r>
      <w:r>
        <w:rPr>
          <w:rFonts w:ascii="Arial" w:cs="Arial" w:eastAsia="Arial" w:hAnsi="Arial"/>
          <w:sz w:val="17"/>
          <w:szCs w:val="17"/>
          <w:i w:val="1"/>
          <w:iCs w:val="1"/>
          <w:color w:val="auto"/>
        </w:rPr>
        <w:t>Subsequent Events</w:t>
      </w:r>
      <w:r>
        <w:rPr>
          <w:rFonts w:ascii="Arial" w:cs="Arial" w:eastAsia="Arial" w:hAnsi="Arial"/>
          <w:sz w:val="17"/>
          <w:szCs w:val="17"/>
          <w:color w:val="auto"/>
        </w:rPr>
        <w:t>, for further discussion.</w:t>
      </w:r>
    </w:p>
    <w:p>
      <w:pPr>
        <w:spacing w:after="0" w:line="137"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and six months ended June 30, 2020, warrant holders did not elect to exercise any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No warrants existed in 2019 prior to the Merger. As of June 30, 2020 and December 31, 2019, the remaining warrant holders are entitled to purchase 1.4 million shares of common stock, respectively.</w:t>
      </w:r>
    </w:p>
    <w:p>
      <w:pPr>
        <w:spacing w:after="0" w:line="135" w:lineRule="exact"/>
        <w:rPr>
          <w:sz w:val="20"/>
          <w:szCs w:val="20"/>
          <w:color w:val="auto"/>
        </w:rPr>
      </w:pPr>
    </w:p>
    <w:p>
      <w:pPr>
        <w:jc w:val="both"/>
        <w:ind w:right="160" w:firstLine="324"/>
        <w:spacing w:after="0" w:line="266"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and six months ended June 30, 2020, warrant holders did not elect to exercise any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No warrants existed in 2019 prior to the Merger. As of June 30, 2020 and December 31, 2019, warrant holders are entitled to purchase 0.9 million shares of common stock, respectively.</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Home Solutions Restricted Stock </w:t>
      </w:r>
      <w:r>
        <w:rPr>
          <w:rFonts w:ascii="Arial" w:cs="Arial" w:eastAsia="Arial" w:hAnsi="Arial"/>
          <w:sz w:val="17"/>
          <w:szCs w:val="17"/>
          <w:color w:val="auto"/>
        </w:rPr>
        <w:t>— In conjunction with BioScrip’s 2016 acquisition of Home Solutions, Inc., 1.8 million restricted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common stock were issued, of which 0.8 million of these units vest upon the closing price of the Company’s common stock averaging at or above $16.00 per share over 20 consecutive trading days prior to December 31, 2019 and 1.0 million of these units vest upon the closing price of the Company’s common stock averaging at or above $20.00 per share over 20 consecutive trading days prior to December 31, 2019. The restricted stock expired on December 31, 2019. As discussed in Note 1, </w:t>
      </w:r>
      <w:r>
        <w:rPr>
          <w:rFonts w:ascii="Arial" w:cs="Arial" w:eastAsia="Arial" w:hAnsi="Arial"/>
          <w:sz w:val="17"/>
          <w:szCs w:val="17"/>
          <w:i w:val="1"/>
          <w:iCs w:val="1"/>
          <w:color w:val="auto"/>
        </w:rPr>
        <w:t>Nature of Operations and Presentation of Financial Statements</w:t>
      </w:r>
      <w:r>
        <w:rPr>
          <w:rFonts w:ascii="Arial" w:cs="Arial" w:eastAsia="Arial" w:hAnsi="Arial"/>
          <w:sz w:val="17"/>
          <w:szCs w:val="17"/>
          <w:color w:val="auto"/>
        </w:rPr>
        <w:t>, 7,048,357 common shares issued to HC I in conjunction with the Merger are held in escrow to prevent dilution related to the vesting of the Home Solutions restricted stock. In the event the Home Solutions restricted stock expires unvested, the 7,048,357 common shares held in escrow will be returned to the Company and canceled. As of June 30, 2020, the Home Solutions restricted stock remained in escrow pending final resolution of this matter.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$0.7 million and $1.4 million for the three and six months ended June 30, 2020, respectively. The Company recorded management fee income of $0.6 million and $1.2 million for the three and six months ended June 30, 2019, respectively. Management fees are recorded in net revenues in the accompanying unaudited condensed consolidated statements of comprehensive income (loss).</w:t>
      </w:r>
    </w:p>
    <w:p>
      <w:pPr>
        <w:spacing w:after="0" w:line="14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Company had amounts due to its joint ventures of $3.3 million as of June 30, 2020. The Company also had amounts due to its joint ventures of $4.3 million as of December 31, 2019. These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June 30, 2020, and noted the following subsequent events:</w:t>
      </w:r>
    </w:p>
    <w:p>
      <w:pPr>
        <w:spacing w:after="0" w:line="19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July 24, 2020, the Company completed a public offering of 18,000,000 shares of the Company’s common stock at a price of $12.50 per share, consisting of 10,000,000 shares of common stock issued and sold by the Company and 8,000,000 shares of common stock sold by HC I. The Company received net proceeds from the offering of approximately $118 million, after deducting underwriting discounts and commissions and estimated offering expenses payable by the Company. The Company intends to use the proceeds from the offering and available cash to repay $125.0 million on the principal balance of its second lien notes outstanding. Following the offering, HC I holds approximately 72.1%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5, 2020, as well as the Company’s unaudited condensed consolidated financial statements and the related notes thereto included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38"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148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4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Global Select Market as of June 30, 2020.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of the unaudited condensed consolidated financial statements for further discussion on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02"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0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second quarter of 2020 results reflect the Company’s continued efforts to accelerate growth and drive merger-related cost savings offset by the detrimental impact of the COVID-19 pandemic. 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second quarter of 2020, the revenue results reflect a single digit decline in acute revenues relative to the prior year while chronic revenue grew in the low double digits. Option Care Health continues to collaborate with payers and health systems to transition patients into the home or one of our alternate treatment sites to receive vital infusion therapy.</w:t>
      </w:r>
    </w:p>
    <w:p>
      <w:pPr>
        <w:spacing w:after="0" w:line="12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Company’s operations involve the compounding of therapeutic drugs in sterile cleanroom facilities by pharmacists and pharmacy technicians, the transportation of such drugs to the patients’ home or alternate infusion treatment site and the administration of the drug by a licensed healthcare professional. Due to personal disruption experienced by employees of the Company, the ability to efficiently resource the compounding, delivery and administration of therapies has been negatively impacted given staffing challenges and availability. This has resulted in higher wage costs in the form of overtime expenditures, migration of clinical resources to additional markets and utilization of contract labor resources. In addition to direct labor investments, the Company has experienced similar impacts on the indirect support functions, as employees have generally migrated to a virtual, remote establishment.</w:t>
      </w:r>
    </w:p>
    <w:p>
      <w:pPr>
        <w:spacing w:after="0" w:line="16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delivering infusion therapy, the Company’s clinical personnel regularly utilize personal protection equipment (“PPE”) and ancillary medical supplies as dictated by the Company’s clinical protocols. Based on the increased demand for PPE over the past several weeks, the Company has experienced challenges in procuring necessary PPE to ensure the safety of its personnel and the patients served in the form of higher costs for PPE as well as increased effort and resources dedicated to procurement activities. To date, the Company has maintained adequate levels of PPE to support its operations, albeit at higher procurement costs.</w:t>
      </w:r>
    </w:p>
    <w:p>
      <w:pPr>
        <w:spacing w:after="0" w:line="1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experienced cost inefficiencies in the second quarter with respect to clinical labor and other staffing challenges, as well as higher costs to procure personal protection equipment. Offsetting the negative impacts resulting from the COVID-19 pandemic, the Company managed spending and accelerated many integration-related initiatives as discussed below. Further, to date, the Company experienced no material deceleration in cash collections and collaboration with payers continues to be productive. The Company anticipates that the pandemic could affect its operations for an extended period; however, at this time cannot confidently forecast the duration nor the ultimate financial impact on its operations. See Item 1A. “Risk Factors” under the caption “The COVID-19 pandemic could adversely impact our business, results of operations, cash flows and financial position” for further discussion on risks.</w:t>
      </w:r>
    </w:p>
    <w:p>
      <w:pPr>
        <w:spacing w:after="0" w:line="15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April 2020, the Company received approximately $11.7 million from the Public Health and Social Services Emergency Fund as part of the Coronavirus Aid, Relief, and Economics Security Act (“CARES Act”). The $11.7 million is reflected in the second quarter 2020 as a cash inflow from financing activities and, as a result, is reflected in the June 30, 2020 cash balance and as a component of accrued expenses and other current liabilities. Given the Company’s ability to largely offset the cost inefficiencies experienced from the COVID-19 pandemic with spending reductions and accelerated integration net cost synergies, the Company has determined that it will return these CARES Act funds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20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Merger of Option Care and BioScrip into Option Care Health has created an opportunity to realize cost synergies while continuing to drive organic growth in chronic and acute therapies through our expanded national platform. Option Care Health is well-positioned to leverage the investments in corporate infrastructure and drive economies of scale as a result of the Merger. The synergy categories are as follows:</w:t>
      </w:r>
    </w:p>
    <w:p>
      <w:pPr>
        <w:spacing w:after="0" w:line="125" w:lineRule="exact"/>
        <w:rPr>
          <w:sz w:val="20"/>
          <w:szCs w:val="20"/>
          <w:color w:val="auto"/>
        </w:rPr>
      </w:pPr>
    </w:p>
    <w:p>
      <w:pPr>
        <w:ind w:left="1300" w:right="820" w:hanging="320"/>
        <w:spacing w:after="0" w:line="258"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280" w:hanging="320"/>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allows for facility rationalization and the optimization of assets.</w:t>
      </w:r>
    </w:p>
    <w:p>
      <w:pPr>
        <w:ind w:left="1300" w:right="160" w:hanging="320"/>
        <w:spacing w:after="0" w:line="255"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Since the Merger, we have worked to align our field and sales teams. We have also made strides at combining our procurement process and contracts, all while continuing to focus on serving our patients. Patient health is personal to us, which is why, throughout the integration process, we strive to improve and set the standard for quality care that is matched by best-in-class service. After completion of the Merger, we have additional resources to invest in our people, process and systems, providing us improved strength and scale to drive better patient outcomes. The Company accelerated its integration activities during the second quarter to offset the negative impacts resulting from COVID-19 pandemic, and as a result we exited the second quarter having fully achieved the articulated goal of at least $60.0 million in net cost synergies. We continue to pursue further integration efforts, and ultimately expect to exceed the net cost synergy goal.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For additional information on this transaction,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six months ended June 30, 2020 and 2019. The BioScrip results have been included since the August 6, 2019 Merger Date.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9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6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1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6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3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miscellaneous non-operating expenses and third-party fees paid in conjunction with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issuances and debt extinguishments, as they occur.</w:t>
      </w:r>
    </w:p>
    <w:p>
      <w:pPr>
        <w:spacing w:after="0" w:line="13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reflective of the current federal and state tax rates.</w:t>
      </w:r>
    </w:p>
    <w:p>
      <w:pPr>
        <w:spacing w:after="0" w:line="14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Change in unrealized losses on cash flow hedges, net of income taxes</w:t>
      </w:r>
      <w:r>
        <w:rPr>
          <w:rFonts w:ascii="Arial" w:cs="Arial" w:eastAsia="Arial" w:hAnsi="Arial"/>
          <w:sz w:val="18"/>
          <w:szCs w:val="18"/>
          <w:color w:val="auto"/>
        </w:rPr>
        <w:t>. Change in unrealized (losses) gains on cash flow hedges, net of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six months ended June 30, 2020 and 2019 (in thousands):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Three Months Ended June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6"/>
              </w:rPr>
              <w:t>Six Months Ended June 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r>
      <w:tr>
        <w:trPr>
          <w:trHeight w:val="217"/>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2020 (unaudited)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ind w:left="320"/>
              <w:spacing w:after="0"/>
              <w:rPr>
                <w:sz w:val="20"/>
                <w:szCs w:val="20"/>
                <w:color w:val="auto"/>
              </w:rPr>
            </w:pPr>
            <w:r>
              <w:rPr>
                <w:rFonts w:ascii="Arial" w:cs="Arial" w:eastAsia="Arial" w:hAnsi="Arial"/>
                <w:sz w:val="16"/>
                <w:szCs w:val="16"/>
                <w:b w:val="1"/>
                <w:bCs w:val="1"/>
                <w:color w:val="auto"/>
              </w:rPr>
              <w:t>2019 (unaudited)</w:t>
            </w:r>
          </w:p>
        </w:tc>
        <w:tc>
          <w:tcPr>
            <w:tcW w:w="160" w:type="dxa"/>
            <w:vAlign w:val="bottom"/>
          </w:tcPr>
          <w:p>
            <w:pPr>
              <w:spacing w:after="0"/>
              <w:rPr>
                <w:sz w:val="18"/>
                <w:szCs w:val="18"/>
                <w:color w:val="auto"/>
              </w:rPr>
            </w:pPr>
          </w:p>
        </w:tc>
        <w:tc>
          <w:tcPr>
            <w:tcW w:w="18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2020 (unaudited)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2019 (unaudited)</w:t>
            </w:r>
          </w:p>
        </w:tc>
      </w:tr>
      <w:tr>
        <w:trPr>
          <w:trHeight w:val="33"/>
        </w:trPr>
        <w:tc>
          <w:tcPr>
            <w:tcW w:w="2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 of Revenue</w:t>
            </w:r>
          </w:p>
        </w:tc>
        <w:tc>
          <w:tcPr>
            <w:tcW w:w="16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w:t>
            </w:r>
          </w:p>
        </w:tc>
        <w:tc>
          <w:tcPr>
            <w:tcW w:w="16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 of Revenue</w:t>
            </w:r>
          </w:p>
        </w:tc>
        <w:tc>
          <w:tcPr>
            <w:tcW w:w="16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3"/>
              </w:rPr>
              <w:t>% of Revenue</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740,848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497,266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1,446,288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973,758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24"/>
        </w:trPr>
        <w:tc>
          <w:tcPr>
            <w:tcW w:w="2220" w:type="dxa"/>
            <w:vAlign w:val="bottom"/>
          </w:tcPr>
          <w:p>
            <w:pPr>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574,528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395,876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79.6 %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1,121,939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77.6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774,174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79.5 %</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30"/>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166,320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101,390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324,349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199,584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20.5 %</w:t>
            </w:r>
          </w:p>
        </w:tc>
      </w:tr>
      <w:tr>
        <w:trPr>
          <w:trHeight w:val="257"/>
        </w:trPr>
        <w:tc>
          <w:tcPr>
            <w:tcW w:w="2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0"/>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OPERATING COSTS AND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0"/>
        </w:trPr>
        <w:tc>
          <w:tcPr>
            <w:tcW w:w="2220" w:type="dxa"/>
            <w:vAlign w:val="bottom"/>
          </w:tcPr>
          <w:p>
            <w:pPr>
              <w:ind w:left="1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2220" w:type="dxa"/>
            <w:vAlign w:val="bottom"/>
          </w:tcPr>
          <w:p>
            <w:pPr>
              <w:ind w:left="120"/>
              <w:spacing w:after="0"/>
              <w:rPr>
                <w:sz w:val="20"/>
                <w:szCs w:val="20"/>
                <w:color w:val="auto"/>
              </w:rPr>
            </w:pPr>
            <w:r>
              <w:rPr>
                <w:rFonts w:ascii="Arial" w:cs="Arial" w:eastAsia="Arial" w:hAnsi="Arial"/>
                <w:sz w:val="16"/>
                <w:szCs w:val="16"/>
                <w:color w:val="auto"/>
              </w:rPr>
              <w:t>administrative expenses</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124,918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99,245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20.0 %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254,198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182,032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18.7 %</w:t>
            </w:r>
          </w:p>
        </w:tc>
      </w:tr>
      <w:tr>
        <w:trPr>
          <w:trHeight w:val="33"/>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Depreciation and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2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38,295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7"/>
        </w:trPr>
        <w:tc>
          <w:tcPr>
            <w:tcW w:w="222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143,112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109,395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22.0 %</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292,493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202,151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20.8 %</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23,208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31,856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2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0"/>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3"/>
        </w:trPr>
        <w:tc>
          <w:tcPr>
            <w:tcW w:w="22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(31,432)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(11,563)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(59,519)</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(22,608)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2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in earnings of joint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ventures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23"/>
        </w:trPr>
        <w:tc>
          <w:tcPr>
            <w:tcW w:w="22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(57,923)</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(21,593)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37"/>
        </w:trPr>
        <w:tc>
          <w:tcPr>
            <w:tcW w:w="2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0"/>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(26,067)</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20"/>
        </w:trPr>
        <w:tc>
          <w:tcPr>
            <w:tcW w:w="2220" w:type="dxa"/>
            <w:vAlign w:val="bottom"/>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(BENEFIT)</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(5,423)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1,511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(6,845)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72"/>
        </w:trPr>
        <w:tc>
          <w:tcPr>
            <w:tcW w:w="2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(7,668)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(13,603)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(27,578)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06"/>
        </w:trPr>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GAIN ( LOSS), NET OF TAX:</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0"/>
        </w:trPr>
        <w:tc>
          <w:tcPr>
            <w:tcW w:w="2220" w:type="dxa"/>
            <w:vAlign w:val="bottom"/>
          </w:tcPr>
          <w:p>
            <w:pPr>
              <w:ind w:left="120"/>
              <w:spacing w:after="0"/>
              <w:rPr>
                <w:sz w:val="20"/>
                <w:szCs w:val="20"/>
                <w:color w:val="auto"/>
              </w:rPr>
            </w:pPr>
            <w:r>
              <w:rPr>
                <w:rFonts w:ascii="Arial" w:cs="Arial" w:eastAsia="Arial" w:hAnsi="Arial"/>
                <w:sz w:val="16"/>
                <w:szCs w:val="16"/>
                <w:color w:val="auto"/>
              </w:rPr>
              <w:t>Change in unrealized gains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w w:val="98"/>
              </w:rPr>
              <w:t>(losses) on cash flow hedges,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net of income tax expense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(benefit) of $0, $(15), $0 and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2220" w:type="dxa"/>
            <w:vAlign w:val="bottom"/>
          </w:tcPr>
          <w:p>
            <w:pPr>
              <w:ind w:left="120"/>
              <w:spacing w:after="0"/>
              <w:rPr>
                <w:sz w:val="20"/>
                <w:szCs w:val="20"/>
                <w:color w:val="auto"/>
              </w:rPr>
            </w:pPr>
            <w:r>
              <w:rPr>
                <w:rFonts w:ascii="Arial" w:cs="Arial" w:eastAsia="Arial" w:hAnsi="Arial"/>
                <w:sz w:val="16"/>
                <w:szCs w:val="16"/>
                <w:color w:val="auto"/>
              </w:rPr>
              <w:t>$227, respectively</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4,576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(12,056)</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00"/>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OTHER COMPREHENSIVE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2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GAIN (LOSS)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(12,056)</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2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7"/>
        </w:trPr>
        <w:tc>
          <w:tcPr>
            <w:tcW w:w="2380" w:type="dxa"/>
            <w:vAlign w:val="bottom"/>
            <w:gridSpan w:val="2"/>
          </w:tcPr>
          <w:p>
            <w:pPr>
              <w:spacing w:after="0"/>
              <w:rPr>
                <w:sz w:val="20"/>
                <w:szCs w:val="20"/>
                <w:color w:val="auto"/>
              </w:rPr>
            </w:pPr>
            <w:r>
              <w:rPr>
                <w:rFonts w:ascii="Arial" w:cs="Arial" w:eastAsia="Arial" w:hAnsi="Arial"/>
                <w:sz w:val="16"/>
                <w:szCs w:val="16"/>
                <w:color w:val="auto"/>
                <w:w w:val="99"/>
              </w:rPr>
              <w:t>NET COMPREHENSIVE LOSS $</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(13,576)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(39,634)</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(17,793)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4"/>
        </w:trPr>
        <w:tc>
          <w:tcPr>
            <w:tcW w:w="22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 periods ended June 30, 2020 and June 30,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6"/>
        </w:trPr>
        <w:tc>
          <w:tcPr>
            <w:tcW w:w="3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(unaudited)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(unaudited)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3"/>
        </w:trPr>
        <w:tc>
          <w:tcPr>
            <w:tcW w:w="3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8"/>
        </w:trPr>
        <w:tc>
          <w:tcPr>
            <w:tcW w:w="3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gridSpan w:val="7"/>
          </w:tcPr>
          <w:p>
            <w:pPr>
              <w:ind w:left="40"/>
              <w:spacing w:after="0"/>
              <w:rPr>
                <w:sz w:val="20"/>
                <w:szCs w:val="20"/>
                <w:color w:val="auto"/>
              </w:rPr>
            </w:pPr>
            <w:r>
              <w:rPr>
                <w:rFonts w:ascii="Arial" w:cs="Arial" w:eastAsia="Arial" w:hAnsi="Arial"/>
                <w:sz w:val="16"/>
                <w:szCs w:val="16"/>
                <w:b w:val="1"/>
                <w:bCs w:val="1"/>
                <w:color w:val="auto"/>
              </w:rPr>
              <w:t>(in thousands, except for percentages)</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3"/>
        </w:trPr>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740,848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497,266</w:t>
            </w:r>
          </w:p>
        </w:tc>
        <w:tc>
          <w:tcPr>
            <w:tcW w:w="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243,582</w:t>
            </w:r>
          </w:p>
        </w:tc>
        <w:tc>
          <w:tcPr>
            <w:tcW w:w="6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9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574,528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178,652</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166,320</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101,390</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64,930</w:t>
            </w:r>
          </w:p>
        </w:tc>
        <w:tc>
          <w:tcPr>
            <w:tcW w:w="6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01"/>
        </w:trPr>
        <w:tc>
          <w:tcPr>
            <w:tcW w:w="3980" w:type="dxa"/>
            <w:vAlign w:val="bottom"/>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increase in net revenue was primarily driven by additional revenue following the Merger of $208.4 million as well as growth in the Company’s portfolio of therapies. The increase in cost of revenue was driven by the impact of the Merger and organic growth. The increase in gross profit was primarily related to contribution margin from additional revenue from the Merger. The increase in gross margin percentage was primarily driven by therapy mix shift and the positive impact from the merger integration net cost synergies, partially offset by the incremental wage costs and personal protective equipment costs related to the COVID-19 pandemic.</w:t>
      </w:r>
    </w:p>
    <w:p>
      <w:pPr>
        <w:sectPr>
          <w:pgSz w:w="11900" w:h="16838" w:orient="portrait"/>
          <w:cols w:equalWidth="0" w:num="1">
            <w:col w:w="11220"/>
          </w:cols>
          <w:pgMar w:left="320" w:top="121" w:right="35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right="380"/>
        <w:spacing w:after="0" w:line="41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3488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1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40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8"/>
        </w:trPr>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40" w:type="dxa"/>
            <w:vAlign w:val="bottom"/>
            <w:gridSpan w:val="6"/>
          </w:tcPr>
          <w:p>
            <w:pPr>
              <w:ind w:left="60"/>
              <w:spacing w:after="0"/>
              <w:rPr>
                <w:sz w:val="20"/>
                <w:szCs w:val="20"/>
                <w:color w:val="auto"/>
              </w:rPr>
            </w:pPr>
            <w:r>
              <w:rPr>
                <w:rFonts w:ascii="Arial" w:cs="Arial" w:eastAsia="Arial" w:hAnsi="Arial"/>
                <w:sz w:val="16"/>
                <w:szCs w:val="16"/>
                <w:b w:val="1"/>
                <w:bCs w:val="1"/>
                <w:color w:val="auto"/>
              </w:rPr>
              <w:t>(in thousands, except for percentages)</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124,918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99,245</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25,673</w:t>
            </w:r>
          </w:p>
        </w:tc>
        <w:tc>
          <w:tcPr>
            <w:tcW w:w="6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6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18,194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10,150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8,044</w:t>
            </w:r>
          </w:p>
        </w:tc>
        <w:tc>
          <w:tcPr>
            <w:tcW w:w="6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143,112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109,395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33,717</w:t>
            </w: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-530860</wp:posOffset>
            </wp:positionV>
            <wp:extent cx="60947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4730" cy="16319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-205105</wp:posOffset>
            </wp:positionV>
            <wp:extent cx="609473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4730" cy="1885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720" w:space="720"/>
            <w:col w:w="6780"/>
          </w:cols>
          <w:pgMar w:left="320" w:top="121" w:right="359" w:bottom="1440" w:gutter="0" w:footer="0" w:header="0"/>
          <w:type w:val="continuous"/>
        </w:sectPr>
      </w:pPr>
    </w:p>
    <w:p>
      <w:pPr>
        <w:ind w:right="200" w:firstLine="324"/>
        <w:spacing w:after="0" w:line="263" w:lineRule="auto"/>
        <w:rPr>
          <w:sz w:val="20"/>
          <w:szCs w:val="20"/>
          <w:color w:val="auto"/>
        </w:rPr>
      </w:pPr>
      <w:r>
        <w:rPr>
          <w:rFonts w:ascii="Arial" w:cs="Arial" w:eastAsia="Arial" w:hAnsi="Arial"/>
          <w:sz w:val="18"/>
          <w:szCs w:val="18"/>
          <w:color w:val="auto"/>
        </w:rPr>
        <w:t>Selling, general and administrative expenses increased for the three months ended June 30, 2020 primarily due to the impact of the Merger but decreased as a percentage of revenue to 16.9% for the three months ended June 30, 2020 as compared to 20.0% for the three months ended June 30 2019 due to synergy realization.</w:t>
      </w:r>
    </w:p>
    <w:p>
      <w:pPr>
        <w:spacing w:after="0" w:line="14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depreciation of the fixed assets acquired and the amortization of the intangibles acquired from the Merger of $3.6 million and $3.9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5"/>
          </w:tcPr>
          <w:p>
            <w:pPr>
              <w:jc w:val="center"/>
              <w:ind w:right="700"/>
              <w:spacing w:after="0"/>
              <w:rPr>
                <w:sz w:val="20"/>
                <w:szCs w:val="20"/>
                <w:color w:val="auto"/>
              </w:rPr>
            </w:pPr>
            <w:r>
              <w:rPr>
                <w:rFonts w:ascii="Arial" w:cs="Arial" w:eastAsia="Arial" w:hAnsi="Arial"/>
                <w:sz w:val="16"/>
                <w:szCs w:val="16"/>
                <w:b w:val="1"/>
                <w:bCs w:val="1"/>
                <w:color w:val="auto"/>
                <w:w w:val="91"/>
              </w:rPr>
              <w:t>Three Months Ended June 30,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6"/>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22"/>
                <w:szCs w:val="22"/>
                <w:color w:val="auto"/>
              </w:rPr>
            </w:pPr>
          </w:p>
        </w:tc>
        <w:tc>
          <w:tcPr>
            <w:tcW w:w="150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(19,869)</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408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(113.9) %</w:t>
            </w:r>
          </w:p>
        </w:tc>
      </w:tr>
      <w:tr>
        <w:trPr>
          <w:trHeight w:val="247"/>
        </w:trPr>
        <w:tc>
          <w:tcPr>
            <w:tcW w:w="408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(11,021)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(19,385)</w:t>
            </w: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16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The increase in interest expense was primarily attributable to the interest expense on the new debt issued in conjunction with the Merger. The balance of debt increased from $538.9 million at June 30, 2019 to $1,284.6 million at June 30, 2020.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unaudited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jc w:val="center"/>
              <w:ind w:right="619"/>
              <w:spacing w:after="0"/>
              <w:rPr>
                <w:sz w:val="20"/>
                <w:szCs w:val="20"/>
                <w:color w:val="auto"/>
              </w:rPr>
            </w:pPr>
            <w:r>
              <w:rPr>
                <w:rFonts w:ascii="Arial" w:cs="Arial" w:eastAsia="Arial" w:hAnsi="Arial"/>
                <w:sz w:val="16"/>
                <w:szCs w:val="16"/>
                <w:b w:val="1"/>
                <w:bCs w:val="1"/>
                <w:color w:val="auto"/>
                <w:w w:val="91"/>
              </w:rPr>
              <w:t>Three Months Ended June 30,</w:t>
            </w:r>
          </w:p>
        </w:tc>
        <w:tc>
          <w:tcPr>
            <w:tcW w:w="86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(unaudited)</w:t>
            </w: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44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auto"/>
              </w:rPr>
              <w:t>Variance</w:t>
            </w:r>
          </w:p>
        </w:tc>
        <w:tc>
          <w:tcPr>
            <w:tcW w:w="86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gridSpan w:val="5"/>
          </w:tcPr>
          <w:p>
            <w:pPr>
              <w:jc w:val="center"/>
              <w:ind w:right="459"/>
              <w:spacing w:after="0"/>
              <w:rPr>
                <w:sz w:val="20"/>
                <w:szCs w:val="20"/>
                <w:color w:val="auto"/>
              </w:rPr>
            </w:pPr>
            <w:r>
              <w:rPr>
                <w:rFonts w:ascii="Arial" w:cs="Arial" w:eastAsia="Arial" w:hAnsi="Arial"/>
                <w:sz w:val="16"/>
                <w:szCs w:val="16"/>
                <w:b w:val="1"/>
                <w:bCs w:val="1"/>
                <w:color w:val="auto"/>
                <w:w w:val="88"/>
              </w:rPr>
              <w:t>(in thousands, except for percentages)</w:t>
            </w:r>
          </w:p>
        </w:tc>
        <w:tc>
          <w:tcPr>
            <w:tcW w:w="86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5,893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 %</w:t>
            </w:r>
          </w:p>
        </w:tc>
      </w:tr>
      <w:tr>
        <w:trPr>
          <w:trHeight w:val="33"/>
        </w:trPr>
        <w:tc>
          <w:tcPr>
            <w:tcW w:w="4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continues to maintain a full valuation allowance, established at the time of Merger, against all of its net U.S. federal and state deferred tax assets with the exception of approximately $0.7 million of estimated state net operating losses (“NOL”). Because of the Company’s full valuation allowance, the Company’s tax expense for the three months ended June 30, 2020 only consists of quarterly tax liabilities attributable to separate company state tax returns as well as recognized deferred tax expense. These tax expense items created a negative effective tax rate of 6.5% during the three months ended June 30, 2020. During the three months ended June 30, 2019, the effective tax rate was 28.5%. The variance in the year-over-year effective tax rates is primarily attributable to the valuation allowance established by the Company at the time of the Merger. The quarterly tax rates of both periods differ from the Company’s 21% federal statutory rate primarily due to changes in valuation allowance, certain state and local taxes, non-deductible costs and resolution of certain tax matters.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91"/>
              </w:rPr>
              <w:t>Three Months Ended June 30,</w:t>
            </w:r>
          </w:p>
        </w:tc>
        <w:tc>
          <w:tcPr>
            <w:tcW w:w="9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(unaudited)</w:t>
            </w: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400" w:type="dxa"/>
            <w:vAlign w:val="bottom"/>
          </w:tcPr>
          <w:p>
            <w:pPr>
              <w:spacing w:after="0"/>
              <w:rPr>
                <w:sz w:val="22"/>
                <w:szCs w:val="22"/>
                <w:color w:val="auto"/>
              </w:rPr>
            </w:pPr>
          </w:p>
        </w:tc>
        <w:tc>
          <w:tcPr>
            <w:tcW w:w="1420" w:type="dxa"/>
            <w:vAlign w:val="bottom"/>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gridSpan w:val="6"/>
          </w:tcPr>
          <w:p>
            <w:pPr>
              <w:jc w:val="center"/>
              <w:ind w:right="48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920" w:type="dxa"/>
            <w:vAlign w:val="bottom"/>
          </w:tcPr>
          <w:p>
            <w:pPr>
              <w:spacing w:after="0"/>
              <w:rPr>
                <w:sz w:val="22"/>
                <w:szCs w:val="22"/>
                <w:color w:val="auto"/>
              </w:rPr>
            </w:pPr>
          </w:p>
        </w:tc>
      </w:tr>
      <w:tr>
        <w:trPr>
          <w:trHeight w:val="3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4"/>
              </w:rPr>
              <w:t>(7,668)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5,935</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 %</w:t>
            </w:r>
          </w:p>
        </w:tc>
      </w:tr>
      <w:tr>
        <w:trPr>
          <w:trHeight w:val="224"/>
        </w:trPr>
        <w:tc>
          <w:tcPr>
            <w:tcW w:w="40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Changes in unrealized gains (losses) on cash flow hedges,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9"/>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net of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4"/>
              </w:rPr>
              <w:t>4,576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4,549</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16,848.1 %</w:t>
            </w:r>
          </w:p>
        </w:tc>
      </w:tr>
      <w:tr>
        <w:trPr>
          <w:trHeight w:val="217"/>
        </w:trPr>
        <w:tc>
          <w:tcPr>
            <w:tcW w:w="4080" w:type="dxa"/>
            <w:vAlign w:val="bottom"/>
          </w:tcPr>
          <w:p>
            <w:pPr>
              <w:ind w:left="120"/>
              <w:spacing w:after="0"/>
              <w:rPr>
                <w:sz w:val="20"/>
                <w:szCs w:val="20"/>
                <w:color w:val="auto"/>
              </w:rPr>
            </w:pPr>
            <w:r>
              <w:rPr>
                <w:rFonts w:ascii="Arial" w:cs="Arial" w:eastAsia="Arial" w:hAnsi="Arial"/>
                <w:sz w:val="16"/>
                <w:szCs w:val="16"/>
                <w:color w:val="auto"/>
              </w:rPr>
              <w:t>Other comprehensive gain (loss)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left="399"/>
              <w:spacing w:after="0"/>
              <w:rPr>
                <w:sz w:val="20"/>
                <w:szCs w:val="20"/>
                <w:color w:val="auto"/>
              </w:rPr>
            </w:pPr>
            <w:r>
              <w:rPr>
                <w:rFonts w:ascii="Arial" w:cs="Arial" w:eastAsia="Arial" w:hAnsi="Arial"/>
                <w:sz w:val="16"/>
                <w:szCs w:val="16"/>
                <w:color w:val="auto"/>
                <w:w w:val="94"/>
              </w:rPr>
              <w:t>4,576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4,549</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16,848.1 %</w:t>
            </w:r>
          </w:p>
        </w:tc>
      </w:tr>
      <w:tr>
        <w:trPr>
          <w:trHeight w:val="33"/>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7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4"/>
              </w:rPr>
              <w:t>(3,092)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10,484</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change in net loss was primarily attributed to operating efficiencies and certain cost saving initiatives related to COVID-19 and the impact of the Merger and related integration savings that resulted in total operating expenses decreasing as a percentage of net revenue.</w:t>
      </w:r>
    </w:p>
    <w:p>
      <w:pPr>
        <w:spacing w:after="0" w:line="13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change in unrealized gains (losses) on cash flow hedges, net of income taxes, primarily related to the $3.7 million reclassification from accumulated other comprehensive loss to interest expense, net upon discontinuing hedge accounting on the Company’s $400.0 million notional swap. The remaining change was related to increases in fair values on the $925.0 million notional swap. The change in unrealized loss for the three months ended June 30, 2019 related to fluctuations on interest rate caps on $250.0 million of the previous first lien term loan.</w:t>
      </w:r>
    </w:p>
    <w:p>
      <w:pPr>
        <w:spacing w:after="0" w:line="13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Net comprehensive loss was $3.1 million for the three months ended June 30, 2020, compared to net comprehensive loss of $13.6 million for the three months ended June 30, 2019, as a result of the changes in net loss, discussed above, along with the impact of the interest rate swaps.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the Company’s unaudited condensed consolidated financial statements for the six month periods ended June 30, 2020 and June 30,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8"/>
              </w:rPr>
              <w:t>(unaudited)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8"/>
        </w:trPr>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1,446,288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973,758</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472,530</w:t>
            </w: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6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1,121,939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774,174</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347,765</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324,349</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199,584</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124,765</w:t>
            </w:r>
          </w:p>
        </w:tc>
        <w:tc>
          <w:tcPr>
            <w:tcW w:w="6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6"/>
                <w:szCs w:val="16"/>
                <w:color w:val="auto"/>
              </w:rPr>
              <w:t>Gross profit margin</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increase in net revenue was primarily driven by additional revenue following the Merger of $402.1 million as well as growth in the Company’s portfolio of therapies. The increase in cost of revenue was driven by the impact of the Merger and organic growth. The increase in gross profit was primarily related to contribution margin from additional revenue from the Merger. The increase in gross margin percentage was primarily driven by therapy mix shift and the positive impact from the merger integration net cost synergies, partially offset by the incremental wage costs and personal protective equipment costs related to the COVID-19 pandemic.</w:t>
      </w:r>
    </w:p>
    <w:p>
      <w:pPr>
        <w:sectPr>
          <w:pgSz w:w="11900" w:h="16838" w:orient="portrait"/>
          <w:cols w:equalWidth="0" w:num="1">
            <w:col w:w="11240"/>
          </w:cols>
          <w:pgMar w:left="320" w:top="1066" w:right="33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right="1980"/>
        <w:spacing w:after="0" w:line="41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3437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14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22"/>
                <w:szCs w:val="22"/>
                <w:color w:val="auto"/>
              </w:rPr>
            </w:pPr>
          </w:p>
        </w:tc>
        <w:tc>
          <w:tcPr>
            <w:tcW w:w="1520" w:type="dxa"/>
            <w:vAlign w:val="bottom"/>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8"/>
        </w:trPr>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254,198</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182,032</w:t>
            </w:r>
          </w:p>
        </w:tc>
        <w:tc>
          <w:tcPr>
            <w:tcW w:w="100" w:type="dxa"/>
            <w:vAlign w:val="bottom"/>
          </w:tcPr>
          <w:p>
            <w:pPr>
              <w:spacing w:after="0"/>
              <w:rPr>
                <w:sz w:val="22"/>
                <w:szCs w:val="22"/>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72,166</w:t>
            </w:r>
          </w:p>
        </w:tc>
        <w:tc>
          <w:tcPr>
            <w:tcW w:w="6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6"/>
        </w:trPr>
        <w:tc>
          <w:tcPr>
            <w:tcW w:w="14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38,295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20,119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18,176</w:t>
            </w:r>
          </w:p>
        </w:tc>
        <w:tc>
          <w:tcPr>
            <w:tcW w:w="6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292,493</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202,151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90,342</w:t>
            </w:r>
          </w:p>
        </w:tc>
        <w:tc>
          <w:tcPr>
            <w:tcW w:w="6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
        </w:trPr>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-530860</wp:posOffset>
            </wp:positionV>
            <wp:extent cx="705485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54850" cy="16256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-205105</wp:posOffset>
            </wp:positionV>
            <wp:extent cx="705485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4850" cy="1885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60" w:space="720"/>
            <w:col w:w="5460"/>
          </w:cols>
          <w:pgMar w:left="320" w:top="1066"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increased for the six months ended June 30, 2020 primarily due to the impact of the Merger, but has decreased as a percentage of revenue to 17.6% for the six months ended June 30, 2020 as compared to 18.7% for the six months ended June 30, 2019 due to synergy realization.</w:t>
      </w:r>
    </w:p>
    <w:p>
      <w:pPr>
        <w:spacing w:after="0" w:line="14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depreciation of the fixed assets acquired and the amortization of the intangibles acquired from the Merger of $7.5 million and $7.8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2"/>
                <w:szCs w:val="22"/>
                <w:color w:val="auto"/>
              </w:rPr>
            </w:pPr>
          </w:p>
        </w:tc>
        <w:tc>
          <w:tcPr>
            <w:tcW w:w="150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7"/>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(36,911)</w:t>
            </w: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5680" w:type="dxa"/>
            <w:vAlign w:val="bottom"/>
          </w:tcPr>
          <w:p>
            <w:pPr>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382</w:t>
            </w: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5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w:t>
            </w:r>
          </w:p>
        </w:tc>
        <w:tc>
          <w:tcPr>
            <w:tcW w:w="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(112.4) %</w:t>
            </w:r>
          </w:p>
        </w:tc>
      </w:tr>
      <w:tr>
        <w:trPr>
          <w:trHeight w:val="247"/>
        </w:trPr>
        <w:tc>
          <w:tcPr>
            <w:tcW w:w="568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(57,923)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(21,593)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(36,330)</w:t>
            </w: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168.2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4"/>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increase in interest expense was primarily attributable to the interest expense on the new debt issued in conjunction with the Merger,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 June 30,</w:t>
            </w:r>
          </w:p>
        </w:tc>
        <w:tc>
          <w:tcPr>
            <w:tcW w:w="84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5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16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400" w:type="dxa"/>
            <w:vAlign w:val="bottom"/>
          </w:tcPr>
          <w:p>
            <w:pPr>
              <w:spacing w:after="0"/>
              <w:rPr>
                <w:sz w:val="22"/>
                <w:szCs w:val="22"/>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2"/>
                <w:szCs w:val="22"/>
                <w:color w:val="auto"/>
              </w:rPr>
            </w:pPr>
          </w:p>
        </w:tc>
      </w:tr>
      <w:tr>
        <w:trPr>
          <w:trHeight w:val="3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5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40" w:type="dxa"/>
            <w:vAlign w:val="bottom"/>
          </w:tcPr>
          <w:p>
            <w:pPr>
              <w:spacing w:after="0"/>
              <w:rPr>
                <w:sz w:val="22"/>
                <w:szCs w:val="22"/>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4"/>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8,356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 %</w:t>
            </w:r>
          </w:p>
        </w:tc>
      </w:tr>
      <w:tr>
        <w:trPr>
          <w:trHeight w:val="33"/>
        </w:trPr>
        <w:tc>
          <w:tcPr>
            <w:tcW w:w="5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continues to maintain a full valuation allowance, established at the time of Merger, against all of its net U.S. federal and state deferred tax assets with the exception of approximately $0.7 million of estimated state net operating losses (“NOL”). Because of the Company’s full valuation allowance, the Company’s tax expense for the six months ended June 30, 2020 only consists of quarterly tax liabilities attributable to separate company state tax returns as well as recognized deferred tax expense. These tax expense items created a negative effective tax rate of 5.8% during the six months ended June 30, 2020. During the six months ended June 30, 2019, the effective tax rate was 28.3%. The variance in the year-over-year effective tax rates is primarily attributable to the valuation allowance established by the Company at the time of the Merger. The quarterly tax rates of both periods differ from the Company’s 21% federal statutory rate primarily due to changes in valuation allowance, certain state and local taxes, non-deductible costs and resolution of certain tax matters.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2"/>
                <w:szCs w:val="22"/>
                <w:color w:val="auto"/>
              </w:rPr>
            </w:pPr>
          </w:p>
        </w:tc>
        <w:tc>
          <w:tcPr>
            <w:tcW w:w="1480" w:type="dxa"/>
            <w:vAlign w:val="bottom"/>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8"/>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(10,263)</w:t>
            </w:r>
          </w:p>
        </w:tc>
        <w:tc>
          <w:tcPr>
            <w:tcW w:w="5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568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9"/>
              </w:rPr>
              <w:t>Changes in unrealized (losses) gains on cash flow hedges, net of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(11,578)</w:t>
            </w:r>
          </w:p>
        </w:tc>
        <w:tc>
          <w:tcPr>
            <w:tcW w:w="5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5680" w:type="dxa"/>
            <w:vAlign w:val="bottom"/>
          </w:tcPr>
          <w:p>
            <w:pPr>
              <w:ind w:left="12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(12,056)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(11,578)</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2,422.2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72"/>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(21,841)</w:t>
            </w:r>
          </w:p>
        </w:tc>
        <w:tc>
          <w:tcPr>
            <w:tcW w:w="5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change in net loss was primarily attributed to increased depreciation, amortization and interest expense, which was partially offset by operating efficiencies, certain cost saving initiatives related to COVID-19 and Merger integration savings.</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change in unrealized (losses) gains on cash flow hedges, net of income taxes, related to the decrease in the variable interest rates during 2020, partially offset by the $3.7 million reclassification from accumulated other comprehensive income to interest expense upon discontinuing hedge accounting on the $400.0 million notional interest rate swap. The change in unrealized (loss) income for the six months ended June 30, 2019 related to fluctuations on interest rate caps.</w:t>
      </w:r>
    </w:p>
    <w:p>
      <w:pPr>
        <w:spacing w:after="0" w:line="16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change in net comprehensive (loss) income was the result of the change in net loss, described above, further reduced by the impact of the fair value of the interest rate swaps.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For the six months ended June 30, 2020 and the twelve months ended December 31, 2019, the Company’s primary sources of liquidity were cash on hand of $118.1 million and $67.1 million, respectively, as well as the $140.4 million of borrowings available under its credit facilities. During the six months ended June 30, 2020 and the year ended December 31, 2019, the Company’s positive cash flows from operations enabled investments in pharmacy and information technology infrastructure to support growth and create additional capacity in the future, as well as pursue acquisitions.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Company’s primary uses of cash include supporting our ongoing business activities and investing in various acquisitions and our infrastructure to support additional business volumes. Ongoing operating cash outflows are primarily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8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Company’s asset-based-lending (“ABL”) revolving credit facility provides for borrowings up to $150.0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 June 30, 2020. The Company had $9.6 million of undrawn letters of credit issued and outstanding, resulting in net borrowing availability under the ABL facility of $140.4 million as of June 30, 2020.</w:t>
      </w:r>
    </w:p>
    <w:p>
      <w:pPr>
        <w:spacing w:after="0" w:line="1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commenced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4.68% as of June 30, 2020.</w:t>
      </w:r>
    </w:p>
    <w:p>
      <w:pPr>
        <w:spacing w:after="0" w:line="14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second lien notes mature on August 6, 2027. Interest on the second lien notes is payable quarterly and is at the greater of 1% or London Interbank Offered Rate (“LIBOR”), plus 8.75%. The Company elected to pay-in-kind the first quarterly interest payment, due in November 2019, which resulted in the Company capitalizing the interest payment to the principal balance on the interest payment date, increasing the outstanding principal balance to $412.3 million. The Company paid the second and third quarterly interest payments, due in February 2020 and May 2020. The interest rate on the second lien notes was 10.25%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0"/>
              </w:rPr>
              <w:t>Six Months Ended June 30,</w:t>
            </w:r>
          </w:p>
        </w:tc>
        <w:tc>
          <w:tcPr>
            <w:tcW w:w="1020" w:type="dxa"/>
            <w:vAlign w:val="bottom"/>
          </w:tcPr>
          <w:p>
            <w:pPr>
              <w:spacing w:after="0"/>
              <w:rPr>
                <w:sz w:val="18"/>
                <w:szCs w:val="18"/>
                <w:color w:val="auto"/>
              </w:rPr>
            </w:pP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2"/>
                <w:szCs w:val="22"/>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Variance</w:t>
            </w: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(in thousands)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3"/>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22,406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30,984</w:t>
            </w:r>
          </w:p>
        </w:tc>
      </w:tr>
      <w:tr>
        <w:trPr>
          <w:trHeight w:val="223"/>
        </w:trPr>
        <w:tc>
          <w:tcPr>
            <w:tcW w:w="41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Arial" w:cs="Arial" w:eastAsia="Arial" w:hAnsi="Arial"/>
                <w:sz w:val="16"/>
                <w:szCs w:val="16"/>
                <w:color w:val="auto"/>
              </w:rPr>
              <w:t>(7,866)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33"/>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(4,076)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10,457</w:t>
            </w: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10,464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40,579</w:t>
            </w:r>
          </w:p>
        </w:tc>
      </w:tr>
      <w:tr>
        <w:trPr>
          <w:trHeight w:val="33"/>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36,391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30,665</w:t>
            </w:r>
          </w:p>
        </w:tc>
      </w:tr>
      <w:tr>
        <w:trPr>
          <w:trHeight w:val="247"/>
        </w:trPr>
        <w:tc>
          <w:tcPr>
            <w:tcW w:w="410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118,099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46,855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71,244</w:t>
            </w:r>
          </w:p>
        </w:tc>
      </w:tr>
      <w:tr>
        <w:trPr>
          <w:trHeight w:val="2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increase in cash flows provided by operating activities is primarily due to working capital efficiencies and timing of vendor payments during the six months ended June 30,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increase in cash flows used in investing activities is primarily due to increased fixed asset additions during the six months ended June 30, 2020 as we invested more into our pharmacies and infrastructure.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increase in cash provided by (used in) financing activities is related to receipt of $11.7 million of CARES Act funds, partially offset by increased principal payments.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changes to our commitments under contractual obligations, as disclosed in our latest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660" w:firstLine="324"/>
        <w:spacing w:after="0" w:line="453" w:lineRule="auto"/>
        <w:rPr>
          <w:sz w:val="20"/>
          <w:szCs w:val="20"/>
          <w:color w:val="auto"/>
        </w:rPr>
      </w:pPr>
      <w:r>
        <w:rPr>
          <w:rFonts w:ascii="Arial" w:cs="Arial" w:eastAsia="Arial" w:hAnsi="Arial"/>
          <w:sz w:val="18"/>
          <w:szCs w:val="18"/>
          <w:color w:val="auto"/>
        </w:rPr>
        <w:t xml:space="preserve">As of June 30, 2020, Option Care Health did not have any off-balance sheet arrangements, as defined in Item 303(a)(4)(ii) of Regulation S-K.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There have been no significant changes in the critical accounting estimates from those described in the Company’s audited consolidated financial statements and related notes, as presented in our Annual report on 10-K for the year ended December 31, 2019,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 have been no material changes to our exposure to market risk from those included in our Annual Report on Form 10-K for the year ended December 31, 2019,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2020. Based on that evaluation, the Company’s Chief Executive Officer and its Chief Financial Officer concluded that our disclosure controls and procedures were effective as of June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Merger, which was completed on August 6, 2019, has had a material impact on the financial position, results of operations, and cash flows of the combined company from the date of acquisition through June 30, 2020. The business combination also resulted in material changes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 xml:space="preserve">For a summary of legal proceedings,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these risk factors, you should carefully consider the risk factor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recent COVID-19 pandemic could adversely impact our business operations, results of operations, cash flows and financial position</w:t>
      </w:r>
    </w:p>
    <w:p>
      <w:pPr>
        <w:spacing w:after="0" w:line="20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The World Health Organization has declared COVID-19 a pandemic and public health emergency of international concern. In March 2020, the President of the United States declared a State of National Emergency due to the COVID-19 outbreak. Other countries affected by the outbreak took similar measures. Consequently, the COVID-19 pandemic has had a material impact on the U.S. and global economies.</w:t>
      </w:r>
    </w:p>
    <w:p>
      <w:pPr>
        <w:spacing w:after="0" w:line="16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will impact our patients, teammates, suppliers, vendors, referral sources, and third party payers.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4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While we cannot predict the impact that COVID-19 will have on our patients, suppliers, vendors, and third party payers and each of their financial conditions, we believe the following factors could lead to a material adverse impact on the Company’s business:</w:t>
      </w:r>
    </w:p>
    <w:p>
      <w:pPr>
        <w:spacing w:after="0" w:line="1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Variability in acute therapy patient referrals from hospitals based on changes in hospital-based procedures and treatment patterns;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Variability in chronic therapy patient referrals based on disruptions in the diagnosis of chronic conditions requiring infusion therapy;</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Inefficiencies in clinical labor expenses and higher labor costs from staffing disruptions and availability, potential overtime due to inefficient clinical staffing and utilization of contract labor;</w:t>
      </w:r>
    </w:p>
    <w:p>
      <w:pPr>
        <w:ind w:left="660" w:right="44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costs to procure, and potential unavailability of, critical personal protection equipment, pharmaceuticals and medical supplies given a constrained supply environment; and</w:t>
      </w:r>
    </w:p>
    <w:p>
      <w:pPr>
        <w:ind w:left="660" w:right="22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operational risks from an extended period of remote work arrangements, which could strain our business continuity plans, including but not limited to cybersecurity risks, and could impair our ability to manage our business.</w:t>
      </w:r>
    </w:p>
    <w:p>
      <w:pPr>
        <w:spacing w:after="0" w:line="1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situation is changing rapidly and additional consequences may arise that we are not aware of currently. The extent to which the COVID-19 pandemic impacts us will depend on numerous evolving factors and future developments that we are not able to predict, including: the severity and duration of the outbreak; governmental, business and other actions; the promotion of social distancing and the adoption of shelter-in-place orders affecting our referral sources; the impacts on our supply chain; the impact of the pandemic on economic activity; the health of and the effect on our workforce;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teammates.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14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we cannot predict the impact that COVID-19 will have on our patients, suppliers, vendors, and third party payers, and each of their financial conditions; however, any material effect on these parties could adversely impact us. The impact of COVID-19 may also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4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1"/>
              </w:rPr>
              <w:t>Exhibits</w:t>
            </w:r>
          </w:p>
        </w:tc>
        <w:tc>
          <w:tcPr>
            <w:tcW w:w="9740" w:type="dxa"/>
            <w:vAlign w:val="bottom"/>
          </w:tcPr>
          <w:p>
            <w:pPr>
              <w:spacing w:after="0"/>
              <w:rPr>
                <w:sz w:val="20"/>
                <w:szCs w:val="20"/>
                <w:color w:val="auto"/>
              </w:rPr>
            </w:pPr>
          </w:p>
        </w:tc>
      </w:tr>
      <w:tr>
        <w:trPr>
          <w:trHeight w:val="405"/>
        </w:trPr>
        <w:tc>
          <w:tcPr>
            <w:tcW w:w="148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9740" w:type="dxa"/>
            <w:vAlign w:val="bottom"/>
          </w:tcPr>
          <w:p>
            <w:pPr>
              <w:spacing w:after="0"/>
              <w:rPr>
                <w:sz w:val="24"/>
                <w:szCs w:val="24"/>
                <w:color w:val="auto"/>
              </w:rPr>
            </w:pPr>
          </w:p>
        </w:tc>
      </w:tr>
      <w:tr>
        <w:trPr>
          <w:trHeight w:val="426"/>
        </w:trPr>
        <w:tc>
          <w:tcPr>
            <w:tcW w:w="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740" w:type="dxa"/>
            <w:vAlign w:val="bottom"/>
          </w:tcPr>
          <w:p>
            <w:pPr>
              <w:ind w:left="448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740" w:type="dxa"/>
            <w:vAlign w:val="bottom"/>
            <w:tcBorders>
              <w:bottom w:val="single" w:sz="8" w:color="auto"/>
            </w:tcBorders>
          </w:tcPr>
          <w:p>
            <w:pPr>
              <w:spacing w:after="0" w:line="20" w:lineRule="exact"/>
              <w:rPr>
                <w:sz w:val="1"/>
                <w:szCs w:val="1"/>
                <w:color w:val="auto"/>
              </w:rPr>
            </w:pPr>
          </w:p>
        </w:tc>
      </w:tr>
      <w:tr>
        <w:trPr>
          <w:trHeight w:val="21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40" w:type="dxa"/>
            <w:vAlign w:val="bottom"/>
          </w:tcPr>
          <w:p>
            <w:pPr>
              <w:spacing w:after="0"/>
              <w:rPr>
                <w:sz w:val="18"/>
                <w:szCs w:val="18"/>
                <w:color w:val="auto"/>
              </w:rPr>
            </w:pPr>
          </w:p>
        </w:tc>
        <w:tc>
          <w:tcPr>
            <w:tcW w:w="9740" w:type="dxa"/>
            <w:vAlign w:val="bottom"/>
          </w:tcPr>
          <w:p>
            <w:pPr>
              <w:ind w:left="40"/>
              <w:spacing w:after="0"/>
              <w:rPr>
                <w:rFonts w:ascii="Arial" w:cs="Arial" w:eastAsia="Arial" w:hAnsi="Arial"/>
                <w:sz w:val="16"/>
                <w:szCs w:val="16"/>
                <w:u w:val="single" w:color="auto"/>
                <w:color w:val="0000FF"/>
                <w:w w:val="93"/>
              </w:rPr>
            </w:pPr>
            <w:hyperlink w:anchor="page39">
              <w:r>
                <w:rPr>
                  <w:rFonts w:ascii="Arial" w:cs="Arial" w:eastAsia="Arial" w:hAnsi="Arial"/>
                  <w:sz w:val="16"/>
                  <w:szCs w:val="16"/>
                  <w:u w:val="single" w:color="auto"/>
                  <w:color w:val="0000FF"/>
                  <w:w w:val="93"/>
                </w:rPr>
                <w:t>Certification of Chief Executive Officer pursuant to 18 U.S.C. Section 1350, as adopted pursuant to Section 302 of the Sarbanes-Oxley Act of 2002.</w:t>
              </w:r>
            </w:hyperlink>
          </w:p>
        </w:tc>
      </w:tr>
      <w:tr>
        <w:trPr>
          <w:trHeight w:val="25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40" w:type="dxa"/>
            <w:vAlign w:val="bottom"/>
          </w:tcPr>
          <w:p>
            <w:pPr>
              <w:spacing w:after="0"/>
              <w:rPr>
                <w:sz w:val="22"/>
                <w:szCs w:val="22"/>
                <w:color w:val="auto"/>
              </w:rPr>
            </w:pPr>
          </w:p>
        </w:tc>
        <w:tc>
          <w:tcPr>
            <w:tcW w:w="9740" w:type="dxa"/>
            <w:vAlign w:val="bottom"/>
          </w:tcPr>
          <w:p>
            <w:pPr>
              <w:ind w:left="40"/>
              <w:spacing w:after="0"/>
              <w:rPr>
                <w:rFonts w:ascii="Arial" w:cs="Arial" w:eastAsia="Arial" w:hAnsi="Arial"/>
                <w:sz w:val="16"/>
                <w:szCs w:val="16"/>
                <w:color w:val="0000FF"/>
                <w:w w:val="93"/>
              </w:rPr>
            </w:pPr>
            <w:hyperlink w:anchor="page40">
              <w:r>
                <w:rPr>
                  <w:rFonts w:ascii="Arial" w:cs="Arial" w:eastAsia="Arial" w:hAnsi="Arial"/>
                  <w:sz w:val="16"/>
                  <w:szCs w:val="16"/>
                  <w:u w:val="single" w:color="auto"/>
                  <w:color w:val="0000FF"/>
                  <w:w w:val="93"/>
                </w:rPr>
                <w:t>Certification of Chief Financial Officer pursuant to 18 U.S.C. Section 1350, as adopted pursuant to Section 302 of the Sarbanes-Oxley Act of 2002</w:t>
              </w:r>
              <w:r>
                <w:rPr>
                  <w:rFonts w:ascii="Arial" w:cs="Arial" w:eastAsia="Arial" w:hAnsi="Arial"/>
                  <w:sz w:val="16"/>
                  <w:szCs w:val="16"/>
                  <w:color w:val="0000FF"/>
                  <w:w w:val="93"/>
                </w:rPr>
                <w:t>.</w:t>
              </w:r>
            </w:hyperlink>
          </w:p>
        </w:tc>
      </w:tr>
      <w:tr>
        <w:trPr>
          <w:trHeight w:val="25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40" w:type="dxa"/>
            <w:vAlign w:val="bottom"/>
          </w:tcPr>
          <w:p>
            <w:pPr>
              <w:spacing w:after="0"/>
              <w:rPr>
                <w:sz w:val="22"/>
                <w:szCs w:val="22"/>
                <w:color w:val="auto"/>
              </w:rPr>
            </w:pPr>
          </w:p>
        </w:tc>
        <w:tc>
          <w:tcPr>
            <w:tcW w:w="9740" w:type="dxa"/>
            <w:vAlign w:val="bottom"/>
          </w:tcPr>
          <w:p>
            <w:pPr>
              <w:ind w:left="40"/>
              <w:spacing w:after="0"/>
              <w:rPr>
                <w:rFonts w:ascii="Arial" w:cs="Arial" w:eastAsia="Arial" w:hAnsi="Arial"/>
                <w:sz w:val="16"/>
                <w:szCs w:val="16"/>
                <w:u w:val="single" w:color="auto"/>
                <w:color w:val="0000FF"/>
                <w:w w:val="92"/>
              </w:rPr>
            </w:pPr>
            <w:hyperlink w:anchor="page41">
              <w:r>
                <w:rPr>
                  <w:rFonts w:ascii="Arial" w:cs="Arial" w:eastAsia="Arial" w:hAnsi="Arial"/>
                  <w:sz w:val="16"/>
                  <w:szCs w:val="16"/>
                  <w:u w:val="single" w:color="auto"/>
                  <w:color w:val="0000FF"/>
                  <w:w w:val="92"/>
                </w:rPr>
                <w:t>Certification of Chief Executive Officer pursuant to 18 U.S. C. Section 1350, as adopted pursuant to Section 906 of the Sarbanes-Oxley Act of 2002.</w:t>
              </w:r>
            </w:hyperlink>
          </w:p>
        </w:tc>
      </w:tr>
      <w:tr>
        <w:trPr>
          <w:trHeight w:val="25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40" w:type="dxa"/>
            <w:vAlign w:val="bottom"/>
          </w:tcPr>
          <w:p>
            <w:pPr>
              <w:spacing w:after="0"/>
              <w:rPr>
                <w:sz w:val="22"/>
                <w:szCs w:val="22"/>
                <w:color w:val="auto"/>
              </w:rPr>
            </w:pPr>
          </w:p>
        </w:tc>
        <w:tc>
          <w:tcPr>
            <w:tcW w:w="9740" w:type="dxa"/>
            <w:vAlign w:val="bottom"/>
          </w:tcPr>
          <w:p>
            <w:pPr>
              <w:ind w:left="40"/>
              <w:spacing w:after="0"/>
              <w:rPr>
                <w:rFonts w:ascii="Arial" w:cs="Arial" w:eastAsia="Arial" w:hAnsi="Arial"/>
                <w:sz w:val="16"/>
                <w:szCs w:val="16"/>
                <w:color w:val="0000FF"/>
                <w:w w:val="93"/>
              </w:rPr>
            </w:pPr>
            <w:hyperlink w:anchor="page42">
              <w:r>
                <w:rPr>
                  <w:rFonts w:ascii="Arial" w:cs="Arial" w:eastAsia="Arial" w:hAnsi="Arial"/>
                  <w:sz w:val="16"/>
                  <w:szCs w:val="16"/>
                  <w:u w:val="single" w:color="auto"/>
                  <w:color w:val="0000FF"/>
                  <w:w w:val="93"/>
                </w:rPr>
                <w:t>Certification of Chief Financial Officer pursuant to 18 U.S. C. Section 1350, as adopted pursuant to Section 906 of the Sarbanes-Oxley Act of 2002</w:t>
              </w:r>
              <w:r>
                <w:rPr>
                  <w:rFonts w:ascii="Arial" w:cs="Arial" w:eastAsia="Arial" w:hAnsi="Arial"/>
                  <w:sz w:val="16"/>
                  <w:szCs w:val="16"/>
                  <w:color w:val="0000FF"/>
                  <w:w w:val="93"/>
                </w:rPr>
                <w:t>.</w:t>
              </w:r>
            </w:hyperlink>
          </w:p>
        </w:tc>
      </w:tr>
      <w:tr>
        <w:trPr>
          <w:trHeight w:val="257"/>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101.INS</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Instance Document</w:t>
            </w:r>
          </w:p>
        </w:tc>
      </w:tr>
      <w:tr>
        <w:trPr>
          <w:trHeight w:val="256"/>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101.SCH</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101.CAL</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101.DEF</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101.LAB</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Taxonomy Extension Labels Linkbase Document</w:t>
            </w:r>
          </w:p>
        </w:tc>
      </w:tr>
      <w:tr>
        <w:trPr>
          <w:trHeight w:val="256"/>
        </w:trPr>
        <w:tc>
          <w:tcPr>
            <w:tcW w:w="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101.PRE</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7"/>
        </w:trPr>
        <w:tc>
          <w:tcPr>
            <w:tcW w:w="740" w:type="dxa"/>
            <w:vAlign w:val="bottom"/>
            <w:gridSpan w:val="2"/>
          </w:tcPr>
          <w:p>
            <w:pPr>
              <w:ind w:left="40"/>
              <w:spacing w:after="0"/>
              <w:rPr>
                <w:sz w:val="20"/>
                <w:szCs w:val="20"/>
                <w:color w:val="auto"/>
              </w:rPr>
            </w:pPr>
            <w:r>
              <w:rPr>
                <w:rFonts w:ascii="Arial" w:cs="Arial" w:eastAsia="Arial" w:hAnsi="Arial"/>
                <w:sz w:val="16"/>
                <w:szCs w:val="16"/>
                <w:color w:val="auto"/>
              </w:rPr>
              <w:t>104</w:t>
            </w:r>
          </w:p>
        </w:tc>
        <w:tc>
          <w:tcPr>
            <w:tcW w:w="740" w:type="dxa"/>
            <w:vAlign w:val="bottom"/>
          </w:tcPr>
          <w:p>
            <w:pPr>
              <w:spacing w:after="0"/>
              <w:rPr>
                <w:sz w:val="22"/>
                <w:szCs w:val="22"/>
                <w:color w:val="auto"/>
              </w:rPr>
            </w:pPr>
          </w:p>
        </w:tc>
        <w:tc>
          <w:tcPr>
            <w:tcW w:w="9740" w:type="dxa"/>
            <w:vAlign w:val="bottom"/>
          </w:tcPr>
          <w:p>
            <w:pPr>
              <w:ind w:left="40"/>
              <w:spacing w:after="0"/>
              <w:rPr>
                <w:sz w:val="20"/>
                <w:szCs w:val="20"/>
                <w:color w:val="auto"/>
              </w:rPr>
            </w:pPr>
            <w:r>
              <w:rPr>
                <w:rFonts w:ascii="Arial" w:cs="Arial" w:eastAsia="Arial" w:hAnsi="Arial"/>
                <w:sz w:val="16"/>
                <w:szCs w:val="16"/>
                <w:color w:val="auto"/>
              </w:rPr>
              <w:t>XBRL Formatted Cover Page</w:t>
            </w: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OPTION CARE HEALTH, INC.</w:t>
      </w:r>
    </w:p>
    <w:p>
      <w:pPr>
        <w:spacing w:after="0" w:line="337" w:lineRule="exact"/>
        <w:rPr>
          <w:sz w:val="20"/>
          <w:szCs w:val="20"/>
          <w:color w:val="auto"/>
        </w:rPr>
      </w:pPr>
    </w:p>
    <w:p>
      <w:pPr>
        <w:jc w:val="right"/>
        <w:ind w:left="20" w:right="20"/>
        <w:spacing w:after="0" w:line="290" w:lineRule="auto"/>
        <w:rPr>
          <w:sz w:val="20"/>
          <w:szCs w:val="20"/>
          <w:color w:val="auto"/>
        </w:rPr>
      </w:pPr>
      <w:r>
        <w:rPr>
          <w:rFonts w:ascii="Arial" w:cs="Arial" w:eastAsia="Arial" w:hAnsi="Arial"/>
          <w:sz w:val="18"/>
          <w:szCs w:val="18"/>
          <w:color w:val="auto"/>
        </w:rPr>
        <w:t xml:space="preserve">Date: August 4, 2020                                                                                        </w:t>
      </w:r>
      <w:r>
        <w:rPr>
          <w:rFonts w:ascii="Arial" w:cs="Arial" w:eastAsia="Arial" w:hAnsi="Arial"/>
          <w:sz w:val="18"/>
          <w:szCs w:val="18"/>
          <w:b w:val="1"/>
          <w:bCs w:val="1"/>
          <w:u w:val="single" w:color="auto"/>
          <w:color w:val="auto"/>
        </w:rPr>
        <w:t>/s/ Michael Shapiro</w:t>
      </w:r>
      <w:r>
        <w:rPr>
          <w:rFonts w:ascii="Arial" w:cs="Arial" w:eastAsia="Arial" w:hAnsi="Arial"/>
          <w:sz w:val="18"/>
          <w:szCs w:val="18"/>
          <w:color w:val="auto"/>
        </w:rPr>
        <w:t xml:space="preserve"> Michael Shapiro</w:t>
      </w: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Chief Financial Officer (Principal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8" w:name="page39"/>
    <w:bookmarkEnd w:id="38"/>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28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94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9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00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27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013"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9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2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9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9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00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2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01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9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2020,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2020,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2020-08-04T15:42:19Z</dcterms:created>
  <dcterms:modified xsi:type="dcterms:W3CDTF">2020-08-04T15:42:19Z</dcterms:modified>
</cp:coreProperties>
</file>